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13.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2842EA">
      <w:pPr>
        <w:spacing w:before="240" w:beforeLines="100" w:after="120" w:afterLines="50" w:line="600" w:lineRule="exact"/>
        <w:jc w:val="center"/>
        <w:rPr>
          <w:rFonts w:ascii="方正小标宋简体" w:hAnsi="宋体" w:eastAsia="方正小标宋简体"/>
          <w:color w:val="auto"/>
          <w:sz w:val="52"/>
          <w:szCs w:val="52"/>
          <w:highlight w:val="none"/>
        </w:rPr>
      </w:pPr>
    </w:p>
    <w:p w14:paraId="76F3C1F7">
      <w:pPr>
        <w:spacing w:line="360" w:lineRule="auto"/>
        <w:jc w:val="center"/>
        <w:rPr>
          <w:rFonts w:asciiTheme="majorEastAsia" w:hAnsiTheme="majorEastAsia" w:eastAsiaTheme="majorEastAsia" w:cstheme="majorEastAsia"/>
          <w:color w:val="auto"/>
          <w:sz w:val="52"/>
          <w:szCs w:val="52"/>
          <w:highlight w:val="none"/>
        </w:rPr>
      </w:pPr>
      <w:r>
        <w:rPr>
          <w:rFonts w:hint="eastAsia" w:asciiTheme="majorEastAsia" w:hAnsiTheme="majorEastAsia" w:eastAsiaTheme="majorEastAsia" w:cstheme="majorEastAsia"/>
          <w:color w:val="auto"/>
          <w:sz w:val="52"/>
          <w:szCs w:val="52"/>
          <w:highlight w:val="none"/>
        </w:rPr>
        <w:t>广西交投宏冠工程咨询有限公司</w:t>
      </w:r>
    </w:p>
    <w:p w14:paraId="4DFC14C6">
      <w:pPr>
        <w:spacing w:line="360" w:lineRule="auto"/>
        <w:jc w:val="center"/>
        <w:rPr>
          <w:rFonts w:ascii="方正小标宋简体" w:hAnsi="方正小标宋简体" w:eastAsia="方正小标宋简体" w:cs="方正小标宋简体"/>
          <w:b/>
          <w:color w:val="auto"/>
          <w:sz w:val="44"/>
          <w:szCs w:val="44"/>
          <w:highlight w:val="none"/>
        </w:rPr>
      </w:pPr>
    </w:p>
    <w:p w14:paraId="7FC4A1A7">
      <w:pPr>
        <w:spacing w:line="360" w:lineRule="auto"/>
        <w:jc w:val="center"/>
        <w:rPr>
          <w:rFonts w:ascii="方正小标宋简体" w:hAnsi="方正小标宋简体" w:eastAsia="方正小标宋简体" w:cs="方正小标宋简体"/>
          <w:b/>
          <w:color w:val="auto"/>
          <w:sz w:val="44"/>
          <w:szCs w:val="44"/>
          <w:highlight w:val="none"/>
        </w:rPr>
      </w:pPr>
    </w:p>
    <w:p w14:paraId="19D27B5C">
      <w:pPr>
        <w:snapToGrid w:val="0"/>
        <w:spacing w:before="120" w:beforeLines="50" w:line="360" w:lineRule="auto"/>
        <w:jc w:val="center"/>
        <w:rPr>
          <w:rFonts w:ascii="华文新魏" w:hAnsi="宋体" w:eastAsia="华文新魏"/>
          <w:color w:val="auto"/>
          <w:sz w:val="72"/>
          <w:szCs w:val="72"/>
          <w:highlight w:val="none"/>
        </w:rPr>
      </w:pPr>
      <w:r>
        <w:rPr>
          <w:rFonts w:hint="eastAsia" w:ascii="华文新魏" w:hAnsi="宋体" w:eastAsia="华文新魏"/>
          <w:color w:val="auto"/>
          <w:sz w:val="120"/>
          <w:szCs w:val="120"/>
          <w:highlight w:val="none"/>
        </w:rPr>
        <w:t>招 标 文 件</w:t>
      </w:r>
    </w:p>
    <w:p w14:paraId="36773814">
      <w:pPr>
        <w:snapToGrid w:val="0"/>
        <w:spacing w:before="120" w:beforeLines="50" w:line="360" w:lineRule="auto"/>
        <w:jc w:val="center"/>
        <w:rPr>
          <w:rFonts w:asciiTheme="majorEastAsia" w:hAnsiTheme="majorEastAsia" w:eastAsiaTheme="majorEastAsia" w:cstheme="majorEastAsia"/>
          <w:b/>
          <w:color w:val="auto"/>
          <w:sz w:val="48"/>
          <w:szCs w:val="48"/>
          <w:highlight w:val="none"/>
        </w:rPr>
      </w:pPr>
      <w:r>
        <w:rPr>
          <w:rFonts w:hint="eastAsia" w:asciiTheme="majorEastAsia" w:hAnsiTheme="majorEastAsia" w:eastAsiaTheme="majorEastAsia" w:cstheme="majorEastAsia"/>
          <w:b/>
          <w:color w:val="auto"/>
          <w:sz w:val="48"/>
          <w:szCs w:val="48"/>
          <w:highlight w:val="none"/>
        </w:rPr>
        <w:t>（全流程电子化采购）</w:t>
      </w:r>
    </w:p>
    <w:p w14:paraId="030CA46A">
      <w:pPr>
        <w:snapToGrid w:val="0"/>
        <w:spacing w:line="360" w:lineRule="auto"/>
        <w:rPr>
          <w:rFonts w:ascii="仿宋_GB2312" w:hAnsi="宋体" w:eastAsia="仿宋_GB2312"/>
          <w:color w:val="auto"/>
          <w:sz w:val="30"/>
          <w:szCs w:val="72"/>
          <w:highlight w:val="none"/>
        </w:rPr>
      </w:pPr>
    </w:p>
    <w:p w14:paraId="33974C42">
      <w:pPr>
        <w:snapToGrid w:val="0"/>
        <w:spacing w:line="360" w:lineRule="auto"/>
        <w:ind w:left="1506" w:hanging="1506" w:hangingChars="500"/>
        <w:rPr>
          <w:rFonts w:asciiTheme="majorEastAsia" w:hAnsiTheme="majorEastAsia" w:eastAsiaTheme="majorEastAsia" w:cstheme="majorEastAsia"/>
          <w:b/>
          <w:bCs/>
          <w:color w:val="auto"/>
          <w:w w:val="95"/>
          <w:sz w:val="30"/>
          <w:szCs w:val="30"/>
          <w:highlight w:val="none"/>
        </w:rPr>
      </w:pPr>
      <w:r>
        <w:rPr>
          <w:rFonts w:hint="eastAsia" w:asciiTheme="majorEastAsia" w:hAnsiTheme="majorEastAsia" w:eastAsiaTheme="majorEastAsia" w:cstheme="majorEastAsia"/>
          <w:b/>
          <w:bCs/>
          <w:color w:val="auto"/>
          <w:sz w:val="30"/>
          <w:szCs w:val="30"/>
          <w:highlight w:val="none"/>
        </w:rPr>
        <w:t>项目</w:t>
      </w:r>
      <w:r>
        <w:rPr>
          <w:rFonts w:hint="eastAsia" w:asciiTheme="majorEastAsia" w:hAnsiTheme="majorEastAsia" w:eastAsiaTheme="majorEastAsia" w:cstheme="majorEastAsia"/>
          <w:b/>
          <w:bCs/>
          <w:color w:val="auto"/>
          <w:w w:val="95"/>
          <w:sz w:val="30"/>
          <w:szCs w:val="30"/>
          <w:highlight w:val="none"/>
        </w:rPr>
        <w:t>名称</w:t>
      </w:r>
      <w:r>
        <w:rPr>
          <w:rFonts w:hint="eastAsia" w:asciiTheme="majorEastAsia" w:hAnsiTheme="majorEastAsia" w:eastAsiaTheme="majorEastAsia" w:cstheme="majorEastAsia"/>
          <w:b/>
          <w:bCs/>
          <w:color w:val="auto"/>
          <w:sz w:val="30"/>
          <w:szCs w:val="30"/>
          <w:highlight w:val="none"/>
        </w:rPr>
        <w:t>：广西道路运输信息服务平台运营及维护项目</w:t>
      </w:r>
    </w:p>
    <w:p w14:paraId="4533A902">
      <w:pPr>
        <w:snapToGrid w:val="0"/>
        <w:spacing w:line="360" w:lineRule="auto"/>
        <w:ind w:left="1436" w:hanging="1431" w:hangingChars="500"/>
        <w:rPr>
          <w:rFonts w:asciiTheme="majorEastAsia" w:hAnsiTheme="majorEastAsia" w:eastAsiaTheme="majorEastAsia" w:cstheme="majorEastAsia"/>
          <w:b/>
          <w:bCs/>
          <w:color w:val="auto"/>
          <w:w w:val="95"/>
          <w:sz w:val="30"/>
          <w:szCs w:val="30"/>
          <w:highlight w:val="none"/>
        </w:rPr>
      </w:pPr>
      <w:r>
        <w:rPr>
          <w:rFonts w:hint="eastAsia" w:asciiTheme="majorEastAsia" w:hAnsiTheme="majorEastAsia" w:eastAsiaTheme="majorEastAsia" w:cstheme="majorEastAsia"/>
          <w:b/>
          <w:bCs/>
          <w:color w:val="auto"/>
          <w:w w:val="95"/>
          <w:sz w:val="30"/>
          <w:szCs w:val="30"/>
          <w:highlight w:val="none"/>
        </w:rPr>
        <w:t>项目编号：GXZC2026-G3-000968-GXJT</w:t>
      </w:r>
    </w:p>
    <w:p w14:paraId="2EA5B379">
      <w:pPr>
        <w:snapToGrid w:val="0"/>
        <w:spacing w:line="360" w:lineRule="auto"/>
        <w:ind w:left="1436" w:hanging="1431" w:hangingChars="500"/>
        <w:rPr>
          <w:rFonts w:asciiTheme="majorEastAsia" w:hAnsiTheme="majorEastAsia" w:eastAsiaTheme="majorEastAsia" w:cstheme="majorEastAsia"/>
          <w:b/>
          <w:bCs/>
          <w:color w:val="auto"/>
          <w:w w:val="95"/>
          <w:sz w:val="30"/>
          <w:szCs w:val="30"/>
          <w:highlight w:val="none"/>
        </w:rPr>
      </w:pPr>
      <w:r>
        <w:rPr>
          <w:rFonts w:hint="eastAsia" w:asciiTheme="majorEastAsia" w:hAnsiTheme="majorEastAsia" w:eastAsiaTheme="majorEastAsia" w:cstheme="majorEastAsia"/>
          <w:b/>
          <w:bCs/>
          <w:color w:val="auto"/>
          <w:w w:val="95"/>
          <w:sz w:val="30"/>
          <w:szCs w:val="30"/>
          <w:highlight w:val="none"/>
        </w:rPr>
        <w:t>采 购 人：广西壮族自治区道路运输发展中心</w:t>
      </w:r>
    </w:p>
    <w:p w14:paraId="7D48F48F">
      <w:pPr>
        <w:snapToGrid w:val="0"/>
        <w:spacing w:line="360" w:lineRule="auto"/>
        <w:ind w:left="1436" w:hanging="1431" w:hangingChars="500"/>
        <w:rPr>
          <w:rFonts w:ascii="仿宋_GB2312" w:hAnsi="宋体" w:eastAsia="仿宋_GB2312" w:cs="Courier New"/>
          <w:b/>
          <w:bCs/>
          <w:color w:val="auto"/>
          <w:w w:val="95"/>
          <w:sz w:val="30"/>
          <w:szCs w:val="30"/>
          <w:highlight w:val="none"/>
        </w:rPr>
      </w:pPr>
      <w:r>
        <w:rPr>
          <w:rFonts w:hint="eastAsia" w:asciiTheme="majorEastAsia" w:hAnsiTheme="majorEastAsia" w:eastAsiaTheme="majorEastAsia" w:cstheme="majorEastAsia"/>
          <w:b/>
          <w:bCs/>
          <w:color w:val="auto"/>
          <w:w w:val="95"/>
          <w:sz w:val="30"/>
          <w:szCs w:val="30"/>
          <w:highlight w:val="none"/>
        </w:rPr>
        <w:t>采购代理机构：广西交投宏冠工程咨询有限公司</w:t>
      </w:r>
    </w:p>
    <w:p w14:paraId="1D1FFBB2">
      <w:pPr>
        <w:pStyle w:val="23"/>
        <w:snapToGrid w:val="0"/>
        <w:spacing w:line="360" w:lineRule="auto"/>
        <w:ind w:firstLine="1125" w:firstLineChars="393"/>
        <w:rPr>
          <w:rFonts w:ascii="仿宋_GB2312" w:hAnsi="宋体" w:eastAsia="仿宋_GB2312"/>
          <w:b/>
          <w:bCs/>
          <w:color w:val="auto"/>
          <w:w w:val="95"/>
          <w:sz w:val="30"/>
          <w:szCs w:val="30"/>
          <w:highlight w:val="none"/>
        </w:rPr>
      </w:pPr>
    </w:p>
    <w:p w14:paraId="6F5B724C">
      <w:pPr>
        <w:pStyle w:val="23"/>
        <w:snapToGrid w:val="0"/>
        <w:spacing w:line="360" w:lineRule="auto"/>
        <w:jc w:val="center"/>
        <w:rPr>
          <w:rFonts w:asciiTheme="majorEastAsia" w:hAnsiTheme="majorEastAsia" w:eastAsiaTheme="majorEastAsia" w:cstheme="majorEastAsia"/>
          <w:b/>
          <w:bCs/>
          <w:color w:val="auto"/>
          <w:w w:val="95"/>
          <w:sz w:val="30"/>
          <w:szCs w:val="30"/>
          <w:highlight w:val="none"/>
        </w:rPr>
      </w:pPr>
      <w:r>
        <w:rPr>
          <w:rFonts w:hint="eastAsia" w:asciiTheme="majorEastAsia" w:hAnsiTheme="majorEastAsia" w:eastAsiaTheme="majorEastAsia" w:cstheme="majorEastAsia"/>
          <w:b/>
          <w:bCs/>
          <w:color w:val="auto"/>
          <w:w w:val="95"/>
          <w:sz w:val="30"/>
          <w:szCs w:val="30"/>
          <w:highlight w:val="none"/>
        </w:rPr>
        <w:t>2</w:t>
      </w:r>
      <w:r>
        <w:rPr>
          <w:rFonts w:hint="eastAsia" w:asciiTheme="majorEastAsia" w:hAnsiTheme="majorEastAsia" w:eastAsiaTheme="majorEastAsia" w:cstheme="majorEastAsia"/>
          <w:b/>
          <w:bCs/>
          <w:color w:val="auto"/>
          <w:kern w:val="2"/>
          <w:sz w:val="30"/>
          <w:szCs w:val="30"/>
          <w:highlight w:val="none"/>
        </w:rPr>
        <w:t>026年</w:t>
      </w:r>
      <w:r>
        <w:rPr>
          <w:rFonts w:hint="eastAsia" w:asciiTheme="majorEastAsia" w:hAnsiTheme="majorEastAsia" w:eastAsiaTheme="majorEastAsia" w:cstheme="majorEastAsia"/>
          <w:b/>
          <w:bCs/>
          <w:color w:val="auto"/>
          <w:kern w:val="2"/>
          <w:sz w:val="30"/>
          <w:szCs w:val="30"/>
          <w:highlight w:val="none"/>
          <w:lang w:val="en-US" w:eastAsia="zh-CN"/>
        </w:rPr>
        <w:t>5</w:t>
      </w:r>
      <w:r>
        <w:rPr>
          <w:rFonts w:hint="eastAsia" w:asciiTheme="majorEastAsia" w:hAnsiTheme="majorEastAsia" w:eastAsiaTheme="majorEastAsia" w:cstheme="majorEastAsia"/>
          <w:b/>
          <w:bCs/>
          <w:color w:val="auto"/>
          <w:kern w:val="2"/>
          <w:sz w:val="30"/>
          <w:szCs w:val="30"/>
          <w:highlight w:val="none"/>
        </w:rPr>
        <w:t>月</w:t>
      </w:r>
      <w:r>
        <w:rPr>
          <w:rFonts w:hint="eastAsia" w:asciiTheme="majorEastAsia" w:hAnsiTheme="majorEastAsia" w:eastAsiaTheme="majorEastAsia" w:cstheme="majorEastAsia"/>
          <w:b/>
          <w:bCs/>
          <w:color w:val="auto"/>
          <w:kern w:val="2"/>
          <w:sz w:val="30"/>
          <w:szCs w:val="30"/>
          <w:highlight w:val="none"/>
          <w:lang w:val="en-US" w:eastAsia="zh-CN"/>
        </w:rPr>
        <w:t>8</w:t>
      </w:r>
      <w:r>
        <w:rPr>
          <w:rFonts w:hint="eastAsia" w:asciiTheme="majorEastAsia" w:hAnsiTheme="majorEastAsia" w:eastAsiaTheme="majorEastAsia" w:cstheme="majorEastAsia"/>
          <w:b/>
          <w:bCs/>
          <w:color w:val="auto"/>
          <w:kern w:val="2"/>
          <w:sz w:val="30"/>
          <w:szCs w:val="30"/>
          <w:highlight w:val="none"/>
        </w:rPr>
        <w:t>日</w:t>
      </w:r>
    </w:p>
    <w:p w14:paraId="05169F26">
      <w:pPr>
        <w:spacing w:line="360" w:lineRule="auto"/>
        <w:jc w:val="center"/>
        <w:rPr>
          <w:rFonts w:ascii="宋体" w:hAnsi="宋体"/>
          <w:b/>
          <w:color w:val="auto"/>
          <w:sz w:val="44"/>
          <w:szCs w:val="44"/>
          <w:highlight w:val="none"/>
        </w:rPr>
      </w:pPr>
      <w:r>
        <w:rPr>
          <w:rFonts w:hint="eastAsia" w:ascii="宋体" w:hAnsi="宋体"/>
          <w:b/>
          <w:color w:val="auto"/>
          <w:sz w:val="44"/>
          <w:szCs w:val="44"/>
          <w:highlight w:val="none"/>
        </w:rPr>
        <w:br w:type="page"/>
      </w:r>
      <w:r>
        <w:rPr>
          <w:rFonts w:hint="eastAsia" w:ascii="宋体" w:hAnsi="宋体"/>
          <w:b/>
          <w:color w:val="auto"/>
          <w:sz w:val="44"/>
          <w:szCs w:val="44"/>
          <w:highlight w:val="none"/>
        </w:rPr>
        <w:t>目  录</w:t>
      </w:r>
    </w:p>
    <w:p w14:paraId="38033A84">
      <w:pPr>
        <w:spacing w:line="400" w:lineRule="exact"/>
        <w:jc w:val="center"/>
        <w:rPr>
          <w:rFonts w:ascii="宋体" w:hAnsi="宋体"/>
          <w:b/>
          <w:color w:val="auto"/>
          <w:sz w:val="44"/>
          <w:szCs w:val="44"/>
          <w:highlight w:val="none"/>
        </w:rPr>
      </w:pPr>
    </w:p>
    <w:p w14:paraId="2F09C6EB">
      <w:pPr>
        <w:pStyle w:val="32"/>
        <w:tabs>
          <w:tab w:val="right" w:leader="dot" w:pos="8730"/>
          <w:tab w:val="clear" w:pos="8398"/>
        </w:tabs>
        <w:rPr>
          <w:color w:val="auto"/>
          <w:highlight w:val="none"/>
        </w:rPr>
      </w:pPr>
      <w:r>
        <w:rPr>
          <w:rFonts w:ascii="仿宋_GB2312" w:eastAsia="仿宋_GB2312"/>
          <w:b w:val="0"/>
          <w:color w:val="auto"/>
          <w:highlight w:val="none"/>
        </w:rPr>
        <w:fldChar w:fldCharType="begin"/>
      </w:r>
      <w:r>
        <w:rPr>
          <w:rFonts w:ascii="仿宋_GB2312" w:eastAsia="仿宋_GB2312"/>
          <w:b w:val="0"/>
          <w:color w:val="auto"/>
          <w:highlight w:val="none"/>
        </w:rPr>
        <w:instrText xml:space="preserve"> </w:instrText>
      </w:r>
      <w:r>
        <w:rPr>
          <w:rFonts w:hint="eastAsia" w:ascii="仿宋_GB2312" w:eastAsia="仿宋_GB2312"/>
          <w:b w:val="0"/>
          <w:color w:val="auto"/>
          <w:highlight w:val="none"/>
        </w:rPr>
        <w:instrText xml:space="preserve">TOC \o "1-2" \h \z \u</w:instrText>
      </w:r>
      <w:r>
        <w:rPr>
          <w:rFonts w:ascii="仿宋_GB2312" w:eastAsia="仿宋_GB2312"/>
          <w:b w:val="0"/>
          <w:color w:val="auto"/>
          <w:highlight w:val="none"/>
        </w:rPr>
        <w:instrText xml:space="preserve"> </w:instrText>
      </w:r>
      <w:r>
        <w:rPr>
          <w:rFonts w:ascii="仿宋_GB2312" w:eastAsia="仿宋_GB2312"/>
          <w:b w:val="0"/>
          <w:color w:val="auto"/>
          <w:highlight w:val="none"/>
        </w:rPr>
        <w:fldChar w:fldCharType="separate"/>
      </w:r>
      <w:r>
        <w:rPr>
          <w:color w:val="auto"/>
          <w:highlight w:val="none"/>
        </w:rPr>
        <w:fldChar w:fldCharType="begin"/>
      </w:r>
      <w:r>
        <w:rPr>
          <w:color w:val="auto"/>
          <w:highlight w:val="none"/>
        </w:rPr>
        <w:instrText xml:space="preserve">HYPERLINK \l "_Toc26956"</w:instrText>
      </w:r>
      <w:r>
        <w:rPr>
          <w:color w:val="auto"/>
          <w:highlight w:val="none"/>
        </w:rPr>
        <w:fldChar w:fldCharType="separate"/>
      </w:r>
      <w:r>
        <w:rPr>
          <w:rFonts w:hint="eastAsia"/>
          <w:color w:val="auto"/>
          <w:highlight w:val="none"/>
        </w:rPr>
        <w:t>第一章  招标公告</w:t>
      </w:r>
      <w:r>
        <w:rPr>
          <w:color w:val="auto"/>
          <w:highlight w:val="none"/>
        </w:rPr>
        <w:tab/>
      </w:r>
      <w:r>
        <w:rPr>
          <w:color w:val="auto"/>
          <w:highlight w:val="none"/>
        </w:rPr>
        <w:fldChar w:fldCharType="begin"/>
      </w:r>
      <w:r>
        <w:rPr>
          <w:color w:val="auto"/>
          <w:highlight w:val="none"/>
        </w:rPr>
        <w:instrText xml:space="preserve"> PAGEREF _Toc26956 \h </w:instrText>
      </w:r>
      <w:r>
        <w:rPr>
          <w:color w:val="auto"/>
          <w:highlight w:val="none"/>
        </w:rPr>
        <w:fldChar w:fldCharType="separate"/>
      </w:r>
      <w:r>
        <w:rPr>
          <w:color w:val="auto"/>
          <w:highlight w:val="none"/>
        </w:rPr>
        <w:t>29</w:t>
      </w:r>
      <w:r>
        <w:rPr>
          <w:color w:val="auto"/>
          <w:highlight w:val="none"/>
        </w:rPr>
        <w:fldChar w:fldCharType="end"/>
      </w:r>
      <w:r>
        <w:rPr>
          <w:color w:val="auto"/>
          <w:highlight w:val="none"/>
        </w:rPr>
        <w:fldChar w:fldCharType="end"/>
      </w:r>
    </w:p>
    <w:p w14:paraId="213CE472">
      <w:pPr>
        <w:pStyle w:val="32"/>
        <w:tabs>
          <w:tab w:val="right" w:leader="dot" w:pos="8730"/>
          <w:tab w:val="clear" w:pos="8398"/>
        </w:tabs>
        <w:ind w:firstLine="241"/>
        <w:rPr>
          <w:color w:val="auto"/>
          <w:highlight w:val="none"/>
        </w:rPr>
      </w:pPr>
      <w:r>
        <w:rPr>
          <w:color w:val="auto"/>
          <w:highlight w:val="none"/>
        </w:rPr>
        <w:fldChar w:fldCharType="begin"/>
      </w:r>
      <w:r>
        <w:rPr>
          <w:color w:val="auto"/>
          <w:highlight w:val="none"/>
        </w:rPr>
        <w:instrText xml:space="preserve">HYPERLINK \l "_Toc27979"</w:instrText>
      </w:r>
      <w:r>
        <w:rPr>
          <w:color w:val="auto"/>
          <w:highlight w:val="none"/>
        </w:rPr>
        <w:fldChar w:fldCharType="separate"/>
      </w:r>
      <w:r>
        <w:rPr>
          <w:rFonts w:hint="eastAsia"/>
          <w:color w:val="auto"/>
          <w:highlight w:val="none"/>
        </w:rPr>
        <w:t>第二章  采购需求</w:t>
      </w:r>
      <w:r>
        <w:rPr>
          <w:color w:val="auto"/>
          <w:highlight w:val="none"/>
        </w:rPr>
        <w:tab/>
      </w:r>
      <w:r>
        <w:rPr>
          <w:color w:val="auto"/>
          <w:highlight w:val="none"/>
        </w:rPr>
        <w:fldChar w:fldCharType="begin"/>
      </w:r>
      <w:r>
        <w:rPr>
          <w:color w:val="auto"/>
          <w:highlight w:val="none"/>
        </w:rPr>
        <w:instrText xml:space="preserve"> PAGEREF _Toc27979 \h </w:instrText>
      </w:r>
      <w:r>
        <w:rPr>
          <w:color w:val="auto"/>
          <w:highlight w:val="none"/>
        </w:rPr>
        <w:fldChar w:fldCharType="separate"/>
      </w:r>
      <w:r>
        <w:rPr>
          <w:color w:val="auto"/>
          <w:highlight w:val="none"/>
        </w:rPr>
        <w:t>33</w:t>
      </w:r>
      <w:r>
        <w:rPr>
          <w:color w:val="auto"/>
          <w:highlight w:val="none"/>
        </w:rPr>
        <w:fldChar w:fldCharType="end"/>
      </w:r>
      <w:r>
        <w:rPr>
          <w:color w:val="auto"/>
          <w:highlight w:val="none"/>
        </w:rPr>
        <w:fldChar w:fldCharType="end"/>
      </w:r>
    </w:p>
    <w:p w14:paraId="05793A59">
      <w:pPr>
        <w:pStyle w:val="32"/>
        <w:tabs>
          <w:tab w:val="right" w:leader="dot" w:pos="8730"/>
          <w:tab w:val="clear" w:pos="8398"/>
        </w:tabs>
        <w:ind w:firstLine="241"/>
        <w:rPr>
          <w:color w:val="auto"/>
          <w:highlight w:val="none"/>
        </w:rPr>
      </w:pPr>
      <w:r>
        <w:rPr>
          <w:color w:val="auto"/>
          <w:highlight w:val="none"/>
        </w:rPr>
        <w:fldChar w:fldCharType="begin"/>
      </w:r>
      <w:r>
        <w:rPr>
          <w:color w:val="auto"/>
          <w:highlight w:val="none"/>
        </w:rPr>
        <w:instrText xml:space="preserve">HYPERLINK \l "_Toc25688"</w:instrText>
      </w:r>
      <w:r>
        <w:rPr>
          <w:color w:val="auto"/>
          <w:highlight w:val="none"/>
        </w:rPr>
        <w:fldChar w:fldCharType="separate"/>
      </w:r>
      <w:r>
        <w:rPr>
          <w:rFonts w:hint="eastAsia"/>
          <w:color w:val="auto"/>
          <w:highlight w:val="none"/>
        </w:rPr>
        <w:t>第三章  投标人须知</w:t>
      </w:r>
      <w:r>
        <w:rPr>
          <w:color w:val="auto"/>
          <w:highlight w:val="none"/>
        </w:rPr>
        <w:tab/>
      </w:r>
      <w:r>
        <w:rPr>
          <w:color w:val="auto"/>
          <w:highlight w:val="none"/>
        </w:rPr>
        <w:fldChar w:fldCharType="begin"/>
      </w:r>
      <w:r>
        <w:rPr>
          <w:color w:val="auto"/>
          <w:highlight w:val="none"/>
        </w:rPr>
        <w:instrText xml:space="preserve"> PAGEREF _Toc25688 \h </w:instrText>
      </w:r>
      <w:r>
        <w:rPr>
          <w:color w:val="auto"/>
          <w:highlight w:val="none"/>
        </w:rPr>
        <w:fldChar w:fldCharType="separate"/>
      </w:r>
      <w:r>
        <w:rPr>
          <w:color w:val="auto"/>
          <w:highlight w:val="none"/>
        </w:rPr>
        <w:t>69</w:t>
      </w:r>
      <w:r>
        <w:rPr>
          <w:color w:val="auto"/>
          <w:highlight w:val="none"/>
        </w:rPr>
        <w:fldChar w:fldCharType="end"/>
      </w:r>
      <w:r>
        <w:rPr>
          <w:color w:val="auto"/>
          <w:highlight w:val="none"/>
        </w:rPr>
        <w:fldChar w:fldCharType="end"/>
      </w:r>
    </w:p>
    <w:p w14:paraId="6C48DF9C">
      <w:pPr>
        <w:pStyle w:val="32"/>
        <w:tabs>
          <w:tab w:val="right" w:leader="dot" w:pos="8730"/>
          <w:tab w:val="clear" w:pos="8398"/>
        </w:tabs>
        <w:ind w:firstLine="241"/>
        <w:rPr>
          <w:color w:val="auto"/>
          <w:highlight w:val="none"/>
        </w:rPr>
      </w:pPr>
      <w:r>
        <w:rPr>
          <w:color w:val="auto"/>
          <w:highlight w:val="none"/>
        </w:rPr>
        <w:fldChar w:fldCharType="begin"/>
      </w:r>
      <w:r>
        <w:rPr>
          <w:color w:val="auto"/>
          <w:highlight w:val="none"/>
        </w:rPr>
        <w:instrText xml:space="preserve">HYPERLINK \l "_Toc15687"</w:instrText>
      </w:r>
      <w:r>
        <w:rPr>
          <w:color w:val="auto"/>
          <w:highlight w:val="none"/>
        </w:rPr>
        <w:fldChar w:fldCharType="separate"/>
      </w:r>
      <w:r>
        <w:rPr>
          <w:rFonts w:hint="eastAsia"/>
          <w:color w:val="auto"/>
          <w:highlight w:val="none"/>
        </w:rPr>
        <w:t>第四章  评标方法及评标标准</w:t>
      </w:r>
      <w:r>
        <w:rPr>
          <w:color w:val="auto"/>
          <w:highlight w:val="none"/>
        </w:rPr>
        <w:tab/>
      </w:r>
      <w:r>
        <w:rPr>
          <w:color w:val="auto"/>
          <w:highlight w:val="none"/>
        </w:rPr>
        <w:fldChar w:fldCharType="begin"/>
      </w:r>
      <w:r>
        <w:rPr>
          <w:color w:val="auto"/>
          <w:highlight w:val="none"/>
        </w:rPr>
        <w:instrText xml:space="preserve"> PAGEREF _Toc15687 \h </w:instrText>
      </w:r>
      <w:r>
        <w:rPr>
          <w:color w:val="auto"/>
          <w:highlight w:val="none"/>
        </w:rPr>
        <w:fldChar w:fldCharType="separate"/>
      </w:r>
      <w:r>
        <w:rPr>
          <w:color w:val="auto"/>
          <w:highlight w:val="none"/>
        </w:rPr>
        <w:t>88</w:t>
      </w:r>
      <w:r>
        <w:rPr>
          <w:color w:val="auto"/>
          <w:highlight w:val="none"/>
        </w:rPr>
        <w:fldChar w:fldCharType="end"/>
      </w:r>
      <w:r>
        <w:rPr>
          <w:color w:val="auto"/>
          <w:highlight w:val="none"/>
        </w:rPr>
        <w:fldChar w:fldCharType="end"/>
      </w:r>
    </w:p>
    <w:p w14:paraId="28315254">
      <w:pPr>
        <w:pStyle w:val="32"/>
        <w:tabs>
          <w:tab w:val="right" w:leader="dot" w:pos="8730"/>
          <w:tab w:val="clear" w:pos="8398"/>
        </w:tabs>
        <w:ind w:firstLine="241"/>
        <w:rPr>
          <w:color w:val="auto"/>
          <w:highlight w:val="none"/>
        </w:rPr>
      </w:pPr>
      <w:r>
        <w:rPr>
          <w:color w:val="auto"/>
          <w:highlight w:val="none"/>
        </w:rPr>
        <w:fldChar w:fldCharType="begin"/>
      </w:r>
      <w:r>
        <w:rPr>
          <w:color w:val="auto"/>
          <w:highlight w:val="none"/>
        </w:rPr>
        <w:instrText xml:space="preserve">HYPERLINK \l "_Toc25250"</w:instrText>
      </w:r>
      <w:r>
        <w:rPr>
          <w:color w:val="auto"/>
          <w:highlight w:val="none"/>
        </w:rPr>
        <w:fldChar w:fldCharType="separate"/>
      </w:r>
      <w:r>
        <w:rPr>
          <w:rFonts w:hint="eastAsia"/>
          <w:color w:val="auto"/>
          <w:highlight w:val="none"/>
        </w:rPr>
        <w:t>第五章  拟签订的合同文本</w:t>
      </w:r>
      <w:r>
        <w:rPr>
          <w:color w:val="auto"/>
          <w:highlight w:val="none"/>
        </w:rPr>
        <w:tab/>
      </w:r>
      <w:r>
        <w:rPr>
          <w:color w:val="auto"/>
          <w:highlight w:val="none"/>
        </w:rPr>
        <w:fldChar w:fldCharType="begin"/>
      </w:r>
      <w:r>
        <w:rPr>
          <w:color w:val="auto"/>
          <w:highlight w:val="none"/>
        </w:rPr>
        <w:instrText xml:space="preserve"> PAGEREF _Toc25250 \h </w:instrText>
      </w:r>
      <w:r>
        <w:rPr>
          <w:color w:val="auto"/>
          <w:highlight w:val="none"/>
        </w:rPr>
        <w:fldChar w:fldCharType="separate"/>
      </w:r>
      <w:r>
        <w:rPr>
          <w:color w:val="auto"/>
          <w:highlight w:val="none"/>
        </w:rPr>
        <w:t>104</w:t>
      </w:r>
      <w:r>
        <w:rPr>
          <w:color w:val="auto"/>
          <w:highlight w:val="none"/>
        </w:rPr>
        <w:fldChar w:fldCharType="end"/>
      </w:r>
      <w:r>
        <w:rPr>
          <w:color w:val="auto"/>
          <w:highlight w:val="none"/>
        </w:rPr>
        <w:fldChar w:fldCharType="end"/>
      </w:r>
    </w:p>
    <w:p w14:paraId="5177DA42">
      <w:pPr>
        <w:pStyle w:val="32"/>
        <w:tabs>
          <w:tab w:val="right" w:leader="dot" w:pos="8730"/>
          <w:tab w:val="clear" w:pos="8398"/>
        </w:tabs>
        <w:ind w:firstLine="241"/>
        <w:rPr>
          <w:color w:val="auto"/>
          <w:highlight w:val="none"/>
        </w:rPr>
      </w:pPr>
      <w:r>
        <w:rPr>
          <w:color w:val="auto"/>
          <w:highlight w:val="none"/>
        </w:rPr>
        <w:fldChar w:fldCharType="begin"/>
      </w:r>
      <w:r>
        <w:rPr>
          <w:color w:val="auto"/>
          <w:highlight w:val="none"/>
        </w:rPr>
        <w:instrText xml:space="preserve">HYPERLINK \l "_Toc25289"</w:instrText>
      </w:r>
      <w:r>
        <w:rPr>
          <w:color w:val="auto"/>
          <w:highlight w:val="none"/>
        </w:rPr>
        <w:fldChar w:fldCharType="separate"/>
      </w:r>
      <w:r>
        <w:rPr>
          <w:rFonts w:hint="eastAsia"/>
          <w:color w:val="auto"/>
          <w:highlight w:val="none"/>
        </w:rPr>
        <w:t>第六章  投标文件格式</w:t>
      </w:r>
      <w:r>
        <w:rPr>
          <w:color w:val="auto"/>
          <w:highlight w:val="none"/>
        </w:rPr>
        <w:tab/>
      </w:r>
      <w:r>
        <w:rPr>
          <w:color w:val="auto"/>
          <w:highlight w:val="none"/>
        </w:rPr>
        <w:fldChar w:fldCharType="begin"/>
      </w:r>
      <w:r>
        <w:rPr>
          <w:color w:val="auto"/>
          <w:highlight w:val="none"/>
        </w:rPr>
        <w:instrText xml:space="preserve"> PAGEREF _Toc25289 \h </w:instrText>
      </w:r>
      <w:r>
        <w:rPr>
          <w:color w:val="auto"/>
          <w:highlight w:val="none"/>
        </w:rPr>
        <w:fldChar w:fldCharType="separate"/>
      </w:r>
      <w:r>
        <w:rPr>
          <w:color w:val="auto"/>
          <w:highlight w:val="none"/>
        </w:rPr>
        <w:t>111</w:t>
      </w:r>
      <w:r>
        <w:rPr>
          <w:color w:val="auto"/>
          <w:highlight w:val="none"/>
        </w:rPr>
        <w:fldChar w:fldCharType="end"/>
      </w:r>
      <w:r>
        <w:rPr>
          <w:color w:val="auto"/>
          <w:highlight w:val="none"/>
        </w:rPr>
        <w:fldChar w:fldCharType="end"/>
      </w:r>
    </w:p>
    <w:p w14:paraId="066C13CB">
      <w:pPr>
        <w:tabs>
          <w:tab w:val="right" w:leader="dot" w:pos="8789"/>
        </w:tabs>
        <w:snapToGrid w:val="0"/>
        <w:spacing w:line="500" w:lineRule="atLeast"/>
        <w:rPr>
          <w:rFonts w:ascii="仿宋_GB2312" w:hAnsi="宋体" w:eastAsia="仿宋_GB2312"/>
          <w:color w:val="auto"/>
          <w:sz w:val="24"/>
          <w:highlight w:val="none"/>
        </w:rPr>
      </w:pPr>
      <w:r>
        <w:rPr>
          <w:rFonts w:ascii="仿宋_GB2312" w:hAnsi="宋体" w:eastAsia="仿宋_GB2312"/>
          <w:color w:val="auto"/>
          <w:highlight w:val="none"/>
        </w:rPr>
        <w:fldChar w:fldCharType="end"/>
      </w:r>
    </w:p>
    <w:p w14:paraId="36EE5FCF">
      <w:pPr>
        <w:spacing w:before="120" w:beforeLines="50" w:line="480" w:lineRule="exact"/>
        <w:rPr>
          <w:rFonts w:ascii="仿宋_GB2312" w:hAnsi="宋体" w:eastAsia="仿宋_GB2312"/>
          <w:color w:val="auto"/>
          <w:sz w:val="30"/>
          <w:highlight w:val="none"/>
        </w:rPr>
      </w:pPr>
      <w:bookmarkStart w:id="0" w:name="_MON_1836628337"/>
      <w:bookmarkEnd w:id="0"/>
    </w:p>
    <w:p w14:paraId="178F72F9">
      <w:pPr>
        <w:rPr>
          <w:color w:val="auto"/>
          <w:highlight w:val="none"/>
        </w:rPr>
      </w:pPr>
    </w:p>
    <w:p w14:paraId="4589CA96">
      <w:pPr>
        <w:spacing w:before="120" w:beforeLines="50" w:line="480" w:lineRule="exact"/>
        <w:rPr>
          <w:rFonts w:ascii="仿宋_GB2312" w:hAnsi="宋体" w:eastAsia="仿宋_GB2312"/>
          <w:color w:val="auto"/>
          <w:sz w:val="30"/>
          <w:highlight w:val="none"/>
        </w:rPr>
      </w:pPr>
    </w:p>
    <w:p w14:paraId="378C4C77">
      <w:pPr>
        <w:spacing w:before="120" w:beforeLines="50" w:line="480" w:lineRule="exact"/>
        <w:rPr>
          <w:rFonts w:ascii="仿宋_GB2312" w:hAnsi="宋体" w:eastAsia="仿宋_GB2312"/>
          <w:color w:val="auto"/>
          <w:sz w:val="30"/>
          <w:highlight w:val="none"/>
        </w:rPr>
      </w:pPr>
    </w:p>
    <w:p w14:paraId="2D16DC1B">
      <w:pPr>
        <w:pStyle w:val="15"/>
        <w:rPr>
          <w:rFonts w:ascii="宋体" w:hAnsi="宋体" w:cs="宋体"/>
          <w:b/>
          <w:bCs/>
          <w:color w:val="auto"/>
          <w:highlight w:val="none"/>
        </w:rPr>
      </w:pPr>
      <w:bookmarkStart w:id="1" w:name="_Toc254970489"/>
      <w:bookmarkStart w:id="2" w:name="_Toc254970630"/>
    </w:p>
    <w:p w14:paraId="28A8FD12">
      <w:pPr>
        <w:pStyle w:val="2"/>
        <w:keepNext w:val="0"/>
        <w:keepLines w:val="0"/>
        <w:tabs>
          <w:tab w:val="left" w:pos="0"/>
          <w:tab w:val="left" w:pos="3165"/>
          <w:tab w:val="center" w:pos="4153"/>
        </w:tabs>
        <w:autoSpaceDE w:val="0"/>
        <w:autoSpaceDN w:val="0"/>
        <w:adjustRightInd w:val="0"/>
        <w:spacing w:before="0" w:after="0" w:line="360" w:lineRule="auto"/>
        <w:jc w:val="center"/>
        <w:rPr>
          <w:color w:val="auto"/>
          <w:highlight w:val="none"/>
        </w:rPr>
      </w:pPr>
      <w:r>
        <w:rPr>
          <w:rFonts w:ascii="宋体" w:hAnsi="宋体" w:cs="宋体"/>
          <w:b w:val="0"/>
          <w:bCs w:val="0"/>
          <w:color w:val="auto"/>
          <w:highlight w:val="none"/>
        </w:rPr>
        <w:br w:type="page"/>
      </w:r>
      <w:bookmarkStart w:id="3" w:name="_Toc26956"/>
      <w:r>
        <w:rPr>
          <w:rFonts w:hint="eastAsia"/>
          <w:color w:val="auto"/>
          <w:highlight w:val="none"/>
        </w:rPr>
        <w:t>第一章</w:t>
      </w:r>
      <w:bookmarkEnd w:id="1"/>
      <w:bookmarkEnd w:id="2"/>
      <w:bookmarkStart w:id="4" w:name="_Toc35393789"/>
      <w:bookmarkStart w:id="5" w:name="_Toc28359001"/>
      <w:r>
        <w:rPr>
          <w:rFonts w:hint="eastAsia"/>
          <w:color w:val="auto"/>
          <w:highlight w:val="none"/>
        </w:rPr>
        <w:t xml:space="preserve"> 招标公告</w:t>
      </w:r>
      <w:bookmarkEnd w:id="3"/>
      <w:bookmarkEnd w:id="4"/>
      <w:bookmarkEnd w:id="5"/>
    </w:p>
    <w:p w14:paraId="5EBB8753">
      <w:pPr>
        <w:spacing w:line="360" w:lineRule="auto"/>
        <w:rPr>
          <w:rFonts w:ascii="宋体" w:hAnsi="宋体"/>
          <w:color w:val="auto"/>
          <w:szCs w:val="21"/>
          <w:highlight w:val="none"/>
        </w:rPr>
      </w:pPr>
    </w:p>
    <w:p w14:paraId="03DB1B2E">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项目概况</w:t>
      </w:r>
    </w:p>
    <w:p w14:paraId="1AC5F0E7">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olor w:val="auto"/>
          <w:szCs w:val="21"/>
          <w:highlight w:val="none"/>
        </w:rPr>
      </w:pPr>
      <w:r>
        <w:rPr>
          <w:rFonts w:hint="eastAsia" w:ascii="宋体" w:hAnsi="宋体"/>
          <w:color w:val="auto"/>
          <w:szCs w:val="21"/>
          <w:highlight w:val="none"/>
          <w:u w:val="single"/>
        </w:rPr>
        <w:t xml:space="preserve"> 广西道路运输信息服务平台运营及维护项目 </w:t>
      </w:r>
      <w:r>
        <w:rPr>
          <w:rFonts w:hint="eastAsia" w:ascii="宋体" w:hAnsi="宋体"/>
          <w:color w:val="auto"/>
          <w:szCs w:val="21"/>
          <w:highlight w:val="none"/>
        </w:rPr>
        <w:t>招标项目的潜在投标人应在广西政府采购云平台（https://www.gcy.zfcg.gxzf.gov.cn/）获取（下载）招标文件，并于</w:t>
      </w:r>
      <w:r>
        <w:rPr>
          <w:rFonts w:hint="eastAsia" w:ascii="宋体" w:hAnsi="宋体"/>
          <w:color w:val="auto"/>
          <w:szCs w:val="21"/>
          <w:highlight w:val="none"/>
          <w:u w:val="single"/>
        </w:rPr>
        <w:t>2026年</w:t>
      </w:r>
      <w:r>
        <w:rPr>
          <w:rFonts w:hint="eastAsia" w:ascii="宋体" w:hAnsi="宋体"/>
          <w:bCs/>
          <w:color w:val="auto"/>
          <w:szCs w:val="21"/>
          <w:highlight w:val="none"/>
          <w:u w:val="single"/>
          <w:lang w:val="en-US" w:eastAsia="zh-CN"/>
        </w:rPr>
        <w:t>5</w:t>
      </w:r>
      <w:r>
        <w:rPr>
          <w:rFonts w:hint="eastAsia" w:ascii="宋体" w:hAnsi="宋体"/>
          <w:bCs/>
          <w:color w:val="auto"/>
          <w:szCs w:val="21"/>
          <w:highlight w:val="none"/>
          <w:u w:val="single"/>
        </w:rPr>
        <w:t>月</w:t>
      </w:r>
      <w:r>
        <w:rPr>
          <w:rFonts w:hint="eastAsia" w:ascii="宋体" w:hAnsi="宋体"/>
          <w:bCs/>
          <w:color w:val="auto"/>
          <w:szCs w:val="21"/>
          <w:highlight w:val="none"/>
          <w:u w:val="single"/>
          <w:lang w:val="en-US" w:eastAsia="zh-CN"/>
        </w:rPr>
        <w:t>29</w:t>
      </w:r>
      <w:r>
        <w:rPr>
          <w:rFonts w:hint="eastAsia" w:ascii="宋体" w:hAnsi="宋体"/>
          <w:bCs/>
          <w:color w:val="auto"/>
          <w:szCs w:val="21"/>
          <w:highlight w:val="none"/>
          <w:u w:val="single"/>
        </w:rPr>
        <w:t>日09时30分（</w:t>
      </w:r>
      <w:r>
        <w:rPr>
          <w:rFonts w:hint="eastAsia" w:ascii="宋体" w:hAnsi="宋体"/>
          <w:bCs/>
          <w:color w:val="auto"/>
          <w:szCs w:val="21"/>
          <w:highlight w:val="none"/>
        </w:rPr>
        <w:t>北京时间）前按要求递交（上传）投标</w:t>
      </w:r>
      <w:r>
        <w:rPr>
          <w:rFonts w:ascii="宋体" w:hAnsi="宋体"/>
          <w:bCs/>
          <w:color w:val="auto"/>
          <w:szCs w:val="21"/>
          <w:highlight w:val="none"/>
        </w:rPr>
        <w:t>文件</w:t>
      </w:r>
      <w:r>
        <w:rPr>
          <w:rFonts w:hint="eastAsia" w:ascii="宋体" w:hAnsi="宋体"/>
          <w:color w:val="auto"/>
          <w:szCs w:val="21"/>
          <w:highlight w:val="none"/>
        </w:rPr>
        <w:t>。</w:t>
      </w:r>
    </w:p>
    <w:p w14:paraId="2944E0B1">
      <w:pPr>
        <w:spacing w:line="360" w:lineRule="auto"/>
        <w:rPr>
          <w:rFonts w:ascii="宋体" w:hAnsi="宋体"/>
          <w:color w:val="auto"/>
          <w:szCs w:val="21"/>
          <w:highlight w:val="none"/>
        </w:rPr>
      </w:pPr>
    </w:p>
    <w:p w14:paraId="42165A18">
      <w:pPr>
        <w:spacing w:line="360" w:lineRule="auto"/>
        <w:rPr>
          <w:rFonts w:ascii="黑体" w:hAnsi="黑体" w:eastAsia="黑体"/>
          <w:b/>
          <w:bCs/>
          <w:color w:val="auto"/>
          <w:sz w:val="24"/>
          <w:highlight w:val="none"/>
        </w:rPr>
      </w:pPr>
      <w:bookmarkStart w:id="6" w:name="_Toc35393790"/>
      <w:bookmarkStart w:id="7" w:name="_Toc28359002"/>
      <w:bookmarkStart w:id="8" w:name="_Toc35393621"/>
      <w:bookmarkStart w:id="9" w:name="_Toc28359079"/>
      <w:bookmarkStart w:id="10" w:name="_Hlk24379207"/>
      <w:r>
        <w:rPr>
          <w:rFonts w:hint="eastAsia" w:ascii="黑体" w:hAnsi="黑体" w:eastAsia="黑体"/>
          <w:b/>
          <w:bCs/>
          <w:color w:val="auto"/>
          <w:sz w:val="24"/>
          <w:highlight w:val="none"/>
        </w:rPr>
        <w:t>一、项目基本情况</w:t>
      </w:r>
      <w:bookmarkEnd w:id="6"/>
      <w:bookmarkEnd w:id="7"/>
      <w:bookmarkEnd w:id="8"/>
      <w:bookmarkEnd w:id="9"/>
    </w:p>
    <w:bookmarkEnd w:id="10"/>
    <w:p w14:paraId="7FCF4B3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项目编号：GXZC2026-G3-000968-GXJT</w:t>
      </w:r>
    </w:p>
    <w:p w14:paraId="6BC14B9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项目名称：广西道路运输信息服务平台运营及维护项目</w:t>
      </w:r>
    </w:p>
    <w:p w14:paraId="2F03A261">
      <w:pPr>
        <w:spacing w:line="360" w:lineRule="auto"/>
        <w:ind w:firstLine="420" w:firstLineChars="200"/>
        <w:rPr>
          <w:rFonts w:ascii="宋体" w:hAnsi="宋体"/>
          <w:color w:val="auto"/>
          <w:szCs w:val="21"/>
          <w:highlight w:val="none"/>
          <w:u w:val="single"/>
        </w:rPr>
      </w:pPr>
      <w:r>
        <w:rPr>
          <w:rFonts w:hint="eastAsia"/>
          <w:color w:val="auto"/>
          <w:highlight w:val="none"/>
        </w:rPr>
        <w:t>预算总金额（万元）</w:t>
      </w:r>
      <w:r>
        <w:rPr>
          <w:rFonts w:hint="eastAsia" w:ascii="宋体" w:hAnsi="宋体"/>
          <w:color w:val="auto"/>
          <w:szCs w:val="21"/>
          <w:highlight w:val="none"/>
        </w:rPr>
        <w:t>：330.04万元，其中1分标：49.77万元；2分标：38.09万元；3分标：58.68万元；4分标：24.81万元；5分标：10万元；6分标：8.39万元；7分标：79.30万元；8分标：61万元。</w:t>
      </w:r>
    </w:p>
    <w:p w14:paraId="523CF710">
      <w:pPr>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rPr>
        <w:t>最高限价（</w:t>
      </w:r>
      <w:r>
        <w:rPr>
          <w:rFonts w:hint="eastAsia"/>
          <w:color w:val="auto"/>
          <w:highlight w:val="none"/>
        </w:rPr>
        <w:t>万元</w:t>
      </w:r>
      <w:r>
        <w:rPr>
          <w:rFonts w:hint="eastAsia" w:ascii="宋体" w:hAnsi="宋体"/>
          <w:color w:val="auto"/>
          <w:szCs w:val="21"/>
          <w:highlight w:val="none"/>
        </w:rPr>
        <w:t>）：同预算金额</w:t>
      </w:r>
    </w:p>
    <w:p w14:paraId="673F70A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采购需求：</w:t>
      </w:r>
      <w:r>
        <w:rPr>
          <w:rFonts w:ascii="宋体" w:hAnsi="宋体"/>
          <w:color w:val="auto"/>
          <w:szCs w:val="21"/>
          <w:highlight w:val="none"/>
        </w:rPr>
        <w:t xml:space="preserve"> </w:t>
      </w:r>
    </w:p>
    <w:tbl>
      <w:tblPr>
        <w:tblStyle w:val="47"/>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14"/>
        <w:gridCol w:w="2400"/>
        <w:gridCol w:w="900"/>
        <w:gridCol w:w="4941"/>
      </w:tblGrid>
      <w:tr w14:paraId="341530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14" w:type="dxa"/>
            <w:tcBorders>
              <w:top w:val="single" w:color="auto" w:sz="4" w:space="0"/>
              <w:left w:val="single" w:color="auto" w:sz="4" w:space="0"/>
              <w:bottom w:val="single" w:color="auto" w:sz="4" w:space="0"/>
              <w:right w:val="single" w:color="auto" w:sz="4" w:space="0"/>
            </w:tcBorders>
            <w:vAlign w:val="center"/>
          </w:tcPr>
          <w:p w14:paraId="4B2C534E">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分标</w:t>
            </w:r>
          </w:p>
        </w:tc>
        <w:tc>
          <w:tcPr>
            <w:tcW w:w="2400" w:type="dxa"/>
            <w:tcBorders>
              <w:top w:val="single" w:color="auto" w:sz="4" w:space="0"/>
              <w:left w:val="single" w:color="auto" w:sz="4" w:space="0"/>
              <w:bottom w:val="single" w:color="auto" w:sz="4" w:space="0"/>
              <w:right w:val="single" w:color="auto" w:sz="4" w:space="0"/>
            </w:tcBorders>
            <w:vAlign w:val="center"/>
          </w:tcPr>
          <w:p w14:paraId="519BAF48">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标的的名称</w:t>
            </w:r>
          </w:p>
        </w:tc>
        <w:tc>
          <w:tcPr>
            <w:tcW w:w="900" w:type="dxa"/>
            <w:tcBorders>
              <w:top w:val="single" w:color="auto" w:sz="4" w:space="0"/>
              <w:left w:val="single" w:color="auto" w:sz="4" w:space="0"/>
              <w:bottom w:val="single" w:color="auto" w:sz="4" w:space="0"/>
              <w:right w:val="single" w:color="auto" w:sz="4" w:space="0"/>
            </w:tcBorders>
            <w:vAlign w:val="center"/>
          </w:tcPr>
          <w:p w14:paraId="27BD4EA3">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数量及</w:t>
            </w:r>
          </w:p>
          <w:p w14:paraId="6DA1A7DC">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单位</w:t>
            </w:r>
          </w:p>
        </w:tc>
        <w:tc>
          <w:tcPr>
            <w:tcW w:w="4941" w:type="dxa"/>
            <w:tcBorders>
              <w:top w:val="single" w:color="auto" w:sz="4" w:space="0"/>
              <w:left w:val="single" w:color="auto" w:sz="4" w:space="0"/>
              <w:bottom w:val="single" w:color="auto" w:sz="4" w:space="0"/>
              <w:right w:val="single" w:color="auto" w:sz="4" w:space="0"/>
            </w:tcBorders>
            <w:vAlign w:val="center"/>
          </w:tcPr>
          <w:p w14:paraId="0A3B1163">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简要技术需求或者服务要求</w:t>
            </w:r>
          </w:p>
        </w:tc>
      </w:tr>
      <w:tr w14:paraId="3809CC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14" w:type="dxa"/>
            <w:tcBorders>
              <w:top w:val="single" w:color="auto" w:sz="4" w:space="0"/>
              <w:left w:val="single" w:color="auto" w:sz="4" w:space="0"/>
              <w:bottom w:val="single" w:color="auto" w:sz="4" w:space="0"/>
              <w:right w:val="single" w:color="auto" w:sz="4" w:space="0"/>
            </w:tcBorders>
            <w:vAlign w:val="center"/>
          </w:tcPr>
          <w:p w14:paraId="1BED034D">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1</w:t>
            </w:r>
          </w:p>
        </w:tc>
        <w:tc>
          <w:tcPr>
            <w:tcW w:w="2400" w:type="dxa"/>
            <w:tcBorders>
              <w:top w:val="single" w:color="auto" w:sz="4" w:space="0"/>
              <w:left w:val="single" w:color="auto" w:sz="4" w:space="0"/>
              <w:bottom w:val="single" w:color="auto" w:sz="4" w:space="0"/>
              <w:right w:val="single" w:color="auto" w:sz="4" w:space="0"/>
            </w:tcBorders>
            <w:vAlign w:val="center"/>
          </w:tcPr>
          <w:p w14:paraId="6A278EFB">
            <w:pPr>
              <w:snapToGrid w:val="0"/>
              <w:spacing w:line="360" w:lineRule="auto"/>
              <w:rPr>
                <w:rFonts w:ascii="宋体" w:hAnsi="宋体"/>
                <w:color w:val="auto"/>
                <w:szCs w:val="21"/>
                <w:highlight w:val="none"/>
              </w:rPr>
            </w:pPr>
            <w:r>
              <w:rPr>
                <w:rFonts w:hint="eastAsia" w:ascii="宋体" w:hAnsi="宋体"/>
                <w:color w:val="auto"/>
                <w:szCs w:val="21"/>
                <w:highlight w:val="none"/>
              </w:rPr>
              <w:t>广西道路运输大数据预警研判技术服务</w:t>
            </w:r>
          </w:p>
        </w:tc>
        <w:tc>
          <w:tcPr>
            <w:tcW w:w="900" w:type="dxa"/>
            <w:tcBorders>
              <w:top w:val="single" w:color="auto" w:sz="4" w:space="0"/>
              <w:left w:val="single" w:color="auto" w:sz="4" w:space="0"/>
              <w:bottom w:val="single" w:color="auto" w:sz="4" w:space="0"/>
              <w:right w:val="single" w:color="auto" w:sz="4" w:space="0"/>
            </w:tcBorders>
            <w:vAlign w:val="center"/>
          </w:tcPr>
          <w:p w14:paraId="2E2F8980">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1项</w:t>
            </w:r>
          </w:p>
        </w:tc>
        <w:tc>
          <w:tcPr>
            <w:tcW w:w="4941" w:type="dxa"/>
            <w:tcBorders>
              <w:top w:val="single" w:color="auto" w:sz="4" w:space="0"/>
              <w:left w:val="single" w:color="auto" w:sz="4" w:space="0"/>
              <w:bottom w:val="single" w:color="auto" w:sz="4" w:space="0"/>
              <w:right w:val="single" w:color="auto" w:sz="4" w:space="0"/>
            </w:tcBorders>
            <w:vAlign w:val="center"/>
          </w:tcPr>
          <w:p w14:paraId="6350AB71">
            <w:pPr>
              <w:snapToGrid w:val="0"/>
              <w:spacing w:line="360" w:lineRule="auto"/>
              <w:rPr>
                <w:rFonts w:ascii="宋体" w:hAnsi="宋体"/>
                <w:color w:val="auto"/>
                <w:szCs w:val="21"/>
                <w:highlight w:val="none"/>
              </w:rPr>
            </w:pPr>
            <w:r>
              <w:rPr>
                <w:rFonts w:hint="eastAsia" w:ascii="宋体" w:hAnsi="宋体" w:cs="宋体"/>
                <w:color w:val="auto"/>
                <w:kern w:val="0"/>
                <w:szCs w:val="21"/>
                <w:highlight w:val="none"/>
                <w:lang w:bidi="ar"/>
              </w:rPr>
              <w:t>包括</w:t>
            </w:r>
            <w:r>
              <w:rPr>
                <w:rFonts w:ascii="宋体" w:hAnsi="宋体" w:cs="宋体"/>
                <w:color w:val="auto"/>
                <w:kern w:val="0"/>
                <w:szCs w:val="21"/>
                <w:highlight w:val="none"/>
                <w:lang w:bidi="ar"/>
              </w:rPr>
              <w:t>广西道路运输预警研判大数据平台运行维护服务</w:t>
            </w:r>
            <w:r>
              <w:rPr>
                <w:rFonts w:hint="eastAsia" w:ascii="宋体" w:hAnsi="宋体"/>
                <w:color w:val="auto"/>
                <w:szCs w:val="21"/>
                <w:highlight w:val="none"/>
              </w:rPr>
              <w:t>、</w:t>
            </w:r>
            <w:r>
              <w:rPr>
                <w:rFonts w:hint="eastAsia" w:ascii="宋体" w:hAnsi="宋体" w:cs="宋体"/>
                <w:color w:val="auto"/>
                <w:kern w:val="0"/>
                <w:szCs w:val="21"/>
                <w:highlight w:val="none"/>
                <w:lang w:bidi="ar"/>
              </w:rPr>
              <w:t>大数据处理和分析、客服人员服务</w:t>
            </w:r>
            <w:r>
              <w:rPr>
                <w:rFonts w:hint="eastAsia" w:ascii="宋体" w:hAnsi="宋体"/>
                <w:color w:val="auto"/>
                <w:szCs w:val="21"/>
                <w:highlight w:val="none"/>
              </w:rPr>
              <w:t>。</w:t>
            </w:r>
          </w:p>
        </w:tc>
      </w:tr>
      <w:tr w14:paraId="3A6844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14" w:type="dxa"/>
            <w:tcBorders>
              <w:top w:val="single" w:color="auto" w:sz="4" w:space="0"/>
              <w:left w:val="single" w:color="auto" w:sz="4" w:space="0"/>
              <w:bottom w:val="single" w:color="auto" w:sz="4" w:space="0"/>
              <w:right w:val="single" w:color="auto" w:sz="4" w:space="0"/>
            </w:tcBorders>
            <w:vAlign w:val="center"/>
          </w:tcPr>
          <w:p w14:paraId="5DCA42E1">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2</w:t>
            </w:r>
          </w:p>
        </w:tc>
        <w:tc>
          <w:tcPr>
            <w:tcW w:w="2400" w:type="dxa"/>
            <w:tcBorders>
              <w:top w:val="single" w:color="auto" w:sz="4" w:space="0"/>
              <w:left w:val="single" w:color="auto" w:sz="4" w:space="0"/>
              <w:bottom w:val="single" w:color="auto" w:sz="4" w:space="0"/>
              <w:right w:val="single" w:color="auto" w:sz="4" w:space="0"/>
            </w:tcBorders>
            <w:vAlign w:val="center"/>
          </w:tcPr>
          <w:p w14:paraId="7ABE90C1">
            <w:pPr>
              <w:snapToGrid w:val="0"/>
              <w:spacing w:line="360" w:lineRule="auto"/>
              <w:rPr>
                <w:rFonts w:ascii="宋体" w:hAnsi="宋体"/>
                <w:color w:val="auto"/>
                <w:szCs w:val="21"/>
                <w:highlight w:val="none"/>
              </w:rPr>
            </w:pPr>
            <w:r>
              <w:rPr>
                <w:rFonts w:hint="eastAsia" w:ascii="宋体" w:hAnsi="宋体"/>
                <w:color w:val="auto"/>
                <w:szCs w:val="21"/>
                <w:highlight w:val="none"/>
              </w:rPr>
              <w:t>广西道路运输驾驶员继续教育与从业资格考试技术服务</w:t>
            </w:r>
          </w:p>
        </w:tc>
        <w:tc>
          <w:tcPr>
            <w:tcW w:w="900" w:type="dxa"/>
            <w:tcBorders>
              <w:top w:val="single" w:color="auto" w:sz="4" w:space="0"/>
              <w:left w:val="single" w:color="auto" w:sz="4" w:space="0"/>
              <w:bottom w:val="single" w:color="auto" w:sz="4" w:space="0"/>
              <w:right w:val="single" w:color="auto" w:sz="4" w:space="0"/>
            </w:tcBorders>
            <w:vAlign w:val="center"/>
          </w:tcPr>
          <w:p w14:paraId="27921614">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1项</w:t>
            </w:r>
          </w:p>
        </w:tc>
        <w:tc>
          <w:tcPr>
            <w:tcW w:w="4941" w:type="dxa"/>
            <w:tcBorders>
              <w:top w:val="single" w:color="auto" w:sz="4" w:space="0"/>
              <w:left w:val="single" w:color="auto" w:sz="4" w:space="0"/>
              <w:bottom w:val="single" w:color="auto" w:sz="4" w:space="0"/>
              <w:right w:val="single" w:color="auto" w:sz="4" w:space="0"/>
            </w:tcBorders>
            <w:vAlign w:val="center"/>
          </w:tcPr>
          <w:p w14:paraId="5C9A482A">
            <w:pPr>
              <w:snapToGrid w:val="0"/>
              <w:spacing w:line="360" w:lineRule="auto"/>
              <w:rPr>
                <w:rFonts w:ascii="宋体" w:hAnsi="宋体"/>
                <w:color w:val="auto"/>
                <w:szCs w:val="21"/>
                <w:highlight w:val="none"/>
              </w:rPr>
            </w:pPr>
            <w:r>
              <w:rPr>
                <w:rFonts w:hint="eastAsia" w:ascii="宋体" w:hAnsi="宋体" w:cs="宋体"/>
                <w:color w:val="auto"/>
                <w:kern w:val="0"/>
                <w:szCs w:val="21"/>
                <w:highlight w:val="none"/>
                <w:lang w:bidi="ar"/>
              </w:rPr>
              <w:t>包括</w:t>
            </w:r>
            <w:r>
              <w:rPr>
                <w:rFonts w:hint="eastAsia" w:ascii="宋体" w:hAnsi="宋体"/>
                <w:color w:val="auto"/>
                <w:szCs w:val="21"/>
                <w:highlight w:val="none"/>
              </w:rPr>
              <w:t>广西道路运输驾驶员继续教育系统运维服务、广西道路运输从业资格考试系统运维服务、</w:t>
            </w:r>
            <w:r>
              <w:rPr>
                <w:rFonts w:hint="eastAsia" w:ascii="宋体" w:hAnsi="宋体" w:cs="宋体"/>
                <w:color w:val="auto"/>
                <w:kern w:val="0"/>
                <w:szCs w:val="21"/>
                <w:highlight w:val="none"/>
                <w:lang w:bidi="ar"/>
              </w:rPr>
              <w:t>继续教育和考试系统功能升级优化、运营服务</w:t>
            </w:r>
            <w:r>
              <w:rPr>
                <w:rFonts w:hint="eastAsia" w:ascii="宋体" w:hAnsi="宋体"/>
                <w:color w:val="auto"/>
                <w:szCs w:val="21"/>
                <w:highlight w:val="none"/>
              </w:rPr>
              <w:t>。</w:t>
            </w:r>
          </w:p>
        </w:tc>
      </w:tr>
      <w:tr w14:paraId="38A608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14" w:type="dxa"/>
            <w:tcBorders>
              <w:top w:val="single" w:color="auto" w:sz="4" w:space="0"/>
              <w:left w:val="single" w:color="auto" w:sz="4" w:space="0"/>
              <w:bottom w:val="single" w:color="auto" w:sz="4" w:space="0"/>
              <w:right w:val="single" w:color="auto" w:sz="4" w:space="0"/>
            </w:tcBorders>
            <w:vAlign w:val="center"/>
          </w:tcPr>
          <w:p w14:paraId="43127EB2">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3</w:t>
            </w:r>
          </w:p>
        </w:tc>
        <w:tc>
          <w:tcPr>
            <w:tcW w:w="2400" w:type="dxa"/>
            <w:tcBorders>
              <w:top w:val="single" w:color="auto" w:sz="4" w:space="0"/>
              <w:left w:val="single" w:color="auto" w:sz="4" w:space="0"/>
              <w:bottom w:val="single" w:color="auto" w:sz="4" w:space="0"/>
              <w:right w:val="single" w:color="auto" w:sz="4" w:space="0"/>
            </w:tcBorders>
            <w:vAlign w:val="center"/>
          </w:tcPr>
          <w:p w14:paraId="742297D3">
            <w:pPr>
              <w:snapToGrid w:val="0"/>
              <w:spacing w:line="360" w:lineRule="auto"/>
              <w:rPr>
                <w:rFonts w:ascii="宋体" w:hAnsi="宋体"/>
                <w:color w:val="auto"/>
                <w:szCs w:val="21"/>
                <w:highlight w:val="none"/>
              </w:rPr>
            </w:pPr>
            <w:r>
              <w:rPr>
                <w:rFonts w:hint="eastAsia" w:ascii="宋体" w:hAnsi="宋体"/>
                <w:color w:val="auto"/>
                <w:szCs w:val="21"/>
                <w:highlight w:val="none"/>
              </w:rPr>
              <w:t>广西机动车驾驶培训公共服务</w:t>
            </w:r>
          </w:p>
        </w:tc>
        <w:tc>
          <w:tcPr>
            <w:tcW w:w="900" w:type="dxa"/>
            <w:tcBorders>
              <w:top w:val="single" w:color="auto" w:sz="4" w:space="0"/>
              <w:left w:val="single" w:color="auto" w:sz="4" w:space="0"/>
              <w:bottom w:val="single" w:color="auto" w:sz="4" w:space="0"/>
              <w:right w:val="single" w:color="auto" w:sz="4" w:space="0"/>
            </w:tcBorders>
            <w:vAlign w:val="center"/>
          </w:tcPr>
          <w:p w14:paraId="13A98C98">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1项</w:t>
            </w:r>
          </w:p>
        </w:tc>
        <w:tc>
          <w:tcPr>
            <w:tcW w:w="4941" w:type="dxa"/>
            <w:tcBorders>
              <w:top w:val="single" w:color="auto" w:sz="4" w:space="0"/>
              <w:left w:val="single" w:color="auto" w:sz="4" w:space="0"/>
              <w:bottom w:val="single" w:color="auto" w:sz="4" w:space="0"/>
              <w:right w:val="single" w:color="auto" w:sz="4" w:space="0"/>
            </w:tcBorders>
            <w:vAlign w:val="center"/>
          </w:tcPr>
          <w:p w14:paraId="0DDC1411">
            <w:pPr>
              <w:snapToGrid w:val="0"/>
              <w:spacing w:line="360" w:lineRule="auto"/>
              <w:rPr>
                <w:rFonts w:ascii="宋体" w:hAnsi="宋体"/>
                <w:color w:val="auto"/>
                <w:szCs w:val="21"/>
                <w:highlight w:val="none"/>
              </w:rPr>
            </w:pPr>
            <w:r>
              <w:rPr>
                <w:rFonts w:hint="eastAsia" w:ascii="宋体" w:hAnsi="宋体"/>
                <w:color w:val="auto"/>
                <w:szCs w:val="21"/>
                <w:highlight w:val="none"/>
              </w:rPr>
              <w:t>提供广西机动车驾驶培训公共服务。</w:t>
            </w:r>
          </w:p>
        </w:tc>
      </w:tr>
      <w:tr w14:paraId="685AB0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14" w:type="dxa"/>
            <w:tcBorders>
              <w:top w:val="single" w:color="auto" w:sz="4" w:space="0"/>
              <w:left w:val="single" w:color="auto" w:sz="4" w:space="0"/>
              <w:bottom w:val="single" w:color="auto" w:sz="4" w:space="0"/>
              <w:right w:val="single" w:color="auto" w:sz="4" w:space="0"/>
            </w:tcBorders>
            <w:vAlign w:val="center"/>
          </w:tcPr>
          <w:p w14:paraId="6AAC5CA5">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4</w:t>
            </w:r>
          </w:p>
        </w:tc>
        <w:tc>
          <w:tcPr>
            <w:tcW w:w="2400" w:type="dxa"/>
            <w:tcBorders>
              <w:top w:val="single" w:color="auto" w:sz="4" w:space="0"/>
              <w:left w:val="single" w:color="auto" w:sz="4" w:space="0"/>
              <w:bottom w:val="single" w:color="auto" w:sz="4" w:space="0"/>
              <w:right w:val="single" w:color="auto" w:sz="4" w:space="0"/>
            </w:tcBorders>
            <w:vAlign w:val="center"/>
          </w:tcPr>
          <w:p w14:paraId="15244387">
            <w:pPr>
              <w:snapToGrid w:val="0"/>
              <w:spacing w:line="360" w:lineRule="auto"/>
              <w:rPr>
                <w:rFonts w:ascii="宋体" w:hAnsi="宋体"/>
                <w:color w:val="auto"/>
                <w:szCs w:val="21"/>
                <w:highlight w:val="none"/>
              </w:rPr>
            </w:pPr>
            <w:r>
              <w:rPr>
                <w:rFonts w:hint="eastAsia" w:ascii="宋体" w:hAnsi="宋体"/>
                <w:color w:val="auto"/>
                <w:szCs w:val="21"/>
                <w:highlight w:val="none"/>
              </w:rPr>
              <w:t>广西道路运输车辆智能防控系统技术服务</w:t>
            </w:r>
          </w:p>
        </w:tc>
        <w:tc>
          <w:tcPr>
            <w:tcW w:w="900" w:type="dxa"/>
            <w:tcBorders>
              <w:top w:val="single" w:color="auto" w:sz="4" w:space="0"/>
              <w:left w:val="single" w:color="auto" w:sz="4" w:space="0"/>
              <w:bottom w:val="single" w:color="auto" w:sz="4" w:space="0"/>
              <w:right w:val="single" w:color="auto" w:sz="4" w:space="0"/>
            </w:tcBorders>
            <w:vAlign w:val="center"/>
          </w:tcPr>
          <w:p w14:paraId="4C43C9F5">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1项</w:t>
            </w:r>
          </w:p>
        </w:tc>
        <w:tc>
          <w:tcPr>
            <w:tcW w:w="4941" w:type="dxa"/>
            <w:tcBorders>
              <w:top w:val="single" w:color="auto" w:sz="4" w:space="0"/>
              <w:left w:val="single" w:color="auto" w:sz="4" w:space="0"/>
              <w:bottom w:val="single" w:color="auto" w:sz="4" w:space="0"/>
              <w:right w:val="single" w:color="auto" w:sz="4" w:space="0"/>
            </w:tcBorders>
            <w:vAlign w:val="center"/>
          </w:tcPr>
          <w:p w14:paraId="6D852655">
            <w:pPr>
              <w:snapToGrid w:val="0"/>
              <w:spacing w:line="360" w:lineRule="auto"/>
              <w:rPr>
                <w:rFonts w:ascii="宋体" w:hAnsi="宋体"/>
                <w:color w:val="auto"/>
                <w:szCs w:val="21"/>
                <w:highlight w:val="none"/>
              </w:rPr>
            </w:pPr>
            <w:r>
              <w:rPr>
                <w:rFonts w:hint="eastAsia" w:ascii="宋体" w:hAnsi="宋体"/>
                <w:color w:val="auto"/>
                <w:szCs w:val="21"/>
                <w:highlight w:val="none"/>
              </w:rPr>
              <w:t>广西道路运输车辆智能防控系统</w:t>
            </w:r>
            <w:r>
              <w:rPr>
                <w:color w:val="auto"/>
                <w:szCs w:val="21"/>
                <w:highlight w:val="none"/>
              </w:rPr>
              <w:t>运营</w:t>
            </w:r>
            <w:r>
              <w:rPr>
                <w:rFonts w:hint="eastAsia"/>
                <w:color w:val="auto"/>
                <w:szCs w:val="21"/>
                <w:highlight w:val="none"/>
              </w:rPr>
              <w:t>、系统运维服务</w:t>
            </w:r>
            <w:r>
              <w:rPr>
                <w:rFonts w:hint="eastAsia" w:ascii="宋体" w:hAnsi="宋体"/>
                <w:color w:val="auto"/>
                <w:szCs w:val="21"/>
                <w:highlight w:val="none"/>
              </w:rPr>
              <w:t>。</w:t>
            </w:r>
          </w:p>
        </w:tc>
      </w:tr>
      <w:tr w14:paraId="7A9173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14" w:type="dxa"/>
            <w:tcBorders>
              <w:top w:val="single" w:color="auto" w:sz="4" w:space="0"/>
              <w:left w:val="single" w:color="auto" w:sz="4" w:space="0"/>
              <w:bottom w:val="single" w:color="auto" w:sz="4" w:space="0"/>
              <w:right w:val="single" w:color="auto" w:sz="4" w:space="0"/>
            </w:tcBorders>
            <w:vAlign w:val="center"/>
          </w:tcPr>
          <w:p w14:paraId="1BFD5218">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5</w:t>
            </w:r>
          </w:p>
        </w:tc>
        <w:tc>
          <w:tcPr>
            <w:tcW w:w="2400" w:type="dxa"/>
            <w:tcBorders>
              <w:top w:val="single" w:color="auto" w:sz="4" w:space="0"/>
              <w:left w:val="single" w:color="auto" w:sz="4" w:space="0"/>
              <w:bottom w:val="single" w:color="auto" w:sz="4" w:space="0"/>
              <w:right w:val="single" w:color="auto" w:sz="4" w:space="0"/>
            </w:tcBorders>
            <w:vAlign w:val="center"/>
          </w:tcPr>
          <w:p w14:paraId="7BC3E5ED">
            <w:pPr>
              <w:snapToGrid w:val="0"/>
              <w:spacing w:line="360" w:lineRule="auto"/>
              <w:rPr>
                <w:rFonts w:ascii="宋体" w:hAnsi="宋体"/>
                <w:color w:val="auto"/>
                <w:szCs w:val="21"/>
                <w:highlight w:val="none"/>
              </w:rPr>
            </w:pPr>
            <w:r>
              <w:rPr>
                <w:rFonts w:hint="eastAsia" w:ascii="宋体" w:hAnsi="宋体"/>
                <w:color w:val="auto"/>
                <w:szCs w:val="21"/>
                <w:highlight w:val="none"/>
              </w:rPr>
              <w:t>内部控制信息系统运行维护经费项目</w:t>
            </w:r>
          </w:p>
        </w:tc>
        <w:tc>
          <w:tcPr>
            <w:tcW w:w="900" w:type="dxa"/>
            <w:tcBorders>
              <w:top w:val="single" w:color="auto" w:sz="4" w:space="0"/>
              <w:left w:val="single" w:color="auto" w:sz="4" w:space="0"/>
              <w:bottom w:val="single" w:color="auto" w:sz="4" w:space="0"/>
              <w:right w:val="single" w:color="auto" w:sz="4" w:space="0"/>
            </w:tcBorders>
            <w:vAlign w:val="center"/>
          </w:tcPr>
          <w:p w14:paraId="519DABED">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1项</w:t>
            </w:r>
          </w:p>
        </w:tc>
        <w:tc>
          <w:tcPr>
            <w:tcW w:w="4941" w:type="dxa"/>
            <w:tcBorders>
              <w:top w:val="single" w:color="auto" w:sz="4" w:space="0"/>
              <w:left w:val="single" w:color="auto" w:sz="4" w:space="0"/>
              <w:bottom w:val="single" w:color="auto" w:sz="4" w:space="0"/>
              <w:right w:val="single" w:color="auto" w:sz="4" w:space="0"/>
            </w:tcBorders>
            <w:vAlign w:val="center"/>
          </w:tcPr>
          <w:p w14:paraId="62977DFC">
            <w:pPr>
              <w:snapToGrid w:val="0"/>
              <w:spacing w:line="360" w:lineRule="auto"/>
              <w:rPr>
                <w:rFonts w:ascii="宋体" w:hAnsi="宋体"/>
                <w:color w:val="auto"/>
                <w:szCs w:val="21"/>
                <w:highlight w:val="none"/>
              </w:rPr>
            </w:pPr>
            <w:r>
              <w:rPr>
                <w:rFonts w:hint="eastAsia" w:ascii="宋体" w:hAnsi="宋体"/>
                <w:color w:val="auto"/>
                <w:szCs w:val="21"/>
                <w:highlight w:val="none"/>
              </w:rPr>
              <w:t>提供现场支持服务；日常电话支持服务；紧急电话支持及必要现场服务；互联网在线服务；远程在线诊断和故障排除服务；系统升级；系统性能优化。</w:t>
            </w:r>
          </w:p>
        </w:tc>
      </w:tr>
      <w:tr w14:paraId="569305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14" w:type="dxa"/>
            <w:tcBorders>
              <w:top w:val="single" w:color="auto" w:sz="4" w:space="0"/>
              <w:left w:val="single" w:color="auto" w:sz="4" w:space="0"/>
              <w:bottom w:val="single" w:color="auto" w:sz="4" w:space="0"/>
              <w:right w:val="single" w:color="auto" w:sz="4" w:space="0"/>
            </w:tcBorders>
            <w:vAlign w:val="center"/>
          </w:tcPr>
          <w:p w14:paraId="34DC02C8">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6</w:t>
            </w:r>
          </w:p>
        </w:tc>
        <w:tc>
          <w:tcPr>
            <w:tcW w:w="2400" w:type="dxa"/>
            <w:tcBorders>
              <w:top w:val="single" w:color="auto" w:sz="4" w:space="0"/>
              <w:left w:val="single" w:color="auto" w:sz="4" w:space="0"/>
              <w:bottom w:val="single" w:color="auto" w:sz="4" w:space="0"/>
              <w:right w:val="single" w:color="auto" w:sz="4" w:space="0"/>
            </w:tcBorders>
            <w:vAlign w:val="center"/>
          </w:tcPr>
          <w:p w14:paraId="6DE2C15F">
            <w:pPr>
              <w:snapToGrid w:val="0"/>
              <w:spacing w:line="360" w:lineRule="auto"/>
              <w:rPr>
                <w:rFonts w:ascii="宋体" w:hAnsi="宋体"/>
                <w:color w:val="auto"/>
                <w:szCs w:val="21"/>
                <w:highlight w:val="none"/>
              </w:rPr>
            </w:pPr>
            <w:r>
              <w:rPr>
                <w:rFonts w:hint="eastAsia" w:ascii="宋体" w:hAnsi="宋体"/>
                <w:color w:val="auto"/>
                <w:szCs w:val="21"/>
                <w:highlight w:val="none"/>
              </w:rPr>
              <w:t>广西道路运输行业党建服务系统“桂运先锋”平台</w:t>
            </w:r>
          </w:p>
        </w:tc>
        <w:tc>
          <w:tcPr>
            <w:tcW w:w="900" w:type="dxa"/>
            <w:tcBorders>
              <w:top w:val="single" w:color="auto" w:sz="4" w:space="0"/>
              <w:left w:val="single" w:color="auto" w:sz="4" w:space="0"/>
              <w:bottom w:val="single" w:color="auto" w:sz="4" w:space="0"/>
              <w:right w:val="single" w:color="auto" w:sz="4" w:space="0"/>
            </w:tcBorders>
            <w:vAlign w:val="center"/>
          </w:tcPr>
          <w:p w14:paraId="7CB58096">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1项</w:t>
            </w:r>
          </w:p>
        </w:tc>
        <w:tc>
          <w:tcPr>
            <w:tcW w:w="4941" w:type="dxa"/>
            <w:tcBorders>
              <w:top w:val="single" w:color="auto" w:sz="4" w:space="0"/>
              <w:left w:val="single" w:color="auto" w:sz="4" w:space="0"/>
              <w:bottom w:val="single" w:color="auto" w:sz="4" w:space="0"/>
              <w:right w:val="single" w:color="auto" w:sz="4" w:space="0"/>
            </w:tcBorders>
            <w:vAlign w:val="center"/>
          </w:tcPr>
          <w:p w14:paraId="750FE84D">
            <w:pPr>
              <w:snapToGrid w:val="0"/>
              <w:spacing w:line="360" w:lineRule="auto"/>
              <w:rPr>
                <w:rFonts w:ascii="宋体" w:hAnsi="宋体"/>
                <w:color w:val="auto"/>
                <w:szCs w:val="21"/>
                <w:highlight w:val="none"/>
              </w:rPr>
            </w:pPr>
            <w:r>
              <w:rPr>
                <w:rFonts w:hint="eastAsia" w:ascii="宋体" w:hAnsi="宋体" w:cs="宋体"/>
                <w:color w:val="auto"/>
                <w:kern w:val="0"/>
                <w:szCs w:val="21"/>
                <w:highlight w:val="none"/>
                <w:lang w:bidi="ar"/>
              </w:rPr>
              <w:t>日常运行维护内容主要涉及系统技术支持服务、系统安全保障服务、用户咨询支撑服务、培训及知识管理、运维报告与绩效评估等方面。</w:t>
            </w:r>
          </w:p>
        </w:tc>
      </w:tr>
      <w:tr w14:paraId="7C0991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14" w:type="dxa"/>
            <w:tcBorders>
              <w:top w:val="single" w:color="auto" w:sz="4" w:space="0"/>
              <w:left w:val="single" w:color="auto" w:sz="4" w:space="0"/>
              <w:bottom w:val="single" w:color="auto" w:sz="4" w:space="0"/>
              <w:right w:val="single" w:color="auto" w:sz="4" w:space="0"/>
            </w:tcBorders>
            <w:vAlign w:val="center"/>
          </w:tcPr>
          <w:p w14:paraId="06E9D974">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7</w:t>
            </w:r>
          </w:p>
        </w:tc>
        <w:tc>
          <w:tcPr>
            <w:tcW w:w="2400" w:type="dxa"/>
            <w:tcBorders>
              <w:top w:val="single" w:color="auto" w:sz="4" w:space="0"/>
              <w:left w:val="single" w:color="auto" w:sz="4" w:space="0"/>
              <w:bottom w:val="single" w:color="auto" w:sz="4" w:space="0"/>
              <w:right w:val="single" w:color="auto" w:sz="4" w:space="0"/>
            </w:tcBorders>
            <w:vAlign w:val="center"/>
          </w:tcPr>
          <w:p w14:paraId="06942881">
            <w:pPr>
              <w:snapToGrid w:val="0"/>
              <w:spacing w:line="360" w:lineRule="auto"/>
              <w:rPr>
                <w:rFonts w:ascii="宋体" w:hAnsi="宋体"/>
                <w:color w:val="auto"/>
                <w:szCs w:val="21"/>
                <w:highlight w:val="none"/>
              </w:rPr>
            </w:pPr>
            <w:r>
              <w:rPr>
                <w:rFonts w:hint="eastAsia" w:ascii="宋体" w:hAnsi="宋体"/>
                <w:color w:val="auto"/>
                <w:szCs w:val="21"/>
                <w:highlight w:val="none"/>
              </w:rPr>
              <w:t>广西道路运输发展中心业务系统第三方技术服务</w:t>
            </w:r>
          </w:p>
        </w:tc>
        <w:tc>
          <w:tcPr>
            <w:tcW w:w="900" w:type="dxa"/>
            <w:tcBorders>
              <w:top w:val="single" w:color="auto" w:sz="4" w:space="0"/>
              <w:left w:val="single" w:color="auto" w:sz="4" w:space="0"/>
              <w:bottom w:val="single" w:color="auto" w:sz="4" w:space="0"/>
              <w:right w:val="single" w:color="auto" w:sz="4" w:space="0"/>
            </w:tcBorders>
            <w:vAlign w:val="center"/>
          </w:tcPr>
          <w:p w14:paraId="6DF088CF">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1项</w:t>
            </w:r>
          </w:p>
        </w:tc>
        <w:tc>
          <w:tcPr>
            <w:tcW w:w="4941" w:type="dxa"/>
            <w:tcBorders>
              <w:top w:val="single" w:color="auto" w:sz="4" w:space="0"/>
              <w:left w:val="single" w:color="auto" w:sz="4" w:space="0"/>
              <w:bottom w:val="single" w:color="auto" w:sz="4" w:space="0"/>
              <w:right w:val="single" w:color="auto" w:sz="4" w:space="0"/>
            </w:tcBorders>
            <w:vAlign w:val="center"/>
          </w:tcPr>
          <w:p w14:paraId="1990187C">
            <w:pPr>
              <w:pStyle w:val="29"/>
              <w:spacing w:line="360" w:lineRule="auto"/>
              <w:rPr>
                <w:rFonts w:ascii="宋体" w:hAnsi="宋体"/>
                <w:color w:val="auto"/>
                <w:sz w:val="21"/>
                <w:szCs w:val="21"/>
                <w:highlight w:val="none"/>
              </w:rPr>
            </w:pPr>
            <w:r>
              <w:rPr>
                <w:rFonts w:hint="eastAsia"/>
                <w:color w:val="auto"/>
                <w:sz w:val="21"/>
                <w:szCs w:val="21"/>
                <w:highlight w:val="none"/>
                <w:lang w:bidi="ar"/>
              </w:rPr>
              <w:t>完成广西道路运输管理信息系统、广西道路运输动态监控行业服务系统、广西网络货运信息监测系统、内部控制信息系统等4个核心业务系统向自治区级XC云平台的整体迁移。</w:t>
            </w:r>
          </w:p>
        </w:tc>
      </w:tr>
      <w:tr w14:paraId="0F7099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14" w:type="dxa"/>
            <w:tcBorders>
              <w:top w:val="single" w:color="auto" w:sz="4" w:space="0"/>
              <w:left w:val="single" w:color="auto" w:sz="4" w:space="0"/>
              <w:bottom w:val="single" w:color="auto" w:sz="4" w:space="0"/>
              <w:right w:val="single" w:color="auto" w:sz="4" w:space="0"/>
            </w:tcBorders>
            <w:vAlign w:val="center"/>
          </w:tcPr>
          <w:p w14:paraId="16D7F08F">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8</w:t>
            </w:r>
          </w:p>
        </w:tc>
        <w:tc>
          <w:tcPr>
            <w:tcW w:w="2400" w:type="dxa"/>
            <w:tcBorders>
              <w:top w:val="single" w:color="auto" w:sz="4" w:space="0"/>
              <w:left w:val="single" w:color="auto" w:sz="4" w:space="0"/>
              <w:bottom w:val="single" w:color="auto" w:sz="4" w:space="0"/>
              <w:right w:val="single" w:color="auto" w:sz="4" w:space="0"/>
            </w:tcBorders>
            <w:vAlign w:val="center"/>
          </w:tcPr>
          <w:p w14:paraId="0A394A89">
            <w:pPr>
              <w:snapToGrid w:val="0"/>
              <w:spacing w:line="360" w:lineRule="auto"/>
              <w:rPr>
                <w:rFonts w:ascii="宋体" w:hAnsi="宋体"/>
                <w:color w:val="auto"/>
                <w:szCs w:val="21"/>
                <w:highlight w:val="none"/>
              </w:rPr>
            </w:pPr>
            <w:r>
              <w:rPr>
                <w:rFonts w:hint="eastAsia" w:hAnsi="宋体"/>
                <w:bCs/>
                <w:color w:val="auto"/>
                <w:szCs w:val="20"/>
                <w:highlight w:val="none"/>
              </w:rPr>
              <w:t>广西道路运输发展中心业务系统等保测评及密评服务</w:t>
            </w:r>
          </w:p>
        </w:tc>
        <w:tc>
          <w:tcPr>
            <w:tcW w:w="900" w:type="dxa"/>
            <w:tcBorders>
              <w:top w:val="single" w:color="auto" w:sz="4" w:space="0"/>
              <w:left w:val="single" w:color="auto" w:sz="4" w:space="0"/>
              <w:bottom w:val="single" w:color="auto" w:sz="4" w:space="0"/>
              <w:right w:val="single" w:color="auto" w:sz="4" w:space="0"/>
            </w:tcBorders>
            <w:vAlign w:val="center"/>
          </w:tcPr>
          <w:p w14:paraId="6DB05608">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1项</w:t>
            </w:r>
          </w:p>
        </w:tc>
        <w:tc>
          <w:tcPr>
            <w:tcW w:w="4941" w:type="dxa"/>
            <w:tcBorders>
              <w:top w:val="single" w:color="auto" w:sz="4" w:space="0"/>
              <w:left w:val="single" w:color="auto" w:sz="4" w:space="0"/>
              <w:bottom w:val="single" w:color="auto" w:sz="4" w:space="0"/>
              <w:right w:val="single" w:color="auto" w:sz="4" w:space="0"/>
            </w:tcBorders>
            <w:vAlign w:val="center"/>
          </w:tcPr>
          <w:p w14:paraId="540F1FB3">
            <w:pPr>
              <w:pStyle w:val="29"/>
              <w:spacing w:line="360" w:lineRule="auto"/>
              <w:rPr>
                <w:color w:val="auto"/>
                <w:sz w:val="21"/>
                <w:szCs w:val="21"/>
                <w:highlight w:val="none"/>
              </w:rPr>
            </w:pPr>
            <w:r>
              <w:rPr>
                <w:rFonts w:hint="eastAsia"/>
                <w:color w:val="auto"/>
                <w:sz w:val="21"/>
                <w:szCs w:val="21"/>
                <w:highlight w:val="none"/>
              </w:rPr>
              <w:t>1、依据《网络安全等级保护基本要求》（GB/T 22239-2019）对2个三级系统（广西机动车驾驶培训公共服务平台、广西道路运输管理信息系统），3个二级系统（广西道路运输动态监控行业服务系统、广西网络货运信息监测系统、内部控制信息系统等5个系统开展网络安全等级保护测评工作，并出具网络安全等级保护测评报告。</w:t>
            </w:r>
          </w:p>
          <w:p w14:paraId="19E8033A">
            <w:pPr>
              <w:pStyle w:val="29"/>
              <w:spacing w:line="360" w:lineRule="auto"/>
              <w:rPr>
                <w:color w:val="auto"/>
                <w:sz w:val="21"/>
                <w:szCs w:val="21"/>
                <w:highlight w:val="none"/>
              </w:rPr>
            </w:pPr>
            <w:r>
              <w:rPr>
                <w:rFonts w:hint="eastAsia"/>
                <w:color w:val="auto"/>
                <w:sz w:val="21"/>
                <w:szCs w:val="21"/>
                <w:highlight w:val="none"/>
              </w:rPr>
              <w:t>2、依据《信息安全技术 信息系统密码应用基本要求GB/T 39786-2021》和《信息系统密码应用测评要求GB/T 43206-2023》的相关要求及通过评估的密码应用方案，对2个三级系统（广西机动车驾驶培训公共服务平台、广西道路运输管理信息系统），3个二级系统（广西道路运输动态监控行业服务系统、广西网络货运信息监测系统、内部控制信息系统）等5个系统进行商用密码应用方案评估和商用密码应用安全性评估服务，测评完成并报广西密码管理局报备。</w:t>
            </w:r>
          </w:p>
        </w:tc>
      </w:tr>
    </w:tbl>
    <w:p w14:paraId="39856E0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如需进一步了解详细内容，详见招标文件。</w:t>
      </w:r>
    </w:p>
    <w:p w14:paraId="21E1EF5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合同履行期限：详见招标文件各分标商务要求</w:t>
      </w:r>
      <w:r>
        <w:rPr>
          <w:rFonts w:hint="eastAsia" w:ascii="宋体" w:hAnsi="宋体" w:cs="宋体"/>
          <w:color w:val="auto"/>
          <w:szCs w:val="21"/>
          <w:highlight w:val="none"/>
        </w:rPr>
        <w:t>。</w:t>
      </w:r>
    </w:p>
    <w:p w14:paraId="4BD2A0F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本项目不接受联合体投标。</w:t>
      </w:r>
    </w:p>
    <w:p w14:paraId="2431CF5B">
      <w:pPr>
        <w:spacing w:line="360" w:lineRule="auto"/>
        <w:rPr>
          <w:rFonts w:ascii="黑体" w:hAnsi="黑体" w:eastAsia="黑体"/>
          <w:b/>
          <w:bCs/>
          <w:color w:val="auto"/>
          <w:sz w:val="24"/>
          <w:highlight w:val="none"/>
        </w:rPr>
      </w:pPr>
      <w:bookmarkStart w:id="11" w:name="_Toc35393791"/>
      <w:bookmarkStart w:id="12" w:name="_Toc28359080"/>
      <w:bookmarkStart w:id="13" w:name="_Toc28359003"/>
      <w:bookmarkStart w:id="14" w:name="_Toc35393622"/>
      <w:r>
        <w:rPr>
          <w:rFonts w:hint="eastAsia" w:ascii="黑体" w:hAnsi="黑体" w:eastAsia="黑体"/>
          <w:b/>
          <w:bCs/>
          <w:color w:val="auto"/>
          <w:sz w:val="24"/>
          <w:highlight w:val="none"/>
        </w:rPr>
        <w:t>二、申请人的资格要求：</w:t>
      </w:r>
      <w:bookmarkEnd w:id="11"/>
      <w:bookmarkEnd w:id="12"/>
      <w:bookmarkEnd w:id="13"/>
      <w:bookmarkEnd w:id="14"/>
    </w:p>
    <w:p w14:paraId="5DD75509">
      <w:pPr>
        <w:spacing w:line="360" w:lineRule="auto"/>
        <w:ind w:firstLine="420" w:firstLineChars="200"/>
        <w:rPr>
          <w:rFonts w:ascii="宋体" w:hAnsi="宋体"/>
          <w:color w:val="auto"/>
          <w:szCs w:val="21"/>
          <w:highlight w:val="none"/>
        </w:rPr>
      </w:pPr>
      <w:bookmarkStart w:id="15" w:name="_Hlk51746371"/>
      <w:bookmarkStart w:id="16" w:name="_Toc35393623"/>
      <w:bookmarkStart w:id="17" w:name="_Toc35393792"/>
      <w:bookmarkStart w:id="18" w:name="_Toc28359081"/>
      <w:bookmarkStart w:id="19" w:name="_Toc28359004"/>
      <w:r>
        <w:rPr>
          <w:rFonts w:hint="eastAsia" w:ascii="宋体" w:hAnsi="宋体"/>
          <w:color w:val="auto"/>
          <w:szCs w:val="21"/>
          <w:highlight w:val="none"/>
        </w:rPr>
        <w:t>1.满足《中华人民共和国政府采购法》第二十二条规定；</w:t>
      </w:r>
    </w:p>
    <w:p w14:paraId="76A4B7B2">
      <w:pPr>
        <w:spacing w:line="360" w:lineRule="auto"/>
        <w:ind w:firstLine="42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.落实政府采购政策需满足的资格要求：</w:t>
      </w:r>
      <w:r>
        <w:rPr>
          <w:rFonts w:hint="eastAsia" w:ascii="宋体" w:hAnsi="宋体"/>
          <w:color w:val="auto"/>
          <w:szCs w:val="21"/>
          <w:highlight w:val="none"/>
          <w:lang w:val="en-US" w:eastAsia="zh-CN"/>
        </w:rPr>
        <w:t>1、2、6分标</w:t>
      </w:r>
      <w:r>
        <w:rPr>
          <w:rFonts w:hint="eastAsia" w:ascii="宋体" w:hAnsi="宋体"/>
          <w:color w:val="auto"/>
          <w:szCs w:val="21"/>
          <w:highlight w:val="none"/>
        </w:rPr>
        <w:t>为专门面向中小企业采购的项目</w:t>
      </w:r>
      <w:r>
        <w:rPr>
          <w:rFonts w:hint="eastAsia" w:ascii="宋体" w:hAnsi="宋体"/>
          <w:color w:val="auto"/>
          <w:szCs w:val="21"/>
          <w:highlight w:val="none"/>
          <w:lang w:eastAsia="zh-CN"/>
        </w:rPr>
        <w:t>，</w:t>
      </w:r>
      <w:r>
        <w:rPr>
          <w:rFonts w:hint="eastAsia" w:ascii="宋体" w:hAnsi="宋体"/>
          <w:color w:val="auto"/>
          <w:szCs w:val="21"/>
          <w:highlight w:val="none"/>
        </w:rPr>
        <w:t>投标人必须为中小微企业（或监狱企业，或残疾人福利性单位）</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3、4、5、7、8分标为专门面向小微企业采购的项目，</w:t>
      </w:r>
      <w:r>
        <w:rPr>
          <w:rFonts w:hint="eastAsia" w:ascii="宋体" w:hAnsi="宋体"/>
          <w:color w:val="auto"/>
          <w:szCs w:val="21"/>
          <w:highlight w:val="none"/>
        </w:rPr>
        <w:t>投标人必须为小微企业（或监狱企业，或残疾人福利性单位）。</w:t>
      </w:r>
    </w:p>
    <w:p w14:paraId="6E6D4D44">
      <w:pPr>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rPr>
        <w:t>3.本项目的特定资格要求：无</w:t>
      </w:r>
      <w:r>
        <w:rPr>
          <w:rFonts w:hint="eastAsia"/>
          <w:color w:val="auto"/>
          <w:highlight w:val="none"/>
        </w:rPr>
        <w:t>。</w:t>
      </w:r>
    </w:p>
    <w:bookmarkEnd w:id="15"/>
    <w:p w14:paraId="16DC5978">
      <w:pPr>
        <w:spacing w:line="360" w:lineRule="auto"/>
        <w:rPr>
          <w:rFonts w:ascii="黑体" w:hAnsi="黑体" w:eastAsia="黑体"/>
          <w:b/>
          <w:bCs/>
          <w:color w:val="auto"/>
          <w:sz w:val="24"/>
          <w:highlight w:val="none"/>
        </w:rPr>
      </w:pPr>
      <w:r>
        <w:rPr>
          <w:rFonts w:hint="eastAsia" w:ascii="黑体" w:hAnsi="黑体" w:eastAsia="黑体"/>
          <w:b/>
          <w:bCs/>
          <w:color w:val="auto"/>
          <w:sz w:val="24"/>
          <w:highlight w:val="none"/>
        </w:rPr>
        <w:t>三、获取招标文件</w:t>
      </w:r>
      <w:bookmarkEnd w:id="16"/>
      <w:bookmarkEnd w:id="17"/>
      <w:bookmarkEnd w:id="18"/>
      <w:bookmarkEnd w:id="19"/>
    </w:p>
    <w:p w14:paraId="3BEA13C3">
      <w:pPr>
        <w:spacing w:line="360" w:lineRule="auto"/>
        <w:ind w:firstLine="540"/>
        <w:rPr>
          <w:rFonts w:ascii="宋体" w:hAnsi="宋体" w:cs="宋体"/>
          <w:bCs/>
          <w:color w:val="auto"/>
          <w:kern w:val="0"/>
          <w:szCs w:val="21"/>
          <w:highlight w:val="none"/>
        </w:rPr>
      </w:pPr>
      <w:r>
        <w:rPr>
          <w:rFonts w:hint="eastAsia" w:ascii="宋体" w:hAnsi="宋体" w:cs="宋体"/>
          <w:bCs/>
          <w:color w:val="auto"/>
          <w:kern w:val="0"/>
          <w:szCs w:val="21"/>
          <w:highlight w:val="none"/>
        </w:rPr>
        <w:t>时间：2026年</w:t>
      </w:r>
      <w:r>
        <w:rPr>
          <w:rFonts w:hint="eastAsia" w:ascii="宋体" w:hAnsi="宋体" w:cs="宋体"/>
          <w:bCs/>
          <w:color w:val="auto"/>
          <w:kern w:val="0"/>
          <w:szCs w:val="21"/>
          <w:highlight w:val="none"/>
          <w:lang w:val="en-US" w:eastAsia="zh-CN"/>
        </w:rPr>
        <w:t>5</w:t>
      </w:r>
      <w:r>
        <w:rPr>
          <w:rFonts w:hint="eastAsia" w:ascii="宋体" w:hAnsi="宋体" w:cs="宋体"/>
          <w:bCs/>
          <w:color w:val="auto"/>
          <w:kern w:val="0"/>
          <w:szCs w:val="21"/>
          <w:highlight w:val="none"/>
        </w:rPr>
        <w:t>月</w:t>
      </w:r>
      <w:r>
        <w:rPr>
          <w:rFonts w:hint="eastAsia" w:ascii="宋体" w:hAnsi="宋体" w:cs="宋体"/>
          <w:bCs/>
          <w:color w:val="auto"/>
          <w:kern w:val="0"/>
          <w:szCs w:val="21"/>
          <w:highlight w:val="none"/>
          <w:lang w:val="en-US" w:eastAsia="zh-CN"/>
        </w:rPr>
        <w:t>8</w:t>
      </w:r>
      <w:r>
        <w:rPr>
          <w:rFonts w:hint="eastAsia" w:ascii="宋体" w:hAnsi="宋体" w:cs="宋体"/>
          <w:bCs/>
          <w:color w:val="auto"/>
          <w:kern w:val="0"/>
          <w:szCs w:val="21"/>
          <w:highlight w:val="none"/>
        </w:rPr>
        <w:t>日至2026年</w:t>
      </w:r>
      <w:r>
        <w:rPr>
          <w:rFonts w:hint="eastAsia" w:ascii="宋体" w:hAnsi="宋体" w:cs="宋体"/>
          <w:bCs/>
          <w:color w:val="auto"/>
          <w:kern w:val="0"/>
          <w:szCs w:val="21"/>
          <w:highlight w:val="none"/>
          <w:lang w:val="en-US" w:eastAsia="zh-CN"/>
        </w:rPr>
        <w:t>5</w:t>
      </w:r>
      <w:r>
        <w:rPr>
          <w:rFonts w:hint="eastAsia" w:ascii="宋体" w:hAnsi="宋体" w:cs="宋体"/>
          <w:bCs/>
          <w:color w:val="auto"/>
          <w:kern w:val="0"/>
          <w:szCs w:val="21"/>
          <w:highlight w:val="none"/>
        </w:rPr>
        <w:t>月</w:t>
      </w:r>
      <w:r>
        <w:rPr>
          <w:rFonts w:hint="eastAsia" w:ascii="宋体" w:hAnsi="宋体" w:cs="宋体"/>
          <w:bCs/>
          <w:color w:val="auto"/>
          <w:kern w:val="0"/>
          <w:szCs w:val="21"/>
          <w:highlight w:val="none"/>
          <w:lang w:val="en-US" w:eastAsia="zh-CN"/>
        </w:rPr>
        <w:t>14</w:t>
      </w:r>
      <w:r>
        <w:rPr>
          <w:rFonts w:hint="eastAsia" w:ascii="宋体" w:hAnsi="宋体" w:cs="宋体"/>
          <w:bCs/>
          <w:color w:val="auto"/>
          <w:kern w:val="0"/>
          <w:szCs w:val="21"/>
          <w:highlight w:val="none"/>
        </w:rPr>
        <w:t>日，每天上午00:00至11：59，下午12:00至23:59（北京时间）。</w:t>
      </w:r>
    </w:p>
    <w:p w14:paraId="009B98E4">
      <w:pPr>
        <w:spacing w:line="360" w:lineRule="auto"/>
        <w:ind w:firstLine="540"/>
        <w:rPr>
          <w:rFonts w:ascii="宋体" w:hAnsi="宋体" w:cs="宋体"/>
          <w:bCs/>
          <w:color w:val="auto"/>
          <w:kern w:val="0"/>
          <w:szCs w:val="21"/>
          <w:highlight w:val="none"/>
        </w:rPr>
      </w:pPr>
      <w:r>
        <w:rPr>
          <w:rFonts w:hint="eastAsia" w:ascii="宋体" w:hAnsi="宋体" w:cs="宋体"/>
          <w:bCs/>
          <w:color w:val="auto"/>
          <w:kern w:val="0"/>
          <w:szCs w:val="21"/>
          <w:highlight w:val="none"/>
        </w:rPr>
        <w:t>地点：广西政府采购云平台（https://www.gcy.zfcg.gxzf.gov.cn/）</w:t>
      </w:r>
    </w:p>
    <w:p w14:paraId="2AE34F10">
      <w:pPr>
        <w:spacing w:line="360" w:lineRule="auto"/>
        <w:ind w:firstLine="540"/>
        <w:rPr>
          <w:rFonts w:ascii="宋体" w:hAnsi="宋体" w:cs="宋体"/>
          <w:bCs/>
          <w:color w:val="auto"/>
          <w:kern w:val="0"/>
          <w:szCs w:val="21"/>
          <w:highlight w:val="none"/>
        </w:rPr>
      </w:pPr>
      <w:r>
        <w:rPr>
          <w:rFonts w:hint="eastAsia" w:ascii="宋体" w:hAnsi="宋体" w:cs="宋体"/>
          <w:bCs/>
          <w:color w:val="auto"/>
          <w:kern w:val="0"/>
          <w:szCs w:val="21"/>
          <w:highlight w:val="none"/>
        </w:rPr>
        <w:t>方式：网上下载。本项目不提供纸质文件，潜在供应商需在广西政府采购云平台（https://www.gcy.zfcg.gxzf.gov.cn/）-进入“项目采购”应用，在获取采购文件菜单中选择项目，获取招标文件。电子投标文件制作需要基于广西政府采购云平台获取的招标文件编制，通过其他方式获取招标文件的，将有可能导致供应商无法在“广西政府采购云平台编制及上传投标文件。</w:t>
      </w:r>
    </w:p>
    <w:p w14:paraId="67686A1F">
      <w:pPr>
        <w:spacing w:line="360" w:lineRule="auto"/>
        <w:ind w:firstLine="540"/>
        <w:rPr>
          <w:rFonts w:ascii="宋体" w:hAnsi="宋体" w:cs="宋体"/>
          <w:color w:val="auto"/>
          <w:szCs w:val="21"/>
          <w:highlight w:val="none"/>
        </w:rPr>
      </w:pPr>
      <w:r>
        <w:rPr>
          <w:rFonts w:hint="eastAsia" w:ascii="宋体" w:hAnsi="宋体" w:cs="宋体"/>
          <w:bCs/>
          <w:color w:val="auto"/>
          <w:kern w:val="0"/>
          <w:szCs w:val="21"/>
          <w:highlight w:val="none"/>
        </w:rPr>
        <w:t>售价：</w:t>
      </w:r>
      <w:r>
        <w:rPr>
          <w:rFonts w:hint="eastAsia" w:ascii="宋体" w:hAnsi="宋体" w:cs="宋体"/>
          <w:iCs/>
          <w:color w:val="auto"/>
          <w:szCs w:val="21"/>
          <w:highlight w:val="none"/>
          <w:u w:val="single"/>
        </w:rPr>
        <w:t>0</w:t>
      </w:r>
      <w:r>
        <w:rPr>
          <w:rFonts w:hint="eastAsia" w:ascii="宋体" w:hAnsi="宋体" w:cs="宋体"/>
          <w:color w:val="auto"/>
          <w:szCs w:val="21"/>
          <w:highlight w:val="none"/>
        </w:rPr>
        <w:t>元</w:t>
      </w:r>
    </w:p>
    <w:p w14:paraId="0A72405A">
      <w:pPr>
        <w:spacing w:line="360" w:lineRule="auto"/>
        <w:rPr>
          <w:rFonts w:ascii="黑体" w:hAnsi="黑体" w:eastAsia="黑体"/>
          <w:b/>
          <w:bCs/>
          <w:color w:val="auto"/>
          <w:sz w:val="24"/>
          <w:highlight w:val="none"/>
        </w:rPr>
      </w:pPr>
      <w:bookmarkStart w:id="20" w:name="_Toc28359005"/>
      <w:bookmarkStart w:id="21" w:name="_Toc28359082"/>
      <w:bookmarkStart w:id="22" w:name="_Toc35393624"/>
      <w:bookmarkStart w:id="23" w:name="_Toc35393793"/>
      <w:r>
        <w:rPr>
          <w:rFonts w:hint="eastAsia" w:ascii="黑体" w:hAnsi="黑体" w:eastAsia="黑体"/>
          <w:b/>
          <w:bCs/>
          <w:color w:val="auto"/>
          <w:sz w:val="24"/>
          <w:highlight w:val="none"/>
        </w:rPr>
        <w:t>四、提交投标文件</w:t>
      </w:r>
      <w:bookmarkEnd w:id="20"/>
      <w:bookmarkEnd w:id="21"/>
      <w:r>
        <w:rPr>
          <w:rFonts w:hint="eastAsia" w:ascii="黑体" w:hAnsi="黑体" w:eastAsia="黑体"/>
          <w:b/>
          <w:bCs/>
          <w:color w:val="auto"/>
          <w:sz w:val="24"/>
          <w:highlight w:val="none"/>
        </w:rPr>
        <w:t>截止时间、开标时间和地点</w:t>
      </w:r>
      <w:bookmarkEnd w:id="22"/>
      <w:bookmarkEnd w:id="23"/>
    </w:p>
    <w:p w14:paraId="7A35877B">
      <w:pPr>
        <w:spacing w:line="360" w:lineRule="auto"/>
        <w:ind w:firstLine="420" w:firstLineChars="200"/>
        <w:rPr>
          <w:rFonts w:ascii="宋体" w:hAnsi="宋体" w:cs="宋体"/>
          <w:color w:val="auto"/>
          <w:szCs w:val="21"/>
          <w:highlight w:val="none"/>
          <w:u w:val="single"/>
        </w:rPr>
      </w:pPr>
      <w:bookmarkStart w:id="24" w:name="_Toc28359084"/>
      <w:bookmarkStart w:id="25" w:name="_Toc28359007"/>
      <w:bookmarkStart w:id="26" w:name="_Toc35393794"/>
      <w:bookmarkStart w:id="27" w:name="_Toc35393625"/>
      <w:r>
        <w:rPr>
          <w:rFonts w:hint="eastAsia" w:ascii="宋体" w:hAnsi="宋体"/>
          <w:bCs/>
          <w:color w:val="auto"/>
          <w:szCs w:val="21"/>
          <w:highlight w:val="none"/>
          <w:u w:val="single"/>
        </w:rPr>
        <w:t>提交投标文件截止时间：2026年</w:t>
      </w:r>
      <w:r>
        <w:rPr>
          <w:rFonts w:hint="eastAsia" w:ascii="宋体" w:hAnsi="宋体"/>
          <w:bCs/>
          <w:color w:val="auto"/>
          <w:szCs w:val="21"/>
          <w:highlight w:val="none"/>
          <w:u w:val="single"/>
          <w:lang w:val="en-US" w:eastAsia="zh-CN"/>
        </w:rPr>
        <w:t>5</w:t>
      </w:r>
      <w:r>
        <w:rPr>
          <w:rFonts w:hint="eastAsia" w:ascii="宋体" w:hAnsi="宋体"/>
          <w:bCs/>
          <w:color w:val="auto"/>
          <w:szCs w:val="21"/>
          <w:highlight w:val="none"/>
          <w:u w:val="single"/>
        </w:rPr>
        <w:t>月</w:t>
      </w:r>
      <w:r>
        <w:rPr>
          <w:rFonts w:hint="eastAsia" w:ascii="宋体" w:hAnsi="宋体"/>
          <w:bCs/>
          <w:color w:val="auto"/>
          <w:szCs w:val="21"/>
          <w:highlight w:val="none"/>
          <w:u w:val="single"/>
          <w:lang w:val="en-US" w:eastAsia="zh-CN"/>
        </w:rPr>
        <w:t>29</w:t>
      </w:r>
      <w:r>
        <w:rPr>
          <w:rFonts w:hint="eastAsia" w:ascii="宋体" w:hAnsi="宋体"/>
          <w:bCs/>
          <w:color w:val="auto"/>
          <w:szCs w:val="21"/>
          <w:highlight w:val="none"/>
          <w:u w:val="single"/>
        </w:rPr>
        <w:t>日09时30分</w:t>
      </w:r>
      <w:r>
        <w:rPr>
          <w:rFonts w:hint="eastAsia" w:ascii="宋体" w:hAnsi="宋体"/>
          <w:bCs/>
          <w:color w:val="auto"/>
          <w:szCs w:val="21"/>
          <w:highlight w:val="none"/>
        </w:rPr>
        <w:t>（北京时间）</w:t>
      </w:r>
    </w:p>
    <w:p w14:paraId="1D9D5EE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投标地点：广西政府采购云平台（https://www.gcy.zfcg.gxzf.gov.cn/）</w:t>
      </w:r>
    </w:p>
    <w:p w14:paraId="3D19303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开标时间：2026年</w:t>
      </w:r>
      <w:r>
        <w:rPr>
          <w:rFonts w:hint="eastAsia" w:ascii="宋体" w:hAnsi="宋体"/>
          <w:color w:val="auto"/>
          <w:szCs w:val="21"/>
          <w:highlight w:val="none"/>
          <w:lang w:val="en-US" w:eastAsia="zh-CN"/>
        </w:rPr>
        <w:t>5</w:t>
      </w:r>
      <w:r>
        <w:rPr>
          <w:rFonts w:hint="eastAsia" w:ascii="宋体" w:hAnsi="宋体"/>
          <w:color w:val="auto"/>
          <w:szCs w:val="21"/>
          <w:highlight w:val="none"/>
        </w:rPr>
        <w:t>月</w:t>
      </w:r>
      <w:r>
        <w:rPr>
          <w:rFonts w:hint="eastAsia" w:ascii="宋体" w:hAnsi="宋体"/>
          <w:color w:val="auto"/>
          <w:szCs w:val="21"/>
          <w:highlight w:val="none"/>
          <w:lang w:val="en-US" w:eastAsia="zh-CN"/>
        </w:rPr>
        <w:t>29</w:t>
      </w:r>
      <w:r>
        <w:rPr>
          <w:rFonts w:hint="eastAsia" w:ascii="宋体" w:hAnsi="宋体"/>
          <w:color w:val="auto"/>
          <w:szCs w:val="21"/>
          <w:highlight w:val="none"/>
        </w:rPr>
        <w:t>日09时30分</w:t>
      </w:r>
    </w:p>
    <w:p w14:paraId="528530A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开标地点：广西政府采购云平台电子开标大厅</w:t>
      </w:r>
    </w:p>
    <w:p w14:paraId="151EAE78">
      <w:pPr>
        <w:spacing w:line="360" w:lineRule="auto"/>
        <w:rPr>
          <w:rFonts w:ascii="黑体" w:hAnsi="黑体" w:eastAsia="黑体"/>
          <w:b/>
          <w:bCs/>
          <w:color w:val="auto"/>
          <w:sz w:val="24"/>
          <w:highlight w:val="none"/>
        </w:rPr>
      </w:pPr>
      <w:r>
        <w:rPr>
          <w:rFonts w:hint="eastAsia" w:ascii="黑体" w:hAnsi="黑体" w:eastAsia="黑体"/>
          <w:b/>
          <w:bCs/>
          <w:color w:val="auto"/>
          <w:sz w:val="24"/>
          <w:highlight w:val="none"/>
        </w:rPr>
        <w:t>五、公告期限</w:t>
      </w:r>
      <w:bookmarkEnd w:id="24"/>
      <w:bookmarkEnd w:id="25"/>
      <w:bookmarkEnd w:id="26"/>
      <w:bookmarkEnd w:id="27"/>
    </w:p>
    <w:p w14:paraId="741DF914">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自本公告发布之日起5个工作日。</w:t>
      </w:r>
    </w:p>
    <w:p w14:paraId="76D94C29">
      <w:pPr>
        <w:spacing w:line="360" w:lineRule="auto"/>
        <w:rPr>
          <w:rFonts w:ascii="黑体" w:hAnsi="黑体" w:eastAsia="黑体"/>
          <w:b/>
          <w:bCs/>
          <w:color w:val="auto"/>
          <w:sz w:val="24"/>
          <w:highlight w:val="none"/>
        </w:rPr>
      </w:pPr>
      <w:bookmarkStart w:id="28" w:name="_Toc35393795"/>
      <w:bookmarkStart w:id="29" w:name="_Toc35393626"/>
      <w:r>
        <w:rPr>
          <w:rFonts w:hint="eastAsia" w:ascii="黑体" w:hAnsi="黑体" w:eastAsia="黑体"/>
          <w:b/>
          <w:bCs/>
          <w:color w:val="auto"/>
          <w:sz w:val="24"/>
          <w:highlight w:val="none"/>
        </w:rPr>
        <w:t>六、其他补充事宜</w:t>
      </w:r>
      <w:bookmarkEnd w:id="28"/>
      <w:bookmarkEnd w:id="29"/>
    </w:p>
    <w:p w14:paraId="013A8A19">
      <w:pPr>
        <w:spacing w:line="360" w:lineRule="auto"/>
        <w:ind w:firstLine="420" w:firstLineChars="200"/>
        <w:rPr>
          <w:rFonts w:ascii="宋体" w:hAnsi="宋体" w:cs="宋体"/>
          <w:color w:val="auto"/>
          <w:kern w:val="0"/>
          <w:szCs w:val="21"/>
          <w:highlight w:val="none"/>
        </w:rPr>
      </w:pPr>
      <w:bookmarkStart w:id="30" w:name="_Hlk37429595"/>
      <w:bookmarkStart w:id="31" w:name="_Hlk37429585"/>
      <w:bookmarkStart w:id="32" w:name="_Toc35393627"/>
      <w:bookmarkStart w:id="33" w:name="_Toc35393796"/>
      <w:bookmarkStart w:id="34" w:name="_Toc28359008"/>
      <w:bookmarkStart w:id="35" w:name="_Toc28359085"/>
      <w:r>
        <w:rPr>
          <w:rFonts w:hint="eastAsia" w:ascii="宋体" w:hAnsi="宋体" w:cs="宋体"/>
          <w:color w:val="auto"/>
          <w:kern w:val="0"/>
          <w:szCs w:val="21"/>
          <w:highlight w:val="none"/>
        </w:rPr>
        <w:t>1.网上查询地址</w:t>
      </w:r>
    </w:p>
    <w:p w14:paraId="609FA209">
      <w:pPr>
        <w:spacing w:line="360" w:lineRule="auto"/>
        <w:ind w:left="210" w:leftChars="100" w:firstLine="424" w:firstLineChars="202"/>
        <w:rPr>
          <w:rStyle w:val="55"/>
          <w:rFonts w:ascii="宋体" w:hAnsi="宋体" w:cs="宋体"/>
          <w:iCs/>
          <w:color w:val="auto"/>
          <w:kern w:val="0"/>
          <w:szCs w:val="21"/>
          <w:highlight w:val="none"/>
          <w:u w:val="none"/>
        </w:rPr>
      </w:pPr>
      <w:r>
        <w:rPr>
          <w:rFonts w:ascii="宋体" w:hAnsi="宋体" w:cs="宋体"/>
          <w:iCs/>
          <w:color w:val="auto"/>
          <w:kern w:val="0"/>
          <w:szCs w:val="21"/>
          <w:highlight w:val="none"/>
        </w:rPr>
        <w:t>http：</w:t>
      </w:r>
      <w:r>
        <w:rPr>
          <w:rFonts w:hint="eastAsia" w:ascii="宋体" w:hAnsi="宋体" w:cs="宋体"/>
          <w:iCs/>
          <w:color w:val="auto"/>
          <w:kern w:val="0"/>
          <w:szCs w:val="21"/>
          <w:highlight w:val="none"/>
        </w:rPr>
        <w:t>//</w:t>
      </w:r>
      <w:r>
        <w:rPr>
          <w:color w:val="auto"/>
          <w:highlight w:val="none"/>
        </w:rPr>
        <w:fldChar w:fldCharType="begin"/>
      </w:r>
      <w:r>
        <w:rPr>
          <w:color w:val="auto"/>
          <w:highlight w:val="none"/>
        </w:rPr>
        <w:instrText xml:space="preserve"> HYPERLINK "http://www.ccgp.gov.cn（中国政府采购网）、zfcg.gxzf.gov.cn（广西壮族自治区政府采购网）" </w:instrText>
      </w:r>
      <w:r>
        <w:rPr>
          <w:color w:val="auto"/>
          <w:highlight w:val="none"/>
        </w:rPr>
        <w:fldChar w:fldCharType="separate"/>
      </w:r>
      <w:r>
        <w:rPr>
          <w:rStyle w:val="55"/>
          <w:rFonts w:hint="eastAsia" w:ascii="宋体" w:hAnsi="宋体" w:cs="宋体"/>
          <w:iCs/>
          <w:color w:val="auto"/>
          <w:kern w:val="0"/>
          <w:szCs w:val="21"/>
          <w:highlight w:val="none"/>
          <w:u w:val="none"/>
        </w:rPr>
        <w:t>www.ccgp.gov.cn（中国政府采购网）、</w:t>
      </w:r>
      <w:r>
        <w:rPr>
          <w:rFonts w:ascii="宋体" w:hAnsi="宋体" w:cs="宋体"/>
          <w:iCs/>
          <w:color w:val="auto"/>
          <w:kern w:val="0"/>
          <w:szCs w:val="21"/>
          <w:highlight w:val="none"/>
        </w:rPr>
        <w:t>http：</w:t>
      </w:r>
      <w:r>
        <w:rPr>
          <w:rFonts w:hint="eastAsia" w:ascii="宋体" w:hAnsi="宋体" w:cs="宋体"/>
          <w:iCs/>
          <w:color w:val="auto"/>
          <w:kern w:val="0"/>
          <w:szCs w:val="21"/>
          <w:highlight w:val="none"/>
        </w:rPr>
        <w:t>//</w:t>
      </w:r>
      <w:r>
        <w:rPr>
          <w:rStyle w:val="55"/>
          <w:rFonts w:hint="eastAsia" w:ascii="宋体" w:hAnsi="宋体" w:cs="宋体"/>
          <w:iCs/>
          <w:color w:val="auto"/>
          <w:kern w:val="0"/>
          <w:szCs w:val="21"/>
          <w:highlight w:val="none"/>
          <w:u w:val="none"/>
        </w:rPr>
        <w:t>zfcg.gxzf.gov.cn（广西壮族自治区政府采购网）</w:t>
      </w:r>
      <w:r>
        <w:rPr>
          <w:rStyle w:val="55"/>
          <w:rFonts w:hint="eastAsia" w:ascii="宋体" w:hAnsi="宋体" w:cs="宋体"/>
          <w:iCs/>
          <w:color w:val="auto"/>
          <w:kern w:val="0"/>
          <w:szCs w:val="21"/>
          <w:highlight w:val="none"/>
          <w:u w:val="none"/>
        </w:rPr>
        <w:fldChar w:fldCharType="end"/>
      </w:r>
      <w:r>
        <w:rPr>
          <w:rFonts w:hint="eastAsia" w:ascii="宋体" w:hAnsi="宋体" w:cs="宋体"/>
          <w:iCs/>
          <w:color w:val="auto"/>
          <w:kern w:val="0"/>
          <w:szCs w:val="21"/>
          <w:highlight w:val="none"/>
        </w:rPr>
        <w:t>、</w:t>
      </w:r>
      <w:r>
        <w:rPr>
          <w:rFonts w:hint="eastAsia" w:ascii="宋体" w:hAnsi="宋体" w:cs="宋体"/>
          <w:color w:val="auto"/>
          <w:kern w:val="0"/>
          <w:szCs w:val="21"/>
          <w:highlight w:val="none"/>
        </w:rPr>
        <w:t>http://gxggzy.g</w:t>
      </w:r>
      <w:r>
        <w:rPr>
          <w:rStyle w:val="55"/>
          <w:rFonts w:hint="eastAsia" w:ascii="宋体" w:hAnsi="宋体" w:cs="宋体"/>
          <w:iCs/>
          <w:color w:val="auto"/>
          <w:kern w:val="0"/>
          <w:szCs w:val="21"/>
          <w:highlight w:val="none"/>
          <w:u w:val="none"/>
        </w:rPr>
        <w:t>xzf.gov.cn（广西壮族自治区公共资源交易中心）、http://jthg.zcjb.com.cn（广西交投宏冠电子招标投标交易平台）。</w:t>
      </w:r>
    </w:p>
    <w:bookmarkEnd w:id="30"/>
    <w:bookmarkEnd w:id="31"/>
    <w:p w14:paraId="4FA1BAFA">
      <w:pPr>
        <w:spacing w:line="360" w:lineRule="auto"/>
        <w:ind w:firstLine="424" w:firstLineChars="202"/>
        <w:rPr>
          <w:rFonts w:ascii="宋体" w:hAnsi="宋体" w:cs="宋体"/>
          <w:iCs/>
          <w:color w:val="auto"/>
          <w:kern w:val="0"/>
          <w:szCs w:val="21"/>
          <w:highlight w:val="none"/>
        </w:rPr>
      </w:pPr>
      <w:bookmarkStart w:id="36" w:name="_Hlk37429674"/>
      <w:r>
        <w:rPr>
          <w:rFonts w:hint="eastAsia" w:ascii="宋体" w:hAnsi="宋体"/>
          <w:iCs/>
          <w:color w:val="auto"/>
          <w:szCs w:val="21"/>
          <w:highlight w:val="none"/>
        </w:rPr>
        <w:t>2</w:t>
      </w:r>
      <w:r>
        <w:rPr>
          <w:rFonts w:ascii="宋体" w:hAnsi="宋体"/>
          <w:iCs/>
          <w:color w:val="auto"/>
          <w:szCs w:val="21"/>
          <w:highlight w:val="none"/>
        </w:rPr>
        <w:t>.</w:t>
      </w:r>
      <w:r>
        <w:rPr>
          <w:rFonts w:hint="eastAsia" w:ascii="宋体" w:hAnsi="宋体" w:cs="宋体"/>
          <w:iCs/>
          <w:color w:val="auto"/>
          <w:kern w:val="0"/>
          <w:szCs w:val="21"/>
          <w:highlight w:val="none"/>
        </w:rPr>
        <w:t>本项目需要落实的政府采购政策</w:t>
      </w:r>
    </w:p>
    <w:p w14:paraId="36FC1AC4">
      <w:pPr>
        <w:spacing w:line="360" w:lineRule="auto"/>
        <w:ind w:firstLine="420" w:firstLineChars="200"/>
        <w:rPr>
          <w:rFonts w:ascii="宋体" w:hAnsi="宋体" w:cs="宋体"/>
          <w:iCs/>
          <w:color w:val="auto"/>
          <w:kern w:val="0"/>
          <w:szCs w:val="21"/>
          <w:highlight w:val="none"/>
        </w:rPr>
      </w:pPr>
      <w:r>
        <w:rPr>
          <w:rFonts w:hint="eastAsia" w:ascii="宋体" w:hAnsi="宋体" w:cs="宋体"/>
          <w:iCs/>
          <w:color w:val="auto"/>
          <w:kern w:val="0"/>
          <w:szCs w:val="21"/>
          <w:highlight w:val="none"/>
        </w:rPr>
        <w:t>（1）政府采购促进中小企业发展。</w:t>
      </w:r>
    </w:p>
    <w:p w14:paraId="5452CB81">
      <w:pPr>
        <w:spacing w:line="360" w:lineRule="auto"/>
        <w:ind w:firstLine="420" w:firstLineChars="200"/>
        <w:rPr>
          <w:rFonts w:ascii="宋体" w:hAnsi="宋体" w:cs="宋体"/>
          <w:iCs/>
          <w:color w:val="auto"/>
          <w:kern w:val="0"/>
          <w:szCs w:val="21"/>
          <w:highlight w:val="none"/>
        </w:rPr>
      </w:pPr>
      <w:r>
        <w:rPr>
          <w:rFonts w:hint="eastAsia" w:ascii="宋体" w:hAnsi="宋体" w:cs="宋体"/>
          <w:iCs/>
          <w:color w:val="auto"/>
          <w:kern w:val="0"/>
          <w:szCs w:val="21"/>
          <w:highlight w:val="none"/>
        </w:rPr>
        <w:t>（2）政府采购支持采用本国产品的政策。</w:t>
      </w:r>
    </w:p>
    <w:p w14:paraId="5F7BC40F">
      <w:pPr>
        <w:spacing w:line="360" w:lineRule="auto"/>
        <w:ind w:firstLine="420" w:firstLineChars="200"/>
        <w:rPr>
          <w:rFonts w:ascii="宋体" w:hAnsi="宋体" w:cs="宋体"/>
          <w:iCs/>
          <w:color w:val="auto"/>
          <w:kern w:val="0"/>
          <w:szCs w:val="21"/>
          <w:highlight w:val="none"/>
        </w:rPr>
      </w:pPr>
      <w:r>
        <w:rPr>
          <w:rFonts w:hint="eastAsia" w:ascii="宋体" w:hAnsi="宋体" w:cs="宋体"/>
          <w:iCs/>
          <w:color w:val="auto"/>
          <w:kern w:val="0"/>
          <w:szCs w:val="21"/>
          <w:highlight w:val="none"/>
        </w:rPr>
        <w:t>（3）强制采购节能产品；优先采购节能产品、环境标志产品。</w:t>
      </w:r>
    </w:p>
    <w:p w14:paraId="7DF4E5BB">
      <w:pPr>
        <w:spacing w:line="360" w:lineRule="auto"/>
        <w:ind w:firstLine="420" w:firstLineChars="200"/>
        <w:rPr>
          <w:rFonts w:ascii="宋体" w:hAnsi="宋体" w:cs="宋体"/>
          <w:iCs/>
          <w:color w:val="auto"/>
          <w:kern w:val="0"/>
          <w:szCs w:val="21"/>
          <w:highlight w:val="none"/>
        </w:rPr>
      </w:pPr>
      <w:r>
        <w:rPr>
          <w:rFonts w:hint="eastAsia" w:ascii="宋体" w:hAnsi="宋体" w:cs="宋体"/>
          <w:iCs/>
          <w:color w:val="auto"/>
          <w:kern w:val="0"/>
          <w:szCs w:val="21"/>
          <w:highlight w:val="none"/>
        </w:rPr>
        <w:t>（4）政府采购促进残疾人就业政策。</w:t>
      </w:r>
    </w:p>
    <w:p w14:paraId="213C88B8">
      <w:pPr>
        <w:spacing w:line="360" w:lineRule="auto"/>
        <w:ind w:firstLine="420" w:firstLineChars="200"/>
        <w:rPr>
          <w:rFonts w:ascii="宋体" w:hAnsi="宋体" w:cs="宋体"/>
          <w:iCs/>
          <w:color w:val="auto"/>
          <w:kern w:val="0"/>
          <w:szCs w:val="21"/>
          <w:highlight w:val="none"/>
        </w:rPr>
      </w:pPr>
      <w:r>
        <w:rPr>
          <w:rFonts w:hint="eastAsia" w:ascii="宋体" w:hAnsi="宋体" w:cs="宋体"/>
          <w:iCs/>
          <w:color w:val="auto"/>
          <w:kern w:val="0"/>
          <w:szCs w:val="21"/>
          <w:highlight w:val="none"/>
        </w:rPr>
        <w:t>（5）政府采购支持监狱企业发展。</w:t>
      </w:r>
    </w:p>
    <w:bookmarkEnd w:id="36"/>
    <w:p w14:paraId="64B9A79A">
      <w:pPr>
        <w:widowControl/>
        <w:spacing w:line="360" w:lineRule="auto"/>
        <w:ind w:firstLine="420" w:firstLineChars="200"/>
        <w:jc w:val="left"/>
        <w:rPr>
          <w:rFonts w:ascii="宋体" w:hAnsi="宋体"/>
          <w:color w:val="auto"/>
          <w:szCs w:val="21"/>
          <w:highlight w:val="none"/>
        </w:rPr>
      </w:pPr>
      <w:r>
        <w:rPr>
          <w:rFonts w:hint="eastAsia" w:ascii="宋体" w:hAnsi="宋体" w:cs="宋体"/>
          <w:color w:val="auto"/>
          <w:kern w:val="0"/>
          <w:szCs w:val="21"/>
          <w:highlight w:val="none"/>
        </w:rPr>
        <w:t>3.投标人</w:t>
      </w:r>
      <w:r>
        <w:rPr>
          <w:rFonts w:hint="eastAsia" w:ascii="宋体" w:hAnsi="宋体"/>
          <w:color w:val="auto"/>
          <w:szCs w:val="21"/>
          <w:highlight w:val="none"/>
        </w:rPr>
        <w:t>投标注意事项</w:t>
      </w:r>
    </w:p>
    <w:p w14:paraId="2FCDE009">
      <w:pPr>
        <w:spacing w:line="360" w:lineRule="auto"/>
        <w:ind w:firstLine="424" w:firstLineChars="202"/>
        <w:rPr>
          <w:rFonts w:ascii="宋体" w:hAnsi="宋体" w:cs="宋体"/>
          <w:b/>
          <w:bCs/>
          <w:iCs/>
          <w:color w:val="auto"/>
          <w:kern w:val="0"/>
          <w:szCs w:val="21"/>
          <w:highlight w:val="none"/>
        </w:rPr>
      </w:pPr>
      <w:r>
        <w:rPr>
          <w:rFonts w:hint="eastAsia" w:ascii="宋体" w:hAnsi="宋体" w:cs="宋体"/>
          <w:iCs/>
          <w:color w:val="auto"/>
          <w:kern w:val="0"/>
          <w:szCs w:val="21"/>
          <w:highlight w:val="none"/>
        </w:rPr>
        <w:t>（1）本项目为全流程电子化采购项目，通过广西政府采购云平台（https://www.gcy.zfcg.gxzf.gov.cn/）实行在线电子投标，投标人应按照本项目招标文件和广西政府采购云平台的要求编制、加密后在投标截止时间前通过网络上传至广西政府采购云平台（加密的电子投标文件是指后缀名为“jmbs”的文件），投标人在广西政府采购云平台提交电子投标文件时，请填写参加远程开标活动经办人联系方式。投</w:t>
      </w:r>
      <w:r>
        <w:rPr>
          <w:rFonts w:hint="eastAsia" w:ascii="宋体" w:hAnsi="宋体" w:cs="宋体"/>
          <w:b/>
          <w:bCs/>
          <w:iCs/>
          <w:color w:val="auto"/>
          <w:kern w:val="0"/>
          <w:szCs w:val="21"/>
          <w:highlight w:val="none"/>
        </w:rPr>
        <w:t>标人登录广西政府采购云平台，依次进入“服务中心-项目采购-操作流程-电子招投标-政府采购项目电子交易管理操作指南-供应商”查看电子投标具体操作流程。</w:t>
      </w:r>
    </w:p>
    <w:p w14:paraId="20F63615">
      <w:pPr>
        <w:spacing w:line="360" w:lineRule="auto"/>
        <w:ind w:firstLine="424" w:firstLineChars="202"/>
        <w:rPr>
          <w:rFonts w:ascii="宋体" w:hAnsi="宋体" w:cs="宋体"/>
          <w:iCs/>
          <w:color w:val="auto"/>
          <w:kern w:val="0"/>
          <w:szCs w:val="21"/>
          <w:highlight w:val="none"/>
        </w:rPr>
      </w:pPr>
      <w:r>
        <w:rPr>
          <w:rFonts w:hint="eastAsia" w:ascii="宋体" w:hAnsi="宋体" w:cs="宋体"/>
          <w:iCs/>
          <w:color w:val="auto"/>
          <w:kern w:val="0"/>
          <w:szCs w:val="21"/>
          <w:highlight w:val="none"/>
        </w:rPr>
        <w:t>（2）未进行网上注册并办理数字证书（CA认证）的投标人将无法参与本项目政府采购活动，投标人应当在投标截止时间前，完成电子交易平台上的CA数字证书办理及投标文件的提交（投标人可登录“广西政府采购网”，依次进入“办事服务-下载专区”或者登录广西政府采购云平台，依次进入“服务中心-入驻与配置”中查看CA数字证书办理操作流程。如在操作过程中遇到问题或者需要技术支持，</w:t>
      </w:r>
      <w:r>
        <w:rPr>
          <w:rFonts w:hint="eastAsia" w:ascii="宋体" w:hAnsi="宋体" w:cs="宋体"/>
          <w:b/>
          <w:bCs/>
          <w:iCs/>
          <w:color w:val="auto"/>
          <w:kern w:val="0"/>
          <w:szCs w:val="21"/>
          <w:highlight w:val="none"/>
        </w:rPr>
        <w:t>请致电客服热线：</w:t>
      </w:r>
      <w:r>
        <w:rPr>
          <w:rFonts w:hint="eastAsia" w:ascii="宋体" w:hAnsi="宋体" w:cs="宋体"/>
          <w:b/>
          <w:bCs/>
          <w:color w:val="auto"/>
          <w:kern w:val="0"/>
          <w:szCs w:val="21"/>
          <w:highlight w:val="none"/>
        </w:rPr>
        <w:t>95763或者</w:t>
      </w:r>
      <w:r>
        <w:rPr>
          <w:rFonts w:hint="eastAsia" w:ascii="宋体" w:hAnsi="宋体" w:cs="宋体"/>
          <w:b/>
          <w:bCs/>
          <w:iCs/>
          <w:color w:val="auto"/>
          <w:kern w:val="0"/>
          <w:szCs w:val="21"/>
          <w:highlight w:val="none"/>
        </w:rPr>
        <w:t>0771-3381253</w:t>
      </w:r>
      <w:r>
        <w:rPr>
          <w:rFonts w:hint="eastAsia" w:ascii="宋体" w:hAnsi="宋体" w:cs="宋体"/>
          <w:iCs/>
          <w:color w:val="auto"/>
          <w:kern w:val="0"/>
          <w:szCs w:val="21"/>
          <w:highlight w:val="none"/>
        </w:rPr>
        <w:t>）。</w:t>
      </w:r>
    </w:p>
    <w:p w14:paraId="23DE1255">
      <w:pPr>
        <w:spacing w:line="360" w:lineRule="auto"/>
        <w:ind w:firstLine="426" w:firstLineChars="202"/>
        <w:rPr>
          <w:rFonts w:ascii="宋体" w:hAnsi="宋体" w:cs="宋体"/>
          <w:b/>
          <w:bCs/>
          <w:iCs/>
          <w:color w:val="auto"/>
          <w:kern w:val="0"/>
          <w:szCs w:val="21"/>
          <w:highlight w:val="none"/>
        </w:rPr>
      </w:pPr>
      <w:r>
        <w:rPr>
          <w:rFonts w:hint="eastAsia" w:ascii="宋体" w:hAnsi="宋体" w:cs="宋体"/>
          <w:b/>
          <w:bCs/>
          <w:iCs/>
          <w:color w:val="auto"/>
          <w:kern w:val="0"/>
          <w:szCs w:val="21"/>
          <w:highlight w:val="none"/>
        </w:rPr>
        <w:t>（3）CA证书在线解密：投标人投标时，需凭制作投标文件时用来加密的有效数字证书（CA认证）登录广西政府采购云平台电子开标大厅现场按规定时间对加密的投标文件进行解密，否则后果自负。</w:t>
      </w:r>
    </w:p>
    <w:p w14:paraId="1BC01A64">
      <w:pPr>
        <w:spacing w:line="360" w:lineRule="auto"/>
        <w:ind w:firstLine="424" w:firstLineChars="202"/>
        <w:rPr>
          <w:rFonts w:ascii="宋体" w:hAnsi="宋体" w:cs="宋体"/>
          <w:color w:val="auto"/>
          <w:kern w:val="0"/>
          <w:szCs w:val="21"/>
          <w:highlight w:val="none"/>
        </w:rPr>
      </w:pPr>
      <w:r>
        <w:rPr>
          <w:rFonts w:hint="eastAsia" w:ascii="宋体" w:hAnsi="宋体" w:cs="宋体"/>
          <w:iCs/>
          <w:color w:val="auto"/>
          <w:kern w:val="0"/>
          <w:szCs w:val="21"/>
          <w:highlight w:val="none"/>
        </w:rPr>
        <w:t>注：1）为确保网上操作合法、有效和安全，请投标人确保在电子投标过程中能够对相关数据电文进行加密和使用电子签章，妥善保管CA数字证书并使用有效的CA数字证书参与整个招标活动。2）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广西政府采购云平台将予以拒收。</w:t>
      </w:r>
    </w:p>
    <w:p w14:paraId="61BB87CF">
      <w:pPr>
        <w:spacing w:line="360" w:lineRule="auto"/>
        <w:rPr>
          <w:rFonts w:ascii="黑体" w:hAnsi="黑体" w:eastAsia="黑体"/>
          <w:b/>
          <w:bCs/>
          <w:color w:val="auto"/>
          <w:sz w:val="24"/>
          <w:highlight w:val="none"/>
        </w:rPr>
      </w:pPr>
      <w:r>
        <w:rPr>
          <w:rFonts w:hint="eastAsia" w:ascii="黑体" w:hAnsi="黑体" w:eastAsia="黑体"/>
          <w:b/>
          <w:bCs/>
          <w:color w:val="auto"/>
          <w:sz w:val="24"/>
          <w:highlight w:val="none"/>
        </w:rPr>
        <w:t>七、对本次招标提出询问，请按</w:t>
      </w:r>
      <w:r>
        <w:rPr>
          <w:rFonts w:ascii="黑体" w:hAnsi="黑体" w:eastAsia="黑体"/>
          <w:b/>
          <w:bCs/>
          <w:color w:val="auto"/>
          <w:sz w:val="24"/>
          <w:highlight w:val="none"/>
        </w:rPr>
        <w:t>以下方式</w:t>
      </w:r>
      <w:r>
        <w:rPr>
          <w:rFonts w:hint="eastAsia" w:ascii="黑体" w:hAnsi="黑体" w:eastAsia="黑体"/>
          <w:b/>
          <w:bCs/>
          <w:color w:val="auto"/>
          <w:sz w:val="24"/>
          <w:highlight w:val="none"/>
        </w:rPr>
        <w:t>联系。</w:t>
      </w:r>
      <w:bookmarkEnd w:id="32"/>
      <w:bookmarkEnd w:id="33"/>
      <w:bookmarkEnd w:id="34"/>
      <w:bookmarkEnd w:id="35"/>
    </w:p>
    <w:p w14:paraId="147D5863">
      <w:pPr>
        <w:spacing w:line="420" w:lineRule="exact"/>
        <w:ind w:firstLine="420" w:firstLineChars="200"/>
        <w:rPr>
          <w:rFonts w:ascii="宋体" w:hAnsi="宋体" w:cs="宋体"/>
          <w:color w:val="auto"/>
          <w:szCs w:val="21"/>
          <w:highlight w:val="none"/>
        </w:rPr>
      </w:pPr>
      <w:bookmarkStart w:id="37" w:name="_Toc35393806"/>
      <w:bookmarkStart w:id="38" w:name="_Toc28359096"/>
      <w:bookmarkStart w:id="39" w:name="_Toc28359019"/>
      <w:bookmarkStart w:id="40" w:name="_Toc35393637"/>
      <w:r>
        <w:rPr>
          <w:rFonts w:hint="eastAsia" w:ascii="宋体" w:hAnsi="宋体" w:cs="宋体"/>
          <w:color w:val="auto"/>
          <w:szCs w:val="21"/>
          <w:highlight w:val="none"/>
        </w:rPr>
        <w:t>1.采购人信息</w:t>
      </w:r>
      <w:bookmarkEnd w:id="37"/>
      <w:bookmarkEnd w:id="38"/>
      <w:bookmarkEnd w:id="39"/>
      <w:bookmarkEnd w:id="40"/>
    </w:p>
    <w:p w14:paraId="05EC1F2E">
      <w:pPr>
        <w:spacing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名    称：广西壮族自治区道路运输发展中心</w:t>
      </w:r>
    </w:p>
    <w:p w14:paraId="5F760DAC">
      <w:pPr>
        <w:spacing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地    址：南宁市厢竹大道4号</w:t>
      </w:r>
    </w:p>
    <w:p w14:paraId="65D68EE5">
      <w:pPr>
        <w:spacing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联系方式：</w:t>
      </w:r>
      <w:r>
        <w:rPr>
          <w:rFonts w:ascii="宋体" w:hAnsi="宋体" w:cs="宋体"/>
          <w:color w:val="auto"/>
          <w:szCs w:val="21"/>
          <w:highlight w:val="none"/>
        </w:rPr>
        <w:t>覃工  0771</w:t>
      </w:r>
      <w:r>
        <w:rPr>
          <w:rFonts w:hint="eastAsia" w:ascii="宋体" w:hAnsi="宋体" w:cs="宋体"/>
          <w:color w:val="auto"/>
          <w:szCs w:val="21"/>
          <w:highlight w:val="none"/>
          <w:lang w:val="en-US" w:eastAsia="zh-CN"/>
        </w:rPr>
        <w:t>-</w:t>
      </w:r>
      <w:r>
        <w:rPr>
          <w:rFonts w:ascii="宋体" w:hAnsi="宋体" w:cs="宋体"/>
          <w:color w:val="auto"/>
          <w:szCs w:val="21"/>
          <w:highlight w:val="none"/>
        </w:rPr>
        <w:t>2115425</w:t>
      </w:r>
    </w:p>
    <w:p w14:paraId="5C32B274">
      <w:pPr>
        <w:spacing w:line="420" w:lineRule="exact"/>
        <w:ind w:firstLine="420" w:firstLineChars="200"/>
        <w:rPr>
          <w:rFonts w:ascii="宋体" w:hAnsi="宋体" w:cs="宋体"/>
          <w:color w:val="auto"/>
          <w:szCs w:val="21"/>
          <w:highlight w:val="none"/>
        </w:rPr>
      </w:pPr>
      <w:bookmarkStart w:id="41" w:name="_Toc28359020"/>
      <w:bookmarkStart w:id="42" w:name="_Toc35393638"/>
      <w:bookmarkStart w:id="43" w:name="_Toc28359097"/>
      <w:bookmarkStart w:id="44" w:name="_Toc35393807"/>
      <w:r>
        <w:rPr>
          <w:rFonts w:hint="eastAsia" w:ascii="宋体" w:hAnsi="宋体" w:cs="宋体"/>
          <w:color w:val="auto"/>
          <w:szCs w:val="21"/>
          <w:highlight w:val="none"/>
        </w:rPr>
        <w:t>2.采购代理机构信息</w:t>
      </w:r>
      <w:bookmarkEnd w:id="41"/>
      <w:bookmarkEnd w:id="42"/>
      <w:bookmarkEnd w:id="43"/>
      <w:bookmarkEnd w:id="44"/>
    </w:p>
    <w:p w14:paraId="5EF8E565">
      <w:pPr>
        <w:spacing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名    称：广西交投宏冠工程咨询有限公司</w:t>
      </w:r>
    </w:p>
    <w:p w14:paraId="230D4427">
      <w:pPr>
        <w:spacing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地　　址：广西南宁市青秀区合作路6号五洲国际D栋临街商铺D312室</w:t>
      </w:r>
    </w:p>
    <w:p w14:paraId="52C28694">
      <w:pPr>
        <w:spacing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联系方式：冼凌晨、钟毅、黄东　0771-2115840　</w:t>
      </w:r>
    </w:p>
    <w:p w14:paraId="245A91C6">
      <w:pPr>
        <w:spacing w:line="420" w:lineRule="exact"/>
        <w:ind w:firstLine="420" w:firstLineChars="200"/>
        <w:rPr>
          <w:rFonts w:ascii="宋体" w:hAnsi="宋体" w:cs="宋体"/>
          <w:color w:val="auto"/>
          <w:szCs w:val="21"/>
          <w:highlight w:val="none"/>
        </w:rPr>
      </w:pPr>
      <w:bookmarkStart w:id="45" w:name="_Toc28359098"/>
      <w:bookmarkStart w:id="46" w:name="_Toc35393808"/>
      <w:bookmarkStart w:id="47" w:name="_Toc28359021"/>
      <w:bookmarkStart w:id="48" w:name="_Toc35393639"/>
      <w:r>
        <w:rPr>
          <w:rFonts w:hint="eastAsia" w:ascii="宋体" w:hAnsi="宋体" w:cs="宋体"/>
          <w:color w:val="auto"/>
          <w:szCs w:val="21"/>
          <w:highlight w:val="none"/>
        </w:rPr>
        <w:t>3.项目联系方式</w:t>
      </w:r>
      <w:bookmarkEnd w:id="45"/>
      <w:bookmarkEnd w:id="46"/>
      <w:bookmarkEnd w:id="47"/>
      <w:bookmarkEnd w:id="48"/>
    </w:p>
    <w:p w14:paraId="1A93DA17">
      <w:pPr>
        <w:spacing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项目联系人：冼凌晨、钟毅、黄东</w:t>
      </w:r>
    </w:p>
    <w:p w14:paraId="32175F78">
      <w:pPr>
        <w:spacing w:line="360" w:lineRule="auto"/>
        <w:ind w:firstLine="424" w:firstLineChars="202"/>
        <w:rPr>
          <w:rFonts w:ascii="宋体" w:hAnsi="宋体"/>
          <w:color w:val="auto"/>
          <w:szCs w:val="21"/>
          <w:highlight w:val="none"/>
        </w:rPr>
      </w:pPr>
      <w:r>
        <w:rPr>
          <w:rFonts w:hint="eastAsia" w:ascii="宋体" w:hAnsi="宋体" w:cs="宋体"/>
          <w:color w:val="auto"/>
          <w:szCs w:val="21"/>
          <w:highlight w:val="none"/>
        </w:rPr>
        <w:t>电　　 话：0771-2115840</w:t>
      </w:r>
    </w:p>
    <w:p w14:paraId="4B5194F3">
      <w:pPr>
        <w:spacing w:line="360" w:lineRule="auto"/>
        <w:ind w:firstLine="420" w:firstLineChars="200"/>
        <w:jc w:val="right"/>
        <w:rPr>
          <w:rFonts w:ascii="宋体" w:hAnsi="宋体"/>
          <w:color w:val="auto"/>
          <w:szCs w:val="21"/>
          <w:highlight w:val="none"/>
        </w:rPr>
      </w:pPr>
      <w:bookmarkStart w:id="49" w:name="PO_3000001868_PM031_2"/>
      <w:r>
        <w:rPr>
          <w:rFonts w:hint="eastAsia" w:ascii="宋体" w:hAnsi="宋体"/>
          <w:color w:val="auto"/>
          <w:szCs w:val="21"/>
          <w:highlight w:val="none"/>
        </w:rPr>
        <w:t>广西交投宏冠工程咨询有限公司</w:t>
      </w:r>
      <w:bookmarkEnd w:id="49"/>
    </w:p>
    <w:p w14:paraId="3D8662EB">
      <w:pPr>
        <w:spacing w:line="360" w:lineRule="auto"/>
        <w:ind w:firstLine="424" w:firstLineChars="202"/>
        <w:jc w:val="right"/>
        <w:rPr>
          <w:color w:val="auto"/>
          <w:highlight w:val="none"/>
        </w:rPr>
      </w:pPr>
      <w:r>
        <w:rPr>
          <w:rFonts w:hint="eastAsia" w:ascii="宋体" w:hAnsi="宋体"/>
          <w:color w:val="auto"/>
          <w:szCs w:val="21"/>
          <w:highlight w:val="none"/>
        </w:rPr>
        <w:t>2026年</w:t>
      </w:r>
      <w:r>
        <w:rPr>
          <w:rFonts w:hint="eastAsia" w:ascii="宋体" w:hAnsi="宋体"/>
          <w:color w:val="auto"/>
          <w:szCs w:val="21"/>
          <w:highlight w:val="none"/>
          <w:lang w:val="en-US" w:eastAsia="zh-CN"/>
        </w:rPr>
        <w:t>5</w:t>
      </w:r>
      <w:r>
        <w:rPr>
          <w:rFonts w:hint="eastAsia" w:ascii="宋体" w:hAnsi="宋体"/>
          <w:color w:val="auto"/>
          <w:szCs w:val="21"/>
          <w:highlight w:val="none"/>
        </w:rPr>
        <w:t>月</w:t>
      </w:r>
      <w:r>
        <w:rPr>
          <w:rFonts w:hint="eastAsia" w:ascii="宋体" w:hAnsi="宋体"/>
          <w:color w:val="auto"/>
          <w:szCs w:val="21"/>
          <w:highlight w:val="none"/>
          <w:lang w:val="en-US" w:eastAsia="zh-CN"/>
        </w:rPr>
        <w:t>8</w:t>
      </w:r>
      <w:r>
        <w:rPr>
          <w:rFonts w:hint="eastAsia" w:ascii="宋体" w:hAnsi="宋体"/>
          <w:color w:val="auto"/>
          <w:szCs w:val="21"/>
          <w:highlight w:val="none"/>
        </w:rPr>
        <w:t>日</w:t>
      </w:r>
    </w:p>
    <w:p w14:paraId="44EA47E9">
      <w:pPr>
        <w:pStyle w:val="2"/>
        <w:keepNext w:val="0"/>
        <w:keepLines w:val="0"/>
        <w:tabs>
          <w:tab w:val="left" w:pos="0"/>
          <w:tab w:val="left" w:pos="3165"/>
          <w:tab w:val="center" w:pos="4153"/>
        </w:tabs>
        <w:autoSpaceDE w:val="0"/>
        <w:autoSpaceDN w:val="0"/>
        <w:adjustRightInd w:val="0"/>
        <w:spacing w:before="0" w:after="0" w:line="360" w:lineRule="auto"/>
        <w:jc w:val="center"/>
        <w:rPr>
          <w:color w:val="auto"/>
          <w:highlight w:val="none"/>
        </w:rPr>
      </w:pPr>
      <w:r>
        <w:rPr>
          <w:rFonts w:ascii="仿宋_GB2312" w:hAnsi="宋体" w:eastAsia="仿宋_GB2312"/>
          <w:color w:val="auto"/>
          <w:sz w:val="24"/>
          <w:szCs w:val="20"/>
          <w:highlight w:val="none"/>
        </w:rPr>
        <w:br w:type="page"/>
      </w:r>
      <w:bookmarkStart w:id="50" w:name="_Toc27979"/>
      <w:r>
        <w:rPr>
          <w:rFonts w:hint="eastAsia"/>
          <w:color w:val="auto"/>
          <w:highlight w:val="none"/>
        </w:rPr>
        <w:t>第二章  采购需求</w:t>
      </w:r>
      <w:bookmarkEnd w:id="50"/>
    </w:p>
    <w:p w14:paraId="219F4842">
      <w:pPr>
        <w:spacing w:line="360" w:lineRule="auto"/>
        <w:jc w:val="left"/>
        <w:rPr>
          <w:rFonts w:ascii="宋体" w:hAnsi="宋体" w:cs="宋体"/>
          <w:color w:val="auto"/>
          <w:szCs w:val="21"/>
          <w:highlight w:val="none"/>
        </w:rPr>
      </w:pPr>
      <w:bookmarkStart w:id="51" w:name="_Toc254970631"/>
      <w:bookmarkStart w:id="52" w:name="_Toc254970490"/>
    </w:p>
    <w:p w14:paraId="1D7B3132">
      <w:pPr>
        <w:spacing w:line="360" w:lineRule="auto"/>
        <w:jc w:val="left"/>
        <w:rPr>
          <w:rFonts w:ascii="宋体" w:hAnsi="宋体" w:cs="宋体"/>
          <w:color w:val="auto"/>
          <w:sz w:val="24"/>
          <w:highlight w:val="none"/>
        </w:rPr>
      </w:pPr>
      <w:r>
        <w:rPr>
          <w:rFonts w:hint="eastAsia" w:ascii="宋体" w:hAnsi="宋体" w:cs="宋体"/>
          <w:color w:val="auto"/>
          <w:sz w:val="24"/>
          <w:highlight w:val="none"/>
        </w:rPr>
        <w:t>说明：</w:t>
      </w:r>
    </w:p>
    <w:p w14:paraId="09CD8A3B">
      <w:pPr>
        <w:spacing w:line="360" w:lineRule="auto"/>
        <w:ind w:firstLine="480" w:firstLineChars="200"/>
        <w:jc w:val="left"/>
        <w:rPr>
          <w:color w:val="auto"/>
          <w:sz w:val="24"/>
          <w:highlight w:val="none"/>
        </w:rPr>
      </w:pPr>
      <w:r>
        <w:rPr>
          <w:rFonts w:hint="eastAsia"/>
          <w:color w:val="auto"/>
          <w:sz w:val="24"/>
          <w:highlight w:val="none"/>
        </w:rPr>
        <w:t>1. 为落实政府采购政策需满足的要求</w:t>
      </w:r>
    </w:p>
    <w:p w14:paraId="3FFFF65A">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本招标文件所称中小企业必须符合《政府采购促进中小企业发展管理办法》（财库〔2020〕46号）的规定。</w:t>
      </w:r>
    </w:p>
    <w:p w14:paraId="47D2670C">
      <w:pPr>
        <w:spacing w:line="360" w:lineRule="auto"/>
        <w:ind w:firstLine="484" w:firstLineChars="202"/>
        <w:jc w:val="left"/>
        <w:rPr>
          <w:rFonts w:ascii="宋体" w:hAnsi="宋体" w:cs="宋体"/>
          <w:color w:val="auto"/>
          <w:sz w:val="24"/>
          <w:highlight w:val="none"/>
        </w:rPr>
      </w:pPr>
      <w:r>
        <w:rPr>
          <w:rFonts w:hint="eastAsia" w:ascii="宋体" w:hAnsi="宋体" w:cs="宋体"/>
          <w:color w:val="auto"/>
          <w:sz w:val="24"/>
          <w:highlight w:val="none"/>
        </w:rPr>
        <w:t>2.“实质性要求”是指招标文件中已经指明不满足则投标无效的条款，或者不能负偏离的条款，或者采购需求中带“▲”的条款。</w:t>
      </w:r>
    </w:p>
    <w:p w14:paraId="63381BE9">
      <w:pPr>
        <w:spacing w:line="360" w:lineRule="auto"/>
        <w:ind w:firstLine="484" w:firstLineChars="202"/>
        <w:jc w:val="left"/>
        <w:rPr>
          <w:rFonts w:ascii="宋体" w:hAnsi="宋体" w:cs="宋体"/>
          <w:color w:val="auto"/>
          <w:sz w:val="24"/>
          <w:highlight w:val="none"/>
        </w:rPr>
      </w:pPr>
      <w:r>
        <w:rPr>
          <w:rFonts w:hint="eastAsia" w:ascii="宋体" w:hAnsi="宋体" w:cs="宋体"/>
          <w:color w:val="auto"/>
          <w:sz w:val="24"/>
          <w:highlight w:val="none"/>
        </w:rPr>
        <w:t>3.采购需求中出现的品牌、型号或者生产厂家仅起参考作用，不属于指定品牌、型号或者生产厂家的情形。投标人可参照或者选用其他相当的品牌、型号或者生产厂家替代。</w:t>
      </w:r>
    </w:p>
    <w:p w14:paraId="6F09A0AF">
      <w:pPr>
        <w:spacing w:line="360" w:lineRule="auto"/>
        <w:ind w:firstLine="484" w:firstLineChars="202"/>
        <w:jc w:val="left"/>
        <w:rPr>
          <w:rStyle w:val="56"/>
          <w:color w:val="auto"/>
          <w:sz w:val="24"/>
          <w:szCs w:val="24"/>
          <w:highlight w:val="none"/>
        </w:rPr>
      </w:pPr>
      <w:r>
        <w:rPr>
          <w:rFonts w:hint="eastAsia" w:ascii="宋体" w:hAnsi="宋体" w:cs="宋体"/>
          <w:color w:val="auto"/>
          <w:sz w:val="24"/>
          <w:highlight w:val="none"/>
        </w:rPr>
        <w:t>4. 投标人应根据自身实际情况如实响应招标文件</w:t>
      </w:r>
      <w:r>
        <w:rPr>
          <w:rFonts w:hint="eastAsia" w:ascii="宋体" w:hAnsi="宋体"/>
          <w:color w:val="auto"/>
          <w:sz w:val="24"/>
          <w:highlight w:val="none"/>
        </w:rPr>
        <w:t>，对招标文件提出的要求和条件作出明确响应，</w:t>
      </w:r>
      <w:r>
        <w:rPr>
          <w:rFonts w:hint="eastAsia" w:ascii="宋体" w:hAnsi="宋体"/>
          <w:b/>
          <w:bCs/>
          <w:color w:val="auto"/>
          <w:sz w:val="24"/>
          <w:highlight w:val="none"/>
        </w:rPr>
        <w:t>否则将作无效响应处理</w:t>
      </w:r>
      <w:r>
        <w:rPr>
          <w:rFonts w:hint="eastAsia" w:ascii="宋体" w:hAnsi="宋体"/>
          <w:color w:val="auto"/>
          <w:sz w:val="24"/>
          <w:highlight w:val="none"/>
        </w:rPr>
        <w:t>。</w:t>
      </w:r>
      <w:r>
        <w:rPr>
          <w:rFonts w:hint="eastAsia"/>
          <w:color w:val="auto"/>
          <w:sz w:val="24"/>
          <w:highlight w:val="none"/>
        </w:rPr>
        <w:t>对于重要技术条款或技术参数应当在投标文件中提供技术支持资料，技术支持资料以招标文件中规定的形式为准，</w:t>
      </w:r>
      <w:r>
        <w:rPr>
          <w:rFonts w:hint="eastAsia"/>
          <w:b/>
          <w:bCs/>
          <w:color w:val="auto"/>
          <w:sz w:val="24"/>
          <w:highlight w:val="none"/>
        </w:rPr>
        <w:t>否则将视为无效技术支持资料</w:t>
      </w:r>
      <w:r>
        <w:rPr>
          <w:rFonts w:hint="eastAsia"/>
          <w:color w:val="auto"/>
          <w:sz w:val="24"/>
          <w:highlight w:val="none"/>
        </w:rPr>
        <w:t>。</w:t>
      </w:r>
    </w:p>
    <w:p w14:paraId="59A2523B">
      <w:pPr>
        <w:spacing w:line="360" w:lineRule="auto"/>
        <w:ind w:firstLine="352" w:firstLineChars="147"/>
        <w:jc w:val="left"/>
        <w:rPr>
          <w:color w:val="auto"/>
          <w:sz w:val="24"/>
          <w:highlight w:val="none"/>
        </w:rPr>
      </w:pPr>
      <w:r>
        <w:rPr>
          <w:rFonts w:hint="eastAsia" w:ascii="宋体" w:hAnsi="宋体" w:cs="宋体"/>
          <w:color w:val="auto"/>
          <w:sz w:val="24"/>
          <w:highlight w:val="none"/>
        </w:rPr>
        <w:t>5</w:t>
      </w:r>
      <w:r>
        <w:rPr>
          <w:rFonts w:ascii="宋体" w:hAnsi="宋体" w:cs="宋体"/>
          <w:color w:val="auto"/>
          <w:sz w:val="24"/>
          <w:highlight w:val="none"/>
        </w:rPr>
        <w:t>.</w:t>
      </w:r>
      <w:r>
        <w:rPr>
          <w:rFonts w:hint="eastAsia"/>
          <w:color w:val="auto"/>
          <w:sz w:val="24"/>
          <w:highlight w:val="none"/>
        </w:rPr>
        <w:t>投标人</w:t>
      </w:r>
      <w:r>
        <w:rPr>
          <w:color w:val="auto"/>
          <w:sz w:val="24"/>
          <w:highlight w:val="none"/>
        </w:rPr>
        <w:t>必须自行为其</w:t>
      </w:r>
      <w:r>
        <w:rPr>
          <w:rFonts w:hint="eastAsia"/>
          <w:color w:val="auto"/>
          <w:sz w:val="24"/>
          <w:highlight w:val="none"/>
        </w:rPr>
        <w:t>投标</w:t>
      </w:r>
      <w:r>
        <w:rPr>
          <w:color w:val="auto"/>
          <w:sz w:val="24"/>
          <w:highlight w:val="none"/>
        </w:rPr>
        <w:t>产品侵犯</w:t>
      </w:r>
      <w:r>
        <w:rPr>
          <w:rFonts w:hint="eastAsia"/>
          <w:color w:val="auto"/>
          <w:sz w:val="24"/>
          <w:highlight w:val="none"/>
        </w:rPr>
        <w:t>他人的知识产权或者专利成果的行为</w:t>
      </w:r>
      <w:r>
        <w:rPr>
          <w:color w:val="auto"/>
          <w:sz w:val="24"/>
          <w:highlight w:val="none"/>
        </w:rPr>
        <w:t>承担相应法律责任</w:t>
      </w:r>
      <w:r>
        <w:rPr>
          <w:rFonts w:hint="eastAsia"/>
          <w:color w:val="auto"/>
          <w:sz w:val="24"/>
          <w:highlight w:val="none"/>
        </w:rPr>
        <w:t>。</w:t>
      </w:r>
    </w:p>
    <w:p w14:paraId="4481DBF3">
      <w:pPr>
        <w:spacing w:line="360" w:lineRule="auto"/>
        <w:ind w:firstLine="352" w:firstLineChars="147"/>
        <w:jc w:val="left"/>
        <w:rPr>
          <w:color w:val="auto"/>
          <w:sz w:val="24"/>
          <w:highlight w:val="none"/>
        </w:rPr>
      </w:pPr>
      <w:r>
        <w:rPr>
          <w:rFonts w:hint="eastAsia" w:ascii="宋体" w:hAnsi="宋体" w:cs="宋体"/>
          <w:color w:val="auto"/>
          <w:sz w:val="24"/>
          <w:highlight w:val="none"/>
        </w:rPr>
        <w:t>6.所属行业依照</w:t>
      </w:r>
      <w:r>
        <w:rPr>
          <w:rFonts w:hint="eastAsia"/>
          <w:color w:val="auto"/>
          <w:sz w:val="24"/>
          <w:highlight w:val="none"/>
        </w:rPr>
        <w:t>《中小企业划型标准规定》（工信部联企业〔2011〕300号）及《国民经济行业分类》（GB/T4754-2017）的有关规定执行。本项目标的所属行业均为</w:t>
      </w:r>
      <w:r>
        <w:rPr>
          <w:rFonts w:hint="eastAsia"/>
          <w:b/>
          <w:bCs/>
          <w:color w:val="auto"/>
          <w:sz w:val="24"/>
          <w:highlight w:val="none"/>
        </w:rPr>
        <w:t>“其他未列明行业”</w:t>
      </w:r>
      <w:r>
        <w:rPr>
          <w:rFonts w:hint="eastAsia"/>
          <w:color w:val="auto"/>
          <w:sz w:val="24"/>
          <w:highlight w:val="none"/>
        </w:rPr>
        <w:t>。</w:t>
      </w:r>
    </w:p>
    <w:p w14:paraId="15296145">
      <w:pPr>
        <w:spacing w:line="360" w:lineRule="auto"/>
        <w:ind w:firstLine="308" w:firstLineChars="147"/>
        <w:jc w:val="left"/>
        <w:rPr>
          <w:rFonts w:ascii="宋体" w:hAnsi="宋体" w:cs="Arial"/>
          <w:bCs/>
          <w:color w:val="auto"/>
          <w:szCs w:val="21"/>
          <w:highlight w:val="none"/>
          <w:u w:val="single"/>
        </w:rPr>
      </w:pPr>
      <w:r>
        <w:rPr>
          <w:rFonts w:hint="eastAsia" w:ascii="宋体" w:hAnsi="宋体" w:cs="Arial"/>
          <w:bCs/>
          <w:color w:val="auto"/>
          <w:szCs w:val="21"/>
          <w:highlight w:val="none"/>
          <w:u w:val="single"/>
        </w:rPr>
        <w:br w:type="page"/>
      </w:r>
    </w:p>
    <w:bookmarkEnd w:id="51"/>
    <w:bookmarkEnd w:id="52"/>
    <w:p w14:paraId="5A26DD8F">
      <w:pPr>
        <w:pStyle w:val="7"/>
        <w:ind w:firstLine="0"/>
        <w:outlineLvl w:val="2"/>
        <w:rPr>
          <w:rFonts w:ascii="宋体" w:hAnsi="宋体" w:cs="宋体"/>
          <w:b/>
          <w:bCs/>
          <w:color w:val="auto"/>
          <w:sz w:val="24"/>
          <w:szCs w:val="24"/>
          <w:highlight w:val="none"/>
        </w:rPr>
      </w:pPr>
    </w:p>
    <w:p w14:paraId="67B04AF9">
      <w:pPr>
        <w:spacing w:line="400" w:lineRule="exact"/>
        <w:ind w:firstLine="310" w:firstLineChars="147"/>
        <w:jc w:val="left"/>
        <w:rPr>
          <w:rFonts w:ascii="宋体" w:hAnsi="宋体" w:cs="Arial"/>
          <w:bCs/>
          <w:color w:val="auto"/>
          <w:szCs w:val="21"/>
          <w:highlight w:val="none"/>
          <w:u w:val="single"/>
        </w:rPr>
      </w:pPr>
      <w:r>
        <w:rPr>
          <w:rFonts w:hint="eastAsia" w:ascii="宋体" w:hAnsi="宋体" w:cs="Arial"/>
          <w:b/>
          <w:color w:val="auto"/>
          <w:szCs w:val="21"/>
          <w:highlight w:val="none"/>
          <w:u w:val="single"/>
        </w:rPr>
        <w:t xml:space="preserve"> 1 </w:t>
      </w:r>
      <w:r>
        <w:rPr>
          <w:rFonts w:hint="eastAsia" w:ascii="宋体" w:hAnsi="宋体"/>
          <w:b/>
          <w:color w:val="auto"/>
          <w:szCs w:val="21"/>
          <w:highlight w:val="none"/>
        </w:rPr>
        <w:t>分标      采购预算：</w:t>
      </w:r>
      <w:r>
        <w:rPr>
          <w:rFonts w:hint="eastAsia" w:ascii="宋体" w:hAnsi="宋体" w:cs="Arial"/>
          <w:bCs/>
          <w:color w:val="auto"/>
          <w:szCs w:val="21"/>
          <w:highlight w:val="none"/>
          <w:u w:val="single"/>
        </w:rPr>
        <w:t xml:space="preserve">详见招标公告 </w:t>
      </w: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
        <w:gridCol w:w="1601"/>
        <w:gridCol w:w="756"/>
        <w:gridCol w:w="6675"/>
      </w:tblGrid>
      <w:tr w14:paraId="235E6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9718" w:type="dxa"/>
            <w:gridSpan w:val="4"/>
            <w:tcBorders>
              <w:top w:val="single" w:color="auto" w:sz="4" w:space="0"/>
              <w:left w:val="single" w:color="auto" w:sz="4" w:space="0"/>
              <w:bottom w:val="single" w:color="auto" w:sz="4" w:space="0"/>
              <w:right w:val="single" w:color="auto" w:sz="4" w:space="0"/>
            </w:tcBorders>
            <w:vAlign w:val="center"/>
          </w:tcPr>
          <w:p w14:paraId="403646C6">
            <w:pPr>
              <w:pStyle w:val="23"/>
              <w:spacing w:line="340" w:lineRule="exact"/>
              <w:ind w:firstLine="316" w:firstLineChars="150"/>
              <w:jc w:val="center"/>
              <w:rPr>
                <w:rFonts w:hAnsi="宋体"/>
                <w:b/>
                <w:color w:val="auto"/>
                <w:sz w:val="21"/>
                <w:highlight w:val="none"/>
              </w:rPr>
            </w:pPr>
            <w:r>
              <w:rPr>
                <w:rFonts w:hint="eastAsia" w:hAnsi="宋体"/>
                <w:b/>
                <w:color w:val="auto"/>
                <w:sz w:val="21"/>
                <w:highlight w:val="none"/>
              </w:rPr>
              <w:t>采购需求一览表</w:t>
            </w:r>
          </w:p>
        </w:tc>
      </w:tr>
      <w:tr w14:paraId="754DE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86" w:type="dxa"/>
            <w:tcBorders>
              <w:top w:val="single" w:color="auto" w:sz="4" w:space="0"/>
              <w:left w:val="single" w:color="auto" w:sz="4" w:space="0"/>
              <w:bottom w:val="single" w:color="auto" w:sz="4" w:space="0"/>
              <w:right w:val="single" w:color="auto" w:sz="4" w:space="0"/>
            </w:tcBorders>
            <w:vAlign w:val="center"/>
          </w:tcPr>
          <w:p w14:paraId="6F555483">
            <w:pPr>
              <w:pStyle w:val="23"/>
              <w:spacing w:line="340" w:lineRule="exact"/>
              <w:jc w:val="center"/>
              <w:rPr>
                <w:rFonts w:hAnsi="宋体"/>
                <w:b/>
                <w:color w:val="auto"/>
                <w:sz w:val="21"/>
                <w:highlight w:val="none"/>
              </w:rPr>
            </w:pPr>
            <w:r>
              <w:rPr>
                <w:rFonts w:hint="eastAsia" w:hAnsi="宋体"/>
                <w:b/>
                <w:color w:val="auto"/>
                <w:sz w:val="21"/>
                <w:highlight w:val="none"/>
              </w:rPr>
              <w:t>序号</w:t>
            </w:r>
          </w:p>
        </w:tc>
        <w:tc>
          <w:tcPr>
            <w:tcW w:w="1601" w:type="dxa"/>
            <w:tcBorders>
              <w:top w:val="single" w:color="auto" w:sz="4" w:space="0"/>
              <w:left w:val="single" w:color="auto" w:sz="4" w:space="0"/>
              <w:bottom w:val="single" w:color="auto" w:sz="4" w:space="0"/>
              <w:right w:val="single" w:color="auto" w:sz="4" w:space="0"/>
            </w:tcBorders>
            <w:vAlign w:val="center"/>
          </w:tcPr>
          <w:p w14:paraId="0EB0D983">
            <w:pPr>
              <w:pStyle w:val="23"/>
              <w:spacing w:line="340" w:lineRule="exact"/>
              <w:jc w:val="center"/>
              <w:rPr>
                <w:rFonts w:hAnsi="宋体"/>
                <w:b/>
                <w:color w:val="auto"/>
                <w:sz w:val="21"/>
                <w:highlight w:val="none"/>
              </w:rPr>
            </w:pPr>
            <w:r>
              <w:rPr>
                <w:rFonts w:hint="eastAsia" w:hAnsi="宋体"/>
                <w:b/>
                <w:color w:val="auto"/>
                <w:sz w:val="21"/>
                <w:highlight w:val="none"/>
              </w:rPr>
              <w:t>服务名称</w:t>
            </w:r>
          </w:p>
        </w:tc>
        <w:tc>
          <w:tcPr>
            <w:tcW w:w="756" w:type="dxa"/>
            <w:tcBorders>
              <w:top w:val="single" w:color="auto" w:sz="4" w:space="0"/>
              <w:left w:val="single" w:color="auto" w:sz="4" w:space="0"/>
              <w:bottom w:val="single" w:color="auto" w:sz="4" w:space="0"/>
              <w:right w:val="single" w:color="auto" w:sz="4" w:space="0"/>
            </w:tcBorders>
            <w:vAlign w:val="center"/>
          </w:tcPr>
          <w:p w14:paraId="3CB5095D">
            <w:pPr>
              <w:widowControl/>
              <w:spacing w:line="340" w:lineRule="exact"/>
              <w:jc w:val="center"/>
              <w:rPr>
                <w:rFonts w:ascii="宋体" w:hAnsi="宋体" w:cs="宋体"/>
                <w:b/>
                <w:color w:val="auto"/>
                <w:kern w:val="0"/>
                <w:szCs w:val="21"/>
                <w:highlight w:val="none"/>
              </w:rPr>
            </w:pPr>
            <w:r>
              <w:rPr>
                <w:rFonts w:hint="eastAsia" w:ascii="宋体" w:hAnsi="宋体" w:cs="宋体"/>
                <w:b/>
                <w:color w:val="auto"/>
                <w:kern w:val="0"/>
                <w:szCs w:val="21"/>
                <w:highlight w:val="none"/>
              </w:rPr>
              <w:t>数量</w:t>
            </w:r>
          </w:p>
        </w:tc>
        <w:tc>
          <w:tcPr>
            <w:tcW w:w="6675" w:type="dxa"/>
            <w:tcBorders>
              <w:top w:val="single" w:color="auto" w:sz="4" w:space="0"/>
              <w:left w:val="single" w:color="auto" w:sz="4" w:space="0"/>
              <w:bottom w:val="single" w:color="auto" w:sz="4" w:space="0"/>
              <w:right w:val="single" w:color="auto" w:sz="4" w:space="0"/>
            </w:tcBorders>
            <w:vAlign w:val="center"/>
          </w:tcPr>
          <w:p w14:paraId="0A689DDC">
            <w:pPr>
              <w:pStyle w:val="23"/>
              <w:spacing w:line="340" w:lineRule="exact"/>
              <w:ind w:firstLine="316" w:firstLineChars="150"/>
              <w:jc w:val="center"/>
              <w:rPr>
                <w:rFonts w:hAnsi="宋体"/>
                <w:b/>
                <w:color w:val="auto"/>
                <w:sz w:val="21"/>
                <w:highlight w:val="none"/>
              </w:rPr>
            </w:pPr>
            <w:r>
              <w:rPr>
                <w:rFonts w:hint="eastAsia" w:hAnsi="宋体"/>
                <w:b/>
                <w:color w:val="auto"/>
                <w:sz w:val="21"/>
                <w:highlight w:val="none"/>
              </w:rPr>
              <w:t>项目要求及技术需求</w:t>
            </w:r>
          </w:p>
        </w:tc>
      </w:tr>
      <w:tr w14:paraId="7BF10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7" w:hRule="atLeast"/>
          <w:jc w:val="center"/>
        </w:trPr>
        <w:tc>
          <w:tcPr>
            <w:tcW w:w="686" w:type="dxa"/>
            <w:tcBorders>
              <w:top w:val="single" w:color="auto" w:sz="4" w:space="0"/>
              <w:left w:val="single" w:color="auto" w:sz="4" w:space="0"/>
              <w:right w:val="single" w:color="auto" w:sz="4" w:space="0"/>
            </w:tcBorders>
            <w:vAlign w:val="center"/>
          </w:tcPr>
          <w:p w14:paraId="0206DD33">
            <w:pPr>
              <w:pStyle w:val="23"/>
              <w:spacing w:line="360" w:lineRule="auto"/>
              <w:jc w:val="center"/>
              <w:rPr>
                <w:rFonts w:hAnsi="宋体"/>
                <w:color w:val="auto"/>
                <w:sz w:val="21"/>
                <w:highlight w:val="none"/>
              </w:rPr>
            </w:pPr>
            <w:r>
              <w:rPr>
                <w:rFonts w:hint="eastAsia" w:hAnsi="宋体"/>
                <w:color w:val="auto"/>
                <w:sz w:val="21"/>
                <w:highlight w:val="none"/>
              </w:rPr>
              <w:t>1</w:t>
            </w:r>
          </w:p>
        </w:tc>
        <w:tc>
          <w:tcPr>
            <w:tcW w:w="1601" w:type="dxa"/>
            <w:tcBorders>
              <w:top w:val="single" w:color="auto" w:sz="4" w:space="0"/>
              <w:left w:val="single" w:color="auto" w:sz="4" w:space="0"/>
              <w:right w:val="single" w:color="auto" w:sz="4" w:space="0"/>
            </w:tcBorders>
            <w:vAlign w:val="center"/>
          </w:tcPr>
          <w:p w14:paraId="553B1D50">
            <w:pPr>
              <w:spacing w:line="360" w:lineRule="auto"/>
              <w:jc w:val="center"/>
              <w:rPr>
                <w:rFonts w:ascii="宋体" w:hAnsi="宋体" w:cs="宋体"/>
                <w:color w:val="auto"/>
                <w:szCs w:val="21"/>
                <w:highlight w:val="none"/>
              </w:rPr>
            </w:pPr>
            <w:r>
              <w:rPr>
                <w:rFonts w:hint="eastAsia" w:ascii="宋体" w:hAnsi="宋体" w:cs="宋体"/>
                <w:color w:val="auto"/>
                <w:kern w:val="0"/>
                <w:szCs w:val="21"/>
                <w:highlight w:val="none"/>
                <w:lang w:bidi="ar"/>
              </w:rPr>
              <w:t>广西道路运输大数据预警研判技术服务</w:t>
            </w:r>
          </w:p>
        </w:tc>
        <w:tc>
          <w:tcPr>
            <w:tcW w:w="756" w:type="dxa"/>
            <w:tcBorders>
              <w:top w:val="single" w:color="auto" w:sz="4" w:space="0"/>
              <w:left w:val="single" w:color="auto" w:sz="4" w:space="0"/>
              <w:right w:val="single" w:color="auto" w:sz="4" w:space="0"/>
            </w:tcBorders>
            <w:vAlign w:val="center"/>
          </w:tcPr>
          <w:p w14:paraId="6EAFBDF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1项</w:t>
            </w:r>
          </w:p>
        </w:tc>
        <w:tc>
          <w:tcPr>
            <w:tcW w:w="6675" w:type="dxa"/>
            <w:tcBorders>
              <w:top w:val="single" w:color="auto" w:sz="4" w:space="0"/>
              <w:left w:val="single" w:color="auto" w:sz="4" w:space="0"/>
              <w:right w:val="single" w:color="auto" w:sz="4" w:space="0"/>
            </w:tcBorders>
            <w:vAlign w:val="center"/>
          </w:tcPr>
          <w:p w14:paraId="76554DE2">
            <w:pPr>
              <w:numPr>
                <w:ilvl w:val="255"/>
                <w:numId w:val="0"/>
              </w:numPr>
              <w:spacing w:line="360" w:lineRule="auto"/>
              <w:ind w:firstLine="420" w:firstLineChars="200"/>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一、广西道路运输预警研判大数据平台运行维护服务</w:t>
            </w:r>
          </w:p>
          <w:p w14:paraId="751C0847">
            <w:pPr>
              <w:numPr>
                <w:ilvl w:val="255"/>
                <w:numId w:val="0"/>
              </w:numPr>
              <w:spacing w:line="360" w:lineRule="auto"/>
              <w:ind w:firstLine="420" w:firstLineChars="200"/>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包括：系统软件在安装、调试、故障清除、优化配置、软件接口优化、数据库维护、数据备份、对系统进行的功能完善及系统软件优化，提供应用软件系统故障、数据备份及管理、技术业务支持、应用软件日常功能修改、灾后数据恢复以及软件日常升级服务、数据规范和处理、系统性能优化、应用服务维护、与各有关单位数据交换及维护服务。根据要求出具系统月度运行情况月报和系统演示支持。提供7*24小时的热线电话技术支持服务。提供的系统符合等保二级安全要求并做好等级保护测评工作。保障面向管理部门、运输企业及驾驶员的服务质量。定期对系统的运行进行监控，避免或减少系统故障，保持业务持续性运行。</w:t>
            </w:r>
          </w:p>
          <w:p w14:paraId="53CDFB45">
            <w:pPr>
              <w:numPr>
                <w:ilvl w:val="255"/>
                <w:numId w:val="0"/>
              </w:numPr>
              <w:spacing w:line="360" w:lineRule="auto"/>
              <w:ind w:firstLine="420" w:firstLineChars="200"/>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二、大数据处理和分析</w:t>
            </w:r>
          </w:p>
          <w:p w14:paraId="5C5F66E6">
            <w:pPr>
              <w:numPr>
                <w:ilvl w:val="255"/>
                <w:numId w:val="0"/>
              </w:numPr>
              <w:spacing w:line="360" w:lineRule="auto"/>
              <w:ind w:firstLine="420" w:firstLineChars="200"/>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按照“两客一危”车辆安全码赋码规则和分类分级监管工作要求，根据赋码规则，对车辆数据进行汇总、分析、处理、赋码等，并与交通运输部进行数据交互。</w:t>
            </w:r>
          </w:p>
          <w:p w14:paraId="5A3C76D1">
            <w:pPr>
              <w:numPr>
                <w:ilvl w:val="255"/>
                <w:numId w:val="0"/>
              </w:numPr>
              <w:spacing w:line="360" w:lineRule="auto"/>
              <w:ind w:firstLine="420" w:firstLineChars="200"/>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（一）提供“两客一危”车辆全量数据汇聚与治理</w:t>
            </w:r>
          </w:p>
          <w:p w14:paraId="177A9730">
            <w:pPr>
              <w:numPr>
                <w:ilvl w:val="255"/>
                <w:numId w:val="0"/>
              </w:numPr>
              <w:spacing w:line="360" w:lineRule="auto"/>
              <w:ind w:firstLine="420" w:firstLineChars="200"/>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对接广西道路运输管理信息系统、电子运单、动态监控、公安交管、高速门架等多源异构数据，实现全区“两客一危”车辆基础信息、运行轨迹、违法违章、事故记录、证照状态、驾驶员行为等数据的实时汇聚与离线归集；开展数据清洗、去重、校验与标准化处理，确保数据完整性。</w:t>
            </w:r>
          </w:p>
          <w:p w14:paraId="2BAF4AEE">
            <w:pPr>
              <w:numPr>
                <w:ilvl w:val="255"/>
                <w:numId w:val="0"/>
              </w:numPr>
              <w:spacing w:line="360" w:lineRule="auto"/>
              <w:ind w:firstLine="420" w:firstLineChars="200"/>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（二）提供安全码智能赋码模型与部署</w:t>
            </w:r>
          </w:p>
          <w:p w14:paraId="5DA13815">
            <w:pPr>
              <w:numPr>
                <w:ilvl w:val="255"/>
                <w:numId w:val="0"/>
              </w:numPr>
              <w:spacing w:line="360" w:lineRule="auto"/>
              <w:ind w:firstLine="420" w:firstLineChars="200"/>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依据交通运输部最新发布的《“两客一危”车辆安全码赋码规则》，构建可配置、可扩展、可审计的赋码数据模型；赋码结果按“红、黄、绿”三色动态生成，更新频率每周一次。</w:t>
            </w:r>
          </w:p>
          <w:p w14:paraId="0D5FC32C">
            <w:pPr>
              <w:numPr>
                <w:ilvl w:val="255"/>
                <w:numId w:val="0"/>
              </w:numPr>
              <w:spacing w:line="360" w:lineRule="auto"/>
              <w:ind w:firstLine="420" w:firstLineChars="200"/>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（三）提供赋码结果展示（包括管理端、企业端、移动端）、申诉等功能。</w:t>
            </w:r>
          </w:p>
          <w:p w14:paraId="795EC8EC">
            <w:pPr>
              <w:numPr>
                <w:ilvl w:val="255"/>
                <w:numId w:val="0"/>
              </w:numPr>
              <w:spacing w:line="360" w:lineRule="auto"/>
              <w:ind w:firstLine="420" w:firstLineChars="200"/>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1、管理端：提供监管后台，支持按区域、企业、车辆类型等维度统计分析安全码分布、趋势变化、高风险聚集点，辅助精准执法与督导。</w:t>
            </w:r>
          </w:p>
          <w:p w14:paraId="3BBF420D">
            <w:pPr>
              <w:numPr>
                <w:ilvl w:val="255"/>
                <w:numId w:val="0"/>
              </w:numPr>
              <w:spacing w:line="360" w:lineRule="auto"/>
              <w:ind w:firstLine="420" w:firstLineChars="200"/>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2、企业端：开放企业自查入口，支持查看所属车辆安全码状态、风险明细、整改建议，并在线提交申诉材料。</w:t>
            </w:r>
          </w:p>
          <w:p w14:paraId="29280844">
            <w:pPr>
              <w:numPr>
                <w:ilvl w:val="255"/>
                <w:numId w:val="0"/>
              </w:numPr>
              <w:spacing w:line="360" w:lineRule="auto"/>
              <w:ind w:firstLine="420" w:firstLineChars="200"/>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3、移动端（含APP或小程序）：面向公众提供车辆赋码查询、历史记录查询等功能。</w:t>
            </w:r>
          </w:p>
          <w:p w14:paraId="0305D2CF">
            <w:pPr>
              <w:numPr>
                <w:ilvl w:val="255"/>
                <w:numId w:val="0"/>
              </w:numPr>
              <w:spacing w:line="360" w:lineRule="auto"/>
              <w:ind w:firstLine="420" w:firstLineChars="200"/>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建立申诉—复核—修正—反馈闭环机制，确保赋码结果公平、透明。</w:t>
            </w:r>
          </w:p>
          <w:p w14:paraId="2FDBDF47">
            <w:pPr>
              <w:numPr>
                <w:ilvl w:val="255"/>
                <w:numId w:val="0"/>
              </w:numPr>
              <w:spacing w:line="360" w:lineRule="auto"/>
              <w:ind w:firstLine="420" w:firstLineChars="200"/>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（四）与交通运输部系统对接与数据交互</w:t>
            </w:r>
          </w:p>
          <w:p w14:paraId="34B49865">
            <w:pPr>
              <w:numPr>
                <w:ilvl w:val="255"/>
                <w:numId w:val="0"/>
              </w:numPr>
              <w:spacing w:line="360" w:lineRule="auto"/>
              <w:ind w:firstLine="420" w:firstLineChars="200"/>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1、按照部级接口规范，实现安全码结果、车辆风险标签、申诉处理状态等数据的自动上报与双向同步。</w:t>
            </w:r>
          </w:p>
          <w:p w14:paraId="1E028B21">
            <w:pPr>
              <w:numPr>
                <w:ilvl w:val="255"/>
                <w:numId w:val="0"/>
              </w:numPr>
              <w:spacing w:line="360" w:lineRule="auto"/>
              <w:ind w:firstLine="420" w:firstLineChars="200"/>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2、确保数据格式、编码标准、传输协议符合《交通运输政务数据资源目录》及部级共享交换平台要求。</w:t>
            </w:r>
          </w:p>
          <w:p w14:paraId="20CD7228">
            <w:pPr>
              <w:numPr>
                <w:ilvl w:val="255"/>
                <w:numId w:val="0"/>
              </w:numPr>
              <w:spacing w:line="360" w:lineRule="auto"/>
              <w:ind w:firstLine="420" w:firstLineChars="200"/>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三、客服人员服务</w:t>
            </w:r>
          </w:p>
          <w:p w14:paraId="362FEB30">
            <w:pPr>
              <w:numPr>
                <w:ilvl w:val="255"/>
                <w:numId w:val="0"/>
              </w:numPr>
              <w:spacing w:line="360" w:lineRule="auto"/>
              <w:ind w:firstLine="420" w:firstLineChars="200"/>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安排两名客服人员，负责对道路运输赋码结果进行申诉受理与核查处理。具体工作内容包括：</w:t>
            </w:r>
          </w:p>
          <w:p w14:paraId="7BD1FE18">
            <w:pPr>
              <w:numPr>
                <w:ilvl w:val="255"/>
                <w:numId w:val="0"/>
              </w:numPr>
              <w:spacing w:line="360" w:lineRule="auto"/>
              <w:ind w:firstLine="420" w:firstLineChars="200"/>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1、申诉接收与登记：通过电话、在线客服系统、政务服务平台等渠道，及时接收企业和个人针对赋码结果提出的申诉请求，详细记录申诉人信息、涉及业务类型、赋码编号、申诉事由及佐证材料。</w:t>
            </w:r>
          </w:p>
          <w:p w14:paraId="038E4AC1">
            <w:pPr>
              <w:numPr>
                <w:ilvl w:val="255"/>
                <w:numId w:val="0"/>
              </w:numPr>
              <w:spacing w:line="360" w:lineRule="auto"/>
              <w:ind w:firstLine="420" w:firstLineChars="200"/>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2、问题核查与数据比对：根据申诉内容，调取相关业务系统数据，对赋码依据进行逐项核查，比对原始申报信息、审批流程、规则引擎执行日志等，查明赋码异常原因。</w:t>
            </w:r>
          </w:p>
          <w:p w14:paraId="170365B3">
            <w:pPr>
              <w:numPr>
                <w:ilvl w:val="255"/>
                <w:numId w:val="0"/>
              </w:numPr>
              <w:spacing w:line="360" w:lineRule="auto"/>
              <w:ind w:firstLine="420" w:firstLineChars="200"/>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3、跨部门协调与反馈：对于涉及多系统、多环节的复杂申诉，主动协调业务审批、技术运维、数据管理等相关职能部门，核实数据流转与规则配置情况，确保核查结果准确、全面。</w:t>
            </w:r>
          </w:p>
          <w:p w14:paraId="1DDDA303">
            <w:pPr>
              <w:numPr>
                <w:ilvl w:val="255"/>
                <w:numId w:val="0"/>
              </w:numPr>
              <w:spacing w:line="360" w:lineRule="auto"/>
              <w:ind w:firstLine="420" w:firstLineChars="200"/>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4、处理意见提出与结果反馈：根据核查情况，依法依规提出处理建议，对确属系统错误或数据异常的赋码结果，及时提交修正申请；同时向申诉人清晰说明核查过程与处理结果，做好政策解释与沟通安抚工作。</w:t>
            </w:r>
          </w:p>
          <w:p w14:paraId="73290113">
            <w:pPr>
              <w:numPr>
                <w:ilvl w:val="255"/>
                <w:numId w:val="0"/>
              </w:numPr>
              <w:spacing w:line="360" w:lineRule="auto"/>
              <w:ind w:firstLine="420" w:firstLineChars="200"/>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5、台账管理与数据分析：建立赋码申诉处理台账，分类归集常见问题类型、高频申诉事项、系统缺陷反馈等信息，定期形成分析报告，为优化赋码规则、改进系统逻辑、提升服务质量提供数据支撑。</w:t>
            </w:r>
          </w:p>
          <w:p w14:paraId="0663D6BE">
            <w:pPr>
              <w:spacing w:line="360" w:lineRule="auto"/>
              <w:ind w:firstLine="420" w:firstLineChars="200"/>
              <w:rPr>
                <w:color w:val="auto"/>
                <w:szCs w:val="21"/>
                <w:highlight w:val="none"/>
              </w:rPr>
            </w:pPr>
            <w:r>
              <w:rPr>
                <w:rFonts w:hint="eastAsia" w:ascii="宋体" w:hAnsi="宋体" w:cs="宋体"/>
                <w:color w:val="auto"/>
                <w:kern w:val="0"/>
                <w:szCs w:val="21"/>
                <w:highlight w:val="none"/>
                <w:lang w:bidi="ar"/>
              </w:rPr>
              <w:t>6、服务规范与知识库维护：持续更新赋码政策与技术规则知识库，参与客服流程优化，提升响应效率与用户满意度，确保申诉处理工作规范化、标准化、高效化。</w:t>
            </w:r>
          </w:p>
        </w:tc>
      </w:tr>
      <w:tr w14:paraId="33E57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18" w:type="dxa"/>
            <w:gridSpan w:val="4"/>
            <w:tcBorders>
              <w:top w:val="single" w:color="auto" w:sz="4" w:space="0"/>
              <w:left w:val="single" w:color="auto" w:sz="4" w:space="0"/>
              <w:right w:val="single" w:color="auto" w:sz="4" w:space="0"/>
            </w:tcBorders>
            <w:vAlign w:val="center"/>
          </w:tcPr>
          <w:p w14:paraId="1B5305E9">
            <w:pPr>
              <w:spacing w:line="360" w:lineRule="auto"/>
              <w:rPr>
                <w:b/>
                <w:color w:val="auto"/>
                <w:szCs w:val="21"/>
                <w:highlight w:val="none"/>
              </w:rPr>
            </w:pPr>
            <w:r>
              <w:rPr>
                <w:rFonts w:hint="eastAsia" w:ascii="宋体" w:hAnsi="宋体"/>
                <w:b/>
                <w:color w:val="auto"/>
                <w:szCs w:val="21"/>
                <w:highlight w:val="none"/>
              </w:rPr>
              <w:t>商务要求表</w:t>
            </w:r>
          </w:p>
        </w:tc>
      </w:tr>
      <w:tr w14:paraId="2FCAB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87" w:type="dxa"/>
            <w:gridSpan w:val="2"/>
            <w:tcBorders>
              <w:top w:val="single" w:color="auto" w:sz="4" w:space="0"/>
              <w:left w:val="single" w:color="auto" w:sz="4" w:space="0"/>
              <w:right w:val="single" w:color="auto" w:sz="4" w:space="0"/>
            </w:tcBorders>
            <w:vAlign w:val="center"/>
          </w:tcPr>
          <w:p w14:paraId="20412EA9">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▲服务期限</w:t>
            </w:r>
          </w:p>
        </w:tc>
        <w:tc>
          <w:tcPr>
            <w:tcW w:w="7431" w:type="dxa"/>
            <w:gridSpan w:val="2"/>
            <w:tcBorders>
              <w:top w:val="single" w:color="auto" w:sz="4" w:space="0"/>
              <w:left w:val="single" w:color="auto" w:sz="4" w:space="0"/>
              <w:right w:val="single" w:color="auto" w:sz="4" w:space="0"/>
            </w:tcBorders>
            <w:vAlign w:val="center"/>
          </w:tcPr>
          <w:p w14:paraId="5B6525EC">
            <w:pPr>
              <w:spacing w:line="360" w:lineRule="auto"/>
              <w:rPr>
                <w:color w:val="auto"/>
                <w:szCs w:val="21"/>
                <w:highlight w:val="none"/>
              </w:rPr>
            </w:pPr>
            <w:r>
              <w:rPr>
                <w:rFonts w:hint="eastAsia" w:hAnsi="宋体"/>
                <w:color w:val="auto"/>
                <w:szCs w:val="21"/>
                <w:highlight w:val="none"/>
              </w:rPr>
              <w:t>2</w:t>
            </w:r>
            <w:r>
              <w:rPr>
                <w:rFonts w:hAnsi="宋体"/>
                <w:color w:val="auto"/>
                <w:szCs w:val="21"/>
                <w:highlight w:val="none"/>
              </w:rPr>
              <w:t>026年</w:t>
            </w:r>
            <w:r>
              <w:rPr>
                <w:rFonts w:hint="eastAsia" w:hAnsi="宋体"/>
                <w:color w:val="auto"/>
                <w:szCs w:val="21"/>
                <w:highlight w:val="none"/>
              </w:rPr>
              <w:t>7月1日至2</w:t>
            </w:r>
            <w:r>
              <w:rPr>
                <w:rFonts w:hAnsi="宋体"/>
                <w:color w:val="auto"/>
                <w:szCs w:val="21"/>
                <w:highlight w:val="none"/>
              </w:rPr>
              <w:t>027年</w:t>
            </w:r>
            <w:r>
              <w:rPr>
                <w:rFonts w:hint="eastAsia" w:hAnsi="宋体"/>
                <w:color w:val="auto"/>
                <w:szCs w:val="21"/>
                <w:highlight w:val="none"/>
              </w:rPr>
              <w:t>6月3</w:t>
            </w:r>
            <w:r>
              <w:rPr>
                <w:rFonts w:hAnsi="宋体"/>
                <w:color w:val="auto"/>
                <w:szCs w:val="21"/>
                <w:highlight w:val="none"/>
              </w:rPr>
              <w:t>0日</w:t>
            </w:r>
          </w:p>
        </w:tc>
      </w:tr>
      <w:tr w14:paraId="5DA81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87" w:type="dxa"/>
            <w:gridSpan w:val="2"/>
            <w:tcBorders>
              <w:top w:val="single" w:color="auto" w:sz="4" w:space="0"/>
              <w:left w:val="single" w:color="auto" w:sz="4" w:space="0"/>
              <w:right w:val="single" w:color="auto" w:sz="4" w:space="0"/>
            </w:tcBorders>
            <w:vAlign w:val="center"/>
          </w:tcPr>
          <w:p w14:paraId="0861679D">
            <w:pPr>
              <w:tabs>
                <w:tab w:val="left" w:pos="180"/>
                <w:tab w:val="left" w:pos="1620"/>
              </w:tabs>
              <w:spacing w:line="360" w:lineRule="auto"/>
              <w:jc w:val="center"/>
              <w:rPr>
                <w:rFonts w:ascii="宋体" w:hAnsi="宋体"/>
                <w:color w:val="auto"/>
                <w:szCs w:val="21"/>
                <w:highlight w:val="none"/>
              </w:rPr>
            </w:pPr>
            <w:r>
              <w:rPr>
                <w:rFonts w:hint="eastAsia" w:ascii="宋体" w:hAnsi="宋体"/>
                <w:color w:val="auto"/>
                <w:szCs w:val="21"/>
                <w:highlight w:val="none"/>
              </w:rPr>
              <w:t>合同签订期</w:t>
            </w:r>
          </w:p>
        </w:tc>
        <w:tc>
          <w:tcPr>
            <w:tcW w:w="7431" w:type="dxa"/>
            <w:gridSpan w:val="2"/>
            <w:tcBorders>
              <w:top w:val="single" w:color="auto" w:sz="4" w:space="0"/>
              <w:left w:val="single" w:color="auto" w:sz="4" w:space="0"/>
              <w:right w:val="single" w:color="auto" w:sz="4" w:space="0"/>
            </w:tcBorders>
            <w:vAlign w:val="center"/>
          </w:tcPr>
          <w:p w14:paraId="02ECAF8F">
            <w:pPr>
              <w:tabs>
                <w:tab w:val="left" w:pos="180"/>
                <w:tab w:val="left" w:pos="1620"/>
              </w:tabs>
              <w:spacing w:line="360" w:lineRule="auto"/>
              <w:jc w:val="left"/>
              <w:rPr>
                <w:rFonts w:ascii="宋体" w:hAnsi="宋体"/>
                <w:color w:val="auto"/>
                <w:szCs w:val="21"/>
                <w:highlight w:val="none"/>
              </w:rPr>
            </w:pPr>
            <w:r>
              <w:rPr>
                <w:rFonts w:hint="eastAsia" w:ascii="宋体" w:hAnsi="宋体"/>
                <w:color w:val="auto"/>
                <w:szCs w:val="21"/>
                <w:highlight w:val="none"/>
              </w:rPr>
              <w:t>自中标通知书发出之日起25日内。</w:t>
            </w:r>
          </w:p>
        </w:tc>
      </w:tr>
      <w:tr w14:paraId="7C867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2287" w:type="dxa"/>
            <w:gridSpan w:val="2"/>
            <w:tcBorders>
              <w:top w:val="single" w:color="auto" w:sz="4" w:space="0"/>
              <w:left w:val="single" w:color="auto" w:sz="4" w:space="0"/>
              <w:right w:val="single" w:color="auto" w:sz="4" w:space="0"/>
            </w:tcBorders>
            <w:vAlign w:val="center"/>
          </w:tcPr>
          <w:p w14:paraId="4D1C1F54">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▲服务地点</w:t>
            </w:r>
          </w:p>
        </w:tc>
        <w:tc>
          <w:tcPr>
            <w:tcW w:w="7431" w:type="dxa"/>
            <w:gridSpan w:val="2"/>
            <w:tcBorders>
              <w:top w:val="single" w:color="auto" w:sz="4" w:space="0"/>
              <w:left w:val="single" w:color="auto" w:sz="4" w:space="0"/>
              <w:right w:val="single" w:color="auto" w:sz="4" w:space="0"/>
            </w:tcBorders>
            <w:vAlign w:val="center"/>
          </w:tcPr>
          <w:p w14:paraId="08C1790C">
            <w:pPr>
              <w:spacing w:line="360" w:lineRule="auto"/>
              <w:rPr>
                <w:color w:val="auto"/>
                <w:szCs w:val="21"/>
                <w:highlight w:val="none"/>
              </w:rPr>
            </w:pPr>
            <w:r>
              <w:rPr>
                <w:rFonts w:hint="eastAsia" w:ascii="宋体" w:hAnsi="宋体"/>
                <w:color w:val="auto"/>
                <w:szCs w:val="21"/>
                <w:highlight w:val="none"/>
              </w:rPr>
              <w:t>广西区内（采购人指定地点）</w:t>
            </w:r>
          </w:p>
        </w:tc>
      </w:tr>
      <w:tr w14:paraId="7F7AE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jc w:val="center"/>
        </w:trPr>
        <w:tc>
          <w:tcPr>
            <w:tcW w:w="2287" w:type="dxa"/>
            <w:gridSpan w:val="2"/>
            <w:tcBorders>
              <w:top w:val="single" w:color="auto" w:sz="4" w:space="0"/>
              <w:left w:val="single" w:color="auto" w:sz="4" w:space="0"/>
              <w:right w:val="single" w:color="auto" w:sz="4" w:space="0"/>
            </w:tcBorders>
            <w:vAlign w:val="center"/>
          </w:tcPr>
          <w:p w14:paraId="371F93C2">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▲付款条件</w:t>
            </w:r>
          </w:p>
        </w:tc>
        <w:tc>
          <w:tcPr>
            <w:tcW w:w="7431" w:type="dxa"/>
            <w:gridSpan w:val="2"/>
            <w:tcBorders>
              <w:top w:val="single" w:color="auto" w:sz="4" w:space="0"/>
              <w:left w:val="single" w:color="auto" w:sz="4" w:space="0"/>
              <w:right w:val="single" w:color="auto" w:sz="4" w:space="0"/>
            </w:tcBorders>
            <w:vAlign w:val="center"/>
          </w:tcPr>
          <w:p w14:paraId="4E251911">
            <w:pPr>
              <w:spacing w:line="360" w:lineRule="auto"/>
              <w:rPr>
                <w:rFonts w:ascii="宋体" w:hAnsi="宋体"/>
                <w:color w:val="auto"/>
                <w:szCs w:val="21"/>
                <w:highlight w:val="none"/>
              </w:rPr>
            </w:pPr>
            <w:r>
              <w:rPr>
                <w:rFonts w:hint="eastAsia" w:ascii="宋体" w:hAnsi="宋体"/>
                <w:color w:val="auto"/>
                <w:szCs w:val="21"/>
                <w:highlight w:val="none"/>
              </w:rPr>
              <w:t>该项目2026年支付42.726万，签订合同后十五个工作日内，采购人向成交供应商支付42.762万元的50%；完成服务能力验收后三个月内，采购人向成交供应商支付42.762万元的50%，剩余部分在2027年支付。采购人付款前，成交供应商应向采购人开具等额有效的增值税发票，采购人未收到发票的，有权不予支付相应款项直至成交供应商提供合格发票，并不承担延迟付款责任。</w:t>
            </w:r>
          </w:p>
          <w:p w14:paraId="10FC63C6">
            <w:pPr>
              <w:spacing w:line="360" w:lineRule="auto"/>
              <w:rPr>
                <w:color w:val="auto"/>
                <w:szCs w:val="21"/>
                <w:highlight w:val="none"/>
              </w:rPr>
            </w:pPr>
            <w:r>
              <w:rPr>
                <w:rFonts w:hint="eastAsia" w:ascii="宋体" w:hAnsi="宋体"/>
                <w:color w:val="auto"/>
                <w:szCs w:val="21"/>
                <w:highlight w:val="none"/>
              </w:rPr>
              <w:t>注：如中标价格低于42.762万元，则按相同比例在2026年完成支付。</w:t>
            </w:r>
          </w:p>
        </w:tc>
      </w:tr>
      <w:tr w14:paraId="07B08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287" w:type="dxa"/>
            <w:gridSpan w:val="2"/>
            <w:tcBorders>
              <w:top w:val="single" w:color="auto" w:sz="4" w:space="0"/>
              <w:left w:val="single" w:color="auto" w:sz="4" w:space="0"/>
              <w:bottom w:val="single" w:color="auto" w:sz="4" w:space="0"/>
              <w:right w:val="single" w:color="auto" w:sz="4" w:space="0"/>
            </w:tcBorders>
            <w:vAlign w:val="center"/>
          </w:tcPr>
          <w:p w14:paraId="7C72B73E">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报价要求</w:t>
            </w:r>
          </w:p>
        </w:tc>
        <w:tc>
          <w:tcPr>
            <w:tcW w:w="7431" w:type="dxa"/>
            <w:gridSpan w:val="2"/>
            <w:tcBorders>
              <w:top w:val="single" w:color="auto" w:sz="4" w:space="0"/>
              <w:left w:val="single" w:color="auto" w:sz="4" w:space="0"/>
              <w:bottom w:val="single" w:color="auto" w:sz="4" w:space="0"/>
              <w:right w:val="single" w:color="auto" w:sz="4" w:space="0"/>
            </w:tcBorders>
            <w:vAlign w:val="center"/>
          </w:tcPr>
          <w:p w14:paraId="1351670E">
            <w:pPr>
              <w:spacing w:line="360" w:lineRule="auto"/>
              <w:rPr>
                <w:color w:val="auto"/>
                <w:szCs w:val="21"/>
                <w:highlight w:val="none"/>
              </w:rPr>
            </w:pPr>
            <w:r>
              <w:rPr>
                <w:rFonts w:hint="eastAsia" w:ascii="宋体" w:hAnsi="宋体"/>
                <w:color w:val="auto"/>
                <w:szCs w:val="21"/>
                <w:highlight w:val="none"/>
              </w:rPr>
              <w:t>本项目报价为总包干价。</w:t>
            </w:r>
            <w:r>
              <w:rPr>
                <w:rFonts w:hint="eastAsia"/>
                <w:color w:val="auto"/>
                <w:szCs w:val="21"/>
                <w:highlight w:val="none"/>
              </w:rPr>
              <w:t>报价包含本项目所有服务内容、</w:t>
            </w:r>
            <w:r>
              <w:rPr>
                <w:rFonts w:hint="eastAsia" w:ascii="宋体" w:hAnsi="宋体" w:cs="宋体"/>
                <w:color w:val="auto"/>
                <w:szCs w:val="21"/>
                <w:highlight w:val="none"/>
              </w:rPr>
              <w:t>服务中包含货物</w:t>
            </w:r>
            <w:r>
              <w:rPr>
                <w:rFonts w:hint="eastAsia"/>
                <w:color w:val="auto"/>
                <w:szCs w:val="21"/>
                <w:highlight w:val="none"/>
              </w:rPr>
              <w:t>所涉及的设备、备品备件、标准附件、专用工具、人员薪酬、交通费、安装、调试、技术支持、培训、检测检验、必要的保费、各项税费、招标代理服务费及其它所有成本费用的总和。</w:t>
            </w:r>
            <w:r>
              <w:rPr>
                <w:rFonts w:hint="eastAsia" w:ascii="宋体" w:hAnsi="宋体" w:cs="宋体"/>
                <w:color w:val="auto"/>
                <w:szCs w:val="21"/>
                <w:highlight w:val="none"/>
              </w:rPr>
              <w:t>由供应商根据采购文件所提供的资料自行测算投标报价；一经中标，投标报价总价作为中标供应商与采购人签订的合同金额，合同期限内不做调整。</w:t>
            </w:r>
          </w:p>
        </w:tc>
      </w:tr>
      <w:tr w14:paraId="2EFC9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87" w:type="dxa"/>
            <w:gridSpan w:val="2"/>
            <w:tcBorders>
              <w:top w:val="single" w:color="auto" w:sz="4" w:space="0"/>
              <w:left w:val="single" w:color="auto" w:sz="4" w:space="0"/>
              <w:right w:val="single" w:color="auto" w:sz="4" w:space="0"/>
            </w:tcBorders>
            <w:vAlign w:val="center"/>
          </w:tcPr>
          <w:p w14:paraId="637A3292">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其它要求</w:t>
            </w:r>
          </w:p>
        </w:tc>
        <w:tc>
          <w:tcPr>
            <w:tcW w:w="7431" w:type="dxa"/>
            <w:gridSpan w:val="2"/>
            <w:tcBorders>
              <w:top w:val="single" w:color="auto" w:sz="4" w:space="0"/>
              <w:left w:val="single" w:color="auto" w:sz="4" w:space="0"/>
              <w:right w:val="single" w:color="auto" w:sz="4" w:space="0"/>
            </w:tcBorders>
            <w:vAlign w:val="center"/>
          </w:tcPr>
          <w:p w14:paraId="1EC6079E">
            <w:pPr>
              <w:spacing w:line="360" w:lineRule="auto"/>
              <w:rPr>
                <w:rFonts w:ascii="宋体" w:hAnsi="宋体" w:cs="宋体"/>
                <w:color w:val="auto"/>
                <w:szCs w:val="21"/>
                <w:highlight w:val="none"/>
              </w:rPr>
            </w:pPr>
            <w:r>
              <w:rPr>
                <w:rFonts w:hint="eastAsia" w:ascii="宋体" w:hAnsi="宋体" w:cs="宋体"/>
                <w:color w:val="auto"/>
                <w:szCs w:val="21"/>
                <w:highlight w:val="none"/>
              </w:rPr>
              <w:t>（一）服务质量要求</w:t>
            </w:r>
          </w:p>
          <w:p w14:paraId="3E4A2C19">
            <w:pPr>
              <w:spacing w:line="360" w:lineRule="auto"/>
              <w:rPr>
                <w:rFonts w:ascii="宋体" w:hAnsi="宋体" w:cs="宋体"/>
                <w:color w:val="auto"/>
                <w:szCs w:val="21"/>
                <w:highlight w:val="none"/>
              </w:rPr>
            </w:pPr>
            <w:r>
              <w:rPr>
                <w:rFonts w:hint="eastAsia" w:ascii="宋体" w:hAnsi="宋体" w:cs="宋体"/>
                <w:color w:val="auto"/>
                <w:szCs w:val="21"/>
                <w:highlight w:val="none"/>
              </w:rPr>
              <w:t>▲1、投标人具备相关信息化系统的开发和运行维护经验。</w:t>
            </w:r>
          </w:p>
          <w:p w14:paraId="56016FBC">
            <w:pPr>
              <w:spacing w:line="360" w:lineRule="auto"/>
              <w:rPr>
                <w:rFonts w:ascii="宋体" w:hAnsi="宋体" w:cs="宋体"/>
                <w:color w:val="auto"/>
                <w:szCs w:val="21"/>
                <w:highlight w:val="none"/>
              </w:rPr>
            </w:pPr>
            <w:r>
              <w:rPr>
                <w:rFonts w:hint="eastAsia" w:ascii="宋体" w:hAnsi="宋体" w:cs="宋体"/>
                <w:color w:val="auto"/>
                <w:szCs w:val="21"/>
                <w:highlight w:val="none"/>
              </w:rPr>
              <w:t>2、投标人承诺中标后能为本项目提供本地化服务的能力，并在广西设有本地化的服务团队（如已具备本地化能力，投标文件中提供地址、服务团队名单、联系方式；未设立的则在投标文件中提供承诺函（格式自拟））。</w:t>
            </w:r>
          </w:p>
          <w:p w14:paraId="476E48E5">
            <w:pPr>
              <w:spacing w:line="360" w:lineRule="auto"/>
              <w:rPr>
                <w:rFonts w:ascii="宋体" w:hAnsi="宋体" w:cs="宋体"/>
                <w:color w:val="auto"/>
                <w:szCs w:val="21"/>
                <w:highlight w:val="none"/>
              </w:rPr>
            </w:pPr>
            <w:r>
              <w:rPr>
                <w:rFonts w:hint="eastAsia" w:ascii="宋体" w:hAnsi="宋体" w:cs="宋体"/>
                <w:color w:val="auto"/>
                <w:szCs w:val="21"/>
                <w:highlight w:val="none"/>
              </w:rPr>
              <w:t>▲3、投标人</w:t>
            </w:r>
            <w:bookmarkStart w:id="53" w:name="OLE_LINK6"/>
            <w:r>
              <w:rPr>
                <w:rFonts w:hint="eastAsia" w:ascii="宋体" w:hAnsi="宋体" w:cs="宋体"/>
                <w:color w:val="auto"/>
                <w:kern w:val="0"/>
                <w:szCs w:val="21"/>
                <w:highlight w:val="none"/>
                <w:lang w:bidi="ar"/>
              </w:rPr>
              <w:t>提供7*24小时的热线电话技术支持服务，保障面向管理部门、运输企业及驾驶员的服务质量。定期对系统的运行进行监控，避免或减少系统故障，保持业务持续性运行。包括：系统软件在安装、调试、故障清除、优化配置、软件接口优化、数据库维护、数据备份、对系统进行的功能完善及系统软件优化，提供应用软件系统故障、数据备份及管理、技术业务支持、应用软件日常功能修改、灾后数据恢复以及软件日常升级服务、数据规范和处理、系统性能优化、应用服务维护、与各有关单位数据交换及维护服务。根据要求出具系统月度运行情况月报和系统演示支持。提供的系统符合等保二级安全要求并做好等级保护测评工作</w:t>
            </w:r>
            <w:r>
              <w:rPr>
                <w:rFonts w:hint="eastAsia" w:ascii="宋体" w:hAnsi="宋体" w:cs="宋体"/>
                <w:bCs/>
                <w:color w:val="auto"/>
                <w:szCs w:val="21"/>
                <w:highlight w:val="none"/>
              </w:rPr>
              <w:t>。</w:t>
            </w:r>
          </w:p>
          <w:bookmarkEnd w:id="53"/>
          <w:p w14:paraId="03165996">
            <w:pPr>
              <w:spacing w:line="360" w:lineRule="auto"/>
              <w:rPr>
                <w:rFonts w:ascii="宋体" w:hAnsi="宋体" w:cs="宋体"/>
                <w:color w:val="auto"/>
                <w:szCs w:val="21"/>
                <w:highlight w:val="none"/>
              </w:rPr>
            </w:pPr>
            <w:r>
              <w:rPr>
                <w:rFonts w:hint="eastAsia" w:ascii="宋体" w:hAnsi="宋体" w:cs="宋体"/>
                <w:color w:val="auto"/>
                <w:szCs w:val="21"/>
                <w:highlight w:val="none"/>
              </w:rPr>
              <w:t>4、投标人应建立规范的内部管理制度。严格管理专职专业技术人员，保证服务态度良好、问题解决及时、重大问题及时反馈、运维记录详细。</w:t>
            </w:r>
          </w:p>
          <w:p w14:paraId="2EC8415C">
            <w:pPr>
              <w:spacing w:line="360" w:lineRule="auto"/>
              <w:rPr>
                <w:rFonts w:ascii="宋体" w:hAnsi="宋体" w:cs="宋体"/>
                <w:color w:val="auto"/>
                <w:szCs w:val="21"/>
                <w:highlight w:val="none"/>
              </w:rPr>
            </w:pPr>
            <w:r>
              <w:rPr>
                <w:rFonts w:hint="eastAsia" w:ascii="宋体" w:hAnsi="宋体" w:cs="宋体"/>
                <w:color w:val="auto"/>
                <w:szCs w:val="21"/>
                <w:highlight w:val="none"/>
              </w:rPr>
              <w:t>5、投标人应建立常见系统故障应急预案，以便出现问题后，及时作出响应，降低事故后果。</w:t>
            </w:r>
          </w:p>
          <w:p w14:paraId="41AC2FFC">
            <w:pPr>
              <w:spacing w:line="360" w:lineRule="auto"/>
              <w:rPr>
                <w:rFonts w:ascii="宋体" w:hAnsi="宋体" w:cs="宋体"/>
                <w:color w:val="auto"/>
                <w:szCs w:val="21"/>
                <w:highlight w:val="none"/>
              </w:rPr>
            </w:pPr>
            <w:r>
              <w:rPr>
                <w:rFonts w:hint="eastAsia" w:ascii="宋体" w:hAnsi="宋体" w:cs="宋体"/>
                <w:color w:val="auto"/>
                <w:szCs w:val="21"/>
                <w:highlight w:val="none"/>
              </w:rPr>
              <w:t>6、投标人有义务对专职专业技术人员进行岗前操作培训，以便更好地掌握平台运维技能。</w:t>
            </w:r>
          </w:p>
          <w:p w14:paraId="33CD6A58">
            <w:pPr>
              <w:spacing w:line="360" w:lineRule="auto"/>
              <w:rPr>
                <w:rFonts w:ascii="宋体" w:hAnsi="宋体" w:cs="宋体"/>
                <w:color w:val="auto"/>
                <w:szCs w:val="21"/>
                <w:highlight w:val="none"/>
              </w:rPr>
            </w:pPr>
            <w:r>
              <w:rPr>
                <w:rFonts w:hint="eastAsia" w:ascii="宋体" w:hAnsi="宋体" w:cs="宋体"/>
                <w:color w:val="auto"/>
                <w:szCs w:val="21"/>
                <w:highlight w:val="none"/>
              </w:rPr>
              <w:t>7、当出现系统崩溃导致业务停止、数据丢失等系统故障时，投标人必须在10分钟内进行响应，2小时内提出处理方案，12小时内解决故障。</w:t>
            </w:r>
          </w:p>
          <w:p w14:paraId="0D10CE31">
            <w:pPr>
              <w:spacing w:line="360" w:lineRule="auto"/>
              <w:rPr>
                <w:rFonts w:ascii="宋体" w:hAnsi="宋体" w:cs="宋体"/>
                <w:color w:val="auto"/>
                <w:szCs w:val="21"/>
                <w:highlight w:val="none"/>
              </w:rPr>
            </w:pPr>
            <w:r>
              <w:rPr>
                <w:rFonts w:hint="eastAsia" w:ascii="宋体" w:hAnsi="宋体" w:cs="宋体"/>
                <w:color w:val="auto"/>
                <w:szCs w:val="21"/>
                <w:highlight w:val="none"/>
              </w:rPr>
              <w:t>（二）服务规范要求</w:t>
            </w:r>
          </w:p>
          <w:p w14:paraId="1E0C33BE">
            <w:pPr>
              <w:spacing w:line="360" w:lineRule="auto"/>
              <w:rPr>
                <w:rFonts w:ascii="宋体" w:hAnsi="宋体" w:cs="宋体"/>
                <w:color w:val="auto"/>
                <w:szCs w:val="21"/>
                <w:highlight w:val="none"/>
              </w:rPr>
            </w:pPr>
            <w:r>
              <w:rPr>
                <w:rFonts w:hint="eastAsia" w:ascii="宋体" w:hAnsi="宋体" w:cs="宋体"/>
                <w:color w:val="auto"/>
                <w:szCs w:val="21"/>
                <w:highlight w:val="none"/>
              </w:rPr>
              <w:t>1、遵守用户的规章制度，严格按照规章制度办事。</w:t>
            </w:r>
          </w:p>
          <w:p w14:paraId="7EBB96C3">
            <w:pPr>
              <w:spacing w:line="360" w:lineRule="auto"/>
              <w:rPr>
                <w:rFonts w:ascii="宋体" w:hAnsi="宋体" w:cs="宋体"/>
                <w:color w:val="auto"/>
                <w:szCs w:val="21"/>
                <w:highlight w:val="none"/>
              </w:rPr>
            </w:pPr>
            <w:r>
              <w:rPr>
                <w:rFonts w:hint="eastAsia" w:ascii="宋体" w:hAnsi="宋体" w:cs="宋体"/>
                <w:color w:val="auto"/>
                <w:szCs w:val="21"/>
                <w:highlight w:val="none"/>
              </w:rPr>
              <w:t>2、对被支持单位的网络、主机、系统软件、应用软件等的密码、核心参数、业务数据等负有保密责任，不得随意复制和传播。</w:t>
            </w:r>
          </w:p>
          <w:p w14:paraId="56272354">
            <w:pPr>
              <w:spacing w:line="360" w:lineRule="auto"/>
              <w:rPr>
                <w:rFonts w:ascii="宋体" w:hAnsi="宋体" w:cs="宋体"/>
                <w:color w:val="auto"/>
                <w:szCs w:val="21"/>
                <w:highlight w:val="none"/>
              </w:rPr>
            </w:pPr>
            <w:r>
              <w:rPr>
                <w:rFonts w:hint="eastAsia" w:ascii="宋体" w:hAnsi="宋体" w:cs="宋体"/>
                <w:color w:val="auto"/>
                <w:szCs w:val="21"/>
                <w:highlight w:val="none"/>
              </w:rPr>
              <w:t>3、严格按照服务工作流程规范进行日常工作，如果发生由于日常工作遗漏和疏忽导致业户的数据丢失或被攻击、未授权的配置变更等影响业主业务正常开展的情况，将根据情节严重对相关责任人进行相应的处罚。</w:t>
            </w:r>
          </w:p>
          <w:p w14:paraId="2837A1D1">
            <w:pPr>
              <w:spacing w:line="360" w:lineRule="auto"/>
              <w:rPr>
                <w:rFonts w:ascii="宋体" w:hAnsi="宋体" w:cs="宋体"/>
                <w:color w:val="auto"/>
                <w:szCs w:val="21"/>
                <w:highlight w:val="none"/>
              </w:rPr>
            </w:pPr>
            <w:r>
              <w:rPr>
                <w:rFonts w:hint="eastAsia" w:ascii="宋体" w:hAnsi="宋体" w:cs="宋体"/>
                <w:color w:val="auto"/>
                <w:szCs w:val="21"/>
                <w:highlight w:val="none"/>
              </w:rPr>
              <w:t>4、服务期间须按照国家网络安全及信息保密安全有关管理规定做好网络安全保密工作。指定具体网络安全责任人，建立管理技术团队负责项目实施过程中的网络安全管理。网络安全责任人及工作人员有变更、乙方工作人员有业务转型或乙方因自身原因有合并重组等的须提前向甲方进行书面说明，未经甲方同意，乙方不得私自将在甲方工作期间的项目任务进行分包、转包。中标供应商必须承担为采购人保守相关保密信息的义务和责任，包括以下内容：中标供应商应严格控制了解项目关键资料的人员范围，对参与项目运维的有关工作人员要明确保密责任，严格保密纪律，不得泄漏、使用系统数据信息用于其他用途。</w:t>
            </w:r>
          </w:p>
          <w:p w14:paraId="585B8228">
            <w:pPr>
              <w:spacing w:line="360" w:lineRule="auto"/>
              <w:rPr>
                <w:rFonts w:ascii="宋体" w:hAnsi="宋体" w:cs="宋体"/>
                <w:color w:val="auto"/>
                <w:szCs w:val="21"/>
                <w:highlight w:val="none"/>
              </w:rPr>
            </w:pPr>
            <w:r>
              <w:rPr>
                <w:rFonts w:hint="eastAsia" w:ascii="宋体" w:hAnsi="宋体" w:cs="宋体"/>
                <w:color w:val="auto"/>
                <w:szCs w:val="21"/>
                <w:highlight w:val="none"/>
              </w:rPr>
              <w:t>5、服务期间涉及的政务数据和其他数据须分开处理，不得私自将工作中处理的数据进行变更处理。中标人在服务期间处理数据，涉及到个人信息时，须按照国家个人信息保护相关管理规定，做好数据处理存储工作。采购人具有所有权、使用权和访问权，中标人不得私自更改、访问、利用和销毁服务期间涉及到的政务数据信息。</w:t>
            </w:r>
          </w:p>
          <w:p w14:paraId="1CB5A72E">
            <w:pPr>
              <w:spacing w:line="360" w:lineRule="auto"/>
              <w:rPr>
                <w:rFonts w:ascii="宋体" w:hAnsi="宋体"/>
                <w:color w:val="auto"/>
                <w:szCs w:val="21"/>
                <w:highlight w:val="none"/>
              </w:rPr>
            </w:pPr>
            <w:r>
              <w:rPr>
                <w:rFonts w:hint="eastAsia" w:ascii="宋体" w:hAnsi="宋体" w:cs="宋体"/>
                <w:color w:val="auto"/>
                <w:szCs w:val="21"/>
                <w:highlight w:val="none"/>
              </w:rPr>
              <w:t>6、做好网络安全漏洞检查，</w:t>
            </w:r>
            <w:r>
              <w:rPr>
                <w:rFonts w:hint="eastAsia" w:ascii="宋体" w:hAnsi="宋体"/>
                <w:color w:val="auto"/>
                <w:szCs w:val="21"/>
                <w:highlight w:val="none"/>
              </w:rPr>
              <w:t>如定期修改系统管理员密码，提醒用户及时更新密码，加强访问控制等措施，提升系统抵抗外部攻击能力，确保系统安全可靠运行。配合采购人做好网络安全应急事件处置、定期做好漏洞修复等管理维护工作。</w:t>
            </w:r>
          </w:p>
          <w:p w14:paraId="55325ABD">
            <w:pPr>
              <w:spacing w:line="360" w:lineRule="auto"/>
              <w:rPr>
                <w:rFonts w:ascii="宋体" w:hAnsi="宋体" w:cs="宋体"/>
                <w:bCs/>
                <w:color w:val="auto"/>
                <w:szCs w:val="21"/>
                <w:highlight w:val="none"/>
              </w:rPr>
            </w:pPr>
            <w:r>
              <w:rPr>
                <w:rFonts w:hint="eastAsia" w:ascii="宋体" w:hAnsi="宋体"/>
                <w:color w:val="auto"/>
                <w:szCs w:val="21"/>
                <w:highlight w:val="none"/>
              </w:rPr>
              <w:t>通过数据在应用和传输过程中可能涉及到的数据质量问题，按照相关标准和规范进行维护和整理，保障数据质量，确保数据满足采购方业务需求。</w:t>
            </w:r>
            <w:r>
              <w:rPr>
                <w:rFonts w:hint="eastAsia" w:ascii="宋体" w:hAnsi="宋体" w:cs="宋体"/>
                <w:color w:val="auto"/>
                <w:szCs w:val="21"/>
                <w:highlight w:val="none"/>
              </w:rPr>
              <w:t>发现安全漏洞、缺陷及安全风险须及时通报，并形成报告向区网信、公安部门报告，安全漏洞未经网信、公安部门同意，不得向第三人公开。</w:t>
            </w:r>
          </w:p>
          <w:p w14:paraId="7EFD876A">
            <w:pPr>
              <w:spacing w:line="360" w:lineRule="auto"/>
              <w:rPr>
                <w:rFonts w:ascii="宋体" w:hAnsi="宋体" w:cs="宋体"/>
                <w:color w:val="auto"/>
                <w:szCs w:val="21"/>
                <w:highlight w:val="none"/>
              </w:rPr>
            </w:pPr>
            <w:r>
              <w:rPr>
                <w:rFonts w:hint="eastAsia" w:ascii="宋体" w:hAnsi="宋体" w:cs="宋体"/>
                <w:color w:val="auto"/>
                <w:szCs w:val="21"/>
                <w:highlight w:val="none"/>
              </w:rPr>
              <w:t>7、处理数据时优先使用国产安全可信的硬件软件产品，按照国家和自治区各项要求配合采购人完成相应的国产化服务。硬软件信息系统须按照国家密码管理要求设置不限于数字字母特殊字符组合的强口令的密码。</w:t>
            </w:r>
          </w:p>
          <w:p w14:paraId="6A019C07">
            <w:pPr>
              <w:spacing w:line="360" w:lineRule="auto"/>
              <w:rPr>
                <w:color w:val="auto"/>
                <w:szCs w:val="21"/>
                <w:highlight w:val="none"/>
              </w:rPr>
            </w:pPr>
            <w:r>
              <w:rPr>
                <w:rFonts w:hint="eastAsia" w:ascii="宋体" w:hAnsi="宋体" w:cs="宋体"/>
                <w:color w:val="auto"/>
                <w:szCs w:val="21"/>
                <w:highlight w:val="none"/>
              </w:rPr>
              <w:t>▲8、中标人必须与采购人签订保密协议。</w:t>
            </w:r>
          </w:p>
        </w:tc>
      </w:tr>
    </w:tbl>
    <w:p w14:paraId="0058F74C">
      <w:pPr>
        <w:spacing w:line="360" w:lineRule="auto"/>
        <w:ind w:firstLine="308" w:firstLineChars="147"/>
        <w:jc w:val="left"/>
        <w:rPr>
          <w:rFonts w:ascii="宋体" w:hAnsi="宋体" w:cs="Arial"/>
          <w:bCs/>
          <w:color w:val="auto"/>
          <w:szCs w:val="21"/>
          <w:highlight w:val="none"/>
          <w:u w:val="single"/>
        </w:rPr>
      </w:pPr>
      <w:r>
        <w:rPr>
          <w:rFonts w:ascii="宋体" w:hAnsi="宋体" w:cs="宋体"/>
          <w:color w:val="auto"/>
          <w:szCs w:val="21"/>
          <w:highlight w:val="none"/>
        </w:rPr>
        <w:br w:type="page"/>
      </w:r>
      <w:r>
        <w:rPr>
          <w:rFonts w:hint="eastAsia" w:ascii="宋体" w:hAnsi="宋体" w:cs="Arial"/>
          <w:b/>
          <w:color w:val="auto"/>
          <w:szCs w:val="21"/>
          <w:highlight w:val="none"/>
          <w:u w:val="single"/>
        </w:rPr>
        <w:t xml:space="preserve"> 2 </w:t>
      </w:r>
      <w:r>
        <w:rPr>
          <w:rFonts w:hint="eastAsia" w:ascii="宋体" w:hAnsi="宋体"/>
          <w:b/>
          <w:color w:val="auto"/>
          <w:szCs w:val="21"/>
          <w:highlight w:val="none"/>
        </w:rPr>
        <w:t>分标      采购预算：</w:t>
      </w:r>
      <w:r>
        <w:rPr>
          <w:rFonts w:hint="eastAsia" w:ascii="宋体" w:hAnsi="宋体" w:cs="Arial"/>
          <w:bCs/>
          <w:color w:val="auto"/>
          <w:szCs w:val="21"/>
          <w:highlight w:val="none"/>
          <w:u w:val="single"/>
        </w:rPr>
        <w:t xml:space="preserve">详见招标公告 </w:t>
      </w: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
        <w:gridCol w:w="1601"/>
        <w:gridCol w:w="756"/>
        <w:gridCol w:w="6675"/>
      </w:tblGrid>
      <w:tr w14:paraId="1F7D3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9718" w:type="dxa"/>
            <w:gridSpan w:val="4"/>
            <w:tcBorders>
              <w:top w:val="single" w:color="auto" w:sz="4" w:space="0"/>
              <w:left w:val="single" w:color="auto" w:sz="4" w:space="0"/>
              <w:bottom w:val="single" w:color="auto" w:sz="4" w:space="0"/>
              <w:right w:val="single" w:color="auto" w:sz="4" w:space="0"/>
            </w:tcBorders>
            <w:vAlign w:val="center"/>
          </w:tcPr>
          <w:p w14:paraId="7C773A7F">
            <w:pPr>
              <w:pStyle w:val="23"/>
              <w:spacing w:line="340" w:lineRule="exact"/>
              <w:ind w:firstLine="316" w:firstLineChars="150"/>
              <w:jc w:val="center"/>
              <w:rPr>
                <w:rFonts w:hAnsi="宋体"/>
                <w:b/>
                <w:color w:val="auto"/>
                <w:sz w:val="21"/>
                <w:highlight w:val="none"/>
              </w:rPr>
            </w:pPr>
            <w:r>
              <w:rPr>
                <w:rFonts w:hint="eastAsia" w:hAnsi="宋体"/>
                <w:b/>
                <w:color w:val="auto"/>
                <w:sz w:val="21"/>
                <w:highlight w:val="none"/>
              </w:rPr>
              <w:t>采购需求一览表</w:t>
            </w:r>
          </w:p>
        </w:tc>
      </w:tr>
      <w:tr w14:paraId="68A41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86" w:type="dxa"/>
            <w:tcBorders>
              <w:top w:val="single" w:color="auto" w:sz="4" w:space="0"/>
              <w:left w:val="single" w:color="auto" w:sz="4" w:space="0"/>
              <w:bottom w:val="single" w:color="auto" w:sz="4" w:space="0"/>
              <w:right w:val="single" w:color="auto" w:sz="4" w:space="0"/>
            </w:tcBorders>
            <w:vAlign w:val="center"/>
          </w:tcPr>
          <w:p w14:paraId="4F145CE9">
            <w:pPr>
              <w:pStyle w:val="23"/>
              <w:spacing w:line="340" w:lineRule="exact"/>
              <w:jc w:val="center"/>
              <w:rPr>
                <w:rFonts w:hAnsi="宋体"/>
                <w:b/>
                <w:color w:val="auto"/>
                <w:sz w:val="21"/>
                <w:highlight w:val="none"/>
              </w:rPr>
            </w:pPr>
            <w:r>
              <w:rPr>
                <w:rFonts w:hint="eastAsia" w:hAnsi="宋体"/>
                <w:b/>
                <w:color w:val="auto"/>
                <w:sz w:val="21"/>
                <w:highlight w:val="none"/>
              </w:rPr>
              <w:t>序号</w:t>
            </w:r>
          </w:p>
        </w:tc>
        <w:tc>
          <w:tcPr>
            <w:tcW w:w="1601" w:type="dxa"/>
            <w:tcBorders>
              <w:top w:val="single" w:color="auto" w:sz="4" w:space="0"/>
              <w:left w:val="single" w:color="auto" w:sz="4" w:space="0"/>
              <w:bottom w:val="single" w:color="auto" w:sz="4" w:space="0"/>
              <w:right w:val="single" w:color="auto" w:sz="4" w:space="0"/>
            </w:tcBorders>
            <w:vAlign w:val="center"/>
          </w:tcPr>
          <w:p w14:paraId="67C06170">
            <w:pPr>
              <w:pStyle w:val="23"/>
              <w:spacing w:line="340" w:lineRule="exact"/>
              <w:jc w:val="center"/>
              <w:rPr>
                <w:rFonts w:hAnsi="宋体"/>
                <w:b/>
                <w:color w:val="auto"/>
                <w:sz w:val="21"/>
                <w:highlight w:val="none"/>
              </w:rPr>
            </w:pPr>
            <w:r>
              <w:rPr>
                <w:rFonts w:hint="eastAsia" w:hAnsi="宋体"/>
                <w:b/>
                <w:color w:val="auto"/>
                <w:sz w:val="21"/>
                <w:highlight w:val="none"/>
              </w:rPr>
              <w:t>服务名称</w:t>
            </w:r>
          </w:p>
        </w:tc>
        <w:tc>
          <w:tcPr>
            <w:tcW w:w="756" w:type="dxa"/>
            <w:tcBorders>
              <w:top w:val="single" w:color="auto" w:sz="4" w:space="0"/>
              <w:left w:val="single" w:color="auto" w:sz="4" w:space="0"/>
              <w:bottom w:val="single" w:color="auto" w:sz="4" w:space="0"/>
              <w:right w:val="single" w:color="auto" w:sz="4" w:space="0"/>
            </w:tcBorders>
            <w:vAlign w:val="center"/>
          </w:tcPr>
          <w:p w14:paraId="67443E73">
            <w:pPr>
              <w:widowControl/>
              <w:spacing w:line="340" w:lineRule="exact"/>
              <w:jc w:val="center"/>
              <w:rPr>
                <w:rFonts w:ascii="宋体" w:hAnsi="宋体" w:cs="宋体"/>
                <w:b/>
                <w:color w:val="auto"/>
                <w:kern w:val="0"/>
                <w:szCs w:val="21"/>
                <w:highlight w:val="none"/>
              </w:rPr>
            </w:pPr>
            <w:r>
              <w:rPr>
                <w:rFonts w:hint="eastAsia" w:ascii="宋体" w:hAnsi="宋体" w:cs="宋体"/>
                <w:b/>
                <w:color w:val="auto"/>
                <w:kern w:val="0"/>
                <w:szCs w:val="21"/>
                <w:highlight w:val="none"/>
              </w:rPr>
              <w:t>数量</w:t>
            </w:r>
          </w:p>
        </w:tc>
        <w:tc>
          <w:tcPr>
            <w:tcW w:w="6675" w:type="dxa"/>
            <w:tcBorders>
              <w:top w:val="single" w:color="auto" w:sz="4" w:space="0"/>
              <w:left w:val="single" w:color="auto" w:sz="4" w:space="0"/>
              <w:bottom w:val="single" w:color="auto" w:sz="4" w:space="0"/>
              <w:right w:val="single" w:color="auto" w:sz="4" w:space="0"/>
            </w:tcBorders>
            <w:vAlign w:val="center"/>
          </w:tcPr>
          <w:p w14:paraId="22A348AB">
            <w:pPr>
              <w:pStyle w:val="23"/>
              <w:spacing w:line="340" w:lineRule="exact"/>
              <w:ind w:firstLine="316" w:firstLineChars="150"/>
              <w:jc w:val="center"/>
              <w:rPr>
                <w:rFonts w:hAnsi="宋体"/>
                <w:b/>
                <w:color w:val="auto"/>
                <w:sz w:val="21"/>
                <w:highlight w:val="none"/>
              </w:rPr>
            </w:pPr>
            <w:r>
              <w:rPr>
                <w:rFonts w:hint="eastAsia" w:hAnsi="宋体"/>
                <w:b/>
                <w:color w:val="auto"/>
                <w:sz w:val="21"/>
                <w:highlight w:val="none"/>
              </w:rPr>
              <w:t>项目要求及技术需求</w:t>
            </w:r>
          </w:p>
        </w:tc>
      </w:tr>
      <w:tr w14:paraId="6DEEC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jc w:val="center"/>
        </w:trPr>
        <w:tc>
          <w:tcPr>
            <w:tcW w:w="686" w:type="dxa"/>
            <w:tcBorders>
              <w:top w:val="single" w:color="auto" w:sz="4" w:space="0"/>
              <w:left w:val="single" w:color="auto" w:sz="4" w:space="0"/>
              <w:right w:val="single" w:color="auto" w:sz="4" w:space="0"/>
            </w:tcBorders>
            <w:vAlign w:val="center"/>
          </w:tcPr>
          <w:p w14:paraId="1BE25A79">
            <w:pPr>
              <w:pStyle w:val="23"/>
              <w:spacing w:line="340" w:lineRule="exact"/>
              <w:jc w:val="center"/>
              <w:rPr>
                <w:rFonts w:hAnsi="宋体"/>
                <w:color w:val="auto"/>
                <w:sz w:val="21"/>
                <w:highlight w:val="none"/>
              </w:rPr>
            </w:pPr>
            <w:r>
              <w:rPr>
                <w:rFonts w:hint="eastAsia" w:hAnsi="宋体"/>
                <w:color w:val="auto"/>
                <w:sz w:val="21"/>
                <w:highlight w:val="none"/>
              </w:rPr>
              <w:t>1</w:t>
            </w:r>
          </w:p>
        </w:tc>
        <w:tc>
          <w:tcPr>
            <w:tcW w:w="1601" w:type="dxa"/>
            <w:tcBorders>
              <w:top w:val="single" w:color="auto" w:sz="4" w:space="0"/>
              <w:left w:val="single" w:color="auto" w:sz="4" w:space="0"/>
              <w:right w:val="single" w:color="auto" w:sz="4" w:space="0"/>
            </w:tcBorders>
            <w:vAlign w:val="center"/>
          </w:tcPr>
          <w:p w14:paraId="78110718">
            <w:pPr>
              <w:spacing w:line="380" w:lineRule="exact"/>
              <w:jc w:val="center"/>
              <w:rPr>
                <w:rFonts w:ascii="宋体" w:hAnsi="宋体" w:cs="宋体"/>
                <w:color w:val="auto"/>
                <w:szCs w:val="21"/>
                <w:highlight w:val="none"/>
              </w:rPr>
            </w:pPr>
            <w:r>
              <w:rPr>
                <w:rFonts w:hint="eastAsia" w:ascii="宋体" w:hAnsi="宋体" w:cs="宋体"/>
                <w:color w:val="auto"/>
                <w:kern w:val="0"/>
                <w:szCs w:val="21"/>
                <w:highlight w:val="none"/>
                <w:lang w:bidi="ar"/>
              </w:rPr>
              <w:t>广西道路运输驾驶员继续教育与从业资格考试技术服务</w:t>
            </w:r>
          </w:p>
        </w:tc>
        <w:tc>
          <w:tcPr>
            <w:tcW w:w="756" w:type="dxa"/>
            <w:tcBorders>
              <w:top w:val="single" w:color="auto" w:sz="4" w:space="0"/>
              <w:left w:val="single" w:color="auto" w:sz="4" w:space="0"/>
              <w:right w:val="single" w:color="auto" w:sz="4" w:space="0"/>
            </w:tcBorders>
            <w:vAlign w:val="center"/>
          </w:tcPr>
          <w:p w14:paraId="201A1C8A">
            <w:pPr>
              <w:spacing w:line="380" w:lineRule="exact"/>
              <w:jc w:val="center"/>
              <w:rPr>
                <w:rFonts w:ascii="宋体" w:hAnsi="宋体" w:cs="宋体"/>
                <w:color w:val="auto"/>
                <w:szCs w:val="21"/>
                <w:highlight w:val="none"/>
              </w:rPr>
            </w:pPr>
            <w:r>
              <w:rPr>
                <w:rFonts w:hint="eastAsia" w:ascii="宋体" w:hAnsi="宋体" w:cs="宋体"/>
                <w:color w:val="auto"/>
                <w:szCs w:val="21"/>
                <w:highlight w:val="none"/>
              </w:rPr>
              <w:t>1项</w:t>
            </w:r>
          </w:p>
        </w:tc>
        <w:tc>
          <w:tcPr>
            <w:tcW w:w="6675" w:type="dxa"/>
            <w:tcBorders>
              <w:top w:val="single" w:color="auto" w:sz="4" w:space="0"/>
              <w:left w:val="single" w:color="auto" w:sz="4" w:space="0"/>
              <w:right w:val="single" w:color="auto" w:sz="4" w:space="0"/>
            </w:tcBorders>
            <w:vAlign w:val="center"/>
          </w:tcPr>
          <w:p w14:paraId="42862C92">
            <w:pPr>
              <w:pStyle w:val="29"/>
              <w:numPr>
                <w:ilvl w:val="0"/>
                <w:numId w:val="3"/>
              </w:numPr>
              <w:spacing w:line="360" w:lineRule="auto"/>
              <w:ind w:firstLine="420" w:firstLineChars="200"/>
              <w:rPr>
                <w:rFonts w:ascii="宋体" w:hAnsi="宋体" w:cs="宋体"/>
                <w:color w:val="auto"/>
                <w:sz w:val="21"/>
                <w:szCs w:val="21"/>
                <w:highlight w:val="none"/>
                <w:lang w:bidi="ar"/>
              </w:rPr>
            </w:pPr>
            <w:r>
              <w:rPr>
                <w:rFonts w:hint="eastAsia" w:ascii="宋体" w:hAnsi="宋体" w:cs="宋体"/>
                <w:color w:val="auto"/>
                <w:sz w:val="21"/>
                <w:szCs w:val="21"/>
                <w:highlight w:val="none"/>
                <w:lang w:bidi="ar"/>
              </w:rPr>
              <w:t>广西道路运输驾驶员继续教育系统运维服务</w:t>
            </w:r>
          </w:p>
          <w:p w14:paraId="36A0F797">
            <w:pPr>
              <w:pStyle w:val="29"/>
              <w:spacing w:line="360" w:lineRule="auto"/>
              <w:ind w:firstLine="420" w:firstLineChars="200"/>
              <w:rPr>
                <w:rFonts w:ascii="宋体" w:hAnsi="宋体" w:cs="宋体"/>
                <w:color w:val="auto"/>
                <w:sz w:val="21"/>
                <w:szCs w:val="21"/>
                <w:highlight w:val="none"/>
                <w:lang w:bidi="ar"/>
              </w:rPr>
            </w:pPr>
            <w:r>
              <w:rPr>
                <w:rFonts w:hint="eastAsia" w:ascii="宋体" w:hAnsi="宋体" w:cs="宋体"/>
                <w:color w:val="auto"/>
                <w:sz w:val="21"/>
                <w:szCs w:val="21"/>
                <w:highlight w:val="none"/>
                <w:lang w:bidi="ar"/>
              </w:rPr>
              <w:t>提供“广西道路运输驾驶员继续教育系统”技术运维服务，支撑全区道路运输驾驶员（包括经营性道路客货运输驾驶员和道路危险货物运输驾驶员）的继续教育18个学时的网上学习的需求。</w:t>
            </w:r>
          </w:p>
          <w:p w14:paraId="57A0BDA5">
            <w:pPr>
              <w:pStyle w:val="29"/>
              <w:numPr>
                <w:ilvl w:val="0"/>
                <w:numId w:val="3"/>
              </w:numPr>
              <w:spacing w:line="360" w:lineRule="auto"/>
              <w:ind w:firstLine="420" w:firstLineChars="200"/>
              <w:rPr>
                <w:rFonts w:ascii="宋体" w:hAnsi="宋体" w:cs="宋体"/>
                <w:color w:val="auto"/>
                <w:sz w:val="21"/>
                <w:szCs w:val="21"/>
                <w:highlight w:val="none"/>
                <w:lang w:bidi="ar"/>
              </w:rPr>
            </w:pPr>
            <w:r>
              <w:rPr>
                <w:rFonts w:hint="eastAsia" w:ascii="宋体" w:hAnsi="宋体" w:cs="宋体"/>
                <w:color w:val="auto"/>
                <w:sz w:val="21"/>
                <w:szCs w:val="21"/>
                <w:highlight w:val="none"/>
                <w:lang w:bidi="ar"/>
              </w:rPr>
              <w:t>广西道路运输从业资格考试系统运维服务</w:t>
            </w:r>
          </w:p>
          <w:p w14:paraId="74691174">
            <w:pPr>
              <w:pStyle w:val="29"/>
              <w:spacing w:line="360" w:lineRule="auto"/>
              <w:ind w:firstLine="420" w:firstLineChars="200"/>
              <w:rPr>
                <w:rFonts w:ascii="宋体" w:hAnsi="宋体" w:cs="宋体"/>
                <w:color w:val="auto"/>
                <w:sz w:val="21"/>
                <w:szCs w:val="21"/>
                <w:highlight w:val="none"/>
                <w:lang w:bidi="ar"/>
              </w:rPr>
            </w:pPr>
            <w:r>
              <w:rPr>
                <w:rFonts w:hint="eastAsia" w:ascii="宋体" w:hAnsi="宋体" w:cs="宋体"/>
                <w:color w:val="auto"/>
                <w:sz w:val="21"/>
                <w:szCs w:val="21"/>
                <w:highlight w:val="none"/>
                <w:lang w:bidi="ar"/>
              </w:rPr>
              <w:t>提供“广西道路运输从业资格考试系统” 技术服务，支撑广西全区范围内的交通运输主管部门对本辖区申请出租汽车从业资格证的驾驶员进行考试、考务管理。系统包括报名、资格审核、成绩查询、考试计划管理、学员考试、补考管理、试题管理、考点管理、考场管理、科目管理、试卷管理、系统设置等功能。实现出租汽车驾驶员从报名、考试、发证全流程闭环管理，并与出租汽车驾驶员的“扫脸即办”实现无缝衔接。</w:t>
            </w:r>
            <w:r>
              <w:rPr>
                <w:rFonts w:hint="eastAsia" w:ascii="宋体" w:hAnsi="宋体" w:cs="宋体"/>
                <w:color w:val="auto"/>
                <w:sz w:val="21"/>
                <w:szCs w:val="21"/>
                <w:highlight w:val="none"/>
                <w:lang w:bidi="ar"/>
              </w:rPr>
              <w:br w:type="textWrapping"/>
            </w:r>
            <w:r>
              <w:rPr>
                <w:rFonts w:hint="eastAsia" w:ascii="宋体" w:hAnsi="宋体" w:cs="宋体"/>
                <w:color w:val="auto"/>
                <w:sz w:val="21"/>
                <w:szCs w:val="21"/>
                <w:highlight w:val="none"/>
                <w:lang w:bidi="ar"/>
              </w:rPr>
              <w:t xml:space="preserve">    三、继续教育和考试系统功能升级优化</w:t>
            </w:r>
          </w:p>
          <w:p w14:paraId="62CD7267">
            <w:pPr>
              <w:pStyle w:val="29"/>
              <w:spacing w:line="360" w:lineRule="auto"/>
              <w:ind w:firstLine="420" w:firstLineChars="200"/>
              <w:rPr>
                <w:rFonts w:ascii="宋体" w:hAnsi="宋体" w:cs="宋体"/>
                <w:color w:val="auto"/>
                <w:sz w:val="21"/>
                <w:szCs w:val="21"/>
                <w:highlight w:val="none"/>
                <w:lang w:bidi="ar"/>
              </w:rPr>
            </w:pPr>
            <w:r>
              <w:rPr>
                <w:rFonts w:hint="eastAsia" w:ascii="宋体" w:hAnsi="宋体" w:cs="宋体"/>
                <w:color w:val="auto"/>
                <w:sz w:val="21"/>
                <w:szCs w:val="21"/>
                <w:highlight w:val="none"/>
                <w:lang w:bidi="ar"/>
              </w:rPr>
              <w:t>1、课件模板制作。支持管理员创建标准化课件模板（含封面、章节结构等），模板可按培训类型（如危货运输、普货驾驶、企业负责人安全培训等）分类管理；确保全区课件风格统一、内容合规、符合行业培训规范。</w:t>
            </w:r>
          </w:p>
          <w:p w14:paraId="13322EED">
            <w:pPr>
              <w:pStyle w:val="29"/>
              <w:spacing w:line="360" w:lineRule="auto"/>
              <w:ind w:firstLine="420" w:firstLineChars="200"/>
              <w:rPr>
                <w:rFonts w:ascii="宋体" w:hAnsi="宋体" w:cs="宋体"/>
                <w:color w:val="auto"/>
                <w:sz w:val="21"/>
                <w:szCs w:val="21"/>
                <w:highlight w:val="none"/>
                <w:lang w:bidi="ar"/>
              </w:rPr>
            </w:pPr>
            <w:r>
              <w:rPr>
                <w:rFonts w:hint="eastAsia" w:ascii="宋体" w:hAnsi="宋体" w:cs="宋体"/>
                <w:color w:val="auto"/>
                <w:sz w:val="21"/>
                <w:szCs w:val="21"/>
                <w:highlight w:val="none"/>
                <w:lang w:bidi="ar"/>
              </w:rPr>
              <w:t>2、课件在线编辑。支持修改课件名称、封面、岗位分类、课件类型及视频内容</w:t>
            </w:r>
          </w:p>
          <w:p w14:paraId="5B497B53">
            <w:pPr>
              <w:pStyle w:val="29"/>
              <w:spacing w:line="360" w:lineRule="auto"/>
              <w:ind w:firstLine="420" w:firstLineChars="200"/>
              <w:rPr>
                <w:rFonts w:ascii="宋体" w:hAnsi="宋体" w:cs="宋体"/>
                <w:color w:val="auto"/>
                <w:sz w:val="21"/>
                <w:szCs w:val="21"/>
                <w:highlight w:val="none"/>
                <w:lang w:bidi="ar"/>
              </w:rPr>
            </w:pPr>
            <w:r>
              <w:rPr>
                <w:rFonts w:hint="eastAsia" w:ascii="宋体" w:hAnsi="宋体" w:cs="宋体"/>
                <w:color w:val="auto"/>
                <w:sz w:val="21"/>
                <w:szCs w:val="21"/>
                <w:highlight w:val="none"/>
                <w:lang w:bidi="ar"/>
              </w:rPr>
              <w:t>3、课件导入。支持单个视频文件导入并自动转换为标准课件结构；导入时可选择绑定对应模板，确保格式统一；减少人工重制成本，盘活存量教学资源。</w:t>
            </w:r>
          </w:p>
          <w:p w14:paraId="197A7E9D">
            <w:pPr>
              <w:pStyle w:val="29"/>
              <w:spacing w:line="360" w:lineRule="auto"/>
              <w:ind w:firstLine="420" w:firstLineChars="200"/>
              <w:rPr>
                <w:rFonts w:ascii="宋体" w:hAnsi="宋体" w:cs="宋体"/>
                <w:color w:val="auto"/>
                <w:sz w:val="21"/>
                <w:szCs w:val="21"/>
                <w:highlight w:val="none"/>
                <w:lang w:bidi="ar"/>
              </w:rPr>
            </w:pPr>
            <w:r>
              <w:rPr>
                <w:rFonts w:hint="eastAsia" w:ascii="宋体" w:hAnsi="宋体" w:cs="宋体"/>
                <w:color w:val="auto"/>
                <w:sz w:val="21"/>
                <w:szCs w:val="21"/>
                <w:highlight w:val="none"/>
                <w:lang w:bidi="ar"/>
              </w:rPr>
              <w:t>4、课件修改与版本管理。已发布课件支持在线修订，支持以数据库备份的方式进行数据的版本管理；确保内容权威性与合规性；避免因内容错误导致培训失效或法律风险。</w:t>
            </w:r>
          </w:p>
          <w:p w14:paraId="07370746">
            <w:pPr>
              <w:pStyle w:val="29"/>
              <w:spacing w:line="360" w:lineRule="auto"/>
              <w:ind w:firstLine="420" w:firstLineChars="200"/>
              <w:rPr>
                <w:rFonts w:ascii="宋体" w:hAnsi="宋体" w:cs="宋体"/>
                <w:color w:val="auto"/>
                <w:sz w:val="21"/>
                <w:szCs w:val="21"/>
                <w:highlight w:val="none"/>
                <w:lang w:bidi="ar"/>
              </w:rPr>
            </w:pPr>
            <w:r>
              <w:rPr>
                <w:rFonts w:hint="eastAsia" w:ascii="宋体" w:hAnsi="宋体" w:cs="宋体"/>
                <w:color w:val="auto"/>
                <w:sz w:val="21"/>
                <w:szCs w:val="21"/>
                <w:highlight w:val="none"/>
                <w:lang w:bidi="ar"/>
              </w:rPr>
              <w:t>5、课件启用/停用。管理员可根据政策调整、法规更新或培训计划，通过后台数据管理对课件进行"启用"或"停用"操作，实现培训内容的动态调控，保障政策执行的时效性；停用课件不再对学员开放，但历史学习记录仍可追溯</w:t>
            </w:r>
          </w:p>
          <w:p w14:paraId="7643771E">
            <w:pPr>
              <w:pStyle w:val="29"/>
              <w:spacing w:line="360" w:lineRule="auto"/>
              <w:ind w:firstLine="420" w:firstLineChars="200"/>
              <w:rPr>
                <w:rFonts w:ascii="宋体" w:hAnsi="宋体" w:cs="宋体"/>
                <w:color w:val="auto"/>
                <w:sz w:val="21"/>
                <w:szCs w:val="21"/>
                <w:highlight w:val="none"/>
                <w:lang w:bidi="ar"/>
              </w:rPr>
            </w:pPr>
            <w:r>
              <w:rPr>
                <w:rFonts w:hint="eastAsia" w:ascii="宋体" w:hAnsi="宋体" w:cs="宋体"/>
                <w:color w:val="auto"/>
                <w:sz w:val="21"/>
                <w:szCs w:val="21"/>
                <w:highlight w:val="none"/>
                <w:lang w:bidi="ar"/>
              </w:rPr>
              <w:t>6、课件删除（受控）。仅允许删除未被引用、无学习记录的草稿或废弃课件；删除操作需二次确认，并记录操作日志，确保数据安全与审计合规；严防误删影响已开展的培训业务。</w:t>
            </w:r>
          </w:p>
          <w:p w14:paraId="135C379A">
            <w:pPr>
              <w:pStyle w:val="29"/>
              <w:spacing w:line="360" w:lineRule="auto"/>
              <w:ind w:firstLine="420" w:firstLineChars="200"/>
              <w:rPr>
                <w:rFonts w:ascii="宋体" w:hAnsi="宋体" w:cs="宋体"/>
                <w:color w:val="auto"/>
                <w:sz w:val="21"/>
                <w:szCs w:val="21"/>
                <w:highlight w:val="none"/>
                <w:lang w:bidi="ar"/>
              </w:rPr>
            </w:pPr>
            <w:r>
              <w:rPr>
                <w:rFonts w:hint="eastAsia" w:ascii="宋体" w:hAnsi="宋体" w:cs="宋体"/>
                <w:color w:val="auto"/>
                <w:sz w:val="21"/>
                <w:szCs w:val="21"/>
                <w:highlight w:val="none"/>
                <w:lang w:bidi="ar"/>
              </w:rPr>
              <w:t>7、报名流程重构。优化考生报名入口，支持“一表申请、双证同报”，自动识别考生报考类型（巡游/网约/双证）；简化信息填报项，通过对接“广西运政”平台实现身份证、驾驶证等基础信息自动填充，减少人工录入错误；增设资格预审环节，系统自动校验驾龄、无犯罪记录等准入条件，不符合者即时提示，避免无效报名。</w:t>
            </w:r>
          </w:p>
          <w:p w14:paraId="17967060">
            <w:pPr>
              <w:pStyle w:val="29"/>
              <w:spacing w:line="360" w:lineRule="auto"/>
              <w:ind w:firstLine="420" w:firstLineChars="200"/>
              <w:rPr>
                <w:rFonts w:ascii="宋体" w:hAnsi="宋体" w:cs="宋体"/>
                <w:color w:val="auto"/>
                <w:sz w:val="21"/>
                <w:szCs w:val="21"/>
                <w:highlight w:val="none"/>
                <w:lang w:bidi="ar"/>
              </w:rPr>
            </w:pPr>
            <w:r>
              <w:rPr>
                <w:rFonts w:hint="eastAsia" w:ascii="宋体" w:hAnsi="宋体" w:cs="宋体"/>
                <w:color w:val="auto"/>
                <w:sz w:val="21"/>
                <w:szCs w:val="21"/>
                <w:highlight w:val="none"/>
                <w:lang w:bidi="ar"/>
              </w:rPr>
              <w:t>8、根据交通运输部《出租汽车驾驶员从业资格考试大纲》及广西地方补充要求，定制"一考双证"专用题库结构，包含公共科目（通用法规、安全服务）与区域科目（柳州地方政策、地理知识）；支持按"双证融合"逻辑设置组卷规则（总题量100题，其中全国题目50题+区域题目50题，双证共用一套试卷）；完成不少于1500道试题的标准化导入、分类标注与审核发布，确保题库权威、合规、可追溯。</w:t>
            </w:r>
          </w:p>
          <w:p w14:paraId="11E22417">
            <w:pPr>
              <w:pStyle w:val="29"/>
              <w:spacing w:line="360" w:lineRule="auto"/>
              <w:ind w:firstLine="420" w:firstLineChars="200"/>
              <w:rPr>
                <w:rFonts w:ascii="宋体" w:hAnsi="宋体" w:cs="宋体"/>
                <w:color w:val="auto"/>
                <w:sz w:val="21"/>
                <w:szCs w:val="21"/>
                <w:highlight w:val="none"/>
                <w:lang w:bidi="ar"/>
              </w:rPr>
            </w:pPr>
            <w:r>
              <w:rPr>
                <w:rFonts w:hint="eastAsia" w:ascii="宋体" w:hAnsi="宋体" w:cs="宋体"/>
                <w:color w:val="auto"/>
                <w:sz w:val="21"/>
                <w:szCs w:val="21"/>
                <w:highlight w:val="none"/>
                <w:lang w:bidi="ar"/>
              </w:rPr>
              <w:t>9、考试功能优化。升级考试客户端，支持断网续考、异常自动保存等功能，增加考试过程日志记录，满足审计与争议复核需求，保障考试公正透明</w:t>
            </w:r>
          </w:p>
          <w:p w14:paraId="1CE5B356">
            <w:pPr>
              <w:pStyle w:val="29"/>
              <w:spacing w:line="360" w:lineRule="auto"/>
              <w:ind w:firstLine="420" w:firstLineChars="200"/>
              <w:rPr>
                <w:rFonts w:ascii="宋体" w:hAnsi="宋体" w:cs="宋体"/>
                <w:color w:val="auto"/>
                <w:sz w:val="21"/>
                <w:szCs w:val="21"/>
                <w:highlight w:val="none"/>
                <w:lang w:bidi="ar"/>
              </w:rPr>
            </w:pPr>
            <w:r>
              <w:rPr>
                <w:rFonts w:hint="eastAsia" w:ascii="宋体" w:hAnsi="宋体" w:cs="宋体"/>
                <w:color w:val="auto"/>
                <w:sz w:val="21"/>
                <w:szCs w:val="21"/>
                <w:highlight w:val="none"/>
                <w:lang w:bidi="ar"/>
              </w:rPr>
              <w:t>10、运政数据接口对接与发证流程调整。对接自治区运政业务系统接口，考试合格后自动触发双证并行制证流程；实现成绩数据、考生信息、证件类型等关键字段的结构化回传，支撑电子证照自动生成；取消原有人工转录环节，确保证件核发“零延迟、零差错”，真正实现“考完即发证”。</w:t>
            </w:r>
          </w:p>
          <w:p w14:paraId="188D22F3">
            <w:pPr>
              <w:pStyle w:val="29"/>
              <w:spacing w:line="360" w:lineRule="auto"/>
              <w:ind w:firstLine="420" w:firstLineChars="200"/>
              <w:rPr>
                <w:rFonts w:ascii="宋体" w:hAnsi="宋体" w:cs="宋体"/>
                <w:color w:val="auto"/>
                <w:sz w:val="21"/>
                <w:szCs w:val="21"/>
                <w:highlight w:val="none"/>
                <w:lang w:bidi="ar"/>
              </w:rPr>
            </w:pPr>
            <w:r>
              <w:rPr>
                <w:rFonts w:hint="eastAsia" w:ascii="宋体" w:hAnsi="宋体" w:cs="宋体"/>
                <w:color w:val="auto"/>
                <w:sz w:val="21"/>
                <w:szCs w:val="21"/>
                <w:highlight w:val="none"/>
                <w:lang w:bidi="ar"/>
              </w:rPr>
              <w:t>四、运营服务</w:t>
            </w:r>
          </w:p>
          <w:p w14:paraId="0D6B8F9E">
            <w:pPr>
              <w:spacing w:line="360" w:lineRule="auto"/>
              <w:ind w:firstLine="420" w:firstLineChars="200"/>
              <w:rPr>
                <w:color w:val="auto"/>
                <w:szCs w:val="21"/>
                <w:highlight w:val="none"/>
              </w:rPr>
            </w:pPr>
            <w:r>
              <w:rPr>
                <w:rFonts w:hint="eastAsia" w:ascii="宋体" w:hAnsi="宋体" w:cs="宋体"/>
                <w:color w:val="auto"/>
                <w:kern w:val="0"/>
                <w:szCs w:val="21"/>
                <w:highlight w:val="none"/>
                <w:lang w:bidi="ar"/>
              </w:rPr>
              <w:t>提供2名客服人员，面向全区各级交通运输管理机构、道路运输企业和96万驾驶员提供5*8在线客服咨询业务，实时响应内外部服务请求，详细记录问题解决情况。包括通过网络、电话远程业务咨询、技术协助，必要时现场业务培训及技术支持等方式。</w:t>
            </w:r>
          </w:p>
        </w:tc>
      </w:tr>
      <w:tr w14:paraId="1874F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9718" w:type="dxa"/>
            <w:gridSpan w:val="4"/>
            <w:tcBorders>
              <w:top w:val="single" w:color="auto" w:sz="4" w:space="0"/>
              <w:left w:val="single" w:color="auto" w:sz="4" w:space="0"/>
              <w:right w:val="single" w:color="auto" w:sz="4" w:space="0"/>
            </w:tcBorders>
            <w:vAlign w:val="center"/>
          </w:tcPr>
          <w:p w14:paraId="7F0EFB48">
            <w:pPr>
              <w:spacing w:line="340" w:lineRule="exact"/>
              <w:rPr>
                <w:b/>
                <w:color w:val="auto"/>
                <w:szCs w:val="21"/>
                <w:highlight w:val="none"/>
              </w:rPr>
            </w:pPr>
            <w:r>
              <w:rPr>
                <w:rFonts w:hint="eastAsia" w:ascii="宋体" w:hAnsi="宋体"/>
                <w:b/>
                <w:color w:val="auto"/>
                <w:szCs w:val="21"/>
                <w:highlight w:val="none"/>
              </w:rPr>
              <w:t>商务要求表</w:t>
            </w:r>
          </w:p>
        </w:tc>
      </w:tr>
      <w:tr w14:paraId="6C492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87" w:type="dxa"/>
            <w:gridSpan w:val="2"/>
            <w:tcBorders>
              <w:top w:val="single" w:color="auto" w:sz="4" w:space="0"/>
              <w:left w:val="single" w:color="auto" w:sz="4" w:space="0"/>
              <w:right w:val="single" w:color="auto" w:sz="4" w:space="0"/>
            </w:tcBorders>
            <w:vAlign w:val="center"/>
          </w:tcPr>
          <w:p w14:paraId="7E66E2D2">
            <w:pPr>
              <w:snapToGrid w:val="0"/>
              <w:spacing w:line="340" w:lineRule="exact"/>
              <w:jc w:val="center"/>
              <w:rPr>
                <w:rFonts w:ascii="宋体" w:hAnsi="宋体"/>
                <w:color w:val="auto"/>
                <w:szCs w:val="21"/>
                <w:highlight w:val="none"/>
              </w:rPr>
            </w:pPr>
            <w:r>
              <w:rPr>
                <w:rFonts w:hint="eastAsia" w:ascii="宋体" w:hAnsi="宋体"/>
                <w:color w:val="auto"/>
                <w:szCs w:val="21"/>
                <w:highlight w:val="none"/>
              </w:rPr>
              <w:t>▲服务期限</w:t>
            </w:r>
          </w:p>
        </w:tc>
        <w:tc>
          <w:tcPr>
            <w:tcW w:w="7431" w:type="dxa"/>
            <w:gridSpan w:val="2"/>
            <w:tcBorders>
              <w:top w:val="single" w:color="auto" w:sz="4" w:space="0"/>
              <w:left w:val="single" w:color="auto" w:sz="4" w:space="0"/>
              <w:right w:val="single" w:color="auto" w:sz="4" w:space="0"/>
            </w:tcBorders>
            <w:vAlign w:val="center"/>
          </w:tcPr>
          <w:p w14:paraId="17FFEE27">
            <w:pPr>
              <w:spacing w:line="340" w:lineRule="exact"/>
              <w:rPr>
                <w:color w:val="auto"/>
                <w:szCs w:val="21"/>
                <w:highlight w:val="none"/>
              </w:rPr>
            </w:pPr>
            <w:r>
              <w:rPr>
                <w:rFonts w:hint="eastAsia" w:hAnsi="宋体"/>
                <w:color w:val="auto"/>
                <w:szCs w:val="21"/>
                <w:highlight w:val="none"/>
              </w:rPr>
              <w:t>2</w:t>
            </w:r>
            <w:r>
              <w:rPr>
                <w:rFonts w:hAnsi="宋体"/>
                <w:color w:val="auto"/>
                <w:szCs w:val="21"/>
                <w:highlight w:val="none"/>
              </w:rPr>
              <w:t>026年</w:t>
            </w:r>
            <w:r>
              <w:rPr>
                <w:rFonts w:hint="eastAsia" w:hAnsi="宋体"/>
                <w:color w:val="auto"/>
                <w:szCs w:val="21"/>
                <w:highlight w:val="none"/>
              </w:rPr>
              <w:t>7月1日至2</w:t>
            </w:r>
            <w:r>
              <w:rPr>
                <w:rFonts w:hAnsi="宋体"/>
                <w:color w:val="auto"/>
                <w:szCs w:val="21"/>
                <w:highlight w:val="none"/>
              </w:rPr>
              <w:t>027年6月</w:t>
            </w:r>
            <w:r>
              <w:rPr>
                <w:rFonts w:hint="eastAsia" w:hAnsi="宋体"/>
                <w:color w:val="auto"/>
                <w:szCs w:val="21"/>
                <w:highlight w:val="none"/>
              </w:rPr>
              <w:t>3</w:t>
            </w:r>
            <w:r>
              <w:rPr>
                <w:rFonts w:hAnsi="宋体"/>
                <w:color w:val="auto"/>
                <w:szCs w:val="21"/>
                <w:highlight w:val="none"/>
              </w:rPr>
              <w:t>0日</w:t>
            </w:r>
          </w:p>
        </w:tc>
      </w:tr>
      <w:tr w14:paraId="3D6A6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87" w:type="dxa"/>
            <w:gridSpan w:val="2"/>
            <w:tcBorders>
              <w:top w:val="single" w:color="auto" w:sz="4" w:space="0"/>
              <w:left w:val="single" w:color="auto" w:sz="4" w:space="0"/>
              <w:right w:val="single" w:color="auto" w:sz="4" w:space="0"/>
            </w:tcBorders>
            <w:vAlign w:val="center"/>
          </w:tcPr>
          <w:p w14:paraId="549CF88E">
            <w:pPr>
              <w:tabs>
                <w:tab w:val="left" w:pos="180"/>
                <w:tab w:val="left" w:pos="1620"/>
              </w:tabs>
              <w:spacing w:line="400" w:lineRule="exact"/>
              <w:jc w:val="center"/>
              <w:rPr>
                <w:rFonts w:ascii="宋体" w:hAnsi="宋体"/>
                <w:color w:val="auto"/>
                <w:szCs w:val="21"/>
                <w:highlight w:val="none"/>
              </w:rPr>
            </w:pPr>
            <w:r>
              <w:rPr>
                <w:rFonts w:hint="eastAsia" w:ascii="宋体" w:hAnsi="宋体"/>
                <w:color w:val="auto"/>
                <w:szCs w:val="21"/>
                <w:highlight w:val="none"/>
              </w:rPr>
              <w:t>合同签订期</w:t>
            </w:r>
          </w:p>
        </w:tc>
        <w:tc>
          <w:tcPr>
            <w:tcW w:w="7431" w:type="dxa"/>
            <w:gridSpan w:val="2"/>
            <w:tcBorders>
              <w:top w:val="single" w:color="auto" w:sz="4" w:space="0"/>
              <w:left w:val="single" w:color="auto" w:sz="4" w:space="0"/>
              <w:right w:val="single" w:color="auto" w:sz="4" w:space="0"/>
            </w:tcBorders>
            <w:vAlign w:val="center"/>
          </w:tcPr>
          <w:p w14:paraId="5D896D72">
            <w:pPr>
              <w:tabs>
                <w:tab w:val="left" w:pos="180"/>
                <w:tab w:val="left" w:pos="1620"/>
              </w:tabs>
              <w:spacing w:line="400" w:lineRule="exact"/>
              <w:jc w:val="left"/>
              <w:rPr>
                <w:rFonts w:ascii="宋体" w:hAnsi="宋体"/>
                <w:color w:val="auto"/>
                <w:szCs w:val="21"/>
                <w:highlight w:val="none"/>
              </w:rPr>
            </w:pPr>
            <w:r>
              <w:rPr>
                <w:rFonts w:hint="eastAsia" w:ascii="宋体" w:hAnsi="宋体"/>
                <w:color w:val="auto"/>
                <w:szCs w:val="21"/>
                <w:highlight w:val="none"/>
              </w:rPr>
              <w:t>自中标通知书发出之日起25日内。</w:t>
            </w:r>
          </w:p>
        </w:tc>
      </w:tr>
      <w:tr w14:paraId="3DFB9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2287" w:type="dxa"/>
            <w:gridSpan w:val="2"/>
            <w:tcBorders>
              <w:top w:val="single" w:color="auto" w:sz="4" w:space="0"/>
              <w:left w:val="single" w:color="auto" w:sz="4" w:space="0"/>
              <w:right w:val="single" w:color="auto" w:sz="4" w:space="0"/>
            </w:tcBorders>
            <w:vAlign w:val="center"/>
          </w:tcPr>
          <w:p w14:paraId="1B3E980F">
            <w:pPr>
              <w:snapToGrid w:val="0"/>
              <w:spacing w:line="380" w:lineRule="exact"/>
              <w:jc w:val="center"/>
              <w:rPr>
                <w:rFonts w:ascii="宋体" w:hAnsi="宋体"/>
                <w:color w:val="auto"/>
                <w:szCs w:val="21"/>
                <w:highlight w:val="none"/>
              </w:rPr>
            </w:pPr>
            <w:r>
              <w:rPr>
                <w:rFonts w:hint="eastAsia" w:ascii="宋体" w:hAnsi="宋体"/>
                <w:color w:val="auto"/>
                <w:szCs w:val="21"/>
                <w:highlight w:val="none"/>
              </w:rPr>
              <w:t>▲服务地点</w:t>
            </w:r>
          </w:p>
        </w:tc>
        <w:tc>
          <w:tcPr>
            <w:tcW w:w="7431" w:type="dxa"/>
            <w:gridSpan w:val="2"/>
            <w:tcBorders>
              <w:top w:val="single" w:color="auto" w:sz="4" w:space="0"/>
              <w:left w:val="single" w:color="auto" w:sz="4" w:space="0"/>
              <w:right w:val="single" w:color="auto" w:sz="4" w:space="0"/>
            </w:tcBorders>
            <w:vAlign w:val="center"/>
          </w:tcPr>
          <w:p w14:paraId="43861B64">
            <w:pPr>
              <w:spacing w:line="380" w:lineRule="exact"/>
              <w:rPr>
                <w:color w:val="auto"/>
                <w:szCs w:val="21"/>
                <w:highlight w:val="none"/>
              </w:rPr>
            </w:pPr>
            <w:r>
              <w:rPr>
                <w:rFonts w:hint="eastAsia" w:ascii="宋体" w:hAnsi="宋体"/>
                <w:color w:val="auto"/>
                <w:szCs w:val="21"/>
                <w:highlight w:val="none"/>
              </w:rPr>
              <w:t>广西区内（采购人指定地点）</w:t>
            </w:r>
          </w:p>
        </w:tc>
      </w:tr>
      <w:tr w14:paraId="3AE7D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jc w:val="center"/>
        </w:trPr>
        <w:tc>
          <w:tcPr>
            <w:tcW w:w="2287" w:type="dxa"/>
            <w:gridSpan w:val="2"/>
            <w:tcBorders>
              <w:top w:val="single" w:color="auto" w:sz="4" w:space="0"/>
              <w:left w:val="single" w:color="auto" w:sz="4" w:space="0"/>
              <w:right w:val="single" w:color="auto" w:sz="4" w:space="0"/>
            </w:tcBorders>
            <w:vAlign w:val="center"/>
          </w:tcPr>
          <w:p w14:paraId="0BE1FDC0">
            <w:pPr>
              <w:snapToGrid w:val="0"/>
              <w:spacing w:line="340" w:lineRule="exact"/>
              <w:jc w:val="center"/>
              <w:rPr>
                <w:rFonts w:ascii="宋体" w:hAnsi="宋体"/>
                <w:color w:val="auto"/>
                <w:szCs w:val="21"/>
                <w:highlight w:val="none"/>
              </w:rPr>
            </w:pPr>
            <w:r>
              <w:rPr>
                <w:rFonts w:hint="eastAsia" w:ascii="宋体" w:hAnsi="宋体"/>
                <w:color w:val="auto"/>
                <w:szCs w:val="21"/>
                <w:highlight w:val="none"/>
              </w:rPr>
              <w:t>▲付款条件</w:t>
            </w:r>
          </w:p>
        </w:tc>
        <w:tc>
          <w:tcPr>
            <w:tcW w:w="7431" w:type="dxa"/>
            <w:gridSpan w:val="2"/>
            <w:tcBorders>
              <w:top w:val="single" w:color="auto" w:sz="4" w:space="0"/>
              <w:left w:val="single" w:color="auto" w:sz="4" w:space="0"/>
              <w:right w:val="single" w:color="auto" w:sz="4" w:space="0"/>
            </w:tcBorders>
            <w:vAlign w:val="center"/>
          </w:tcPr>
          <w:p w14:paraId="28BA0B5D">
            <w:pPr>
              <w:spacing w:line="360" w:lineRule="auto"/>
              <w:rPr>
                <w:color w:val="auto"/>
                <w:szCs w:val="21"/>
                <w:highlight w:val="none"/>
              </w:rPr>
            </w:pPr>
            <w:r>
              <w:rPr>
                <w:rFonts w:hint="eastAsia" w:ascii="宋体" w:hAnsi="宋体"/>
                <w:color w:val="auto"/>
                <w:szCs w:val="21"/>
                <w:highlight w:val="none"/>
              </w:rPr>
              <w:t>签订合同后十个工作日内，采购人向中标供应商支付全部合同金额的50%;在中标供应商签订合同</w:t>
            </w:r>
            <w:r>
              <w:rPr>
                <w:rFonts w:ascii="宋体" w:hAnsi="宋体"/>
                <w:color w:val="auto"/>
                <w:szCs w:val="21"/>
                <w:highlight w:val="none"/>
              </w:rPr>
              <w:t>2</w:t>
            </w:r>
            <w:r>
              <w:rPr>
                <w:rFonts w:hint="eastAsia" w:ascii="宋体" w:hAnsi="宋体"/>
                <w:color w:val="auto"/>
                <w:szCs w:val="21"/>
                <w:highlight w:val="none"/>
              </w:rPr>
              <w:t>个月后，由采购人对中标供应商的服务能力验收，验收通过后，采购人于10个工作日内向中标供应商支付30%合同款;在中标供应商签订合同4个月后，采购人于10个工作日内向中标供应商支付20%合同款。采购人付款前，中标供应商应向采购人开具等额有效的增值税发票，采购人未收到发票的，有权不予支付相应款项直至中标供应商提供合格发票，并不承担延迟付款责任。</w:t>
            </w:r>
          </w:p>
        </w:tc>
      </w:tr>
      <w:tr w14:paraId="7D223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287" w:type="dxa"/>
            <w:gridSpan w:val="2"/>
            <w:tcBorders>
              <w:top w:val="single" w:color="auto" w:sz="4" w:space="0"/>
              <w:left w:val="single" w:color="auto" w:sz="4" w:space="0"/>
              <w:bottom w:val="single" w:color="auto" w:sz="4" w:space="0"/>
              <w:right w:val="single" w:color="auto" w:sz="4" w:space="0"/>
            </w:tcBorders>
            <w:vAlign w:val="center"/>
          </w:tcPr>
          <w:p w14:paraId="00E9386E">
            <w:pPr>
              <w:snapToGrid w:val="0"/>
              <w:spacing w:line="340" w:lineRule="exact"/>
              <w:jc w:val="center"/>
              <w:rPr>
                <w:rFonts w:ascii="宋体" w:hAnsi="宋体"/>
                <w:color w:val="auto"/>
                <w:szCs w:val="21"/>
                <w:highlight w:val="none"/>
              </w:rPr>
            </w:pPr>
            <w:r>
              <w:rPr>
                <w:rFonts w:hint="eastAsia" w:ascii="宋体" w:hAnsi="宋体"/>
                <w:color w:val="auto"/>
                <w:szCs w:val="21"/>
                <w:highlight w:val="none"/>
              </w:rPr>
              <w:t>报价要求</w:t>
            </w:r>
          </w:p>
        </w:tc>
        <w:tc>
          <w:tcPr>
            <w:tcW w:w="7431" w:type="dxa"/>
            <w:gridSpan w:val="2"/>
            <w:tcBorders>
              <w:top w:val="single" w:color="auto" w:sz="4" w:space="0"/>
              <w:left w:val="single" w:color="auto" w:sz="4" w:space="0"/>
              <w:bottom w:val="single" w:color="auto" w:sz="4" w:space="0"/>
              <w:right w:val="single" w:color="auto" w:sz="4" w:space="0"/>
            </w:tcBorders>
            <w:vAlign w:val="center"/>
          </w:tcPr>
          <w:p w14:paraId="70B413B0">
            <w:pPr>
              <w:spacing w:line="400" w:lineRule="exact"/>
              <w:rPr>
                <w:color w:val="auto"/>
                <w:szCs w:val="21"/>
                <w:highlight w:val="none"/>
              </w:rPr>
            </w:pPr>
            <w:r>
              <w:rPr>
                <w:rFonts w:hint="eastAsia" w:ascii="宋体" w:hAnsi="宋体"/>
                <w:color w:val="auto"/>
                <w:szCs w:val="21"/>
                <w:highlight w:val="none"/>
              </w:rPr>
              <w:t>本项目报价为总包干价。</w:t>
            </w:r>
            <w:r>
              <w:rPr>
                <w:rFonts w:hint="eastAsia"/>
                <w:color w:val="auto"/>
                <w:szCs w:val="21"/>
                <w:highlight w:val="none"/>
              </w:rPr>
              <w:t>报价包含本项目所有服务内容、</w:t>
            </w:r>
            <w:r>
              <w:rPr>
                <w:rFonts w:hint="eastAsia" w:ascii="宋体" w:hAnsi="宋体" w:cs="宋体"/>
                <w:color w:val="auto"/>
                <w:szCs w:val="21"/>
                <w:highlight w:val="none"/>
              </w:rPr>
              <w:t>服务中包含货物</w:t>
            </w:r>
            <w:r>
              <w:rPr>
                <w:rFonts w:hint="eastAsia"/>
                <w:color w:val="auto"/>
                <w:szCs w:val="21"/>
                <w:highlight w:val="none"/>
              </w:rPr>
              <w:t>所涉及的设备、备品备件、标准附件、专用工具、人员薪酬、交通费、安装、调试、技术支持、培训、检测检验、必要的保费、各项税费、招标代理服务费及其它所有成本费用的总和。</w:t>
            </w:r>
            <w:r>
              <w:rPr>
                <w:rFonts w:hint="eastAsia" w:ascii="宋体" w:hAnsi="宋体" w:cs="宋体"/>
                <w:color w:val="auto"/>
                <w:szCs w:val="21"/>
                <w:highlight w:val="none"/>
              </w:rPr>
              <w:t>由供应商根据采购文件所提供的资料自行测算投标报价；一经中标，投标报价总价作为中标供应商与采购人签订的合同金额，合同期限内不做调整。</w:t>
            </w:r>
          </w:p>
        </w:tc>
      </w:tr>
      <w:tr w14:paraId="3F544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87" w:type="dxa"/>
            <w:gridSpan w:val="2"/>
            <w:tcBorders>
              <w:top w:val="single" w:color="auto" w:sz="4" w:space="0"/>
              <w:left w:val="single" w:color="auto" w:sz="4" w:space="0"/>
              <w:right w:val="single" w:color="auto" w:sz="4" w:space="0"/>
            </w:tcBorders>
            <w:vAlign w:val="center"/>
          </w:tcPr>
          <w:p w14:paraId="689042CA">
            <w:pPr>
              <w:snapToGrid w:val="0"/>
              <w:spacing w:line="380" w:lineRule="exact"/>
              <w:jc w:val="center"/>
              <w:rPr>
                <w:rFonts w:ascii="宋体" w:hAnsi="宋体"/>
                <w:color w:val="auto"/>
                <w:szCs w:val="21"/>
                <w:highlight w:val="none"/>
              </w:rPr>
            </w:pPr>
            <w:r>
              <w:rPr>
                <w:rFonts w:hint="eastAsia" w:ascii="宋体" w:hAnsi="宋体"/>
                <w:color w:val="auto"/>
                <w:szCs w:val="21"/>
                <w:highlight w:val="none"/>
              </w:rPr>
              <w:t>其它要求</w:t>
            </w:r>
          </w:p>
        </w:tc>
        <w:tc>
          <w:tcPr>
            <w:tcW w:w="7431" w:type="dxa"/>
            <w:gridSpan w:val="2"/>
            <w:tcBorders>
              <w:top w:val="single" w:color="auto" w:sz="4" w:space="0"/>
              <w:left w:val="single" w:color="auto" w:sz="4" w:space="0"/>
              <w:right w:val="single" w:color="auto" w:sz="4" w:space="0"/>
            </w:tcBorders>
            <w:vAlign w:val="center"/>
          </w:tcPr>
          <w:p w14:paraId="4A21ADC0">
            <w:pPr>
              <w:spacing w:line="360" w:lineRule="auto"/>
              <w:rPr>
                <w:rFonts w:ascii="宋体" w:hAnsi="宋体" w:cs="宋体"/>
                <w:color w:val="auto"/>
                <w:szCs w:val="21"/>
                <w:highlight w:val="none"/>
              </w:rPr>
            </w:pPr>
            <w:r>
              <w:rPr>
                <w:rFonts w:hint="eastAsia" w:ascii="宋体" w:hAnsi="宋体" w:cs="宋体"/>
                <w:color w:val="auto"/>
                <w:szCs w:val="21"/>
                <w:highlight w:val="none"/>
              </w:rPr>
              <w:t>（一）服务质量要求</w:t>
            </w:r>
          </w:p>
          <w:p w14:paraId="6A1452F0">
            <w:pPr>
              <w:spacing w:line="360" w:lineRule="auto"/>
              <w:rPr>
                <w:rFonts w:ascii="宋体" w:hAnsi="宋体" w:cs="宋体"/>
                <w:color w:val="auto"/>
                <w:szCs w:val="21"/>
                <w:highlight w:val="none"/>
              </w:rPr>
            </w:pPr>
            <w:r>
              <w:rPr>
                <w:rFonts w:hint="eastAsia" w:ascii="宋体" w:hAnsi="宋体" w:cs="宋体"/>
                <w:color w:val="auto"/>
                <w:szCs w:val="21"/>
                <w:highlight w:val="none"/>
              </w:rPr>
              <w:t>▲1、投标人具备相关信息化系统的开发和运行维护经验。。</w:t>
            </w:r>
          </w:p>
          <w:p w14:paraId="67D16024">
            <w:pPr>
              <w:spacing w:line="360" w:lineRule="auto"/>
              <w:rPr>
                <w:rFonts w:ascii="宋体" w:hAnsi="宋体" w:cs="宋体"/>
                <w:color w:val="auto"/>
                <w:szCs w:val="21"/>
                <w:highlight w:val="none"/>
              </w:rPr>
            </w:pPr>
            <w:r>
              <w:rPr>
                <w:rFonts w:hint="eastAsia" w:ascii="宋体" w:hAnsi="宋体" w:cs="宋体"/>
                <w:color w:val="auto"/>
                <w:szCs w:val="21"/>
                <w:highlight w:val="none"/>
              </w:rPr>
              <w:t>2、投标人承诺中标后能为本项目提供本地化服务的能力，并在广西设有本地化的服务团队（如已具备本地化能力，投标文件中提供地址、服务团队名单、联系方式；未设立的则在投标文件中提供承诺函（格式自拟））。</w:t>
            </w:r>
          </w:p>
          <w:p w14:paraId="3BA9390D">
            <w:pPr>
              <w:spacing w:line="360" w:lineRule="auto"/>
              <w:rPr>
                <w:rFonts w:ascii="宋体" w:hAnsi="宋体" w:cs="宋体"/>
                <w:color w:val="auto"/>
                <w:szCs w:val="21"/>
                <w:highlight w:val="none"/>
              </w:rPr>
            </w:pPr>
            <w:r>
              <w:rPr>
                <w:rFonts w:hint="eastAsia" w:ascii="宋体" w:hAnsi="宋体" w:cs="宋体"/>
                <w:color w:val="auto"/>
                <w:kern w:val="0"/>
                <w:szCs w:val="21"/>
                <w:highlight w:val="none"/>
                <w:lang w:bidi="ar"/>
              </w:rPr>
              <w:t>3、提供系统软件的日常运维服务，包括：系统软件在安装、调试、故障清除、优化配置、软件接口优化、数据库维护、数据备份、对系统进行的功能完善及系统软件优化，提供应用软件系统故障、数据备份及管理、技术业务支持、应用软件日常功能修改、灾后数据恢复以及软件日常升级服务、数据规范和处理、系统性能优化、应用服务维护、与各有关单位数据交换及维护服务。根据要求出具系统月度运行情况月报和系统演示支持。面向管理部门提供</w:t>
            </w:r>
            <w:r>
              <w:rPr>
                <w:rFonts w:hint="eastAsia" w:ascii="宋体" w:hAnsi="宋体" w:cs="宋体"/>
                <w:bCs/>
                <w:color w:val="auto"/>
                <w:szCs w:val="21"/>
                <w:highlight w:val="none"/>
              </w:rPr>
              <w:t>。</w:t>
            </w:r>
            <w:r>
              <w:rPr>
                <w:rFonts w:hint="eastAsia" w:ascii="宋体" w:hAnsi="宋体" w:cs="宋体"/>
                <w:color w:val="auto"/>
                <w:kern w:val="0"/>
                <w:szCs w:val="21"/>
                <w:highlight w:val="none"/>
                <w:lang w:bidi="ar"/>
              </w:rPr>
              <w:t>7*24小时的热线电话技术支持服务。</w:t>
            </w:r>
          </w:p>
          <w:p w14:paraId="7A4CE473">
            <w:pPr>
              <w:spacing w:line="360" w:lineRule="auto"/>
              <w:rPr>
                <w:rFonts w:ascii="宋体" w:hAnsi="宋体" w:cs="宋体"/>
                <w:color w:val="auto"/>
                <w:szCs w:val="21"/>
                <w:highlight w:val="none"/>
              </w:rPr>
            </w:pPr>
            <w:r>
              <w:rPr>
                <w:rFonts w:hint="eastAsia" w:ascii="宋体" w:hAnsi="宋体" w:cs="宋体"/>
                <w:color w:val="auto"/>
                <w:szCs w:val="21"/>
                <w:highlight w:val="none"/>
              </w:rPr>
              <w:t>4、投标人应建立规范的内部管理制度。严格管理专职专业技术人员，保证服务态度良好、问题解决及时、重大问题及时反馈、运维记录详细。</w:t>
            </w:r>
          </w:p>
          <w:p w14:paraId="076A470B">
            <w:pPr>
              <w:spacing w:line="360" w:lineRule="auto"/>
              <w:rPr>
                <w:rFonts w:ascii="宋体" w:hAnsi="宋体" w:cs="宋体"/>
                <w:color w:val="auto"/>
                <w:szCs w:val="21"/>
                <w:highlight w:val="none"/>
              </w:rPr>
            </w:pPr>
            <w:r>
              <w:rPr>
                <w:rFonts w:hint="eastAsia" w:ascii="宋体" w:hAnsi="宋体" w:cs="宋体"/>
                <w:color w:val="auto"/>
                <w:szCs w:val="21"/>
                <w:highlight w:val="none"/>
              </w:rPr>
              <w:t>5、投标人应建立常见系统故障应急预案，以便出现问题后，及时作出响应，降低事故后果。</w:t>
            </w:r>
          </w:p>
          <w:p w14:paraId="4DE99A40">
            <w:pPr>
              <w:spacing w:line="360" w:lineRule="auto"/>
              <w:rPr>
                <w:rFonts w:ascii="宋体" w:hAnsi="宋体" w:cs="宋体"/>
                <w:color w:val="auto"/>
                <w:szCs w:val="21"/>
                <w:highlight w:val="none"/>
              </w:rPr>
            </w:pPr>
            <w:r>
              <w:rPr>
                <w:rFonts w:hint="eastAsia" w:ascii="宋体" w:hAnsi="宋体" w:cs="宋体"/>
                <w:color w:val="auto"/>
                <w:szCs w:val="21"/>
                <w:highlight w:val="none"/>
              </w:rPr>
              <w:t>6、投标人有义务对专职专业技术人员进行岗前操作培训，以便更好地掌握平台运维技能。</w:t>
            </w:r>
          </w:p>
          <w:p w14:paraId="529C2C75">
            <w:pPr>
              <w:spacing w:line="360" w:lineRule="auto"/>
              <w:rPr>
                <w:rFonts w:ascii="宋体" w:hAnsi="宋体" w:cs="宋体"/>
                <w:color w:val="auto"/>
                <w:szCs w:val="21"/>
                <w:highlight w:val="none"/>
              </w:rPr>
            </w:pPr>
            <w:r>
              <w:rPr>
                <w:rFonts w:hint="eastAsia" w:ascii="宋体" w:hAnsi="宋体" w:cs="宋体"/>
                <w:color w:val="auto"/>
                <w:szCs w:val="21"/>
                <w:highlight w:val="none"/>
              </w:rPr>
              <w:t>7、当出现系统崩溃导致业务停止、数据丢失等系统故障时，投标人必须在10分钟内进行响应，2小时内提出处理方案，12小时内解决故障。</w:t>
            </w:r>
          </w:p>
          <w:p w14:paraId="18D9000A">
            <w:pPr>
              <w:spacing w:line="360" w:lineRule="auto"/>
              <w:rPr>
                <w:rFonts w:ascii="宋体" w:hAnsi="宋体" w:cs="宋体"/>
                <w:color w:val="auto"/>
                <w:szCs w:val="21"/>
                <w:highlight w:val="none"/>
              </w:rPr>
            </w:pPr>
            <w:r>
              <w:rPr>
                <w:rFonts w:hint="eastAsia" w:ascii="宋体" w:hAnsi="宋体" w:cs="宋体"/>
                <w:color w:val="auto"/>
                <w:szCs w:val="21"/>
                <w:highlight w:val="none"/>
              </w:rPr>
              <w:t>（二）服务规范要求</w:t>
            </w:r>
          </w:p>
          <w:p w14:paraId="4B51E401">
            <w:pPr>
              <w:spacing w:line="360" w:lineRule="auto"/>
              <w:rPr>
                <w:rFonts w:ascii="宋体" w:hAnsi="宋体" w:cs="宋体"/>
                <w:color w:val="auto"/>
                <w:szCs w:val="21"/>
                <w:highlight w:val="none"/>
              </w:rPr>
            </w:pPr>
            <w:r>
              <w:rPr>
                <w:rFonts w:hint="eastAsia" w:ascii="宋体" w:hAnsi="宋体" w:cs="宋体"/>
                <w:color w:val="auto"/>
                <w:szCs w:val="21"/>
                <w:highlight w:val="none"/>
              </w:rPr>
              <w:t>1、遵守用户的规章制度，严格按照规章制度办事。</w:t>
            </w:r>
          </w:p>
          <w:p w14:paraId="50AB96DB">
            <w:pPr>
              <w:spacing w:line="360" w:lineRule="auto"/>
              <w:rPr>
                <w:rFonts w:ascii="宋体" w:hAnsi="宋体" w:cs="宋体"/>
                <w:color w:val="auto"/>
                <w:szCs w:val="21"/>
                <w:highlight w:val="none"/>
              </w:rPr>
            </w:pPr>
            <w:r>
              <w:rPr>
                <w:rFonts w:hint="eastAsia" w:ascii="宋体" w:hAnsi="宋体" w:cs="宋体"/>
                <w:color w:val="auto"/>
                <w:szCs w:val="21"/>
                <w:highlight w:val="none"/>
              </w:rPr>
              <w:t>2、对被支持单位的网络、主机、系统软件、应用软件等的密码、核心参数、业务数据等负有保密责任，不得随意复制和传播。</w:t>
            </w:r>
          </w:p>
          <w:p w14:paraId="632771CB">
            <w:pPr>
              <w:spacing w:line="360" w:lineRule="auto"/>
              <w:rPr>
                <w:rFonts w:ascii="宋体" w:hAnsi="宋体" w:cs="宋体"/>
                <w:color w:val="auto"/>
                <w:szCs w:val="21"/>
                <w:highlight w:val="none"/>
              </w:rPr>
            </w:pPr>
            <w:r>
              <w:rPr>
                <w:rFonts w:hint="eastAsia" w:ascii="宋体" w:hAnsi="宋体" w:cs="宋体"/>
                <w:color w:val="auto"/>
                <w:szCs w:val="21"/>
                <w:highlight w:val="none"/>
              </w:rPr>
              <w:t>3、严格按照服务工作流程规范进行日常工作，如果发生由于日常工作遗漏和疏忽导致业户的数据丢失或被攻击、未授权的配置变更等影响业主业务正常开展的情况，将根据情节严重对相关责任人进行相应的处罚。</w:t>
            </w:r>
          </w:p>
          <w:p w14:paraId="66E643FB">
            <w:pPr>
              <w:spacing w:line="360" w:lineRule="auto"/>
              <w:rPr>
                <w:rFonts w:ascii="宋体" w:hAnsi="宋体" w:cs="宋体"/>
                <w:color w:val="auto"/>
                <w:szCs w:val="21"/>
                <w:highlight w:val="none"/>
              </w:rPr>
            </w:pPr>
            <w:r>
              <w:rPr>
                <w:rFonts w:hint="eastAsia" w:ascii="宋体" w:hAnsi="宋体" w:cs="宋体"/>
                <w:color w:val="auto"/>
                <w:szCs w:val="21"/>
                <w:highlight w:val="none"/>
              </w:rPr>
              <w:t>4、服务期间须按照国家网络安全及信息保密安全有关管理规定做好网络安全保密工作。指定具体网络安全责任人，建立独立的管理技术团队负责项目实施过程中的网络安全管理。网络安全责任人及工作人员有变更、乙方工作人员有业务转型或乙方因自身原因有合并重组等的须提前向甲方进行书面说明，未经甲方同意，乙方不得私自将在甲方工作期间的项目任务进行分包、转包。中标供应商必须承担为采购人保守相关保密信息的义务和责任，包括以下内容：中标供应商应严格控制了解项目关键资料的人员范围，对参与项目运维的有关工作人员要明确保密责任，严格保密纪律，不得泄漏、使用系统数据信息用于其他用途。</w:t>
            </w:r>
          </w:p>
          <w:p w14:paraId="296EDA65">
            <w:pPr>
              <w:spacing w:line="360" w:lineRule="auto"/>
              <w:rPr>
                <w:rFonts w:ascii="宋体" w:hAnsi="宋体" w:cs="宋体"/>
                <w:color w:val="auto"/>
                <w:szCs w:val="21"/>
                <w:highlight w:val="none"/>
              </w:rPr>
            </w:pPr>
            <w:r>
              <w:rPr>
                <w:rFonts w:hint="eastAsia" w:ascii="宋体" w:hAnsi="宋体" w:cs="宋体"/>
                <w:color w:val="auto"/>
                <w:szCs w:val="21"/>
                <w:highlight w:val="none"/>
              </w:rPr>
              <w:t>5、服务期间涉及的政务数据和其他数据须分开处理，不得私自将工作中处理的数据进行变更处理。中标人在服务期间处理数据，涉及到个人信息时，须按照国家个人信息保护相关管理规定，做好数据处理存储工作。采购人具有所有权、使用权和访问权，中标人不得私自更改、访问、利用和销毁服务期间涉及到的政务数据信息。</w:t>
            </w:r>
          </w:p>
          <w:p w14:paraId="4168C1D3">
            <w:pPr>
              <w:spacing w:line="360" w:lineRule="auto"/>
              <w:rPr>
                <w:rFonts w:ascii="宋体" w:hAnsi="宋体"/>
                <w:color w:val="auto"/>
                <w:szCs w:val="21"/>
                <w:highlight w:val="none"/>
              </w:rPr>
            </w:pPr>
            <w:r>
              <w:rPr>
                <w:rFonts w:hint="eastAsia" w:ascii="宋体" w:hAnsi="宋体" w:cs="宋体"/>
                <w:color w:val="auto"/>
                <w:szCs w:val="21"/>
                <w:highlight w:val="none"/>
              </w:rPr>
              <w:t>6、做好网络安全漏洞检查，</w:t>
            </w:r>
            <w:r>
              <w:rPr>
                <w:rFonts w:hint="eastAsia" w:ascii="宋体" w:hAnsi="宋体"/>
                <w:color w:val="auto"/>
                <w:szCs w:val="21"/>
                <w:highlight w:val="none"/>
              </w:rPr>
              <w:t>如定期修改系统管理员密码，提醒用户及时更新密码，加强访问控制等措施，提升系统抵抗外部攻击能力，确保系统安全可靠运行。配合采购人做好网络安全应急事件处置、定期做好漏洞修复等管理维护工作。</w:t>
            </w:r>
          </w:p>
          <w:p w14:paraId="471C0EBE">
            <w:pPr>
              <w:spacing w:line="360" w:lineRule="auto"/>
              <w:rPr>
                <w:rFonts w:ascii="宋体" w:hAnsi="宋体" w:cs="宋体"/>
                <w:bCs/>
                <w:color w:val="auto"/>
                <w:szCs w:val="21"/>
                <w:highlight w:val="none"/>
              </w:rPr>
            </w:pPr>
            <w:r>
              <w:rPr>
                <w:rFonts w:hint="eastAsia" w:ascii="宋体" w:hAnsi="宋体"/>
                <w:color w:val="auto"/>
                <w:szCs w:val="21"/>
                <w:highlight w:val="none"/>
              </w:rPr>
              <w:t>通过数据在应用和传输过程中可能涉及到的数据质量问题，按照相关标准和规范进行维护和整理，保障数据质量，确保数据满足采购方业务需求。</w:t>
            </w:r>
            <w:r>
              <w:rPr>
                <w:rFonts w:hint="eastAsia" w:ascii="宋体" w:hAnsi="宋体" w:cs="宋体"/>
                <w:color w:val="auto"/>
                <w:szCs w:val="21"/>
                <w:highlight w:val="none"/>
              </w:rPr>
              <w:t>发现安全漏洞、缺陷及安全风险须及时通报，并形成报告向区网信、公安部门报告，安全漏洞未经网信、公安部门同意，不得向第三人公开。</w:t>
            </w:r>
          </w:p>
          <w:p w14:paraId="1353B5A4">
            <w:pPr>
              <w:spacing w:line="360" w:lineRule="auto"/>
              <w:rPr>
                <w:rFonts w:ascii="宋体" w:hAnsi="宋体" w:cs="宋体"/>
                <w:color w:val="auto"/>
                <w:szCs w:val="21"/>
                <w:highlight w:val="none"/>
              </w:rPr>
            </w:pPr>
            <w:r>
              <w:rPr>
                <w:rFonts w:hint="eastAsia" w:ascii="宋体" w:hAnsi="宋体" w:cs="宋体"/>
                <w:color w:val="auto"/>
                <w:szCs w:val="21"/>
                <w:highlight w:val="none"/>
              </w:rPr>
              <w:t>7、处理数据时优先使用国产安全可信的硬件软件产品，按照国家和自治区各项要求配合采购人完成相应的国产化服务。硬软件信息系统须按照国家密码管理要求设置不限于数字字母特殊字符组合的强口令的密码。</w:t>
            </w:r>
          </w:p>
          <w:p w14:paraId="2551944C">
            <w:pPr>
              <w:spacing w:line="360" w:lineRule="auto"/>
              <w:rPr>
                <w:color w:val="auto"/>
                <w:szCs w:val="21"/>
                <w:highlight w:val="none"/>
              </w:rPr>
            </w:pPr>
            <w:r>
              <w:rPr>
                <w:rFonts w:hint="eastAsia" w:ascii="宋体" w:hAnsi="宋体" w:cs="宋体"/>
                <w:color w:val="auto"/>
                <w:szCs w:val="21"/>
                <w:highlight w:val="none"/>
              </w:rPr>
              <w:t>▲8、中标人必须与采购人签订保密协议。</w:t>
            </w:r>
          </w:p>
        </w:tc>
      </w:tr>
    </w:tbl>
    <w:p w14:paraId="18A3304C">
      <w:pPr>
        <w:spacing w:line="400" w:lineRule="exact"/>
        <w:ind w:firstLine="308" w:firstLineChars="147"/>
        <w:jc w:val="left"/>
        <w:rPr>
          <w:rFonts w:ascii="宋体" w:hAnsi="宋体" w:cs="Arial"/>
          <w:bCs/>
          <w:color w:val="auto"/>
          <w:szCs w:val="21"/>
          <w:highlight w:val="none"/>
          <w:u w:val="single"/>
        </w:rPr>
      </w:pPr>
      <w:r>
        <w:rPr>
          <w:rFonts w:ascii="宋体" w:hAnsi="宋体" w:cs="宋体"/>
          <w:color w:val="auto"/>
          <w:szCs w:val="21"/>
          <w:highlight w:val="none"/>
        </w:rPr>
        <w:br w:type="page"/>
      </w:r>
      <w:r>
        <w:rPr>
          <w:rFonts w:hint="eastAsia" w:ascii="宋体" w:hAnsi="宋体" w:cs="Arial"/>
          <w:b/>
          <w:color w:val="auto"/>
          <w:szCs w:val="21"/>
          <w:highlight w:val="none"/>
          <w:u w:val="single"/>
        </w:rPr>
        <w:t xml:space="preserve"> 3 </w:t>
      </w:r>
      <w:r>
        <w:rPr>
          <w:rFonts w:hint="eastAsia" w:ascii="宋体" w:hAnsi="宋体"/>
          <w:b/>
          <w:color w:val="auto"/>
          <w:szCs w:val="21"/>
          <w:highlight w:val="none"/>
        </w:rPr>
        <w:t>分标      采购预算：</w:t>
      </w:r>
      <w:r>
        <w:rPr>
          <w:rFonts w:hint="eastAsia" w:ascii="宋体" w:hAnsi="宋体" w:cs="Arial"/>
          <w:bCs/>
          <w:color w:val="auto"/>
          <w:szCs w:val="21"/>
          <w:highlight w:val="none"/>
          <w:u w:val="single"/>
        </w:rPr>
        <w:t xml:space="preserve">详见招标公告 </w:t>
      </w: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
        <w:gridCol w:w="1601"/>
        <w:gridCol w:w="756"/>
        <w:gridCol w:w="6675"/>
      </w:tblGrid>
      <w:tr w14:paraId="3B366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9718" w:type="dxa"/>
            <w:gridSpan w:val="4"/>
            <w:tcBorders>
              <w:top w:val="single" w:color="auto" w:sz="4" w:space="0"/>
              <w:left w:val="single" w:color="auto" w:sz="4" w:space="0"/>
              <w:bottom w:val="single" w:color="auto" w:sz="4" w:space="0"/>
              <w:right w:val="single" w:color="auto" w:sz="4" w:space="0"/>
            </w:tcBorders>
            <w:vAlign w:val="center"/>
          </w:tcPr>
          <w:p w14:paraId="1756FE53">
            <w:pPr>
              <w:pStyle w:val="23"/>
              <w:spacing w:line="340" w:lineRule="exact"/>
              <w:ind w:firstLine="316" w:firstLineChars="150"/>
              <w:jc w:val="center"/>
              <w:rPr>
                <w:rFonts w:hAnsi="宋体"/>
                <w:b/>
                <w:sz w:val="21"/>
              </w:rPr>
            </w:pPr>
            <w:r>
              <w:rPr>
                <w:rFonts w:hint="eastAsia" w:hAnsi="宋体"/>
                <w:b/>
                <w:sz w:val="21"/>
              </w:rPr>
              <w:t>采购需求一览表</w:t>
            </w:r>
          </w:p>
        </w:tc>
      </w:tr>
      <w:tr w14:paraId="56C38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86" w:type="dxa"/>
            <w:tcBorders>
              <w:top w:val="single" w:color="auto" w:sz="4" w:space="0"/>
              <w:left w:val="single" w:color="auto" w:sz="4" w:space="0"/>
              <w:bottom w:val="single" w:color="auto" w:sz="4" w:space="0"/>
              <w:right w:val="single" w:color="auto" w:sz="4" w:space="0"/>
            </w:tcBorders>
            <w:vAlign w:val="center"/>
          </w:tcPr>
          <w:p w14:paraId="64276378">
            <w:pPr>
              <w:pStyle w:val="23"/>
              <w:spacing w:line="340" w:lineRule="exact"/>
              <w:jc w:val="center"/>
              <w:rPr>
                <w:rFonts w:hAnsi="宋体"/>
                <w:b/>
                <w:sz w:val="21"/>
              </w:rPr>
            </w:pPr>
            <w:r>
              <w:rPr>
                <w:rFonts w:hint="eastAsia" w:hAnsi="宋体"/>
                <w:b/>
                <w:sz w:val="21"/>
              </w:rPr>
              <w:t>序号</w:t>
            </w:r>
          </w:p>
        </w:tc>
        <w:tc>
          <w:tcPr>
            <w:tcW w:w="1601" w:type="dxa"/>
            <w:tcBorders>
              <w:top w:val="single" w:color="auto" w:sz="4" w:space="0"/>
              <w:left w:val="single" w:color="auto" w:sz="4" w:space="0"/>
              <w:bottom w:val="single" w:color="auto" w:sz="4" w:space="0"/>
              <w:right w:val="single" w:color="auto" w:sz="4" w:space="0"/>
            </w:tcBorders>
            <w:vAlign w:val="center"/>
          </w:tcPr>
          <w:p w14:paraId="5D467B54">
            <w:pPr>
              <w:pStyle w:val="23"/>
              <w:spacing w:line="340" w:lineRule="exact"/>
              <w:jc w:val="center"/>
              <w:rPr>
                <w:rFonts w:hAnsi="宋体"/>
                <w:b/>
                <w:sz w:val="21"/>
              </w:rPr>
            </w:pPr>
            <w:r>
              <w:rPr>
                <w:rFonts w:hint="eastAsia" w:hAnsi="宋体"/>
                <w:b/>
                <w:sz w:val="21"/>
              </w:rPr>
              <w:t>服务名称</w:t>
            </w:r>
          </w:p>
        </w:tc>
        <w:tc>
          <w:tcPr>
            <w:tcW w:w="756" w:type="dxa"/>
            <w:tcBorders>
              <w:top w:val="single" w:color="auto" w:sz="4" w:space="0"/>
              <w:left w:val="single" w:color="auto" w:sz="4" w:space="0"/>
              <w:bottom w:val="single" w:color="auto" w:sz="4" w:space="0"/>
              <w:right w:val="single" w:color="auto" w:sz="4" w:space="0"/>
            </w:tcBorders>
            <w:vAlign w:val="center"/>
          </w:tcPr>
          <w:p w14:paraId="4083B876">
            <w:pPr>
              <w:widowControl/>
              <w:spacing w:line="340" w:lineRule="exact"/>
              <w:jc w:val="center"/>
              <w:rPr>
                <w:rFonts w:ascii="宋体" w:hAnsi="宋体" w:cs="宋体"/>
                <w:b/>
                <w:kern w:val="0"/>
                <w:szCs w:val="21"/>
              </w:rPr>
            </w:pPr>
            <w:r>
              <w:rPr>
                <w:rFonts w:hint="eastAsia" w:ascii="宋体" w:hAnsi="宋体" w:cs="宋体"/>
                <w:b/>
                <w:kern w:val="0"/>
                <w:szCs w:val="21"/>
              </w:rPr>
              <w:t>数量</w:t>
            </w:r>
          </w:p>
        </w:tc>
        <w:tc>
          <w:tcPr>
            <w:tcW w:w="6675" w:type="dxa"/>
            <w:tcBorders>
              <w:top w:val="single" w:color="auto" w:sz="4" w:space="0"/>
              <w:left w:val="single" w:color="auto" w:sz="4" w:space="0"/>
              <w:bottom w:val="single" w:color="auto" w:sz="4" w:space="0"/>
              <w:right w:val="single" w:color="auto" w:sz="4" w:space="0"/>
            </w:tcBorders>
            <w:vAlign w:val="center"/>
          </w:tcPr>
          <w:p w14:paraId="214DCD9F">
            <w:pPr>
              <w:pStyle w:val="23"/>
              <w:spacing w:line="340" w:lineRule="exact"/>
              <w:ind w:firstLine="316" w:firstLineChars="150"/>
              <w:jc w:val="center"/>
              <w:rPr>
                <w:rFonts w:hAnsi="宋体"/>
                <w:b/>
                <w:sz w:val="21"/>
              </w:rPr>
            </w:pPr>
            <w:r>
              <w:rPr>
                <w:rFonts w:hint="eastAsia" w:hAnsi="宋体"/>
                <w:b/>
                <w:sz w:val="21"/>
              </w:rPr>
              <w:t>项目要求及技术需求</w:t>
            </w:r>
          </w:p>
        </w:tc>
      </w:tr>
      <w:tr w14:paraId="1B62E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jc w:val="center"/>
        </w:trPr>
        <w:tc>
          <w:tcPr>
            <w:tcW w:w="686" w:type="dxa"/>
            <w:tcBorders>
              <w:top w:val="single" w:color="auto" w:sz="4" w:space="0"/>
              <w:left w:val="single" w:color="auto" w:sz="4" w:space="0"/>
              <w:right w:val="single" w:color="auto" w:sz="4" w:space="0"/>
            </w:tcBorders>
            <w:vAlign w:val="center"/>
          </w:tcPr>
          <w:p w14:paraId="6DE8343E">
            <w:pPr>
              <w:pStyle w:val="23"/>
              <w:spacing w:line="340" w:lineRule="exact"/>
              <w:jc w:val="center"/>
              <w:rPr>
                <w:rFonts w:hAnsi="宋体"/>
                <w:sz w:val="21"/>
              </w:rPr>
            </w:pPr>
            <w:r>
              <w:rPr>
                <w:rFonts w:hint="eastAsia" w:hAnsi="宋体"/>
                <w:sz w:val="21"/>
              </w:rPr>
              <w:t>1</w:t>
            </w:r>
          </w:p>
        </w:tc>
        <w:tc>
          <w:tcPr>
            <w:tcW w:w="1601" w:type="dxa"/>
            <w:tcBorders>
              <w:top w:val="single" w:color="auto" w:sz="4" w:space="0"/>
              <w:left w:val="single" w:color="auto" w:sz="4" w:space="0"/>
              <w:right w:val="single" w:color="auto" w:sz="4" w:space="0"/>
            </w:tcBorders>
            <w:vAlign w:val="center"/>
          </w:tcPr>
          <w:p w14:paraId="32C1E3A0">
            <w:pPr>
              <w:spacing w:line="380" w:lineRule="exact"/>
              <w:jc w:val="center"/>
              <w:rPr>
                <w:rFonts w:ascii="宋体" w:hAnsi="宋体" w:cs="宋体"/>
                <w:szCs w:val="21"/>
              </w:rPr>
            </w:pPr>
            <w:r>
              <w:rPr>
                <w:rFonts w:hint="eastAsia" w:ascii="宋体" w:hAnsi="宋体" w:cs="宋体"/>
                <w:szCs w:val="21"/>
              </w:rPr>
              <w:t>广西机动车驾驶培训公共服务</w:t>
            </w:r>
          </w:p>
        </w:tc>
        <w:tc>
          <w:tcPr>
            <w:tcW w:w="756" w:type="dxa"/>
            <w:tcBorders>
              <w:top w:val="single" w:color="auto" w:sz="4" w:space="0"/>
              <w:left w:val="single" w:color="auto" w:sz="4" w:space="0"/>
              <w:right w:val="single" w:color="auto" w:sz="4" w:space="0"/>
            </w:tcBorders>
            <w:vAlign w:val="center"/>
          </w:tcPr>
          <w:p w14:paraId="53C16734">
            <w:pPr>
              <w:spacing w:line="380" w:lineRule="exact"/>
              <w:jc w:val="center"/>
              <w:rPr>
                <w:rFonts w:ascii="宋体" w:hAnsi="宋体" w:cs="宋体"/>
                <w:szCs w:val="21"/>
              </w:rPr>
            </w:pPr>
            <w:r>
              <w:rPr>
                <w:rFonts w:hint="eastAsia" w:ascii="宋体" w:hAnsi="宋体" w:cs="宋体"/>
                <w:szCs w:val="21"/>
              </w:rPr>
              <w:t>1项</w:t>
            </w:r>
          </w:p>
        </w:tc>
        <w:tc>
          <w:tcPr>
            <w:tcW w:w="6675" w:type="dxa"/>
            <w:tcBorders>
              <w:top w:val="single" w:color="auto" w:sz="4" w:space="0"/>
              <w:left w:val="single" w:color="auto" w:sz="4" w:space="0"/>
              <w:right w:val="single" w:color="auto" w:sz="4" w:space="0"/>
            </w:tcBorders>
            <w:vAlign w:val="center"/>
          </w:tcPr>
          <w:p w14:paraId="6FD6CC8D">
            <w:pPr>
              <w:pStyle w:val="17"/>
              <w:spacing w:line="360" w:lineRule="auto"/>
              <w:rPr>
                <w:rFonts w:ascii="宋体" w:hAnsi="宋体" w:cs="宋体"/>
                <w:sz w:val="21"/>
                <w:szCs w:val="21"/>
              </w:rPr>
            </w:pPr>
            <w:r>
              <w:rPr>
                <w:rFonts w:hint="eastAsia" w:ascii="宋体" w:hAnsi="宋体" w:cs="宋体"/>
                <w:sz w:val="21"/>
                <w:szCs w:val="21"/>
              </w:rPr>
              <w:t>▲一、提供驾驶员培训公共服务</w:t>
            </w:r>
          </w:p>
          <w:p w14:paraId="46CE84A2">
            <w:pPr>
              <w:widowControl/>
              <w:spacing w:line="360" w:lineRule="auto"/>
              <w:ind w:firstLine="422" w:firstLineChars="200"/>
              <w:jc w:val="left"/>
              <w:rPr>
                <w:rFonts w:ascii="宋体" w:hAnsi="宋体" w:cs="宋体"/>
                <w:szCs w:val="21"/>
              </w:rPr>
            </w:pPr>
            <w:r>
              <w:rPr>
                <w:rFonts w:hint="eastAsia" w:ascii="宋体" w:hAnsi="宋体" w:cs="宋体"/>
                <w:b/>
                <w:szCs w:val="21"/>
              </w:rPr>
              <w:t>投标人</w:t>
            </w:r>
            <w:r>
              <w:rPr>
                <w:rFonts w:ascii="宋体" w:hAnsi="宋体" w:cs="宋体"/>
                <w:b/>
                <w:szCs w:val="21"/>
              </w:rPr>
              <w:t>提供“广西机动车驾驶员培训公共服务系统”信息技术服务，须有电脑应用端、微信应用端。满足</w:t>
            </w:r>
            <w:r>
              <w:rPr>
                <w:rFonts w:hint="eastAsia" w:ascii="宋体" w:hAnsi="宋体" w:cs="宋体"/>
                <w:szCs w:val="21"/>
              </w:rPr>
              <w:t>驾培</w:t>
            </w:r>
            <w:r>
              <w:rPr>
                <w:rFonts w:ascii="宋体" w:hAnsi="宋体" w:cs="宋体"/>
                <w:szCs w:val="21"/>
              </w:rPr>
              <w:t>机构、学员、管理部门登录功能</w:t>
            </w:r>
            <w:r>
              <w:rPr>
                <w:rFonts w:hint="eastAsia" w:ascii="宋体" w:hAnsi="宋体" w:cs="宋体"/>
                <w:szCs w:val="21"/>
              </w:rPr>
              <w:t>,通过本平台与广西驾驶培训监管服务平台和全区机动车驾驶员培训机构进行信息互动。提供驾培机构及教练的排名查询等服务，</w:t>
            </w:r>
            <w:r>
              <w:rPr>
                <w:rFonts w:hint="eastAsia" w:ascii="宋体" w:hAnsi="宋体" w:cs="宋体"/>
                <w:szCs w:val="21"/>
                <w:lang w:bidi="ar"/>
              </w:rPr>
              <w:t>为广西区内驾培学员实现线上择校报名、线上签订电子合同、线上缴费、先培后付、分阶段支付培训费用以及线上评价等一站式信息化服务</w:t>
            </w:r>
            <w:r>
              <w:rPr>
                <w:rFonts w:hint="eastAsia" w:ascii="宋体" w:hAnsi="宋体" w:cs="宋体"/>
                <w:szCs w:val="21"/>
              </w:rPr>
              <w:t>。主要功能包括：驾培行业基础信息查询；通知公示、行业动态、政策法规等信息展示；学员培训学时查询；驾培机构违规信息展示，驾培机构、教练员、教练车处罚信息发布；驾培机构学员报名动态展示；结合质量信誉考核结果对驾培机构、教练员进行动态排名展示，对驾培机构及教练员进行评价；提供驾驶培训远程教育学习入口，提供远程学时上报功能。</w:t>
            </w:r>
          </w:p>
          <w:p w14:paraId="2F38A12D">
            <w:pPr>
              <w:spacing w:line="360" w:lineRule="auto"/>
              <w:rPr>
                <w:szCs w:val="21"/>
              </w:rPr>
            </w:pPr>
            <w:r>
              <w:rPr>
                <w:rFonts w:hint="eastAsia" w:ascii="宋体" w:hAnsi="宋体" w:cs="宋体"/>
                <w:szCs w:val="21"/>
              </w:rPr>
              <w:t>▲二、</w:t>
            </w:r>
            <w:r>
              <w:rPr>
                <w:rFonts w:ascii="宋体" w:hAnsi="宋体" w:cs="宋体"/>
                <w:szCs w:val="21"/>
              </w:rPr>
              <w:t>开发数据接口并提供与“</w:t>
            </w:r>
            <w:r>
              <w:rPr>
                <w:rFonts w:hint="eastAsia" w:ascii="宋体" w:hAnsi="宋体" w:cs="宋体"/>
                <w:szCs w:val="21"/>
              </w:rPr>
              <w:t>广西驾驶培训监管平台</w:t>
            </w:r>
            <w:r>
              <w:rPr>
                <w:rFonts w:ascii="宋体" w:hAnsi="宋体" w:cs="宋体"/>
                <w:szCs w:val="21"/>
              </w:rPr>
              <w:t>”等系统数据对接服务</w:t>
            </w:r>
          </w:p>
          <w:p w14:paraId="5AB10D0A">
            <w:pPr>
              <w:pStyle w:val="17"/>
              <w:spacing w:line="360" w:lineRule="auto"/>
              <w:ind w:firstLine="420" w:firstLineChars="200"/>
              <w:rPr>
                <w:rFonts w:ascii="宋体" w:hAnsi="宋体" w:cs="宋体"/>
                <w:sz w:val="21"/>
                <w:szCs w:val="21"/>
              </w:rPr>
            </w:pPr>
            <w:r>
              <w:rPr>
                <w:rFonts w:hint="eastAsia" w:ascii="宋体" w:hAnsi="宋体" w:cs="宋体"/>
                <w:sz w:val="21"/>
                <w:szCs w:val="21"/>
              </w:rPr>
              <w:t>投标人负责开发并通过数据接口实现与广西驾驶培训监管平台等管理系统进行数据对接，完成动态数据和基础数据的采集；针对不同的数据信息进行汇总并完成分析生成图表、报告提供给管理部门。</w:t>
            </w:r>
          </w:p>
          <w:p w14:paraId="26CBBA24">
            <w:pPr>
              <w:spacing w:line="360" w:lineRule="auto"/>
              <w:rPr>
                <w:rFonts w:ascii="宋体" w:hAnsi="宋体" w:cs="宋体"/>
                <w:szCs w:val="21"/>
              </w:rPr>
            </w:pPr>
            <w:r>
              <w:rPr>
                <w:rFonts w:hint="eastAsia" w:ascii="宋体" w:hAnsi="宋体" w:cs="宋体"/>
                <w:szCs w:val="21"/>
              </w:rPr>
              <w:t>▲三、提供电子签章服务</w:t>
            </w:r>
          </w:p>
          <w:p w14:paraId="5B97BA28">
            <w:pPr>
              <w:spacing w:line="360" w:lineRule="auto"/>
              <w:ind w:firstLine="420" w:firstLineChars="200"/>
              <w:rPr>
                <w:rFonts w:ascii="宋体" w:hAnsi="宋体" w:cs="宋体"/>
                <w:szCs w:val="21"/>
              </w:rPr>
            </w:pPr>
            <w:r>
              <w:rPr>
                <w:rFonts w:hint="eastAsia" w:ascii="宋体" w:hAnsi="宋体" w:cs="宋体"/>
                <w:szCs w:val="21"/>
              </w:rPr>
              <w:t>投标人负责</w:t>
            </w:r>
            <w:r>
              <w:rPr>
                <w:rFonts w:ascii="宋体" w:hAnsi="宋体" w:cs="宋体"/>
                <w:szCs w:val="21"/>
              </w:rPr>
              <w:t>提供</w:t>
            </w:r>
            <w:r>
              <w:rPr>
                <w:rFonts w:hint="eastAsia" w:ascii="宋体" w:hAnsi="宋体" w:cs="宋体"/>
                <w:szCs w:val="21"/>
              </w:rPr>
              <w:t>电子签章</w:t>
            </w:r>
            <w:r>
              <w:rPr>
                <w:rFonts w:ascii="宋体" w:hAnsi="宋体" w:cs="宋体"/>
                <w:szCs w:val="21"/>
              </w:rPr>
              <w:t>服务。为驾驶学员</w:t>
            </w:r>
            <w:r>
              <w:rPr>
                <w:rFonts w:hint="eastAsia" w:ascii="宋体" w:hAnsi="宋体" w:cs="宋体"/>
                <w:szCs w:val="21"/>
              </w:rPr>
              <w:t>和</w:t>
            </w:r>
            <w:r>
              <w:rPr>
                <w:rFonts w:ascii="宋体" w:hAnsi="宋体" w:cs="宋体"/>
                <w:szCs w:val="21"/>
              </w:rPr>
              <w:t>驾校</w:t>
            </w:r>
            <w:r>
              <w:rPr>
                <w:rFonts w:hint="eastAsia" w:ascii="宋体" w:hAnsi="宋体" w:cs="宋体"/>
                <w:szCs w:val="21"/>
              </w:rPr>
              <w:t>提供线上签订电子合同签章服务</w:t>
            </w:r>
            <w:r>
              <w:rPr>
                <w:rFonts w:ascii="宋体" w:hAnsi="宋体" w:cs="宋体"/>
                <w:szCs w:val="21"/>
              </w:rPr>
              <w:t>，保证系统须接入具备法律效力的电子签章，确保驾驶培训合同签订的有效性</w:t>
            </w:r>
            <w:r>
              <w:rPr>
                <w:rFonts w:hint="eastAsia" w:ascii="宋体" w:hAnsi="宋体" w:cs="宋体"/>
                <w:szCs w:val="21"/>
              </w:rPr>
              <w:t>。</w:t>
            </w:r>
          </w:p>
          <w:p w14:paraId="0F6A862C">
            <w:pPr>
              <w:spacing w:line="360" w:lineRule="auto"/>
              <w:rPr>
                <w:rFonts w:ascii="宋体" w:hAnsi="宋体" w:cs="宋体"/>
                <w:szCs w:val="21"/>
              </w:rPr>
            </w:pPr>
            <w:r>
              <w:rPr>
                <w:rFonts w:hint="eastAsia" w:ascii="宋体" w:hAnsi="宋体" w:cs="宋体"/>
                <w:szCs w:val="21"/>
              </w:rPr>
              <w:t>▲四、提供银行</w:t>
            </w:r>
            <w:r>
              <w:rPr>
                <w:rFonts w:ascii="宋体" w:hAnsi="宋体" w:cs="宋体"/>
                <w:szCs w:val="21"/>
              </w:rPr>
              <w:t>资金监管</w:t>
            </w:r>
            <w:r>
              <w:rPr>
                <w:rFonts w:hint="eastAsia" w:ascii="宋体" w:hAnsi="宋体" w:cs="宋体"/>
                <w:szCs w:val="21"/>
              </w:rPr>
              <w:t>服务</w:t>
            </w:r>
          </w:p>
          <w:p w14:paraId="2B906063">
            <w:pPr>
              <w:spacing w:line="360" w:lineRule="auto"/>
              <w:ind w:firstLine="420" w:firstLineChars="200"/>
              <w:rPr>
                <w:rFonts w:ascii="宋体" w:hAnsi="宋体" w:cs="宋体"/>
                <w:szCs w:val="21"/>
              </w:rPr>
            </w:pPr>
            <w:r>
              <w:rPr>
                <w:rFonts w:hint="eastAsia" w:ascii="宋体" w:hAnsi="宋体" w:cs="宋体"/>
                <w:szCs w:val="21"/>
              </w:rPr>
              <w:t>投标人负责依托国有银行</w:t>
            </w:r>
            <w:r>
              <w:rPr>
                <w:rFonts w:ascii="宋体" w:hAnsi="宋体" w:cs="宋体"/>
                <w:szCs w:val="21"/>
              </w:rPr>
              <w:t>提供</w:t>
            </w:r>
            <w:r>
              <w:rPr>
                <w:rFonts w:hint="eastAsia" w:ascii="宋体" w:hAnsi="宋体" w:cs="宋体"/>
                <w:szCs w:val="21"/>
              </w:rPr>
              <w:t>驾培机构</w:t>
            </w:r>
            <w:r>
              <w:rPr>
                <w:rFonts w:ascii="宋体" w:hAnsi="宋体" w:cs="宋体"/>
                <w:szCs w:val="21"/>
              </w:rPr>
              <w:t>学费清分</w:t>
            </w:r>
            <w:r>
              <w:rPr>
                <w:rFonts w:hint="eastAsia" w:ascii="宋体" w:hAnsi="宋体" w:cs="宋体"/>
                <w:szCs w:val="21"/>
              </w:rPr>
              <w:t>、资金监管等</w:t>
            </w:r>
            <w:r>
              <w:rPr>
                <w:rFonts w:ascii="宋体" w:hAnsi="宋体" w:cs="宋体"/>
                <w:szCs w:val="21"/>
              </w:rPr>
              <w:t>服务</w:t>
            </w:r>
            <w:r>
              <w:rPr>
                <w:rFonts w:hint="eastAsia" w:ascii="宋体" w:hAnsi="宋体" w:cs="宋体"/>
                <w:szCs w:val="21"/>
              </w:rPr>
              <w:t>。对接国有银行系统，依托银行产品</w:t>
            </w:r>
            <w:r>
              <w:rPr>
                <w:rFonts w:ascii="宋体" w:hAnsi="宋体" w:cs="宋体"/>
                <w:szCs w:val="21"/>
              </w:rPr>
              <w:t>实现</w:t>
            </w:r>
            <w:r>
              <w:rPr>
                <w:rFonts w:hint="eastAsia" w:ascii="宋体" w:hAnsi="宋体" w:cs="宋体"/>
                <w:szCs w:val="21"/>
              </w:rPr>
              <w:t xml:space="preserve">学员学费清分、资金监管等功能，为学员学费管理实现按照培训合同约定，依据培训学时情况，通过驾培公共服务平台与银行系统对接，由银行分阶段分批次解冻培训费用。 </w:t>
            </w:r>
          </w:p>
          <w:p w14:paraId="536252E7">
            <w:pPr>
              <w:spacing w:line="360" w:lineRule="auto"/>
              <w:ind w:firstLine="210" w:firstLineChars="100"/>
              <w:rPr>
                <w:rFonts w:ascii="宋体" w:hAnsi="宋体" w:cs="宋体"/>
                <w:kern w:val="0"/>
                <w:szCs w:val="21"/>
                <w:lang w:bidi="ar"/>
              </w:rPr>
            </w:pPr>
            <w:r>
              <w:rPr>
                <w:rFonts w:hint="eastAsia" w:ascii="宋体" w:hAnsi="宋体" w:cs="宋体"/>
                <w:szCs w:val="21"/>
              </w:rPr>
              <w:t>五、提供</w:t>
            </w:r>
            <w:r>
              <w:rPr>
                <w:rFonts w:hint="eastAsia" w:ascii="宋体" w:hAnsi="宋体" w:cs="宋体"/>
                <w:kern w:val="0"/>
                <w:szCs w:val="21"/>
                <w:lang w:bidi="ar"/>
              </w:rPr>
              <w:t>技术支持维护服务</w:t>
            </w:r>
          </w:p>
          <w:p w14:paraId="73AB4E70">
            <w:pPr>
              <w:spacing w:line="360" w:lineRule="auto"/>
              <w:ind w:firstLine="420" w:firstLineChars="200"/>
              <w:rPr>
                <w:rFonts w:ascii="宋体" w:hAnsi="宋体" w:cs="宋体"/>
                <w:szCs w:val="21"/>
              </w:rPr>
            </w:pPr>
            <w:r>
              <w:rPr>
                <w:rFonts w:hint="eastAsia" w:ascii="宋体" w:hAnsi="宋体" w:cs="宋体"/>
                <w:szCs w:val="21"/>
              </w:rPr>
              <w:t>1.日常巡检维护服务</w:t>
            </w:r>
          </w:p>
          <w:p w14:paraId="7C6029CA">
            <w:pPr>
              <w:spacing w:line="360" w:lineRule="auto"/>
              <w:ind w:firstLine="630" w:firstLineChars="300"/>
              <w:rPr>
                <w:rFonts w:ascii="宋体" w:hAnsi="宋体" w:cs="宋体"/>
                <w:szCs w:val="21"/>
              </w:rPr>
            </w:pPr>
            <w:r>
              <w:rPr>
                <w:rFonts w:hint="eastAsia" w:ascii="宋体" w:hAnsi="宋体" w:cs="宋体"/>
                <w:szCs w:val="21"/>
              </w:rPr>
              <w:t>主要服务内容包括操作系统、网络、数据库、存储、驾培应用系统、接口服务等环境进行监测和日常巡检维护支持。针对应用系统提供统一运维服务，满足平台产品使用需求。</w:t>
            </w:r>
          </w:p>
          <w:p w14:paraId="148589D1">
            <w:pPr>
              <w:spacing w:line="360" w:lineRule="auto"/>
              <w:ind w:left="420" w:leftChars="200"/>
              <w:rPr>
                <w:rFonts w:ascii="宋体" w:hAnsi="宋体" w:cs="宋体"/>
                <w:szCs w:val="21"/>
              </w:rPr>
            </w:pPr>
            <w:r>
              <w:rPr>
                <w:rFonts w:hint="eastAsia" w:ascii="宋体" w:hAnsi="宋体" w:cs="宋体"/>
                <w:szCs w:val="21"/>
              </w:rPr>
              <w:t>2.应用系统维护服务</w:t>
            </w:r>
          </w:p>
          <w:p w14:paraId="643B893E">
            <w:pPr>
              <w:spacing w:line="360" w:lineRule="auto"/>
              <w:ind w:firstLine="420" w:firstLineChars="200"/>
              <w:rPr>
                <w:rFonts w:ascii="宋体" w:hAnsi="宋体" w:cs="宋体"/>
                <w:szCs w:val="21"/>
              </w:rPr>
            </w:pPr>
            <w:r>
              <w:rPr>
                <w:rFonts w:hint="eastAsia" w:ascii="宋体" w:hAnsi="宋体" w:cs="宋体"/>
                <w:szCs w:val="21"/>
              </w:rPr>
              <w:t>针对各应用系统提供统一运维服务，满足平台产品使用需求。具体包括系统巡检、系统监控、系统功能优化、性能优化、系统升级、系统管理、数据备份恢复、服务信息保密等服务。</w:t>
            </w:r>
          </w:p>
          <w:p w14:paraId="7DACFAE8">
            <w:pPr>
              <w:spacing w:line="360" w:lineRule="auto"/>
              <w:ind w:firstLine="420" w:firstLineChars="200"/>
              <w:rPr>
                <w:rFonts w:ascii="宋体" w:hAnsi="宋体" w:cs="宋体"/>
                <w:szCs w:val="21"/>
              </w:rPr>
            </w:pPr>
            <w:r>
              <w:rPr>
                <w:rFonts w:hint="eastAsia" w:ascii="宋体" w:hAnsi="宋体" w:cs="宋体"/>
                <w:szCs w:val="21"/>
              </w:rPr>
              <w:t>3.提供系统升级服务，定期进行系统版本、系统功能、系统组件等的升级更新。</w:t>
            </w:r>
          </w:p>
          <w:p w14:paraId="219276A3">
            <w:pPr>
              <w:pStyle w:val="29"/>
              <w:spacing w:line="360" w:lineRule="auto"/>
              <w:rPr>
                <w:sz w:val="21"/>
                <w:szCs w:val="21"/>
              </w:rPr>
            </w:pPr>
            <w:r>
              <w:rPr>
                <w:rFonts w:hint="eastAsia" w:ascii="宋体" w:hAnsi="宋体" w:cs="宋体"/>
                <w:sz w:val="21"/>
                <w:szCs w:val="21"/>
                <w:lang w:bidi="ar"/>
              </w:rPr>
              <w:t>（1）更新平台报名弹窗提示功能，提示报名驾校、车型、学费等。</w:t>
            </w:r>
            <w:r>
              <w:rPr>
                <w:rFonts w:hint="eastAsia" w:ascii="宋体" w:hAnsi="宋体" w:cs="宋体"/>
                <w:sz w:val="21"/>
                <w:szCs w:val="21"/>
                <w:lang w:bidi="ar"/>
              </w:rPr>
              <w:br w:type="textWrapping"/>
            </w:r>
            <w:r>
              <w:rPr>
                <w:rFonts w:hint="eastAsia" w:ascii="宋体" w:hAnsi="宋体" w:cs="宋体"/>
                <w:sz w:val="21"/>
                <w:szCs w:val="21"/>
                <w:lang w:bidi="ar"/>
              </w:rPr>
              <w:t>（2）优化平台驾校、教练名单筛选条件。</w:t>
            </w:r>
            <w:r>
              <w:rPr>
                <w:rFonts w:hint="eastAsia" w:ascii="宋体" w:hAnsi="宋体" w:cs="宋体"/>
                <w:sz w:val="21"/>
                <w:szCs w:val="21"/>
                <w:lang w:bidi="ar"/>
              </w:rPr>
              <w:br w:type="textWrapping"/>
            </w:r>
            <w:r>
              <w:rPr>
                <w:rFonts w:hint="eastAsia" w:ascii="宋体" w:hAnsi="宋体" w:cs="宋体"/>
                <w:sz w:val="21"/>
                <w:szCs w:val="21"/>
                <w:lang w:bidi="ar"/>
              </w:rPr>
              <w:t>（3）更新学员退款审核功能，学员申请退款后须驾校及主管部门审核。</w:t>
            </w:r>
            <w:r>
              <w:rPr>
                <w:rFonts w:hint="eastAsia" w:ascii="宋体" w:hAnsi="宋体" w:cs="宋体"/>
                <w:sz w:val="21"/>
                <w:szCs w:val="21"/>
                <w:lang w:bidi="ar"/>
              </w:rPr>
              <w:br w:type="textWrapping"/>
            </w:r>
            <w:r>
              <w:rPr>
                <w:rFonts w:hint="eastAsia" w:ascii="宋体" w:hAnsi="宋体" w:cs="宋体"/>
                <w:sz w:val="21"/>
                <w:szCs w:val="21"/>
                <w:lang w:bidi="ar"/>
              </w:rPr>
              <w:t>（4）优化学员管理模块，增加车型筛选条件。</w:t>
            </w:r>
            <w:r>
              <w:rPr>
                <w:rFonts w:hint="eastAsia" w:ascii="宋体" w:hAnsi="宋体" w:cs="宋体"/>
                <w:sz w:val="21"/>
                <w:szCs w:val="21"/>
                <w:lang w:bidi="ar"/>
              </w:rPr>
              <w:br w:type="textWrapping"/>
            </w:r>
            <w:r>
              <w:rPr>
                <w:rFonts w:hint="eastAsia" w:ascii="宋体" w:hAnsi="宋体" w:cs="宋体"/>
                <w:sz w:val="21"/>
                <w:szCs w:val="21"/>
                <w:lang w:bidi="ar"/>
              </w:rPr>
              <w:t>（5）优化资金日志模块，增加学费、日期筛选条件。</w:t>
            </w:r>
            <w:r>
              <w:rPr>
                <w:rFonts w:hint="eastAsia" w:ascii="宋体" w:hAnsi="宋体" w:cs="宋体"/>
                <w:sz w:val="21"/>
                <w:szCs w:val="21"/>
                <w:lang w:bidi="ar"/>
              </w:rPr>
              <w:br w:type="textWrapping"/>
            </w:r>
            <w:r>
              <w:rPr>
                <w:rFonts w:hint="eastAsia" w:ascii="宋体" w:hAnsi="宋体" w:cs="宋体"/>
                <w:sz w:val="21"/>
                <w:szCs w:val="21"/>
                <w:lang w:bidi="ar"/>
              </w:rPr>
              <w:t>（6）优化驾校设置模块，增加驾校监管户信息。</w:t>
            </w:r>
            <w:r>
              <w:rPr>
                <w:rFonts w:hint="eastAsia" w:ascii="宋体" w:hAnsi="宋体" w:cs="宋体"/>
                <w:sz w:val="21"/>
                <w:szCs w:val="21"/>
                <w:lang w:bidi="ar"/>
              </w:rPr>
              <w:br w:type="textWrapping"/>
            </w:r>
            <w:r>
              <w:rPr>
                <w:rFonts w:hint="eastAsia" w:ascii="宋体" w:hAnsi="宋体" w:cs="宋体"/>
                <w:sz w:val="21"/>
                <w:szCs w:val="21"/>
                <w:lang w:bidi="ar"/>
              </w:rPr>
              <w:t>（7）更新驾校报名功能模块，主管部门可对驾校进行停业。</w:t>
            </w:r>
            <w:r>
              <w:rPr>
                <w:rFonts w:hint="eastAsia" w:ascii="宋体" w:hAnsi="宋体" w:cs="宋体"/>
                <w:sz w:val="21"/>
                <w:szCs w:val="21"/>
                <w:lang w:bidi="ar"/>
              </w:rPr>
              <w:br w:type="textWrapping"/>
            </w:r>
            <w:r>
              <w:rPr>
                <w:rFonts w:hint="eastAsia" w:ascii="宋体" w:hAnsi="宋体" w:cs="宋体"/>
                <w:sz w:val="21"/>
                <w:szCs w:val="21"/>
                <w:lang w:bidi="ar"/>
              </w:rPr>
              <w:t>（8）更新转学学员审核功能。</w:t>
            </w:r>
            <w:r>
              <w:rPr>
                <w:rFonts w:hint="eastAsia" w:ascii="宋体" w:hAnsi="宋体" w:cs="宋体"/>
                <w:sz w:val="21"/>
                <w:szCs w:val="21"/>
                <w:lang w:bidi="ar"/>
              </w:rPr>
              <w:br w:type="textWrapping"/>
            </w:r>
            <w:r>
              <w:rPr>
                <w:rFonts w:hint="eastAsia" w:ascii="宋体" w:hAnsi="宋体" w:cs="宋体"/>
                <w:sz w:val="21"/>
                <w:szCs w:val="21"/>
                <w:lang w:bidi="ar"/>
              </w:rPr>
              <w:t>（9）优化学员登录平台页面及操作。</w:t>
            </w:r>
            <w:r>
              <w:rPr>
                <w:rFonts w:hint="eastAsia" w:ascii="宋体" w:hAnsi="宋体" w:cs="宋体"/>
                <w:sz w:val="21"/>
                <w:szCs w:val="21"/>
                <w:lang w:bidi="ar"/>
              </w:rPr>
              <w:br w:type="textWrapping"/>
            </w:r>
            <w:r>
              <w:rPr>
                <w:rFonts w:hint="eastAsia" w:ascii="宋体" w:hAnsi="宋体" w:cs="宋体"/>
                <w:sz w:val="21"/>
                <w:szCs w:val="21"/>
                <w:lang w:bidi="ar"/>
              </w:rPr>
              <w:t>（10）优化学员申请退款填写信息页面。</w:t>
            </w:r>
            <w:r>
              <w:rPr>
                <w:rFonts w:hint="eastAsia" w:ascii="宋体" w:hAnsi="宋体" w:cs="宋体"/>
                <w:sz w:val="21"/>
                <w:szCs w:val="21"/>
                <w:lang w:bidi="ar"/>
              </w:rPr>
              <w:br w:type="textWrapping"/>
            </w:r>
            <w:r>
              <w:rPr>
                <w:rFonts w:hint="eastAsia" w:ascii="宋体" w:hAnsi="宋体" w:cs="宋体"/>
                <w:sz w:val="21"/>
                <w:szCs w:val="21"/>
                <w:lang w:bidi="ar"/>
              </w:rPr>
              <w:t>（11）更新学员评论功能。</w:t>
            </w:r>
            <w:r>
              <w:rPr>
                <w:rFonts w:hint="eastAsia" w:ascii="宋体" w:hAnsi="宋体" w:cs="宋体"/>
                <w:sz w:val="21"/>
                <w:szCs w:val="21"/>
                <w:lang w:bidi="ar"/>
              </w:rPr>
              <w:br w:type="textWrapping"/>
            </w:r>
            <w:r>
              <w:rPr>
                <w:rFonts w:hint="eastAsia" w:ascii="宋体" w:hAnsi="宋体" w:cs="宋体"/>
                <w:sz w:val="21"/>
                <w:szCs w:val="21"/>
                <w:lang w:bidi="ar"/>
              </w:rPr>
              <w:t>（12）优化教练、驾校评论数据页面。</w:t>
            </w:r>
            <w:r>
              <w:rPr>
                <w:rFonts w:hint="eastAsia" w:ascii="宋体" w:hAnsi="宋体" w:cs="宋体"/>
                <w:sz w:val="21"/>
                <w:szCs w:val="21"/>
                <w:lang w:bidi="ar"/>
              </w:rPr>
              <w:br w:type="textWrapping"/>
            </w:r>
            <w:r>
              <w:rPr>
                <w:rFonts w:hint="eastAsia" w:ascii="宋体" w:hAnsi="宋体" w:cs="宋体"/>
                <w:sz w:val="21"/>
                <w:szCs w:val="21"/>
                <w:lang w:bidi="ar"/>
              </w:rPr>
              <w:t>（13）优化学员评论操作。</w:t>
            </w:r>
            <w:r>
              <w:rPr>
                <w:rFonts w:hint="eastAsia" w:ascii="宋体" w:hAnsi="宋体" w:cs="宋体"/>
                <w:sz w:val="21"/>
                <w:szCs w:val="21"/>
                <w:lang w:bidi="ar"/>
              </w:rPr>
              <w:br w:type="textWrapping"/>
            </w:r>
            <w:r>
              <w:rPr>
                <w:rFonts w:hint="eastAsia" w:ascii="宋体" w:hAnsi="宋体" w:cs="宋体"/>
                <w:sz w:val="21"/>
                <w:szCs w:val="21"/>
                <w:lang w:bidi="ar"/>
              </w:rPr>
              <w:t>（14）优化学员报名缴费、签订合同页面。</w:t>
            </w:r>
            <w:r>
              <w:rPr>
                <w:rFonts w:hint="eastAsia" w:ascii="宋体" w:hAnsi="宋体" w:cs="宋体"/>
                <w:sz w:val="21"/>
                <w:szCs w:val="21"/>
                <w:lang w:bidi="ar"/>
              </w:rPr>
              <w:br w:type="textWrapping"/>
            </w:r>
            <w:r>
              <w:rPr>
                <w:rFonts w:hint="eastAsia" w:ascii="宋体" w:hAnsi="宋体" w:cs="宋体"/>
                <w:sz w:val="21"/>
                <w:szCs w:val="21"/>
                <w:lang w:bidi="ar"/>
              </w:rPr>
              <w:t>（15）更新转学学员状态信息。</w:t>
            </w:r>
            <w:r>
              <w:rPr>
                <w:rFonts w:hint="eastAsia" w:ascii="宋体" w:hAnsi="宋体" w:cs="宋体"/>
                <w:sz w:val="21"/>
                <w:szCs w:val="21"/>
                <w:lang w:bidi="ar"/>
              </w:rPr>
              <w:br w:type="textWrapping"/>
            </w:r>
            <w:r>
              <w:rPr>
                <w:rFonts w:hint="eastAsia" w:ascii="宋体" w:hAnsi="宋体" w:cs="宋体"/>
                <w:sz w:val="21"/>
                <w:szCs w:val="21"/>
                <w:lang w:bidi="ar"/>
              </w:rPr>
              <w:t>（16）更新主管部门审核退款时间信息。</w:t>
            </w:r>
            <w:r>
              <w:rPr>
                <w:rFonts w:hint="eastAsia" w:ascii="宋体" w:hAnsi="宋体" w:cs="宋体"/>
                <w:sz w:val="21"/>
                <w:szCs w:val="21"/>
                <w:lang w:bidi="ar"/>
              </w:rPr>
              <w:br w:type="textWrapping"/>
            </w:r>
            <w:r>
              <w:rPr>
                <w:rFonts w:hint="eastAsia" w:ascii="宋体" w:hAnsi="宋体" w:cs="宋体"/>
                <w:sz w:val="21"/>
                <w:szCs w:val="21"/>
                <w:lang w:bidi="ar"/>
              </w:rPr>
              <w:t>（17）优化退款审核页面，增加驾校名称筛选条件。</w:t>
            </w:r>
            <w:r>
              <w:rPr>
                <w:rFonts w:hint="eastAsia" w:ascii="宋体" w:hAnsi="宋体" w:cs="宋体"/>
                <w:sz w:val="21"/>
                <w:szCs w:val="21"/>
                <w:lang w:bidi="ar"/>
              </w:rPr>
              <w:br w:type="textWrapping"/>
            </w:r>
            <w:r>
              <w:rPr>
                <w:rFonts w:hint="eastAsia" w:ascii="宋体" w:hAnsi="宋体" w:cs="宋体"/>
                <w:sz w:val="21"/>
                <w:szCs w:val="21"/>
                <w:lang w:bidi="ar"/>
              </w:rPr>
              <w:t>（18）优化学员扫描支付页面。</w:t>
            </w:r>
            <w:r>
              <w:rPr>
                <w:rFonts w:hint="eastAsia" w:ascii="宋体" w:hAnsi="宋体" w:cs="宋体"/>
                <w:sz w:val="21"/>
                <w:szCs w:val="21"/>
                <w:lang w:bidi="ar"/>
              </w:rPr>
              <w:br w:type="textWrapping"/>
            </w:r>
            <w:r>
              <w:rPr>
                <w:rFonts w:hint="eastAsia" w:ascii="宋体" w:hAnsi="宋体" w:cs="宋体"/>
                <w:sz w:val="21"/>
                <w:szCs w:val="21"/>
                <w:lang w:bidi="ar"/>
              </w:rPr>
              <w:t>（19）优化平台首页页面信息。</w:t>
            </w:r>
            <w:r>
              <w:rPr>
                <w:rFonts w:hint="eastAsia" w:ascii="宋体" w:hAnsi="宋体" w:cs="宋体"/>
                <w:sz w:val="21"/>
                <w:szCs w:val="21"/>
                <w:lang w:bidi="ar"/>
              </w:rPr>
              <w:br w:type="textWrapping"/>
            </w:r>
            <w:r>
              <w:rPr>
                <w:rFonts w:hint="eastAsia" w:ascii="宋体" w:hAnsi="宋体" w:cs="宋体"/>
                <w:sz w:val="21"/>
                <w:szCs w:val="21"/>
                <w:lang w:bidi="ar"/>
              </w:rPr>
              <w:t>（20）更新教练模块，增加删除功能。</w:t>
            </w:r>
            <w:r>
              <w:rPr>
                <w:rFonts w:hint="eastAsia" w:ascii="宋体" w:hAnsi="宋体" w:cs="宋体"/>
                <w:sz w:val="21"/>
                <w:szCs w:val="21"/>
                <w:lang w:bidi="ar"/>
              </w:rPr>
              <w:br w:type="textWrapping"/>
            </w:r>
            <w:r>
              <w:rPr>
                <w:rFonts w:hint="eastAsia" w:ascii="宋体" w:hAnsi="宋体" w:cs="宋体"/>
                <w:sz w:val="21"/>
                <w:szCs w:val="21"/>
                <w:lang w:bidi="ar"/>
              </w:rPr>
              <w:t>（21）更新转学学员录入功能，增加录入信息。</w:t>
            </w:r>
            <w:r>
              <w:rPr>
                <w:rFonts w:hint="eastAsia" w:ascii="宋体" w:hAnsi="宋体" w:cs="宋体"/>
                <w:sz w:val="21"/>
                <w:szCs w:val="21"/>
                <w:lang w:bidi="ar"/>
              </w:rPr>
              <w:br w:type="textWrapping"/>
            </w:r>
            <w:r>
              <w:rPr>
                <w:rFonts w:hint="eastAsia" w:ascii="宋体" w:hAnsi="宋体" w:cs="宋体"/>
                <w:sz w:val="21"/>
                <w:szCs w:val="21"/>
                <w:lang w:bidi="ar"/>
              </w:rPr>
              <w:t>（22）更新退款审核文件上传及审核功能。</w:t>
            </w:r>
            <w:r>
              <w:rPr>
                <w:rFonts w:hint="eastAsia" w:ascii="宋体" w:hAnsi="宋体" w:cs="宋体"/>
                <w:sz w:val="21"/>
                <w:szCs w:val="21"/>
                <w:lang w:bidi="ar"/>
              </w:rPr>
              <w:br w:type="textWrapping"/>
            </w:r>
            <w:r>
              <w:rPr>
                <w:rFonts w:hint="eastAsia" w:ascii="宋体" w:hAnsi="宋体" w:cs="宋体"/>
                <w:sz w:val="21"/>
                <w:szCs w:val="21"/>
                <w:lang w:bidi="ar"/>
              </w:rPr>
              <w:t>（23）优化学员查看资金解冻进度页面信息。</w:t>
            </w:r>
            <w:r>
              <w:rPr>
                <w:rFonts w:hint="eastAsia" w:ascii="宋体" w:hAnsi="宋体" w:cs="宋体"/>
                <w:sz w:val="21"/>
                <w:szCs w:val="21"/>
                <w:lang w:bidi="ar"/>
              </w:rPr>
              <w:br w:type="textWrapping"/>
            </w:r>
            <w:r>
              <w:rPr>
                <w:rFonts w:hint="eastAsia" w:ascii="宋体" w:hAnsi="宋体" w:cs="宋体"/>
                <w:sz w:val="21"/>
                <w:szCs w:val="21"/>
                <w:lang w:bidi="ar"/>
              </w:rPr>
              <w:t>（24）更新平台首页行业新闻及政策法规栏目上传功能。</w:t>
            </w:r>
            <w:r>
              <w:rPr>
                <w:rFonts w:hint="eastAsia" w:ascii="宋体" w:hAnsi="宋体" w:cs="宋体"/>
                <w:sz w:val="21"/>
                <w:szCs w:val="21"/>
                <w:lang w:bidi="ar"/>
              </w:rPr>
              <w:br w:type="textWrapping"/>
            </w:r>
            <w:r>
              <w:rPr>
                <w:rFonts w:hint="eastAsia" w:ascii="宋体" w:hAnsi="宋体" w:cs="宋体"/>
                <w:sz w:val="21"/>
                <w:szCs w:val="21"/>
                <w:lang w:bidi="ar"/>
              </w:rPr>
              <w:t>（25）更新学员报名查询功能，查询学员是否在平台完成报名。</w:t>
            </w:r>
            <w:r>
              <w:rPr>
                <w:rFonts w:hint="eastAsia" w:ascii="宋体" w:hAnsi="宋体" w:cs="宋体"/>
                <w:sz w:val="21"/>
                <w:szCs w:val="21"/>
                <w:lang w:bidi="ar"/>
              </w:rPr>
              <w:br w:type="textWrapping"/>
            </w:r>
            <w:r>
              <w:rPr>
                <w:rFonts w:hint="eastAsia" w:ascii="宋体" w:hAnsi="宋体" w:cs="宋体"/>
                <w:sz w:val="21"/>
                <w:szCs w:val="21"/>
                <w:lang w:bidi="ar"/>
              </w:rPr>
              <w:t>（26）更新驾校信息，增加报名点、分校等信息。</w:t>
            </w:r>
            <w:r>
              <w:rPr>
                <w:rFonts w:hint="eastAsia" w:ascii="宋体" w:hAnsi="宋体" w:cs="宋体"/>
                <w:sz w:val="21"/>
                <w:szCs w:val="21"/>
                <w:lang w:bidi="ar"/>
              </w:rPr>
              <w:br w:type="textWrapping"/>
            </w:r>
            <w:r>
              <w:rPr>
                <w:rFonts w:hint="eastAsia" w:ascii="宋体" w:hAnsi="宋体" w:cs="宋体"/>
                <w:sz w:val="21"/>
                <w:szCs w:val="21"/>
                <w:lang w:bidi="ar"/>
              </w:rPr>
              <w:t>（27）更新车型学费设置，增加车型备注、一车型多价格等信息。</w:t>
            </w:r>
            <w:r>
              <w:rPr>
                <w:rFonts w:hint="eastAsia" w:ascii="宋体" w:hAnsi="宋体" w:cs="宋体"/>
                <w:sz w:val="21"/>
                <w:szCs w:val="21"/>
                <w:lang w:bidi="ar"/>
              </w:rPr>
              <w:br w:type="textWrapping"/>
            </w:r>
            <w:r>
              <w:rPr>
                <w:rFonts w:hint="eastAsia" w:ascii="宋体" w:hAnsi="宋体" w:cs="宋体"/>
                <w:sz w:val="21"/>
                <w:szCs w:val="21"/>
                <w:lang w:bidi="ar"/>
              </w:rPr>
              <w:t>（28）更新待办事项提醒功能。</w:t>
            </w:r>
            <w:r>
              <w:rPr>
                <w:rFonts w:hint="eastAsia" w:ascii="宋体" w:hAnsi="宋体" w:cs="宋体"/>
                <w:sz w:val="21"/>
                <w:szCs w:val="21"/>
                <w:lang w:bidi="ar"/>
              </w:rPr>
              <w:br w:type="textWrapping"/>
            </w:r>
            <w:r>
              <w:rPr>
                <w:rFonts w:hint="eastAsia" w:ascii="宋体" w:hAnsi="宋体" w:cs="宋体"/>
                <w:sz w:val="21"/>
                <w:szCs w:val="21"/>
                <w:lang w:bidi="ar"/>
              </w:rPr>
              <w:t>（29）更新数据脱敏功能。</w:t>
            </w:r>
            <w:r>
              <w:rPr>
                <w:rFonts w:hint="eastAsia" w:ascii="宋体" w:hAnsi="宋体" w:cs="宋体"/>
                <w:sz w:val="21"/>
                <w:szCs w:val="21"/>
                <w:lang w:bidi="ar"/>
              </w:rPr>
              <w:br w:type="textWrapping"/>
            </w:r>
            <w:r>
              <w:rPr>
                <w:rFonts w:hint="eastAsia" w:ascii="宋体" w:hAnsi="宋体" w:cs="宋体"/>
                <w:sz w:val="21"/>
                <w:szCs w:val="21"/>
                <w:lang w:bidi="ar"/>
              </w:rPr>
              <w:t>（30）更新驾校列表显示内容，增加学时合格率、投诉量等信息。</w:t>
            </w:r>
            <w:r>
              <w:rPr>
                <w:rFonts w:hint="eastAsia" w:ascii="宋体" w:hAnsi="宋体" w:cs="宋体"/>
                <w:sz w:val="21"/>
                <w:szCs w:val="21"/>
                <w:lang w:bidi="ar"/>
              </w:rPr>
              <w:br w:type="textWrapping"/>
            </w:r>
            <w:r>
              <w:rPr>
                <w:rFonts w:hint="eastAsia" w:ascii="宋体" w:hAnsi="宋体" w:cs="宋体"/>
                <w:sz w:val="21"/>
                <w:szCs w:val="21"/>
                <w:lang w:bidi="ar"/>
              </w:rPr>
              <w:t>（31）更新驾校列表训练分场定位导航功能。</w:t>
            </w:r>
            <w:r>
              <w:rPr>
                <w:rFonts w:hint="eastAsia" w:ascii="宋体" w:hAnsi="宋体" w:cs="宋体"/>
                <w:sz w:val="21"/>
                <w:szCs w:val="21"/>
                <w:lang w:bidi="ar"/>
              </w:rPr>
              <w:br w:type="textWrapping"/>
            </w:r>
            <w:r>
              <w:rPr>
                <w:rFonts w:hint="eastAsia" w:ascii="宋体" w:hAnsi="宋体" w:cs="宋体"/>
                <w:sz w:val="21"/>
                <w:szCs w:val="21"/>
                <w:lang w:bidi="ar"/>
              </w:rPr>
              <w:t>（32）更新驾校列表地址信息展示内容。</w:t>
            </w:r>
            <w:r>
              <w:rPr>
                <w:rFonts w:hint="eastAsia" w:ascii="宋体" w:hAnsi="宋体" w:cs="宋体"/>
                <w:sz w:val="21"/>
                <w:szCs w:val="21"/>
                <w:lang w:bidi="ar"/>
              </w:rPr>
              <w:br w:type="textWrapping"/>
            </w:r>
            <w:r>
              <w:rPr>
                <w:rFonts w:hint="eastAsia" w:ascii="宋体" w:hAnsi="宋体" w:cs="宋体"/>
                <w:sz w:val="21"/>
                <w:szCs w:val="21"/>
                <w:lang w:bidi="ar"/>
              </w:rPr>
              <w:t>（33）更新解冻资金转出备注功能。</w:t>
            </w:r>
          </w:p>
          <w:p w14:paraId="0F1DA6C7">
            <w:pPr>
              <w:spacing w:line="360" w:lineRule="auto"/>
              <w:ind w:firstLine="420" w:firstLineChars="200"/>
              <w:rPr>
                <w:rFonts w:ascii="宋体" w:hAnsi="宋体" w:cs="宋体"/>
                <w:szCs w:val="21"/>
              </w:rPr>
            </w:pPr>
            <w:r>
              <w:rPr>
                <w:rFonts w:hint="eastAsia" w:ascii="宋体" w:hAnsi="宋体" w:cs="宋体"/>
                <w:szCs w:val="21"/>
              </w:rPr>
              <w:t>六、提供国产化服务</w:t>
            </w:r>
          </w:p>
          <w:p w14:paraId="0DF3B9D0">
            <w:pPr>
              <w:spacing w:line="360" w:lineRule="auto"/>
              <w:ind w:firstLine="420" w:firstLineChars="200"/>
              <w:rPr>
                <w:rFonts w:ascii="宋体" w:hAnsi="宋体" w:cs="宋体"/>
                <w:szCs w:val="21"/>
              </w:rPr>
            </w:pPr>
            <w:r>
              <w:rPr>
                <w:rFonts w:hint="eastAsia" w:ascii="宋体" w:hAnsi="宋体" w:cs="宋体"/>
                <w:szCs w:val="21"/>
              </w:rPr>
              <w:t>投标人提供的应用系统部署在国产化服务器上，使用的数据库、操作系统、文件服务等符合国产化要求，提供相关国产化技术服务。</w:t>
            </w:r>
          </w:p>
          <w:p w14:paraId="2E6E450A">
            <w:pPr>
              <w:spacing w:line="360" w:lineRule="auto"/>
              <w:ind w:firstLine="420" w:firstLineChars="200"/>
              <w:rPr>
                <w:rFonts w:ascii="宋体" w:hAnsi="宋体" w:cs="宋体"/>
                <w:szCs w:val="21"/>
              </w:rPr>
            </w:pPr>
            <w:r>
              <w:rPr>
                <w:rFonts w:hint="eastAsia" w:ascii="宋体" w:hAnsi="宋体" w:cs="宋体"/>
                <w:szCs w:val="21"/>
              </w:rPr>
              <w:t>七、提供用户咨询与业务支持服务</w:t>
            </w:r>
          </w:p>
          <w:p w14:paraId="0C1A4065">
            <w:pPr>
              <w:spacing w:line="360" w:lineRule="auto"/>
              <w:ind w:firstLine="420" w:firstLineChars="200"/>
              <w:rPr>
                <w:rFonts w:ascii="宋体" w:hAnsi="宋体" w:cs="宋体"/>
                <w:szCs w:val="21"/>
              </w:rPr>
            </w:pPr>
            <w:r>
              <w:rPr>
                <w:rFonts w:hint="eastAsia" w:ascii="宋体" w:hAnsi="宋体" w:cs="宋体"/>
                <w:szCs w:val="21"/>
              </w:rPr>
              <w:t>1.日常业务咨询响应</w:t>
            </w:r>
          </w:p>
          <w:p w14:paraId="227DFAE1">
            <w:pPr>
              <w:spacing w:line="360" w:lineRule="auto"/>
              <w:ind w:firstLine="420" w:firstLineChars="200"/>
              <w:rPr>
                <w:rFonts w:ascii="宋体" w:hAnsi="宋体" w:cs="宋体"/>
                <w:szCs w:val="21"/>
              </w:rPr>
            </w:pPr>
            <w:r>
              <w:rPr>
                <w:rFonts w:hint="eastAsia" w:ascii="宋体" w:hAnsi="宋体" w:cs="宋体"/>
                <w:szCs w:val="21"/>
              </w:rPr>
              <w:t>面向全区14个设区市交通运输管理部门及1</w:t>
            </w:r>
            <w:r>
              <w:rPr>
                <w:rFonts w:ascii="宋体" w:hAnsi="宋体" w:cs="宋体"/>
                <w:szCs w:val="21"/>
              </w:rPr>
              <w:t>11个县（市、区）交通运输管理部门</w:t>
            </w:r>
            <w:r>
              <w:rPr>
                <w:rFonts w:hint="eastAsia" w:ascii="宋体" w:hAnsi="宋体" w:cs="宋体"/>
                <w:szCs w:val="21"/>
              </w:rPr>
              <w:t>、全区驾培机构及学员，提供5×8小时在线客服支持（电话、在线工单、即时通讯等）。</w:t>
            </w:r>
          </w:p>
          <w:p w14:paraId="2F65346C">
            <w:pPr>
              <w:spacing w:line="360" w:lineRule="auto"/>
              <w:ind w:firstLine="420" w:firstLineChars="200"/>
              <w:rPr>
                <w:rFonts w:ascii="宋体" w:hAnsi="宋体" w:cs="宋体"/>
                <w:szCs w:val="21"/>
              </w:rPr>
            </w:pPr>
            <w:r>
              <w:rPr>
                <w:rFonts w:hint="eastAsia" w:ascii="宋体" w:hAnsi="宋体" w:cs="宋体"/>
                <w:szCs w:val="21"/>
              </w:rPr>
              <w:t>日均处理咨询量超100人次，年累计超8万次，问题类型包括：学员报名缴费流程指导；手机号/身份证信息变更；培训车型更换操作；资金解冻、退学退款流程；系统登录与权限问题。</w:t>
            </w:r>
          </w:p>
          <w:p w14:paraId="13989FD6">
            <w:pPr>
              <w:spacing w:line="360" w:lineRule="auto"/>
              <w:ind w:firstLine="420" w:firstLineChars="200"/>
              <w:rPr>
                <w:rFonts w:ascii="宋体" w:hAnsi="宋体" w:cs="宋体"/>
                <w:szCs w:val="21"/>
              </w:rPr>
            </w:pPr>
            <w:r>
              <w:rPr>
                <w:rFonts w:hint="eastAsia" w:ascii="宋体" w:hAnsi="宋体" w:cs="宋体"/>
                <w:szCs w:val="21"/>
              </w:rPr>
              <w:t>3.根据采购方实际业务需求，提供关于系统使用和维护、管理、安全等方面的咨询解答服务。</w:t>
            </w:r>
          </w:p>
          <w:p w14:paraId="63A56858">
            <w:pPr>
              <w:spacing w:line="360" w:lineRule="auto"/>
              <w:ind w:firstLine="420" w:firstLineChars="200"/>
              <w:rPr>
                <w:rFonts w:ascii="宋体" w:hAnsi="宋体" w:cs="宋体"/>
                <w:szCs w:val="21"/>
              </w:rPr>
            </w:pPr>
            <w:r>
              <w:rPr>
                <w:rFonts w:hint="eastAsia" w:ascii="宋体" w:hAnsi="宋体" w:cs="宋体"/>
                <w:szCs w:val="21"/>
              </w:rPr>
              <w:t>4.问题分类与闭环管理</w:t>
            </w:r>
          </w:p>
          <w:p w14:paraId="6CEBA738">
            <w:pPr>
              <w:spacing w:line="360" w:lineRule="auto"/>
              <w:ind w:firstLine="420" w:firstLineChars="200"/>
              <w:rPr>
                <w:rFonts w:ascii="宋体" w:hAnsi="宋体" w:cs="宋体"/>
                <w:szCs w:val="21"/>
              </w:rPr>
            </w:pPr>
            <w:r>
              <w:rPr>
                <w:rFonts w:hint="eastAsia" w:ascii="宋体" w:hAnsi="宋体" w:cs="宋体"/>
                <w:szCs w:val="21"/>
              </w:rPr>
              <w:t>对用户问题进行分类（技术类、业务类、政策类），建立问题台账；跟踪问题处理进度，确保48小时内闭环反馈；定期汇总高频问题，形成知识库并推送至相关单位。</w:t>
            </w:r>
          </w:p>
          <w:p w14:paraId="511F7F6C">
            <w:pPr>
              <w:spacing w:line="360" w:lineRule="auto"/>
              <w:ind w:firstLine="420" w:firstLineChars="200"/>
              <w:rPr>
                <w:rFonts w:ascii="宋体" w:hAnsi="宋体" w:cs="宋体"/>
                <w:szCs w:val="21"/>
              </w:rPr>
            </w:pPr>
            <w:r>
              <w:rPr>
                <w:rFonts w:hint="eastAsia" w:ascii="宋体" w:hAnsi="宋体" w:cs="宋体"/>
                <w:szCs w:val="21"/>
              </w:rPr>
              <w:t>八、提供属地化协调与机构服务</w:t>
            </w:r>
          </w:p>
          <w:p w14:paraId="7C69D35E">
            <w:pPr>
              <w:spacing w:line="360" w:lineRule="auto"/>
              <w:ind w:firstLine="420" w:firstLineChars="200"/>
              <w:rPr>
                <w:rFonts w:ascii="宋体" w:hAnsi="宋体" w:cs="宋体"/>
                <w:szCs w:val="21"/>
              </w:rPr>
            </w:pPr>
            <w:r>
              <w:rPr>
                <w:rFonts w:hint="eastAsia" w:ascii="宋体" w:hAnsi="宋体" w:cs="宋体"/>
                <w:szCs w:val="21"/>
              </w:rPr>
              <w:t>1.驾培机构日常对接与问题跟踪</w:t>
            </w:r>
          </w:p>
          <w:p w14:paraId="05597958">
            <w:pPr>
              <w:spacing w:line="360" w:lineRule="auto"/>
              <w:ind w:firstLine="420" w:firstLineChars="200"/>
              <w:rPr>
                <w:rFonts w:ascii="宋体" w:hAnsi="宋体" w:cs="宋体"/>
                <w:szCs w:val="21"/>
              </w:rPr>
            </w:pPr>
            <w:r>
              <w:rPr>
                <w:rFonts w:hint="eastAsia" w:ascii="宋体" w:hAnsi="宋体" w:cs="宋体"/>
                <w:szCs w:val="21"/>
              </w:rPr>
              <w:t>每名运营人员负责2个地市约110–120家驾培机构；建立“机构联络员”机制，每机构指定1名对接人；每月至少1次主动回访（电话或线上），收集使用问题；对“投诉集中”的机构，开展专项跟踪；向交通运输部门提供季度驾培质量报告数据与解释。</w:t>
            </w:r>
          </w:p>
          <w:p w14:paraId="667C22EF">
            <w:pPr>
              <w:spacing w:line="360" w:lineRule="auto"/>
              <w:ind w:firstLine="420" w:firstLineChars="200"/>
              <w:rPr>
                <w:rFonts w:ascii="宋体" w:hAnsi="宋体" w:cs="宋体"/>
                <w:szCs w:val="21"/>
              </w:rPr>
            </w:pPr>
            <w:r>
              <w:rPr>
                <w:rFonts w:hint="eastAsia" w:ascii="宋体" w:hAnsi="宋体" w:cs="宋体"/>
                <w:szCs w:val="21"/>
              </w:rPr>
              <w:t>2.政策落地与业务规则宣贯</w:t>
            </w:r>
          </w:p>
          <w:p w14:paraId="53C819FB">
            <w:pPr>
              <w:spacing w:line="360" w:lineRule="auto"/>
              <w:ind w:firstLine="420" w:firstLineChars="200"/>
              <w:rPr>
                <w:rFonts w:ascii="宋体" w:hAnsi="宋体" w:cs="宋体"/>
                <w:szCs w:val="21"/>
              </w:rPr>
            </w:pPr>
            <w:r>
              <w:rPr>
                <w:rFonts w:hint="eastAsia" w:ascii="宋体" w:hAnsi="宋体" w:cs="宋体"/>
                <w:szCs w:val="21"/>
              </w:rPr>
              <w:t>当自治区出台新政策，</w:t>
            </w:r>
            <w:r>
              <w:rPr>
                <w:rFonts w:ascii="宋体" w:hAnsi="宋体" w:cs="宋体"/>
                <w:szCs w:val="21"/>
              </w:rPr>
              <w:t>协助</w:t>
            </w:r>
            <w:r>
              <w:rPr>
                <w:rFonts w:hint="eastAsia" w:ascii="宋体" w:hAnsi="宋体" w:cs="宋体"/>
                <w:szCs w:val="21"/>
              </w:rPr>
              <w:t>编写本地化解读材料（图文/短视频）；协助组织线上宣讲（每季度至少1场/人）；一对一解答机构疑问。</w:t>
            </w:r>
          </w:p>
          <w:p w14:paraId="4FF05052">
            <w:pPr>
              <w:spacing w:line="360" w:lineRule="auto"/>
              <w:ind w:firstLine="420" w:firstLineChars="200"/>
              <w:rPr>
                <w:rFonts w:ascii="宋体" w:hAnsi="宋体" w:cs="宋体"/>
                <w:szCs w:val="21"/>
              </w:rPr>
            </w:pPr>
            <w:r>
              <w:rPr>
                <w:rFonts w:hint="eastAsia" w:ascii="宋体" w:hAnsi="宋体" w:cs="宋体"/>
                <w:szCs w:val="21"/>
              </w:rPr>
              <w:t>九、提供数据核查与业务协同服务</w:t>
            </w:r>
          </w:p>
          <w:p w14:paraId="21ECA45F">
            <w:pPr>
              <w:spacing w:line="360" w:lineRule="auto"/>
              <w:ind w:firstLine="420" w:firstLineChars="200"/>
              <w:rPr>
                <w:rFonts w:ascii="宋体" w:hAnsi="宋体" w:cs="宋体"/>
                <w:szCs w:val="21"/>
              </w:rPr>
            </w:pPr>
            <w:r>
              <w:rPr>
                <w:rFonts w:hint="eastAsia" w:ascii="宋体" w:hAnsi="宋体" w:cs="宋体"/>
                <w:szCs w:val="21"/>
              </w:rPr>
              <w:t>1.异常数据人工复核与协调</w:t>
            </w:r>
          </w:p>
          <w:p w14:paraId="28A386F1">
            <w:pPr>
              <w:spacing w:line="360" w:lineRule="auto"/>
              <w:ind w:firstLine="420" w:firstLineChars="200"/>
              <w:rPr>
                <w:rFonts w:ascii="宋体" w:hAnsi="宋体" w:cs="宋体"/>
                <w:szCs w:val="21"/>
              </w:rPr>
            </w:pPr>
            <w:r>
              <w:rPr>
                <w:rFonts w:hint="eastAsia" w:ascii="宋体" w:hAnsi="宋体" w:cs="宋体"/>
                <w:szCs w:val="21"/>
              </w:rPr>
              <w:t>对系统自动标记的异常数据，需联系学员/机构核实真实性；判断是否属违规行为；形成核查记录，提交交通局作为执法依据；年均处理异常数据工单 ≥1,500条/人。</w:t>
            </w:r>
          </w:p>
          <w:p w14:paraId="0815A290">
            <w:pPr>
              <w:spacing w:line="360" w:lineRule="auto"/>
              <w:ind w:firstLine="420" w:firstLineChars="200"/>
              <w:rPr>
                <w:rFonts w:ascii="宋体" w:hAnsi="宋体" w:cs="宋体"/>
                <w:szCs w:val="21"/>
              </w:rPr>
            </w:pPr>
            <w:r>
              <w:rPr>
                <w:rFonts w:hint="eastAsia" w:ascii="宋体" w:hAnsi="宋体" w:cs="宋体"/>
                <w:szCs w:val="21"/>
              </w:rPr>
              <w:t>2.跨系统业务协同支持</w:t>
            </w:r>
          </w:p>
          <w:p w14:paraId="378677F6">
            <w:pPr>
              <w:spacing w:line="360" w:lineRule="auto"/>
              <w:ind w:firstLine="420" w:firstLineChars="200"/>
              <w:rPr>
                <w:rFonts w:ascii="宋体" w:hAnsi="宋体" w:cs="宋体"/>
                <w:szCs w:val="21"/>
              </w:rPr>
            </w:pPr>
            <w:r>
              <w:rPr>
                <w:rFonts w:hint="eastAsia" w:ascii="宋体" w:hAnsi="宋体" w:cs="宋体"/>
                <w:szCs w:val="21"/>
              </w:rPr>
              <w:t>与公安交管“考试预约系统”、银行系统接口等对接工作；收集用户反馈意见，推动系统功能优化；</w:t>
            </w:r>
          </w:p>
          <w:p w14:paraId="41FC605F">
            <w:pPr>
              <w:spacing w:line="360" w:lineRule="auto"/>
              <w:ind w:firstLine="420" w:firstLineChars="200"/>
              <w:rPr>
                <w:rFonts w:ascii="宋体" w:hAnsi="宋体" w:cs="宋体"/>
                <w:szCs w:val="21"/>
              </w:rPr>
            </w:pPr>
            <w:r>
              <w:rPr>
                <w:rFonts w:hint="eastAsia" w:ascii="宋体" w:hAnsi="宋体" w:cs="宋体"/>
                <w:szCs w:val="21"/>
              </w:rPr>
              <w:t>十、提供系统操作培训服务</w:t>
            </w:r>
          </w:p>
          <w:p w14:paraId="3C3E1216">
            <w:pPr>
              <w:spacing w:line="360" w:lineRule="auto"/>
              <w:ind w:firstLine="420" w:firstLineChars="200"/>
              <w:rPr>
                <w:rFonts w:ascii="宋体" w:hAnsi="宋体" w:cs="宋体"/>
                <w:szCs w:val="21"/>
              </w:rPr>
            </w:pPr>
            <w:r>
              <w:rPr>
                <w:rFonts w:hint="eastAsia" w:ascii="宋体" w:hAnsi="宋体" w:cs="宋体"/>
                <w:szCs w:val="21"/>
              </w:rPr>
              <w:t>根据需要对业务部门进行操作使用及定制化培训服务，提供操作文档。定期对广西全区14个设区市开展系统操作培训，详细讲解系统升级功能，处理系统应用过程中的问题。</w:t>
            </w:r>
          </w:p>
          <w:p w14:paraId="149A79E8">
            <w:pPr>
              <w:spacing w:line="360" w:lineRule="auto"/>
              <w:ind w:firstLine="420" w:firstLineChars="200"/>
              <w:rPr>
                <w:rFonts w:ascii="宋体" w:hAnsi="宋体" w:cs="宋体"/>
                <w:szCs w:val="21"/>
              </w:rPr>
            </w:pPr>
            <w:r>
              <w:rPr>
                <w:rFonts w:hint="eastAsia" w:ascii="宋体" w:hAnsi="宋体" w:cs="宋体"/>
                <w:szCs w:val="21"/>
              </w:rPr>
              <w:t>1.新机构接入培训：每年新增/变更机构约50家，需安排1对1系统操作培训；</w:t>
            </w:r>
          </w:p>
          <w:p w14:paraId="23FEF8FE">
            <w:pPr>
              <w:spacing w:line="360" w:lineRule="auto"/>
              <w:ind w:firstLine="420" w:firstLineChars="200"/>
              <w:rPr>
                <w:rFonts w:ascii="宋体" w:hAnsi="宋体" w:cs="宋体"/>
                <w:szCs w:val="21"/>
              </w:rPr>
            </w:pPr>
            <w:r>
              <w:rPr>
                <w:rFonts w:hint="eastAsia" w:ascii="宋体" w:hAnsi="宋体" w:cs="宋体"/>
                <w:szCs w:val="21"/>
              </w:rPr>
              <w:t>2.功能升级培训：平台每年2–3次重大功能更新（如新增退费模块、对接公安考试系统），需组织覆盖全部机构的培训；</w:t>
            </w:r>
          </w:p>
          <w:p w14:paraId="57992AD1">
            <w:pPr>
              <w:spacing w:line="360" w:lineRule="auto"/>
              <w:ind w:firstLine="420" w:firstLineChars="200"/>
              <w:rPr>
                <w:rFonts w:ascii="宋体" w:hAnsi="宋体" w:cs="宋体"/>
                <w:szCs w:val="21"/>
              </w:rPr>
            </w:pPr>
            <w:r>
              <w:rPr>
                <w:rFonts w:hint="eastAsia" w:ascii="宋体" w:hAnsi="宋体" w:cs="宋体"/>
                <w:szCs w:val="21"/>
              </w:rPr>
              <w:t>3.交通局业务人员培训：协助市级交通局信息科人员掌握数据查询、异常处理等操作；</w:t>
            </w:r>
          </w:p>
          <w:p w14:paraId="0B601703">
            <w:pPr>
              <w:spacing w:line="360" w:lineRule="auto"/>
              <w:ind w:firstLine="420" w:firstLineChars="200"/>
              <w:rPr>
                <w:rFonts w:ascii="宋体" w:hAnsi="宋体" w:cs="宋体"/>
                <w:szCs w:val="21"/>
              </w:rPr>
            </w:pPr>
            <w:r>
              <w:rPr>
                <w:rFonts w:hint="eastAsia" w:ascii="宋体" w:hAnsi="宋体" w:cs="宋体"/>
                <w:szCs w:val="21"/>
              </w:rPr>
              <w:t>4.培训形式：线上直播（主）、线下集中（辅），每次培训含课件准备、演练、答疑、反馈收集；</w:t>
            </w:r>
          </w:p>
          <w:p w14:paraId="7ED8B9EA">
            <w:pPr>
              <w:spacing w:line="360" w:lineRule="auto"/>
              <w:ind w:firstLine="420" w:firstLineChars="200"/>
              <w:rPr>
                <w:szCs w:val="21"/>
              </w:rPr>
            </w:pPr>
            <w:r>
              <w:rPr>
                <w:rFonts w:hint="eastAsia" w:ascii="宋体" w:hAnsi="宋体" w:cs="宋体"/>
                <w:szCs w:val="21"/>
              </w:rPr>
              <w:t>5.年均工作量：每人年组织培训 ≥10场，准备材料 ≥20份</w:t>
            </w:r>
          </w:p>
        </w:tc>
      </w:tr>
      <w:tr w14:paraId="66460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9718" w:type="dxa"/>
            <w:gridSpan w:val="4"/>
            <w:tcBorders>
              <w:top w:val="single" w:color="auto" w:sz="4" w:space="0"/>
              <w:left w:val="single" w:color="auto" w:sz="4" w:space="0"/>
              <w:right w:val="single" w:color="auto" w:sz="4" w:space="0"/>
            </w:tcBorders>
            <w:vAlign w:val="center"/>
          </w:tcPr>
          <w:p w14:paraId="66FF84B1">
            <w:pPr>
              <w:spacing w:line="340" w:lineRule="exact"/>
              <w:rPr>
                <w:b/>
                <w:szCs w:val="21"/>
              </w:rPr>
            </w:pPr>
            <w:r>
              <w:rPr>
                <w:rFonts w:hint="eastAsia" w:ascii="宋体" w:hAnsi="宋体"/>
                <w:b/>
                <w:szCs w:val="21"/>
              </w:rPr>
              <w:t>商务要求表</w:t>
            </w:r>
          </w:p>
        </w:tc>
      </w:tr>
      <w:tr w14:paraId="17130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87" w:type="dxa"/>
            <w:gridSpan w:val="2"/>
            <w:tcBorders>
              <w:top w:val="single" w:color="auto" w:sz="4" w:space="0"/>
              <w:left w:val="single" w:color="auto" w:sz="4" w:space="0"/>
              <w:right w:val="single" w:color="auto" w:sz="4" w:space="0"/>
            </w:tcBorders>
            <w:vAlign w:val="center"/>
          </w:tcPr>
          <w:p w14:paraId="49424C91">
            <w:pPr>
              <w:snapToGrid w:val="0"/>
              <w:spacing w:line="340" w:lineRule="exact"/>
              <w:jc w:val="center"/>
              <w:rPr>
                <w:rFonts w:ascii="宋体" w:hAnsi="宋体"/>
                <w:szCs w:val="21"/>
              </w:rPr>
            </w:pPr>
            <w:r>
              <w:rPr>
                <w:rFonts w:hint="eastAsia" w:ascii="宋体" w:hAnsi="宋体"/>
                <w:szCs w:val="21"/>
              </w:rPr>
              <w:t>▲服务期限</w:t>
            </w:r>
          </w:p>
        </w:tc>
        <w:tc>
          <w:tcPr>
            <w:tcW w:w="7431" w:type="dxa"/>
            <w:gridSpan w:val="2"/>
            <w:tcBorders>
              <w:top w:val="single" w:color="auto" w:sz="4" w:space="0"/>
              <w:left w:val="single" w:color="auto" w:sz="4" w:space="0"/>
              <w:right w:val="single" w:color="auto" w:sz="4" w:space="0"/>
            </w:tcBorders>
            <w:vAlign w:val="center"/>
          </w:tcPr>
          <w:p w14:paraId="675BEBC2">
            <w:pPr>
              <w:spacing w:line="340" w:lineRule="exact"/>
              <w:rPr>
                <w:szCs w:val="21"/>
              </w:rPr>
            </w:pPr>
            <w:r>
              <w:rPr>
                <w:rFonts w:hint="eastAsia" w:ascii="宋体" w:hAnsi="宋体" w:cs="宋体"/>
                <w:bCs/>
                <w:szCs w:val="21"/>
              </w:rPr>
              <w:t>2026年</w:t>
            </w:r>
            <w:r>
              <w:rPr>
                <w:rFonts w:ascii="宋体" w:hAnsi="宋体" w:cs="宋体"/>
                <w:bCs/>
                <w:szCs w:val="21"/>
              </w:rPr>
              <w:t>6</w:t>
            </w:r>
            <w:r>
              <w:rPr>
                <w:rFonts w:hint="eastAsia" w:ascii="宋体" w:hAnsi="宋体" w:cs="宋体"/>
                <w:bCs/>
                <w:szCs w:val="21"/>
              </w:rPr>
              <w:t>月</w:t>
            </w:r>
            <w:r>
              <w:rPr>
                <w:rFonts w:ascii="宋体" w:hAnsi="宋体" w:cs="宋体"/>
                <w:bCs/>
                <w:szCs w:val="21"/>
              </w:rPr>
              <w:t>1</w:t>
            </w:r>
            <w:r>
              <w:rPr>
                <w:rFonts w:hint="eastAsia" w:ascii="宋体" w:hAnsi="宋体" w:cs="宋体"/>
                <w:bCs/>
                <w:szCs w:val="21"/>
              </w:rPr>
              <w:t>日至2027年</w:t>
            </w:r>
            <w:r>
              <w:rPr>
                <w:rFonts w:ascii="宋体" w:hAnsi="宋体" w:cs="宋体"/>
                <w:bCs/>
                <w:szCs w:val="21"/>
              </w:rPr>
              <w:t>5</w:t>
            </w:r>
            <w:r>
              <w:rPr>
                <w:rFonts w:hint="eastAsia" w:ascii="宋体" w:hAnsi="宋体" w:cs="宋体"/>
                <w:bCs/>
                <w:szCs w:val="21"/>
              </w:rPr>
              <w:t>月</w:t>
            </w:r>
            <w:r>
              <w:rPr>
                <w:rFonts w:ascii="宋体" w:hAnsi="宋体" w:cs="宋体"/>
                <w:bCs/>
                <w:szCs w:val="21"/>
              </w:rPr>
              <w:t>31</w:t>
            </w:r>
            <w:r>
              <w:rPr>
                <w:rFonts w:hint="eastAsia" w:ascii="宋体" w:hAnsi="宋体" w:cs="宋体"/>
                <w:bCs/>
                <w:szCs w:val="21"/>
              </w:rPr>
              <w:t>日</w:t>
            </w:r>
          </w:p>
        </w:tc>
      </w:tr>
      <w:tr w14:paraId="48377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87" w:type="dxa"/>
            <w:gridSpan w:val="2"/>
            <w:tcBorders>
              <w:top w:val="single" w:color="auto" w:sz="4" w:space="0"/>
              <w:left w:val="single" w:color="auto" w:sz="4" w:space="0"/>
              <w:right w:val="single" w:color="auto" w:sz="4" w:space="0"/>
            </w:tcBorders>
            <w:vAlign w:val="center"/>
          </w:tcPr>
          <w:p w14:paraId="0E55332B">
            <w:pPr>
              <w:tabs>
                <w:tab w:val="left" w:pos="180"/>
                <w:tab w:val="left" w:pos="1620"/>
              </w:tabs>
              <w:spacing w:line="400" w:lineRule="exact"/>
              <w:jc w:val="center"/>
              <w:rPr>
                <w:rFonts w:ascii="宋体" w:hAnsi="宋体"/>
                <w:szCs w:val="21"/>
              </w:rPr>
            </w:pPr>
            <w:r>
              <w:rPr>
                <w:rFonts w:hint="eastAsia" w:ascii="宋体" w:hAnsi="宋体"/>
                <w:szCs w:val="21"/>
              </w:rPr>
              <w:t>合同签订期</w:t>
            </w:r>
          </w:p>
        </w:tc>
        <w:tc>
          <w:tcPr>
            <w:tcW w:w="7431" w:type="dxa"/>
            <w:gridSpan w:val="2"/>
            <w:tcBorders>
              <w:top w:val="single" w:color="auto" w:sz="4" w:space="0"/>
              <w:left w:val="single" w:color="auto" w:sz="4" w:space="0"/>
              <w:right w:val="single" w:color="auto" w:sz="4" w:space="0"/>
            </w:tcBorders>
            <w:vAlign w:val="center"/>
          </w:tcPr>
          <w:p w14:paraId="00F68F1C">
            <w:pPr>
              <w:tabs>
                <w:tab w:val="left" w:pos="180"/>
                <w:tab w:val="left" w:pos="1620"/>
              </w:tabs>
              <w:spacing w:line="400" w:lineRule="exact"/>
              <w:jc w:val="left"/>
              <w:rPr>
                <w:rFonts w:ascii="宋体" w:hAnsi="宋体"/>
                <w:szCs w:val="21"/>
              </w:rPr>
            </w:pPr>
            <w:r>
              <w:rPr>
                <w:rFonts w:hint="eastAsia" w:ascii="宋体" w:hAnsi="宋体"/>
                <w:szCs w:val="21"/>
              </w:rPr>
              <w:t>自中标通知书发出之日起25日内。</w:t>
            </w:r>
          </w:p>
        </w:tc>
      </w:tr>
      <w:tr w14:paraId="7D7C6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2287" w:type="dxa"/>
            <w:gridSpan w:val="2"/>
            <w:tcBorders>
              <w:top w:val="single" w:color="auto" w:sz="4" w:space="0"/>
              <w:left w:val="single" w:color="auto" w:sz="4" w:space="0"/>
              <w:right w:val="single" w:color="auto" w:sz="4" w:space="0"/>
            </w:tcBorders>
            <w:vAlign w:val="center"/>
          </w:tcPr>
          <w:p w14:paraId="7C44B0BD">
            <w:pPr>
              <w:snapToGrid w:val="0"/>
              <w:spacing w:line="380" w:lineRule="exact"/>
              <w:jc w:val="center"/>
              <w:rPr>
                <w:rFonts w:ascii="宋体" w:hAnsi="宋体"/>
                <w:szCs w:val="21"/>
              </w:rPr>
            </w:pPr>
            <w:r>
              <w:rPr>
                <w:rFonts w:hint="eastAsia" w:ascii="宋体" w:hAnsi="宋体"/>
                <w:szCs w:val="21"/>
              </w:rPr>
              <w:t>▲服务地点</w:t>
            </w:r>
          </w:p>
        </w:tc>
        <w:tc>
          <w:tcPr>
            <w:tcW w:w="7431" w:type="dxa"/>
            <w:gridSpan w:val="2"/>
            <w:tcBorders>
              <w:top w:val="single" w:color="auto" w:sz="4" w:space="0"/>
              <w:left w:val="single" w:color="auto" w:sz="4" w:space="0"/>
              <w:right w:val="single" w:color="auto" w:sz="4" w:space="0"/>
            </w:tcBorders>
            <w:vAlign w:val="center"/>
          </w:tcPr>
          <w:p w14:paraId="20D27E3D">
            <w:pPr>
              <w:spacing w:line="380" w:lineRule="exact"/>
              <w:rPr>
                <w:szCs w:val="21"/>
              </w:rPr>
            </w:pPr>
            <w:r>
              <w:rPr>
                <w:rFonts w:hint="eastAsia" w:ascii="宋体" w:hAnsi="宋体"/>
                <w:szCs w:val="21"/>
              </w:rPr>
              <w:t>广西区内（采购人指定地点）</w:t>
            </w:r>
          </w:p>
        </w:tc>
      </w:tr>
      <w:tr w14:paraId="2A3C8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jc w:val="center"/>
        </w:trPr>
        <w:tc>
          <w:tcPr>
            <w:tcW w:w="2287" w:type="dxa"/>
            <w:gridSpan w:val="2"/>
            <w:tcBorders>
              <w:top w:val="single" w:color="auto" w:sz="4" w:space="0"/>
              <w:left w:val="single" w:color="auto" w:sz="4" w:space="0"/>
              <w:right w:val="single" w:color="auto" w:sz="4" w:space="0"/>
            </w:tcBorders>
            <w:vAlign w:val="center"/>
          </w:tcPr>
          <w:p w14:paraId="02109DAC">
            <w:pPr>
              <w:snapToGrid w:val="0"/>
              <w:spacing w:line="340" w:lineRule="exact"/>
              <w:jc w:val="center"/>
              <w:rPr>
                <w:rFonts w:ascii="宋体" w:hAnsi="宋体"/>
                <w:szCs w:val="21"/>
              </w:rPr>
            </w:pPr>
            <w:r>
              <w:rPr>
                <w:rFonts w:hint="eastAsia" w:ascii="宋体" w:hAnsi="宋体"/>
                <w:szCs w:val="21"/>
              </w:rPr>
              <w:t>▲付款条件</w:t>
            </w:r>
          </w:p>
        </w:tc>
        <w:tc>
          <w:tcPr>
            <w:tcW w:w="7431" w:type="dxa"/>
            <w:gridSpan w:val="2"/>
            <w:tcBorders>
              <w:top w:val="single" w:color="auto" w:sz="4" w:space="0"/>
              <w:left w:val="single" w:color="auto" w:sz="4" w:space="0"/>
              <w:right w:val="single" w:color="auto" w:sz="4" w:space="0"/>
            </w:tcBorders>
            <w:vAlign w:val="center"/>
          </w:tcPr>
          <w:p w14:paraId="5357BAE1">
            <w:pPr>
              <w:spacing w:line="360" w:lineRule="auto"/>
              <w:rPr>
                <w:szCs w:val="21"/>
              </w:rPr>
            </w:pPr>
            <w:r>
              <w:rPr>
                <w:rFonts w:hint="eastAsia" w:ascii="宋体" w:hAnsi="宋体"/>
                <w:szCs w:val="21"/>
              </w:rPr>
              <w:t>签订合同后十个工作日内，采购人向中标供应商支付全部合同金额的50%；在中标供应商签订合同</w:t>
            </w:r>
            <w:r>
              <w:rPr>
                <w:rFonts w:ascii="宋体" w:hAnsi="宋体"/>
                <w:szCs w:val="21"/>
              </w:rPr>
              <w:t>2</w:t>
            </w:r>
            <w:r>
              <w:rPr>
                <w:rFonts w:hint="eastAsia" w:ascii="宋体" w:hAnsi="宋体"/>
                <w:szCs w:val="21"/>
              </w:rPr>
              <w:t>个月后，由采购人对中标供应商的服务能力验收，验收通过后，采购人于10个工作日内向中标供应商支付30%合同款；在中标供应商签订合同4个月后，采购人于10个工作日内向中标供应商支付20%合同款。采购人付款前，中标供应商应向采购人开具等额有效的增值税发票，采购人未收到发票的，有权不予支付相应款项直至中标供应商提供合格发票，并不承担延迟付款责任。</w:t>
            </w:r>
          </w:p>
        </w:tc>
      </w:tr>
      <w:tr w14:paraId="550AB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287" w:type="dxa"/>
            <w:gridSpan w:val="2"/>
            <w:tcBorders>
              <w:top w:val="single" w:color="auto" w:sz="4" w:space="0"/>
              <w:left w:val="single" w:color="auto" w:sz="4" w:space="0"/>
              <w:bottom w:val="single" w:color="auto" w:sz="4" w:space="0"/>
              <w:right w:val="single" w:color="auto" w:sz="4" w:space="0"/>
            </w:tcBorders>
            <w:vAlign w:val="center"/>
          </w:tcPr>
          <w:p w14:paraId="0B9EF3F9">
            <w:pPr>
              <w:snapToGrid w:val="0"/>
              <w:spacing w:line="340" w:lineRule="exact"/>
              <w:jc w:val="center"/>
              <w:rPr>
                <w:rFonts w:ascii="宋体" w:hAnsi="宋体"/>
                <w:szCs w:val="21"/>
              </w:rPr>
            </w:pPr>
            <w:r>
              <w:rPr>
                <w:rFonts w:hint="eastAsia" w:ascii="宋体" w:hAnsi="宋体"/>
                <w:szCs w:val="21"/>
              </w:rPr>
              <w:t>报价要求</w:t>
            </w:r>
          </w:p>
        </w:tc>
        <w:tc>
          <w:tcPr>
            <w:tcW w:w="7431" w:type="dxa"/>
            <w:gridSpan w:val="2"/>
            <w:tcBorders>
              <w:top w:val="single" w:color="auto" w:sz="4" w:space="0"/>
              <w:left w:val="single" w:color="auto" w:sz="4" w:space="0"/>
              <w:bottom w:val="single" w:color="auto" w:sz="4" w:space="0"/>
              <w:right w:val="single" w:color="auto" w:sz="4" w:space="0"/>
            </w:tcBorders>
            <w:vAlign w:val="center"/>
          </w:tcPr>
          <w:p w14:paraId="693968DC">
            <w:pPr>
              <w:spacing w:line="400" w:lineRule="exact"/>
              <w:rPr>
                <w:szCs w:val="21"/>
              </w:rPr>
            </w:pPr>
            <w:r>
              <w:rPr>
                <w:rFonts w:hint="eastAsia" w:ascii="宋体" w:hAnsi="宋体"/>
                <w:szCs w:val="21"/>
              </w:rPr>
              <w:t>本项目报价为总包干价。</w:t>
            </w:r>
            <w:r>
              <w:rPr>
                <w:rFonts w:hint="eastAsia"/>
                <w:szCs w:val="21"/>
              </w:rPr>
              <w:t>报价包含本项目所有服务内容、</w:t>
            </w:r>
            <w:r>
              <w:rPr>
                <w:rFonts w:hint="eastAsia" w:ascii="宋体" w:hAnsi="宋体" w:cs="宋体"/>
                <w:szCs w:val="21"/>
              </w:rPr>
              <w:t>服务中包含货物</w:t>
            </w:r>
            <w:r>
              <w:rPr>
                <w:rFonts w:hint="eastAsia"/>
                <w:szCs w:val="21"/>
              </w:rPr>
              <w:t>所涉及的设备、备品备件、标准附件、专用工具、人员薪酬、交通费、安装、调试、技术支持、培训、检测检验、必要的保费、各项税费、招标代理服务费及其它所有成本费用的总和。</w:t>
            </w:r>
            <w:r>
              <w:rPr>
                <w:rFonts w:hint="eastAsia" w:ascii="宋体" w:hAnsi="宋体" w:cs="宋体"/>
                <w:szCs w:val="21"/>
              </w:rPr>
              <w:t>由供应商根据采购文件所提供的资料自行测算投标报价；一经中标，投标报价总价作为中标供应商与采购人签订的合同金额，合同期限内不做调整。</w:t>
            </w:r>
          </w:p>
        </w:tc>
      </w:tr>
      <w:tr w14:paraId="57976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87" w:type="dxa"/>
            <w:gridSpan w:val="2"/>
            <w:tcBorders>
              <w:top w:val="single" w:color="auto" w:sz="4" w:space="0"/>
              <w:left w:val="single" w:color="auto" w:sz="4" w:space="0"/>
              <w:right w:val="single" w:color="auto" w:sz="4" w:space="0"/>
            </w:tcBorders>
            <w:vAlign w:val="center"/>
          </w:tcPr>
          <w:p w14:paraId="0377596A">
            <w:pPr>
              <w:snapToGrid w:val="0"/>
              <w:spacing w:line="380" w:lineRule="exact"/>
              <w:jc w:val="center"/>
              <w:rPr>
                <w:rFonts w:ascii="宋体" w:hAnsi="宋体"/>
                <w:szCs w:val="21"/>
              </w:rPr>
            </w:pPr>
            <w:r>
              <w:rPr>
                <w:rFonts w:hint="eastAsia" w:ascii="宋体" w:hAnsi="宋体"/>
                <w:szCs w:val="21"/>
              </w:rPr>
              <w:t>其它要求</w:t>
            </w:r>
          </w:p>
        </w:tc>
        <w:tc>
          <w:tcPr>
            <w:tcW w:w="7431" w:type="dxa"/>
            <w:gridSpan w:val="2"/>
            <w:tcBorders>
              <w:top w:val="single" w:color="auto" w:sz="4" w:space="0"/>
              <w:left w:val="single" w:color="auto" w:sz="4" w:space="0"/>
              <w:right w:val="single" w:color="auto" w:sz="4" w:space="0"/>
            </w:tcBorders>
            <w:vAlign w:val="center"/>
          </w:tcPr>
          <w:p w14:paraId="67BD11C9">
            <w:pPr>
              <w:spacing w:line="380" w:lineRule="exact"/>
              <w:rPr>
                <w:szCs w:val="21"/>
              </w:rPr>
            </w:pPr>
            <w:r>
              <w:rPr>
                <w:rFonts w:hint="eastAsia"/>
                <w:szCs w:val="21"/>
              </w:rPr>
              <w:t>（一）服务质量要求</w:t>
            </w:r>
          </w:p>
          <w:p w14:paraId="1880B48D">
            <w:pPr>
              <w:spacing w:line="380" w:lineRule="exact"/>
              <w:rPr>
                <w:szCs w:val="21"/>
              </w:rPr>
            </w:pPr>
            <w:r>
              <w:rPr>
                <w:rFonts w:hint="eastAsia"/>
                <w:szCs w:val="21"/>
              </w:rPr>
              <w:t>1、投标人具备相关信息化系统的开发和运行维护经验。</w:t>
            </w:r>
          </w:p>
          <w:p w14:paraId="2171966E">
            <w:pPr>
              <w:spacing w:line="380" w:lineRule="exact"/>
              <w:rPr>
                <w:szCs w:val="21"/>
              </w:rPr>
            </w:pPr>
            <w:r>
              <w:rPr>
                <w:rFonts w:hint="eastAsia"/>
                <w:szCs w:val="21"/>
              </w:rPr>
              <w:t>2、投标人承诺中标后能为本项目提供本地化服务的能力，并在广西设有本地化的服务团队</w:t>
            </w:r>
            <w:r>
              <w:rPr>
                <w:rFonts w:hint="eastAsia" w:ascii="宋体" w:hAnsi="宋体" w:cs="宋体"/>
                <w:szCs w:val="21"/>
              </w:rPr>
              <w:t>（如已具备本地化能力，投标文件中提供地址、服务团队名单、联系方式；未设立的则在投标文件中提供承诺函（格式自拟））</w:t>
            </w:r>
            <w:r>
              <w:rPr>
                <w:rFonts w:hint="eastAsia"/>
                <w:szCs w:val="21"/>
              </w:rPr>
              <w:t>。</w:t>
            </w:r>
          </w:p>
          <w:p w14:paraId="3177DA7F">
            <w:pPr>
              <w:spacing w:line="380" w:lineRule="exact"/>
              <w:rPr>
                <w:szCs w:val="21"/>
              </w:rPr>
            </w:pPr>
            <w:r>
              <w:rPr>
                <w:rFonts w:hint="eastAsia"/>
                <w:szCs w:val="21"/>
              </w:rPr>
              <w:t>3、投标人提供7*24小时专人职守服务，实时响应内部服务请求，详细记录问题解决情况。维护期内配备1名技术人员驻场，每个部署上线的</w:t>
            </w:r>
            <w:r>
              <w:rPr>
                <w:szCs w:val="21"/>
              </w:rPr>
              <w:t>地市</w:t>
            </w:r>
            <w:r>
              <w:rPr>
                <w:rFonts w:hint="eastAsia"/>
                <w:szCs w:val="21"/>
              </w:rPr>
              <w:t>配置1</w:t>
            </w:r>
            <w:r>
              <w:rPr>
                <w:szCs w:val="21"/>
              </w:rPr>
              <w:t>-2</w:t>
            </w:r>
            <w:r>
              <w:rPr>
                <w:rFonts w:hint="eastAsia"/>
                <w:szCs w:val="21"/>
              </w:rPr>
              <w:t>名</w:t>
            </w:r>
            <w:r>
              <w:rPr>
                <w:szCs w:val="21"/>
              </w:rPr>
              <w:t>服务人员</w:t>
            </w:r>
            <w:r>
              <w:rPr>
                <w:rFonts w:hint="eastAsia"/>
                <w:szCs w:val="21"/>
              </w:rPr>
              <w:t>，提供现场服务、远程技术服务、预防性服务、定期专访、远程监控等服务方式，提供7×24小时维保服务。面向各级交通运输主管部门、区内驾驶培训机构提供技术和业务支持，包括通过网络、电话和邮件远程技术协助，现场技术支持。</w:t>
            </w:r>
          </w:p>
          <w:p w14:paraId="3A808BE2">
            <w:pPr>
              <w:spacing w:line="380" w:lineRule="exact"/>
              <w:rPr>
                <w:szCs w:val="21"/>
              </w:rPr>
            </w:pPr>
            <w:r>
              <w:rPr>
                <w:rFonts w:hint="eastAsia"/>
                <w:szCs w:val="21"/>
              </w:rPr>
              <w:t>4、投标人应建立规范的内部管理制度。严格管理专职专业技术人员，保证服务态度良好、问题解决及时、重大问题及时反馈、运维记录详细。</w:t>
            </w:r>
          </w:p>
          <w:p w14:paraId="6B82C994">
            <w:pPr>
              <w:spacing w:line="380" w:lineRule="exact"/>
              <w:rPr>
                <w:szCs w:val="21"/>
              </w:rPr>
            </w:pPr>
            <w:r>
              <w:rPr>
                <w:rFonts w:hint="eastAsia"/>
                <w:szCs w:val="21"/>
              </w:rPr>
              <w:t>5、投标人应建立常见系统故障应急预案，以便出现问题后，及时作出响应。</w:t>
            </w:r>
          </w:p>
          <w:p w14:paraId="0A5141EF">
            <w:pPr>
              <w:spacing w:line="380" w:lineRule="exact"/>
              <w:rPr>
                <w:szCs w:val="21"/>
              </w:rPr>
            </w:pPr>
            <w:r>
              <w:rPr>
                <w:rFonts w:hint="eastAsia"/>
                <w:szCs w:val="21"/>
              </w:rPr>
              <w:t>6、投标人有义务对专职专业技术人员进行岗前操作培训，以便更好地掌握平台运维技能。</w:t>
            </w:r>
          </w:p>
          <w:p w14:paraId="52563831">
            <w:pPr>
              <w:spacing w:line="380" w:lineRule="exact"/>
              <w:rPr>
                <w:szCs w:val="21"/>
              </w:rPr>
            </w:pPr>
            <w:r>
              <w:rPr>
                <w:rFonts w:hint="eastAsia"/>
                <w:szCs w:val="21"/>
              </w:rPr>
              <w:t>7、当出现业务无法办理、数据丢失等系统故障时，投标人必须在10分钟内进行响应，2小时内提出处理方案，12小时内解决故障。</w:t>
            </w:r>
          </w:p>
          <w:p w14:paraId="44076B78">
            <w:pPr>
              <w:spacing w:line="380" w:lineRule="exact"/>
              <w:rPr>
                <w:szCs w:val="21"/>
              </w:rPr>
            </w:pPr>
            <w:r>
              <w:rPr>
                <w:rFonts w:hint="eastAsia"/>
                <w:szCs w:val="21"/>
              </w:rPr>
              <w:t>（二）服务规范要求</w:t>
            </w:r>
          </w:p>
          <w:p w14:paraId="245A5C34">
            <w:pPr>
              <w:spacing w:line="380" w:lineRule="exact"/>
              <w:rPr>
                <w:szCs w:val="21"/>
              </w:rPr>
            </w:pPr>
            <w:r>
              <w:rPr>
                <w:rFonts w:hint="eastAsia"/>
                <w:szCs w:val="21"/>
              </w:rPr>
              <w:t>1、遵守用户的规章制度，严格按照规章制度办事。</w:t>
            </w:r>
          </w:p>
          <w:p w14:paraId="733811BA">
            <w:pPr>
              <w:spacing w:line="380" w:lineRule="exact"/>
              <w:rPr>
                <w:szCs w:val="21"/>
              </w:rPr>
            </w:pPr>
            <w:r>
              <w:rPr>
                <w:rFonts w:hint="eastAsia"/>
                <w:szCs w:val="21"/>
              </w:rPr>
              <w:t>2、对被支持单位的网络、主机、系统软件、应用软件的密码、核心参数、业务数据等负有保密责任，不得随意复制和传播。</w:t>
            </w:r>
          </w:p>
          <w:p w14:paraId="6A54E024">
            <w:pPr>
              <w:spacing w:line="380" w:lineRule="exact"/>
              <w:rPr>
                <w:szCs w:val="21"/>
              </w:rPr>
            </w:pPr>
            <w:r>
              <w:rPr>
                <w:rFonts w:hint="eastAsia"/>
                <w:szCs w:val="21"/>
              </w:rPr>
              <w:t>3、严格按照服务工作流程规范进行日常工作，如果发生由于日常工作遗漏和疏忽导致业户的数据丢失或被攻击、未授权的配置变更等影响业主业务正常开展的情况，将根据情节严重对相关责任人进行相应的处罚。</w:t>
            </w:r>
          </w:p>
          <w:p w14:paraId="716EE703">
            <w:pPr>
              <w:spacing w:line="380" w:lineRule="exact"/>
              <w:rPr>
                <w:szCs w:val="21"/>
              </w:rPr>
            </w:pPr>
            <w:r>
              <w:rPr>
                <w:rFonts w:hint="eastAsia"/>
                <w:szCs w:val="21"/>
              </w:rPr>
              <w:t>4、服务期间须按照国家网络安全及信息保密安全有关管理规定做好网络安全保密工作。指定具体网络安全责任人，建立独立的管理技术团队负责项目实施过程中的网络安全管理。网络安全责任人及工作人员有变更、业务转型或因自身原因有合并重组等的须提前向招标人进行书面说明，未经采购人同意，不得私自将在采购人工作期间的项目任务进行分包、转包。中标供应商必须承担为采购人保守相关保密信息的义务和责任，包括以下内容：中标供应商应严格控制了解项目关键资料的人员范围，对参与项目运维的有关工作人员要明确保密责任，严格保密纪律，不得泄漏、使用系统数据信息用于其他用途。</w:t>
            </w:r>
          </w:p>
          <w:p w14:paraId="25F196CE">
            <w:pPr>
              <w:spacing w:line="380" w:lineRule="exact"/>
              <w:rPr>
                <w:szCs w:val="21"/>
              </w:rPr>
            </w:pPr>
            <w:r>
              <w:rPr>
                <w:rFonts w:hint="eastAsia"/>
                <w:szCs w:val="21"/>
              </w:rPr>
              <w:t>5、服务期间涉及的政务数据和其他数据须分开处理，不得私自将工作中处理的数据进行变更处理。投标人在服务期间处理数据，涉及到个人信息时，须按照国家个人信息保护相关管理规定，做好数据处理存储工作。采购人具有所有权、使用权和访问权，投标人不得私自更改、访问、利用和销毁服务期间涉及到的政务数据信息。</w:t>
            </w:r>
          </w:p>
          <w:p w14:paraId="7FBAC45E">
            <w:pPr>
              <w:spacing w:line="380" w:lineRule="exact"/>
              <w:rPr>
                <w:szCs w:val="21"/>
              </w:rPr>
            </w:pPr>
            <w:r>
              <w:rPr>
                <w:rFonts w:hint="eastAsia"/>
                <w:szCs w:val="21"/>
              </w:rPr>
              <w:t>▲6、中标人必须与采购人签订保密协议， 202</w:t>
            </w:r>
            <w:r>
              <w:rPr>
                <w:szCs w:val="21"/>
              </w:rPr>
              <w:t>6</w:t>
            </w:r>
            <w:r>
              <w:rPr>
                <w:rFonts w:hint="eastAsia"/>
                <w:szCs w:val="21"/>
              </w:rPr>
              <w:t>年完成信息系统安全等级保护（三级）备案工作，做好网络安全等级及密码测评</w:t>
            </w:r>
            <w:r>
              <w:rPr>
                <w:szCs w:val="21"/>
              </w:rPr>
              <w:t>。</w:t>
            </w:r>
          </w:p>
          <w:p w14:paraId="00EDEC54">
            <w:pPr>
              <w:spacing w:line="380" w:lineRule="exact"/>
              <w:rPr>
                <w:szCs w:val="21"/>
              </w:rPr>
            </w:pPr>
            <w:r>
              <w:rPr>
                <w:rFonts w:hint="eastAsia"/>
                <w:szCs w:val="21"/>
              </w:rPr>
              <w:t>▲7、投标人须配合做好国产化相关工作。</w:t>
            </w:r>
          </w:p>
        </w:tc>
      </w:tr>
    </w:tbl>
    <w:p w14:paraId="669489EE">
      <w:pPr>
        <w:spacing w:line="400" w:lineRule="exact"/>
        <w:ind w:firstLine="308" w:firstLineChars="147"/>
        <w:jc w:val="left"/>
        <w:rPr>
          <w:rFonts w:ascii="宋体" w:hAnsi="宋体" w:cs="Arial"/>
          <w:bCs/>
          <w:color w:val="auto"/>
          <w:szCs w:val="21"/>
          <w:highlight w:val="none"/>
          <w:u w:val="single"/>
        </w:rPr>
      </w:pPr>
      <w:r>
        <w:rPr>
          <w:rFonts w:ascii="宋体" w:hAnsi="宋体" w:cs="宋体"/>
          <w:color w:val="auto"/>
          <w:szCs w:val="21"/>
          <w:highlight w:val="none"/>
        </w:rPr>
        <w:br w:type="page"/>
      </w:r>
      <w:r>
        <w:rPr>
          <w:rFonts w:hint="eastAsia" w:ascii="宋体" w:hAnsi="宋体" w:cs="Arial"/>
          <w:b/>
          <w:color w:val="auto"/>
          <w:szCs w:val="21"/>
          <w:highlight w:val="none"/>
          <w:u w:val="single"/>
        </w:rPr>
        <w:t xml:space="preserve"> 4 </w:t>
      </w:r>
      <w:r>
        <w:rPr>
          <w:rFonts w:hint="eastAsia" w:ascii="宋体" w:hAnsi="宋体"/>
          <w:b/>
          <w:color w:val="auto"/>
          <w:szCs w:val="21"/>
          <w:highlight w:val="none"/>
        </w:rPr>
        <w:t>分标      采购预算：</w:t>
      </w:r>
      <w:r>
        <w:rPr>
          <w:rFonts w:hint="eastAsia" w:ascii="宋体" w:hAnsi="宋体" w:cs="Arial"/>
          <w:bCs/>
          <w:color w:val="auto"/>
          <w:szCs w:val="21"/>
          <w:highlight w:val="none"/>
          <w:u w:val="single"/>
        </w:rPr>
        <w:t xml:space="preserve">详见招标公告 </w:t>
      </w: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
        <w:gridCol w:w="1601"/>
        <w:gridCol w:w="756"/>
        <w:gridCol w:w="6675"/>
      </w:tblGrid>
      <w:tr w14:paraId="7E764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9718" w:type="dxa"/>
            <w:gridSpan w:val="4"/>
            <w:tcBorders>
              <w:top w:val="single" w:color="auto" w:sz="4" w:space="0"/>
              <w:left w:val="single" w:color="auto" w:sz="4" w:space="0"/>
              <w:bottom w:val="single" w:color="auto" w:sz="4" w:space="0"/>
              <w:right w:val="single" w:color="auto" w:sz="4" w:space="0"/>
            </w:tcBorders>
            <w:vAlign w:val="center"/>
          </w:tcPr>
          <w:p w14:paraId="58B27661">
            <w:pPr>
              <w:pStyle w:val="23"/>
              <w:spacing w:line="340" w:lineRule="exact"/>
              <w:ind w:firstLine="316" w:firstLineChars="150"/>
              <w:jc w:val="center"/>
              <w:rPr>
                <w:rFonts w:hAnsi="宋体"/>
                <w:b/>
                <w:color w:val="auto"/>
                <w:sz w:val="21"/>
                <w:highlight w:val="none"/>
              </w:rPr>
            </w:pPr>
            <w:r>
              <w:rPr>
                <w:rFonts w:hint="eastAsia" w:hAnsi="宋体"/>
                <w:b/>
                <w:color w:val="auto"/>
                <w:sz w:val="21"/>
                <w:highlight w:val="none"/>
              </w:rPr>
              <w:t>采购需求一览表</w:t>
            </w:r>
          </w:p>
        </w:tc>
      </w:tr>
      <w:tr w14:paraId="14A04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86" w:type="dxa"/>
            <w:tcBorders>
              <w:top w:val="single" w:color="auto" w:sz="4" w:space="0"/>
              <w:left w:val="single" w:color="auto" w:sz="4" w:space="0"/>
              <w:bottom w:val="single" w:color="auto" w:sz="4" w:space="0"/>
              <w:right w:val="single" w:color="auto" w:sz="4" w:space="0"/>
            </w:tcBorders>
            <w:vAlign w:val="center"/>
          </w:tcPr>
          <w:p w14:paraId="3A094DFC">
            <w:pPr>
              <w:pStyle w:val="23"/>
              <w:spacing w:line="340" w:lineRule="exact"/>
              <w:jc w:val="center"/>
              <w:rPr>
                <w:rFonts w:hAnsi="宋体"/>
                <w:b/>
                <w:color w:val="auto"/>
                <w:sz w:val="21"/>
                <w:highlight w:val="none"/>
              </w:rPr>
            </w:pPr>
            <w:r>
              <w:rPr>
                <w:rFonts w:hint="eastAsia" w:hAnsi="宋体"/>
                <w:b/>
                <w:color w:val="auto"/>
                <w:sz w:val="21"/>
                <w:highlight w:val="none"/>
              </w:rPr>
              <w:t>序号</w:t>
            </w:r>
          </w:p>
        </w:tc>
        <w:tc>
          <w:tcPr>
            <w:tcW w:w="1601" w:type="dxa"/>
            <w:tcBorders>
              <w:top w:val="single" w:color="auto" w:sz="4" w:space="0"/>
              <w:left w:val="single" w:color="auto" w:sz="4" w:space="0"/>
              <w:bottom w:val="single" w:color="auto" w:sz="4" w:space="0"/>
              <w:right w:val="single" w:color="auto" w:sz="4" w:space="0"/>
            </w:tcBorders>
            <w:vAlign w:val="center"/>
          </w:tcPr>
          <w:p w14:paraId="26AF2BAC">
            <w:pPr>
              <w:pStyle w:val="23"/>
              <w:spacing w:line="340" w:lineRule="exact"/>
              <w:jc w:val="center"/>
              <w:rPr>
                <w:rFonts w:hAnsi="宋体"/>
                <w:b/>
                <w:color w:val="auto"/>
                <w:sz w:val="21"/>
                <w:highlight w:val="none"/>
              </w:rPr>
            </w:pPr>
            <w:r>
              <w:rPr>
                <w:rFonts w:hint="eastAsia" w:hAnsi="宋体"/>
                <w:b/>
                <w:color w:val="auto"/>
                <w:sz w:val="21"/>
                <w:highlight w:val="none"/>
              </w:rPr>
              <w:t>服务名称</w:t>
            </w:r>
          </w:p>
        </w:tc>
        <w:tc>
          <w:tcPr>
            <w:tcW w:w="756" w:type="dxa"/>
            <w:tcBorders>
              <w:top w:val="single" w:color="auto" w:sz="4" w:space="0"/>
              <w:left w:val="single" w:color="auto" w:sz="4" w:space="0"/>
              <w:bottom w:val="single" w:color="auto" w:sz="4" w:space="0"/>
              <w:right w:val="single" w:color="auto" w:sz="4" w:space="0"/>
            </w:tcBorders>
            <w:vAlign w:val="center"/>
          </w:tcPr>
          <w:p w14:paraId="05A26B1B">
            <w:pPr>
              <w:widowControl/>
              <w:spacing w:line="340" w:lineRule="exact"/>
              <w:jc w:val="center"/>
              <w:rPr>
                <w:rFonts w:ascii="宋体" w:hAnsi="宋体" w:cs="宋体"/>
                <w:b/>
                <w:color w:val="auto"/>
                <w:kern w:val="0"/>
                <w:szCs w:val="21"/>
                <w:highlight w:val="none"/>
              </w:rPr>
            </w:pPr>
            <w:r>
              <w:rPr>
                <w:rFonts w:hint="eastAsia" w:ascii="宋体" w:hAnsi="宋体" w:cs="宋体"/>
                <w:b/>
                <w:color w:val="auto"/>
                <w:kern w:val="0"/>
                <w:szCs w:val="21"/>
                <w:highlight w:val="none"/>
              </w:rPr>
              <w:t>数量</w:t>
            </w:r>
          </w:p>
        </w:tc>
        <w:tc>
          <w:tcPr>
            <w:tcW w:w="6675" w:type="dxa"/>
            <w:tcBorders>
              <w:top w:val="single" w:color="auto" w:sz="4" w:space="0"/>
              <w:left w:val="single" w:color="auto" w:sz="4" w:space="0"/>
              <w:bottom w:val="single" w:color="auto" w:sz="4" w:space="0"/>
              <w:right w:val="single" w:color="auto" w:sz="4" w:space="0"/>
            </w:tcBorders>
            <w:vAlign w:val="center"/>
          </w:tcPr>
          <w:p w14:paraId="6397B442">
            <w:pPr>
              <w:pStyle w:val="23"/>
              <w:spacing w:line="340" w:lineRule="exact"/>
              <w:ind w:firstLine="316" w:firstLineChars="150"/>
              <w:jc w:val="center"/>
              <w:rPr>
                <w:rFonts w:hAnsi="宋体"/>
                <w:b/>
                <w:color w:val="auto"/>
                <w:sz w:val="21"/>
                <w:highlight w:val="none"/>
              </w:rPr>
            </w:pPr>
            <w:r>
              <w:rPr>
                <w:rFonts w:hint="eastAsia" w:hAnsi="宋体"/>
                <w:b/>
                <w:color w:val="auto"/>
                <w:sz w:val="21"/>
                <w:highlight w:val="none"/>
              </w:rPr>
              <w:t>项目要求及技术需求</w:t>
            </w:r>
          </w:p>
        </w:tc>
      </w:tr>
      <w:tr w14:paraId="1F52B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jc w:val="center"/>
        </w:trPr>
        <w:tc>
          <w:tcPr>
            <w:tcW w:w="686" w:type="dxa"/>
            <w:tcBorders>
              <w:top w:val="single" w:color="auto" w:sz="4" w:space="0"/>
              <w:left w:val="single" w:color="auto" w:sz="4" w:space="0"/>
              <w:right w:val="single" w:color="auto" w:sz="4" w:space="0"/>
            </w:tcBorders>
            <w:vAlign w:val="center"/>
          </w:tcPr>
          <w:p w14:paraId="23BB82E4">
            <w:pPr>
              <w:pStyle w:val="23"/>
              <w:spacing w:line="340" w:lineRule="exact"/>
              <w:jc w:val="center"/>
              <w:rPr>
                <w:rFonts w:hAnsi="宋体"/>
                <w:color w:val="auto"/>
                <w:sz w:val="21"/>
                <w:highlight w:val="none"/>
              </w:rPr>
            </w:pPr>
            <w:r>
              <w:rPr>
                <w:rFonts w:hint="eastAsia" w:hAnsi="宋体"/>
                <w:color w:val="auto"/>
                <w:sz w:val="21"/>
                <w:highlight w:val="none"/>
              </w:rPr>
              <w:t>1</w:t>
            </w:r>
          </w:p>
        </w:tc>
        <w:tc>
          <w:tcPr>
            <w:tcW w:w="1601" w:type="dxa"/>
            <w:tcBorders>
              <w:top w:val="single" w:color="auto" w:sz="4" w:space="0"/>
              <w:left w:val="single" w:color="auto" w:sz="4" w:space="0"/>
              <w:right w:val="single" w:color="auto" w:sz="4" w:space="0"/>
            </w:tcBorders>
            <w:vAlign w:val="center"/>
          </w:tcPr>
          <w:p w14:paraId="0EDD7B63">
            <w:pPr>
              <w:spacing w:line="380" w:lineRule="exact"/>
              <w:jc w:val="center"/>
              <w:rPr>
                <w:rFonts w:ascii="宋体" w:hAnsi="宋体" w:cs="宋体"/>
                <w:color w:val="auto"/>
                <w:szCs w:val="21"/>
                <w:highlight w:val="none"/>
              </w:rPr>
            </w:pPr>
            <w:r>
              <w:rPr>
                <w:rFonts w:hint="eastAsia" w:hAnsi="宋体"/>
                <w:color w:val="auto"/>
                <w:szCs w:val="21"/>
                <w:highlight w:val="none"/>
              </w:rPr>
              <w:t>广西道路运输车辆智能防控系统技术服务</w:t>
            </w:r>
          </w:p>
        </w:tc>
        <w:tc>
          <w:tcPr>
            <w:tcW w:w="756" w:type="dxa"/>
            <w:tcBorders>
              <w:top w:val="single" w:color="auto" w:sz="4" w:space="0"/>
              <w:left w:val="single" w:color="auto" w:sz="4" w:space="0"/>
              <w:right w:val="single" w:color="auto" w:sz="4" w:space="0"/>
            </w:tcBorders>
            <w:vAlign w:val="center"/>
          </w:tcPr>
          <w:p w14:paraId="5FD86230">
            <w:pPr>
              <w:spacing w:line="380" w:lineRule="exact"/>
              <w:jc w:val="center"/>
              <w:rPr>
                <w:rFonts w:ascii="宋体" w:hAnsi="宋体" w:cs="宋体"/>
                <w:color w:val="auto"/>
                <w:szCs w:val="21"/>
                <w:highlight w:val="none"/>
              </w:rPr>
            </w:pPr>
            <w:r>
              <w:rPr>
                <w:rFonts w:hint="eastAsia" w:ascii="宋体" w:hAnsi="宋体" w:cs="宋体"/>
                <w:color w:val="auto"/>
                <w:szCs w:val="21"/>
                <w:highlight w:val="none"/>
              </w:rPr>
              <w:t>1项</w:t>
            </w:r>
          </w:p>
        </w:tc>
        <w:tc>
          <w:tcPr>
            <w:tcW w:w="6675" w:type="dxa"/>
            <w:tcBorders>
              <w:top w:val="single" w:color="auto" w:sz="4" w:space="0"/>
              <w:left w:val="single" w:color="auto" w:sz="4" w:space="0"/>
              <w:right w:val="single" w:color="auto" w:sz="4" w:space="0"/>
            </w:tcBorders>
            <w:vAlign w:val="center"/>
          </w:tcPr>
          <w:p w14:paraId="1D96149A">
            <w:pPr>
              <w:spacing w:line="312" w:lineRule="auto"/>
              <w:ind w:firstLine="420" w:firstLineChars="200"/>
              <w:jc w:val="left"/>
              <w:rPr>
                <w:color w:val="auto"/>
                <w:szCs w:val="21"/>
                <w:highlight w:val="none"/>
              </w:rPr>
            </w:pPr>
            <w:r>
              <w:rPr>
                <w:color w:val="auto"/>
                <w:szCs w:val="21"/>
                <w:highlight w:val="none"/>
              </w:rPr>
              <w:t>一、提供运营服务</w:t>
            </w:r>
          </w:p>
          <w:p w14:paraId="27F99E4A">
            <w:pPr>
              <w:spacing w:line="312" w:lineRule="auto"/>
              <w:ind w:firstLine="420" w:firstLineChars="200"/>
              <w:jc w:val="left"/>
              <w:rPr>
                <w:color w:val="auto"/>
                <w:szCs w:val="21"/>
                <w:highlight w:val="none"/>
              </w:rPr>
            </w:pPr>
            <w:r>
              <w:rPr>
                <w:rFonts w:hint="eastAsia"/>
                <w:color w:val="auto"/>
                <w:szCs w:val="21"/>
                <w:highlight w:val="none"/>
              </w:rPr>
              <w:t>1.组织开展智能视频监控装置、企业监控平台、动态监控专项委托服务的抽查工作。对</w:t>
            </w:r>
            <w:r>
              <w:rPr>
                <w:rFonts w:hint="eastAsia" w:ascii="宋体" w:hAnsi="宋体" w:cs="宋体"/>
                <w:color w:val="auto"/>
                <w:kern w:val="0"/>
                <w:szCs w:val="21"/>
                <w:highlight w:val="none"/>
                <w:lang w:bidi="ar"/>
              </w:rPr>
              <w:t>全省“两客一危”智能监控设备、企业监控平台服务商技术年度抽查工作（终端设备规范性抽查、企业管理制度抽查、监控人员能力资质抽查等）</w:t>
            </w:r>
            <w:r>
              <w:rPr>
                <w:rFonts w:hint="eastAsia"/>
                <w:color w:val="auto"/>
                <w:szCs w:val="21"/>
                <w:highlight w:val="none"/>
              </w:rPr>
              <w:t>，对各地市动态监控平台服务商实施现场检查及指导，确保对已备案的企业监控平台检查全覆盖，形成检查报告。根据检查结果编制报告并提出整改建议，协助管理部门督促整改，同时协助管理部门将检查结果应用于对运营商和设备商的考核管理。</w:t>
            </w:r>
          </w:p>
          <w:p w14:paraId="1136EA52">
            <w:pPr>
              <w:spacing w:line="312" w:lineRule="auto"/>
              <w:ind w:firstLine="420" w:firstLineChars="200"/>
              <w:jc w:val="left"/>
              <w:rPr>
                <w:color w:val="auto"/>
                <w:szCs w:val="21"/>
                <w:highlight w:val="none"/>
              </w:rPr>
            </w:pPr>
            <w:r>
              <w:rPr>
                <w:color w:val="auto"/>
                <w:szCs w:val="21"/>
                <w:highlight w:val="none"/>
              </w:rPr>
              <w:t>2</w:t>
            </w:r>
            <w:r>
              <w:rPr>
                <w:rFonts w:hint="eastAsia"/>
                <w:color w:val="auto"/>
                <w:szCs w:val="21"/>
                <w:highlight w:val="none"/>
              </w:rPr>
              <w:t>.配合做好运营服务商备案工作，</w:t>
            </w:r>
            <w:r>
              <w:rPr>
                <w:rFonts w:hint="eastAsia" w:ascii="宋体" w:hAnsi="宋体" w:cs="宋体"/>
                <w:color w:val="auto"/>
                <w:kern w:val="0"/>
                <w:szCs w:val="21"/>
                <w:highlight w:val="none"/>
                <w:lang w:bidi="ar"/>
              </w:rPr>
              <w:t>对各地、各企业应用“广西道路运输车辆智能防控系统”提供技术支撑，对设备报警信息核查分析，形成月度、季度“两客一危”动态监控监管情况分析报告</w:t>
            </w:r>
            <w:r>
              <w:rPr>
                <w:rFonts w:hint="eastAsia"/>
                <w:color w:val="auto"/>
                <w:szCs w:val="21"/>
                <w:highlight w:val="none"/>
              </w:rPr>
              <w:t>。</w:t>
            </w:r>
          </w:p>
          <w:p w14:paraId="70C27B68">
            <w:pPr>
              <w:spacing w:line="312" w:lineRule="auto"/>
              <w:ind w:firstLine="420" w:firstLineChars="200"/>
              <w:jc w:val="left"/>
              <w:rPr>
                <w:color w:val="auto"/>
                <w:szCs w:val="21"/>
                <w:highlight w:val="none"/>
              </w:rPr>
            </w:pPr>
            <w:r>
              <w:rPr>
                <w:color w:val="auto"/>
                <w:szCs w:val="21"/>
                <w:highlight w:val="none"/>
              </w:rPr>
              <w:t>3</w:t>
            </w:r>
            <w:r>
              <w:rPr>
                <w:rFonts w:hint="eastAsia"/>
                <w:color w:val="auto"/>
                <w:szCs w:val="21"/>
                <w:highlight w:val="none"/>
              </w:rPr>
              <w:t>.日常监测服务。配备驻场专职专业技术人员，对广西壮族自治区道路运输车辆智能防控系统行业服务平台运行情况进行日常监测。对平台上报数量进行实时统计和更新，并与企业、运营商进行数据核对与确认，内容存档形成管理档案资料，提供后期的应用参考依据。</w:t>
            </w:r>
          </w:p>
          <w:p w14:paraId="347052AB">
            <w:pPr>
              <w:spacing w:line="312" w:lineRule="auto"/>
              <w:ind w:firstLine="420" w:firstLineChars="200"/>
              <w:jc w:val="left"/>
              <w:rPr>
                <w:color w:val="auto"/>
                <w:szCs w:val="21"/>
                <w:highlight w:val="none"/>
              </w:rPr>
            </w:pPr>
            <w:r>
              <w:rPr>
                <w:color w:val="auto"/>
                <w:szCs w:val="21"/>
                <w:highlight w:val="none"/>
              </w:rPr>
              <w:t>4</w:t>
            </w:r>
            <w:r>
              <w:rPr>
                <w:rFonts w:hint="eastAsia"/>
                <w:color w:val="auto"/>
                <w:szCs w:val="21"/>
                <w:highlight w:val="none"/>
              </w:rPr>
              <w:t>.配合开展公交车、巡游出租汽车安装智能安防设备，在规定时间内完成数据对接工作，对接入数据进行定期分析、利用，协助企业提升安全管理水平。</w:t>
            </w:r>
          </w:p>
          <w:p w14:paraId="0266C251">
            <w:pPr>
              <w:spacing w:line="312" w:lineRule="auto"/>
              <w:ind w:firstLine="420" w:firstLineChars="200"/>
              <w:jc w:val="left"/>
              <w:rPr>
                <w:color w:val="auto"/>
                <w:szCs w:val="21"/>
                <w:highlight w:val="none"/>
              </w:rPr>
            </w:pPr>
            <w:r>
              <w:rPr>
                <w:rFonts w:hint="eastAsia"/>
                <w:color w:val="auto"/>
                <w:szCs w:val="21"/>
                <w:highlight w:val="none"/>
              </w:rPr>
              <w:t>二、系统运维服务：</w:t>
            </w:r>
          </w:p>
          <w:p w14:paraId="5BF8EBA8">
            <w:pPr>
              <w:spacing w:line="380" w:lineRule="exact"/>
              <w:rPr>
                <w:color w:val="auto"/>
                <w:szCs w:val="21"/>
                <w:highlight w:val="none"/>
              </w:rPr>
            </w:pPr>
            <w:r>
              <w:rPr>
                <w:rFonts w:hint="eastAsia" w:ascii="宋体" w:hAnsi="宋体" w:cs="宋体"/>
                <w:color w:val="auto"/>
                <w:kern w:val="0"/>
                <w:szCs w:val="21"/>
                <w:highlight w:val="none"/>
                <w:lang w:bidi="ar"/>
              </w:rPr>
              <w:t>1.基础环境运维：保障应用服务器、数据库服务器、网络设备等硬件设施的稳定运行，包括状态监控、性能优化、故障处理。</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2.软件系统运维：</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  1）确保系统各功能模块（如车辆监控、报警查询、轨迹查询、数据分析等）正常可用，处理日常运行问题。</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  2）系统漏洞修复与补丁管理 定期进行系统漏洞扫描，及时安装官方安全补丁，修复程序缺陷。</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  3）病毒防治与恶意代码清理 部署并维护防病毒体系，定期进行全盘扫描，处置安全威胁。</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  4）数据库维护与性能优化，定期进行数据库健康检查、索引优化、空间清理，保障数据存取效率。</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  5）数据备份与恢复演练，执行关键数据的定时、增量及全量备份，并定期进行数据恢复演练，确保备份有效性。</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3.系统优化与升级：系统性能优化，根据业务增长和用户反馈，对系统响应速度、并发处理能力等进行软件层面的调优。功能性优化与迭代，根据政策要求或业务需求，进行小幅度的功能新增、调整优化。</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4.故障应急响应：重大/突发故障处理，提供应急响应机制，对导致系统瘫痪或核心功能失效的故障进行优先处理。</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5.网络安全服务：配置并维护防火墙，进行安全日志分析，抵御网络攻击。负责对测评中发现的安全问题进行整改。</w:t>
            </w:r>
          </w:p>
        </w:tc>
      </w:tr>
      <w:tr w14:paraId="71BAD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9718" w:type="dxa"/>
            <w:gridSpan w:val="4"/>
            <w:tcBorders>
              <w:top w:val="single" w:color="auto" w:sz="4" w:space="0"/>
              <w:left w:val="single" w:color="auto" w:sz="4" w:space="0"/>
              <w:right w:val="single" w:color="auto" w:sz="4" w:space="0"/>
            </w:tcBorders>
            <w:vAlign w:val="center"/>
          </w:tcPr>
          <w:p w14:paraId="5F3BA30A">
            <w:pPr>
              <w:spacing w:line="340" w:lineRule="exact"/>
              <w:rPr>
                <w:b/>
                <w:color w:val="auto"/>
                <w:szCs w:val="21"/>
                <w:highlight w:val="none"/>
              </w:rPr>
            </w:pPr>
            <w:r>
              <w:rPr>
                <w:rFonts w:hint="eastAsia" w:ascii="宋体" w:hAnsi="宋体"/>
                <w:b/>
                <w:color w:val="auto"/>
                <w:szCs w:val="21"/>
                <w:highlight w:val="none"/>
              </w:rPr>
              <w:t>商务要求表</w:t>
            </w:r>
          </w:p>
        </w:tc>
      </w:tr>
      <w:tr w14:paraId="4EA55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87" w:type="dxa"/>
            <w:gridSpan w:val="2"/>
            <w:tcBorders>
              <w:top w:val="single" w:color="auto" w:sz="4" w:space="0"/>
              <w:left w:val="single" w:color="auto" w:sz="4" w:space="0"/>
              <w:right w:val="single" w:color="auto" w:sz="4" w:space="0"/>
            </w:tcBorders>
            <w:vAlign w:val="center"/>
          </w:tcPr>
          <w:p w14:paraId="6F42E378">
            <w:pPr>
              <w:snapToGrid w:val="0"/>
              <w:spacing w:line="340" w:lineRule="exact"/>
              <w:jc w:val="center"/>
              <w:rPr>
                <w:rFonts w:ascii="宋体" w:hAnsi="宋体"/>
                <w:color w:val="auto"/>
                <w:szCs w:val="21"/>
                <w:highlight w:val="none"/>
              </w:rPr>
            </w:pPr>
            <w:r>
              <w:rPr>
                <w:rFonts w:hint="eastAsia" w:ascii="宋体" w:hAnsi="宋体"/>
                <w:color w:val="auto"/>
                <w:szCs w:val="21"/>
                <w:highlight w:val="none"/>
              </w:rPr>
              <w:t>▲服务期限</w:t>
            </w:r>
          </w:p>
        </w:tc>
        <w:tc>
          <w:tcPr>
            <w:tcW w:w="7431" w:type="dxa"/>
            <w:gridSpan w:val="2"/>
            <w:tcBorders>
              <w:top w:val="single" w:color="auto" w:sz="4" w:space="0"/>
              <w:left w:val="single" w:color="auto" w:sz="4" w:space="0"/>
              <w:right w:val="single" w:color="auto" w:sz="4" w:space="0"/>
            </w:tcBorders>
            <w:vAlign w:val="center"/>
          </w:tcPr>
          <w:p w14:paraId="2A99D955">
            <w:pPr>
              <w:spacing w:line="340" w:lineRule="exact"/>
              <w:rPr>
                <w:color w:val="auto"/>
                <w:szCs w:val="21"/>
                <w:highlight w:val="none"/>
              </w:rPr>
            </w:pPr>
            <w:r>
              <w:rPr>
                <w:rFonts w:hint="eastAsia" w:hAnsi="宋体"/>
                <w:color w:val="auto"/>
                <w:szCs w:val="21"/>
                <w:highlight w:val="none"/>
              </w:rPr>
              <w:t>2</w:t>
            </w:r>
            <w:r>
              <w:rPr>
                <w:rFonts w:hAnsi="宋体"/>
                <w:color w:val="auto"/>
                <w:szCs w:val="21"/>
                <w:highlight w:val="none"/>
              </w:rPr>
              <w:t>026年</w:t>
            </w:r>
            <w:r>
              <w:rPr>
                <w:rFonts w:hint="eastAsia" w:hAnsi="宋体"/>
                <w:color w:val="auto"/>
                <w:szCs w:val="21"/>
                <w:highlight w:val="none"/>
              </w:rPr>
              <w:t>7月1日至2</w:t>
            </w:r>
            <w:r>
              <w:rPr>
                <w:rFonts w:hAnsi="宋体"/>
                <w:color w:val="auto"/>
                <w:szCs w:val="21"/>
                <w:highlight w:val="none"/>
              </w:rPr>
              <w:t>027年</w:t>
            </w:r>
            <w:r>
              <w:rPr>
                <w:rFonts w:hint="eastAsia" w:hAnsi="宋体"/>
                <w:color w:val="auto"/>
                <w:szCs w:val="21"/>
                <w:highlight w:val="none"/>
              </w:rPr>
              <w:t>6月3</w:t>
            </w:r>
            <w:r>
              <w:rPr>
                <w:rFonts w:hAnsi="宋体"/>
                <w:color w:val="auto"/>
                <w:szCs w:val="21"/>
                <w:highlight w:val="none"/>
              </w:rPr>
              <w:t>0日</w:t>
            </w:r>
          </w:p>
        </w:tc>
      </w:tr>
      <w:tr w14:paraId="0DC08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87" w:type="dxa"/>
            <w:gridSpan w:val="2"/>
            <w:tcBorders>
              <w:top w:val="single" w:color="auto" w:sz="4" w:space="0"/>
              <w:left w:val="single" w:color="auto" w:sz="4" w:space="0"/>
              <w:right w:val="single" w:color="auto" w:sz="4" w:space="0"/>
            </w:tcBorders>
            <w:vAlign w:val="center"/>
          </w:tcPr>
          <w:p w14:paraId="28427A00">
            <w:pPr>
              <w:tabs>
                <w:tab w:val="left" w:pos="180"/>
                <w:tab w:val="left" w:pos="1620"/>
              </w:tabs>
              <w:spacing w:line="400" w:lineRule="exact"/>
              <w:jc w:val="center"/>
              <w:rPr>
                <w:rFonts w:ascii="宋体" w:hAnsi="宋体"/>
                <w:color w:val="auto"/>
                <w:szCs w:val="21"/>
                <w:highlight w:val="none"/>
              </w:rPr>
            </w:pPr>
            <w:r>
              <w:rPr>
                <w:rFonts w:hint="eastAsia" w:ascii="宋体" w:hAnsi="宋体"/>
                <w:color w:val="auto"/>
                <w:szCs w:val="21"/>
                <w:highlight w:val="none"/>
              </w:rPr>
              <w:t>合同签订期</w:t>
            </w:r>
          </w:p>
        </w:tc>
        <w:tc>
          <w:tcPr>
            <w:tcW w:w="7431" w:type="dxa"/>
            <w:gridSpan w:val="2"/>
            <w:tcBorders>
              <w:top w:val="single" w:color="auto" w:sz="4" w:space="0"/>
              <w:left w:val="single" w:color="auto" w:sz="4" w:space="0"/>
              <w:right w:val="single" w:color="auto" w:sz="4" w:space="0"/>
            </w:tcBorders>
            <w:vAlign w:val="center"/>
          </w:tcPr>
          <w:p w14:paraId="3B827A6A">
            <w:pPr>
              <w:tabs>
                <w:tab w:val="left" w:pos="180"/>
                <w:tab w:val="left" w:pos="1620"/>
              </w:tabs>
              <w:spacing w:line="400" w:lineRule="exact"/>
              <w:jc w:val="left"/>
              <w:rPr>
                <w:rFonts w:ascii="宋体" w:hAnsi="宋体"/>
                <w:color w:val="auto"/>
                <w:szCs w:val="21"/>
                <w:highlight w:val="none"/>
              </w:rPr>
            </w:pPr>
            <w:r>
              <w:rPr>
                <w:rFonts w:hint="eastAsia" w:ascii="宋体" w:hAnsi="宋体"/>
                <w:color w:val="auto"/>
                <w:szCs w:val="21"/>
                <w:highlight w:val="none"/>
              </w:rPr>
              <w:t>自中标通知书发出之日起25日内。</w:t>
            </w:r>
          </w:p>
        </w:tc>
      </w:tr>
      <w:tr w14:paraId="4B054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2287" w:type="dxa"/>
            <w:gridSpan w:val="2"/>
            <w:tcBorders>
              <w:top w:val="single" w:color="auto" w:sz="4" w:space="0"/>
              <w:left w:val="single" w:color="auto" w:sz="4" w:space="0"/>
              <w:right w:val="single" w:color="auto" w:sz="4" w:space="0"/>
            </w:tcBorders>
            <w:vAlign w:val="center"/>
          </w:tcPr>
          <w:p w14:paraId="6DB48BBC">
            <w:pPr>
              <w:snapToGrid w:val="0"/>
              <w:spacing w:line="380" w:lineRule="exact"/>
              <w:jc w:val="center"/>
              <w:rPr>
                <w:rFonts w:ascii="宋体" w:hAnsi="宋体"/>
                <w:color w:val="auto"/>
                <w:szCs w:val="21"/>
                <w:highlight w:val="none"/>
              </w:rPr>
            </w:pPr>
            <w:r>
              <w:rPr>
                <w:rFonts w:hint="eastAsia" w:ascii="宋体" w:hAnsi="宋体"/>
                <w:color w:val="auto"/>
                <w:szCs w:val="21"/>
                <w:highlight w:val="none"/>
              </w:rPr>
              <w:t>▲服务地点</w:t>
            </w:r>
          </w:p>
        </w:tc>
        <w:tc>
          <w:tcPr>
            <w:tcW w:w="7431" w:type="dxa"/>
            <w:gridSpan w:val="2"/>
            <w:tcBorders>
              <w:top w:val="single" w:color="auto" w:sz="4" w:space="0"/>
              <w:left w:val="single" w:color="auto" w:sz="4" w:space="0"/>
              <w:right w:val="single" w:color="auto" w:sz="4" w:space="0"/>
            </w:tcBorders>
            <w:vAlign w:val="center"/>
          </w:tcPr>
          <w:p w14:paraId="03001B8F">
            <w:pPr>
              <w:spacing w:line="380" w:lineRule="exact"/>
              <w:rPr>
                <w:color w:val="auto"/>
                <w:szCs w:val="21"/>
                <w:highlight w:val="none"/>
              </w:rPr>
            </w:pPr>
            <w:r>
              <w:rPr>
                <w:rFonts w:hint="eastAsia" w:ascii="宋体" w:hAnsi="宋体"/>
                <w:color w:val="auto"/>
                <w:szCs w:val="21"/>
                <w:highlight w:val="none"/>
              </w:rPr>
              <w:t>广西区内（采购人指定地点）</w:t>
            </w:r>
          </w:p>
        </w:tc>
      </w:tr>
      <w:tr w14:paraId="34DC7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jc w:val="center"/>
        </w:trPr>
        <w:tc>
          <w:tcPr>
            <w:tcW w:w="2287" w:type="dxa"/>
            <w:gridSpan w:val="2"/>
            <w:tcBorders>
              <w:top w:val="single" w:color="auto" w:sz="4" w:space="0"/>
              <w:left w:val="single" w:color="auto" w:sz="4" w:space="0"/>
              <w:right w:val="single" w:color="auto" w:sz="4" w:space="0"/>
            </w:tcBorders>
            <w:vAlign w:val="center"/>
          </w:tcPr>
          <w:p w14:paraId="7CB6FAEE">
            <w:pPr>
              <w:snapToGrid w:val="0"/>
              <w:spacing w:line="340" w:lineRule="exact"/>
              <w:jc w:val="center"/>
              <w:rPr>
                <w:rFonts w:ascii="宋体" w:hAnsi="宋体"/>
                <w:color w:val="auto"/>
                <w:szCs w:val="21"/>
                <w:highlight w:val="none"/>
              </w:rPr>
            </w:pPr>
            <w:r>
              <w:rPr>
                <w:rFonts w:hint="eastAsia" w:ascii="宋体" w:hAnsi="宋体"/>
                <w:color w:val="auto"/>
                <w:szCs w:val="21"/>
                <w:highlight w:val="none"/>
              </w:rPr>
              <w:t>▲付款条件</w:t>
            </w:r>
          </w:p>
        </w:tc>
        <w:tc>
          <w:tcPr>
            <w:tcW w:w="7431" w:type="dxa"/>
            <w:gridSpan w:val="2"/>
            <w:tcBorders>
              <w:top w:val="single" w:color="auto" w:sz="4" w:space="0"/>
              <w:left w:val="single" w:color="auto" w:sz="4" w:space="0"/>
              <w:right w:val="single" w:color="auto" w:sz="4" w:space="0"/>
            </w:tcBorders>
            <w:vAlign w:val="center"/>
          </w:tcPr>
          <w:p w14:paraId="28A003CC">
            <w:pPr>
              <w:spacing w:line="360" w:lineRule="auto"/>
              <w:rPr>
                <w:color w:val="auto"/>
                <w:szCs w:val="21"/>
                <w:highlight w:val="none"/>
              </w:rPr>
            </w:pPr>
            <w:r>
              <w:rPr>
                <w:rFonts w:hint="eastAsia" w:ascii="宋体" w:hAnsi="宋体"/>
                <w:color w:val="auto"/>
                <w:szCs w:val="21"/>
                <w:highlight w:val="none"/>
              </w:rPr>
              <w:t>签订合同后十个工作日内，采购人向中标供应商支付全部合同金额的50%；在中标供应商签订合同</w:t>
            </w:r>
            <w:r>
              <w:rPr>
                <w:rFonts w:ascii="宋体" w:hAnsi="宋体"/>
                <w:color w:val="auto"/>
                <w:szCs w:val="21"/>
                <w:highlight w:val="none"/>
              </w:rPr>
              <w:t>2</w:t>
            </w:r>
            <w:r>
              <w:rPr>
                <w:rFonts w:hint="eastAsia" w:ascii="宋体" w:hAnsi="宋体"/>
                <w:color w:val="auto"/>
                <w:szCs w:val="21"/>
                <w:highlight w:val="none"/>
              </w:rPr>
              <w:t>个月后，由采购人对中标供应商的服务能力验收，验收通过后，采购人于10个工作日内向中标供应商支付</w:t>
            </w:r>
            <w:r>
              <w:rPr>
                <w:rFonts w:ascii="宋体" w:hAnsi="宋体"/>
                <w:color w:val="auto"/>
                <w:szCs w:val="21"/>
                <w:highlight w:val="none"/>
              </w:rPr>
              <w:t>4</w:t>
            </w:r>
            <w:r>
              <w:rPr>
                <w:rFonts w:hint="eastAsia" w:ascii="宋体" w:hAnsi="宋体"/>
                <w:color w:val="auto"/>
                <w:szCs w:val="21"/>
                <w:highlight w:val="none"/>
              </w:rPr>
              <w:t>0%合同款;在中标供应商签订合同4个月后，采购人于10个工作日内向中标供应商支付</w:t>
            </w:r>
            <w:r>
              <w:rPr>
                <w:rFonts w:ascii="宋体" w:hAnsi="宋体"/>
                <w:color w:val="auto"/>
                <w:szCs w:val="21"/>
                <w:highlight w:val="none"/>
              </w:rPr>
              <w:t>1</w:t>
            </w:r>
            <w:r>
              <w:rPr>
                <w:rFonts w:hint="eastAsia" w:ascii="宋体" w:hAnsi="宋体"/>
                <w:color w:val="auto"/>
                <w:szCs w:val="21"/>
                <w:highlight w:val="none"/>
              </w:rPr>
              <w:t>0%合同款，采购人付款前，中标供应商应向采购人开具等额有效的增值税发票，采购人未收到发票的，有权不予支付相应款项直至中标供应商提供合格发票，并不承担延迟付款责任。</w:t>
            </w:r>
          </w:p>
        </w:tc>
      </w:tr>
      <w:tr w14:paraId="5E9CE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287" w:type="dxa"/>
            <w:gridSpan w:val="2"/>
            <w:tcBorders>
              <w:top w:val="single" w:color="auto" w:sz="4" w:space="0"/>
              <w:left w:val="single" w:color="auto" w:sz="4" w:space="0"/>
              <w:bottom w:val="single" w:color="auto" w:sz="4" w:space="0"/>
              <w:right w:val="single" w:color="auto" w:sz="4" w:space="0"/>
            </w:tcBorders>
            <w:vAlign w:val="center"/>
          </w:tcPr>
          <w:p w14:paraId="446F1063">
            <w:pPr>
              <w:snapToGrid w:val="0"/>
              <w:spacing w:line="340" w:lineRule="exact"/>
              <w:jc w:val="center"/>
              <w:rPr>
                <w:rFonts w:ascii="宋体" w:hAnsi="宋体"/>
                <w:color w:val="auto"/>
                <w:szCs w:val="21"/>
                <w:highlight w:val="none"/>
              </w:rPr>
            </w:pPr>
            <w:r>
              <w:rPr>
                <w:rFonts w:hint="eastAsia" w:ascii="宋体" w:hAnsi="宋体"/>
                <w:color w:val="auto"/>
                <w:szCs w:val="21"/>
                <w:highlight w:val="none"/>
              </w:rPr>
              <w:t>报价要求</w:t>
            </w:r>
          </w:p>
        </w:tc>
        <w:tc>
          <w:tcPr>
            <w:tcW w:w="7431" w:type="dxa"/>
            <w:gridSpan w:val="2"/>
            <w:tcBorders>
              <w:top w:val="single" w:color="auto" w:sz="4" w:space="0"/>
              <w:left w:val="single" w:color="auto" w:sz="4" w:space="0"/>
              <w:bottom w:val="single" w:color="auto" w:sz="4" w:space="0"/>
              <w:right w:val="single" w:color="auto" w:sz="4" w:space="0"/>
            </w:tcBorders>
            <w:vAlign w:val="center"/>
          </w:tcPr>
          <w:p w14:paraId="2AD62FE7">
            <w:pPr>
              <w:spacing w:line="400" w:lineRule="exact"/>
              <w:rPr>
                <w:color w:val="auto"/>
                <w:szCs w:val="21"/>
                <w:highlight w:val="none"/>
              </w:rPr>
            </w:pPr>
            <w:r>
              <w:rPr>
                <w:rFonts w:hint="eastAsia" w:ascii="宋体" w:hAnsi="宋体"/>
                <w:color w:val="auto"/>
                <w:szCs w:val="21"/>
                <w:highlight w:val="none"/>
              </w:rPr>
              <w:t>本项目报价为总包干价。</w:t>
            </w:r>
            <w:r>
              <w:rPr>
                <w:rFonts w:hint="eastAsia"/>
                <w:color w:val="auto"/>
                <w:szCs w:val="21"/>
                <w:highlight w:val="none"/>
              </w:rPr>
              <w:t>报价包含本项目所有服务内容、</w:t>
            </w:r>
            <w:r>
              <w:rPr>
                <w:rFonts w:hint="eastAsia" w:ascii="宋体" w:hAnsi="宋体" w:cs="宋体"/>
                <w:color w:val="auto"/>
                <w:szCs w:val="21"/>
                <w:highlight w:val="none"/>
              </w:rPr>
              <w:t>服务中包含货物</w:t>
            </w:r>
            <w:r>
              <w:rPr>
                <w:rFonts w:hint="eastAsia"/>
                <w:color w:val="auto"/>
                <w:szCs w:val="21"/>
                <w:highlight w:val="none"/>
              </w:rPr>
              <w:t>所涉及的设备、备品备件、标准附件、专用工具、人员薪酬、交通费、安装、调试、技术支持、培训、检测检验、必要的保费、各项税费、招标代理服务费及其它所有成本费用的总和。</w:t>
            </w:r>
            <w:r>
              <w:rPr>
                <w:rFonts w:hint="eastAsia" w:ascii="宋体" w:hAnsi="宋体" w:cs="宋体"/>
                <w:color w:val="auto"/>
                <w:szCs w:val="21"/>
                <w:highlight w:val="none"/>
              </w:rPr>
              <w:t>由供应商根据采购文件所提供的资料自行测算投标报价；一经中标，投标报价总价作为中标供应商与采购人签订的合同金额，合同期限内不做调整。</w:t>
            </w:r>
          </w:p>
        </w:tc>
      </w:tr>
      <w:tr w14:paraId="5C011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87" w:type="dxa"/>
            <w:gridSpan w:val="2"/>
            <w:tcBorders>
              <w:top w:val="single" w:color="auto" w:sz="4" w:space="0"/>
              <w:left w:val="single" w:color="auto" w:sz="4" w:space="0"/>
              <w:right w:val="single" w:color="auto" w:sz="4" w:space="0"/>
            </w:tcBorders>
            <w:vAlign w:val="center"/>
          </w:tcPr>
          <w:p w14:paraId="670FEF1E">
            <w:pPr>
              <w:snapToGrid w:val="0"/>
              <w:spacing w:line="380" w:lineRule="exact"/>
              <w:jc w:val="center"/>
              <w:rPr>
                <w:rFonts w:ascii="宋体" w:hAnsi="宋体"/>
                <w:color w:val="auto"/>
                <w:szCs w:val="21"/>
                <w:highlight w:val="none"/>
              </w:rPr>
            </w:pPr>
            <w:r>
              <w:rPr>
                <w:rFonts w:hint="eastAsia" w:ascii="宋体" w:hAnsi="宋体"/>
                <w:color w:val="auto"/>
                <w:szCs w:val="21"/>
                <w:highlight w:val="none"/>
              </w:rPr>
              <w:t>其它要求</w:t>
            </w:r>
          </w:p>
        </w:tc>
        <w:tc>
          <w:tcPr>
            <w:tcW w:w="7431" w:type="dxa"/>
            <w:gridSpan w:val="2"/>
            <w:tcBorders>
              <w:top w:val="single" w:color="auto" w:sz="4" w:space="0"/>
              <w:left w:val="single" w:color="auto" w:sz="4" w:space="0"/>
              <w:right w:val="single" w:color="auto" w:sz="4" w:space="0"/>
            </w:tcBorders>
            <w:vAlign w:val="center"/>
          </w:tcPr>
          <w:p w14:paraId="40044D78">
            <w:pPr>
              <w:spacing w:line="360" w:lineRule="auto"/>
              <w:rPr>
                <w:rFonts w:ascii="宋体" w:hAnsi="宋体" w:cs="宋体"/>
                <w:color w:val="auto"/>
                <w:szCs w:val="21"/>
                <w:highlight w:val="none"/>
              </w:rPr>
            </w:pPr>
            <w:r>
              <w:rPr>
                <w:rFonts w:hint="eastAsia" w:ascii="宋体" w:hAnsi="宋体" w:cs="宋体"/>
                <w:color w:val="auto"/>
                <w:szCs w:val="21"/>
                <w:highlight w:val="none"/>
              </w:rPr>
              <w:t>（一）服务质量要求</w:t>
            </w:r>
          </w:p>
          <w:p w14:paraId="4B805030">
            <w:pPr>
              <w:spacing w:line="360" w:lineRule="auto"/>
              <w:rPr>
                <w:rFonts w:ascii="宋体" w:hAnsi="宋体" w:cs="宋体"/>
                <w:color w:val="auto"/>
                <w:szCs w:val="21"/>
                <w:highlight w:val="none"/>
              </w:rPr>
            </w:pPr>
            <w:r>
              <w:rPr>
                <w:rFonts w:hint="eastAsia" w:ascii="宋体" w:hAnsi="宋体" w:cs="宋体"/>
                <w:color w:val="auto"/>
                <w:szCs w:val="21"/>
                <w:highlight w:val="none"/>
              </w:rPr>
              <w:t>▲1、投标人具备相关信息化系统的开发和运行维护经验。</w:t>
            </w:r>
          </w:p>
          <w:p w14:paraId="1DBDC4E8">
            <w:pPr>
              <w:spacing w:line="360" w:lineRule="auto"/>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投标人承诺中标后能为本项目提供本地化服务的能力，并在广西设有本地化的服务团队（如已具备本地化能力，投标文件中提供地址、服务团队名单、联系方式；未设立的则在投标文件中提供承诺函（格式自拟））。</w:t>
            </w:r>
          </w:p>
          <w:p w14:paraId="1E9A08EA">
            <w:pPr>
              <w:spacing w:line="360" w:lineRule="auto"/>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、投标人提供7*24小时专人职守服务，实时响应内部服务请求，详细记录问题解决情况。</w:t>
            </w:r>
            <w:r>
              <w:rPr>
                <w:rFonts w:hint="eastAsia" w:ascii="宋体" w:hAnsi="宋体" w:cs="宋体"/>
                <w:bCs/>
                <w:color w:val="auto"/>
                <w:szCs w:val="21"/>
                <w:highlight w:val="none"/>
              </w:rPr>
              <w:t>维护期内配备</w:t>
            </w:r>
            <w:r>
              <w:rPr>
                <w:rFonts w:ascii="宋体" w:hAnsi="宋体" w:cs="宋体"/>
                <w:bCs/>
                <w:color w:val="auto"/>
                <w:szCs w:val="21"/>
                <w:highlight w:val="none"/>
              </w:rPr>
              <w:t>1</w:t>
            </w:r>
            <w:r>
              <w:rPr>
                <w:rFonts w:hint="eastAsia" w:ascii="宋体" w:hAnsi="宋体" w:cs="宋体"/>
                <w:bCs/>
                <w:color w:val="auto"/>
                <w:szCs w:val="21"/>
                <w:highlight w:val="none"/>
              </w:rPr>
              <w:t>名或以上运维人员通过现场服务、远程技术服务、预防性服务、定期专访、远程监控等服务方式，提供7×24小时维保服务。面向各级道路运输管理机构、省内驾驶培训机构提供技术和业务支持，包括通过网络、电话和邮件远程技术协助，现场技术支持。</w:t>
            </w:r>
          </w:p>
          <w:p w14:paraId="2633EA24">
            <w:pPr>
              <w:spacing w:line="360" w:lineRule="auto"/>
              <w:rPr>
                <w:rFonts w:ascii="宋体" w:hAnsi="宋体" w:cs="宋体"/>
                <w:color w:val="auto"/>
                <w:szCs w:val="21"/>
                <w:highlight w:val="none"/>
              </w:rPr>
            </w:pPr>
            <w:r>
              <w:rPr>
                <w:rFonts w:ascii="宋体" w:hAnsi="宋体" w:cs="宋体"/>
                <w:color w:val="auto"/>
                <w:szCs w:val="21"/>
                <w:highlight w:val="none"/>
              </w:rPr>
              <w:t>4</w:t>
            </w:r>
            <w:r>
              <w:rPr>
                <w:rFonts w:hint="eastAsia" w:ascii="宋体" w:hAnsi="宋体" w:cs="宋体"/>
                <w:color w:val="auto"/>
                <w:szCs w:val="21"/>
                <w:highlight w:val="none"/>
              </w:rPr>
              <w:t>、投标人应建立规范的内部管理制度。严格管理专职专业技术人员，保证服务态度良好、问题解决及时、重大问题及时反馈、运维记录详细。</w:t>
            </w:r>
          </w:p>
          <w:p w14:paraId="73D94D44">
            <w:pPr>
              <w:spacing w:line="360" w:lineRule="auto"/>
              <w:rPr>
                <w:rFonts w:ascii="宋体" w:hAnsi="宋体" w:cs="宋体"/>
                <w:color w:val="auto"/>
                <w:szCs w:val="21"/>
                <w:highlight w:val="none"/>
              </w:rPr>
            </w:pPr>
            <w:r>
              <w:rPr>
                <w:rFonts w:ascii="宋体" w:hAnsi="宋体" w:cs="宋体"/>
                <w:color w:val="auto"/>
                <w:szCs w:val="21"/>
                <w:highlight w:val="none"/>
              </w:rPr>
              <w:t>5</w:t>
            </w:r>
            <w:r>
              <w:rPr>
                <w:rFonts w:hint="eastAsia" w:ascii="宋体" w:hAnsi="宋体" w:cs="宋体"/>
                <w:color w:val="auto"/>
                <w:szCs w:val="21"/>
                <w:highlight w:val="none"/>
              </w:rPr>
              <w:t>、投标人应建立常见系统故障应急预案，以便出现问题后，及时作出响应，降低事故后果。</w:t>
            </w:r>
          </w:p>
          <w:p w14:paraId="695FE26B">
            <w:pPr>
              <w:spacing w:line="360" w:lineRule="auto"/>
              <w:rPr>
                <w:rFonts w:ascii="宋体" w:hAnsi="宋体" w:cs="宋体"/>
                <w:color w:val="auto"/>
                <w:szCs w:val="21"/>
                <w:highlight w:val="none"/>
              </w:rPr>
            </w:pPr>
            <w:r>
              <w:rPr>
                <w:rFonts w:ascii="宋体" w:hAnsi="宋体" w:cs="宋体"/>
                <w:color w:val="auto"/>
                <w:szCs w:val="21"/>
                <w:highlight w:val="none"/>
              </w:rPr>
              <w:t>6</w:t>
            </w:r>
            <w:r>
              <w:rPr>
                <w:rFonts w:hint="eastAsia" w:ascii="宋体" w:hAnsi="宋体" w:cs="宋体"/>
                <w:color w:val="auto"/>
                <w:szCs w:val="21"/>
                <w:highlight w:val="none"/>
              </w:rPr>
              <w:t>、投标人有义务对专职专业技术人员进行岗前操作培训，以便更好地掌握平台运维技能。</w:t>
            </w:r>
          </w:p>
          <w:p w14:paraId="3098EFB8">
            <w:pPr>
              <w:spacing w:line="360" w:lineRule="auto"/>
              <w:rPr>
                <w:rFonts w:ascii="宋体" w:hAnsi="宋体" w:cs="宋体"/>
                <w:color w:val="auto"/>
                <w:szCs w:val="21"/>
                <w:highlight w:val="none"/>
              </w:rPr>
            </w:pPr>
            <w:r>
              <w:rPr>
                <w:rFonts w:ascii="宋体" w:hAnsi="宋体" w:cs="宋体"/>
                <w:color w:val="auto"/>
                <w:szCs w:val="21"/>
                <w:highlight w:val="none"/>
              </w:rPr>
              <w:t>7</w:t>
            </w:r>
            <w:r>
              <w:rPr>
                <w:rFonts w:hint="eastAsia" w:ascii="宋体" w:hAnsi="宋体" w:cs="宋体"/>
                <w:color w:val="auto"/>
                <w:szCs w:val="21"/>
                <w:highlight w:val="none"/>
              </w:rPr>
              <w:t>、当出现系统崩溃导致业务停止、数据丢失等系统故障时，投标人必须在10分钟内进行响应，2小时内提出处理方案，12小时内解决故障。</w:t>
            </w:r>
          </w:p>
          <w:p w14:paraId="76E26944">
            <w:pPr>
              <w:spacing w:line="360" w:lineRule="auto"/>
              <w:rPr>
                <w:rFonts w:ascii="宋体" w:hAnsi="宋体" w:cs="宋体"/>
                <w:color w:val="auto"/>
                <w:szCs w:val="21"/>
                <w:highlight w:val="none"/>
              </w:rPr>
            </w:pPr>
            <w:r>
              <w:rPr>
                <w:rFonts w:hint="eastAsia" w:ascii="宋体" w:hAnsi="宋体" w:cs="宋体"/>
                <w:color w:val="auto"/>
                <w:szCs w:val="21"/>
                <w:highlight w:val="none"/>
              </w:rPr>
              <w:t>（二）服务规范要求</w:t>
            </w:r>
          </w:p>
          <w:p w14:paraId="749F9B74">
            <w:pPr>
              <w:spacing w:line="360" w:lineRule="auto"/>
              <w:rPr>
                <w:rFonts w:ascii="宋体" w:hAnsi="宋体" w:cs="宋体"/>
                <w:color w:val="auto"/>
                <w:szCs w:val="21"/>
                <w:highlight w:val="none"/>
              </w:rPr>
            </w:pPr>
            <w:r>
              <w:rPr>
                <w:rFonts w:hint="eastAsia" w:ascii="宋体" w:hAnsi="宋体" w:cs="宋体"/>
                <w:color w:val="auto"/>
                <w:szCs w:val="21"/>
                <w:highlight w:val="none"/>
              </w:rPr>
              <w:t>1、遵守用户的规章制度，严格按照规章制度办事。</w:t>
            </w:r>
          </w:p>
          <w:p w14:paraId="2AA7AA88">
            <w:pPr>
              <w:spacing w:line="360" w:lineRule="auto"/>
              <w:rPr>
                <w:rFonts w:ascii="宋体" w:hAnsi="宋体" w:cs="宋体"/>
                <w:color w:val="auto"/>
                <w:szCs w:val="21"/>
                <w:highlight w:val="none"/>
              </w:rPr>
            </w:pPr>
            <w:r>
              <w:rPr>
                <w:rFonts w:hint="eastAsia" w:ascii="宋体" w:hAnsi="宋体" w:cs="宋体"/>
                <w:color w:val="auto"/>
                <w:szCs w:val="21"/>
                <w:highlight w:val="none"/>
              </w:rPr>
              <w:t>2、对被支持单位的网络、主机、系统软件、应用软件等的密码、核心参数、业务数据等负有保密责任，不得随意复制和传播。</w:t>
            </w:r>
          </w:p>
          <w:p w14:paraId="57A8FE92">
            <w:pPr>
              <w:spacing w:line="360" w:lineRule="auto"/>
              <w:rPr>
                <w:rFonts w:ascii="宋体" w:hAnsi="宋体" w:cs="宋体"/>
                <w:color w:val="auto"/>
                <w:szCs w:val="21"/>
                <w:highlight w:val="none"/>
              </w:rPr>
            </w:pPr>
            <w:r>
              <w:rPr>
                <w:rFonts w:hint="eastAsia" w:ascii="宋体" w:hAnsi="宋体" w:cs="宋体"/>
                <w:color w:val="auto"/>
                <w:szCs w:val="21"/>
                <w:highlight w:val="none"/>
              </w:rPr>
              <w:t>3、严格按照服务工作流程规范进行日常工作，如果发生由于日常工作遗漏和疏忽导致业户的数据丢失或被攻击、未授权的配置变更等影响业主业务正常开展的情况，将根据情节严重对相关责任人进行相应的处罚。</w:t>
            </w:r>
          </w:p>
          <w:p w14:paraId="64A0CEC0">
            <w:pPr>
              <w:spacing w:line="360" w:lineRule="auto"/>
              <w:rPr>
                <w:rFonts w:ascii="宋体" w:hAnsi="宋体" w:cs="宋体"/>
                <w:color w:val="auto"/>
                <w:szCs w:val="21"/>
                <w:highlight w:val="none"/>
              </w:rPr>
            </w:pPr>
            <w:r>
              <w:rPr>
                <w:rFonts w:hint="eastAsia" w:ascii="宋体" w:hAnsi="宋体" w:cs="宋体"/>
                <w:color w:val="auto"/>
                <w:szCs w:val="21"/>
                <w:highlight w:val="none"/>
              </w:rPr>
              <w:t>4、服务期间须按照国家网络安全及信息保密安全有关管理规定做好网络安全保密工作。指定具体网络安全责任人，建立独立的管理技术团队负责项目实施过程中的网络安全管理。网络安全责任人及工作人员有变更、乙方工作人员有业务转型或乙方因自身原因有合并重组等的须提前向甲方进行书面说明，未经甲方同意，乙方不得私自将在甲方工作期间的项目任务进行分包、转包。中标供应商必须承担为采购人保守相关保密信息的义务和责任，包括以下内容：中标供应商应严格控制了解项目关键资料的人员范围，对参与项目运维的有关工作人员要明确保密责任，严格保密纪律，不得泄漏、使用系统数据信息用于其他用途。</w:t>
            </w:r>
          </w:p>
          <w:p w14:paraId="3C982B69">
            <w:pPr>
              <w:spacing w:line="360" w:lineRule="auto"/>
              <w:rPr>
                <w:rFonts w:ascii="宋体" w:hAnsi="宋体" w:cs="宋体"/>
                <w:color w:val="auto"/>
                <w:szCs w:val="21"/>
                <w:highlight w:val="none"/>
              </w:rPr>
            </w:pPr>
            <w:r>
              <w:rPr>
                <w:rFonts w:hint="eastAsia" w:ascii="宋体" w:hAnsi="宋体" w:cs="宋体"/>
                <w:color w:val="auto"/>
                <w:szCs w:val="21"/>
                <w:highlight w:val="none"/>
              </w:rPr>
              <w:t>5、服务期间涉及的政务数据和其他数据须分开处理，不得私自将工作中处理的数据进行变更处理。中标人在服务期间处理数据，涉及到个人信息时，须按照国家个人信息保护相关管理规定，做好数据处理存储工作。采购人具有所有权、使用权和访问权，中标人不得私自更改、访问、利用和销毁服务期间涉及到的政务数据信息。</w:t>
            </w:r>
          </w:p>
          <w:p w14:paraId="6F0FED10">
            <w:pPr>
              <w:spacing w:line="360" w:lineRule="auto"/>
              <w:rPr>
                <w:rFonts w:ascii="宋体" w:hAnsi="宋体"/>
                <w:color w:val="auto"/>
                <w:szCs w:val="21"/>
                <w:highlight w:val="none"/>
              </w:rPr>
            </w:pPr>
            <w:r>
              <w:rPr>
                <w:rFonts w:hint="eastAsia" w:ascii="宋体" w:hAnsi="宋体" w:cs="宋体"/>
                <w:color w:val="auto"/>
                <w:szCs w:val="21"/>
                <w:highlight w:val="none"/>
              </w:rPr>
              <w:t>6、做好网络安全漏洞检查，</w:t>
            </w:r>
            <w:r>
              <w:rPr>
                <w:rFonts w:hint="eastAsia" w:ascii="宋体" w:hAnsi="宋体"/>
                <w:color w:val="auto"/>
                <w:szCs w:val="21"/>
                <w:highlight w:val="none"/>
              </w:rPr>
              <w:t>如定期修改系统管理员密码，提醒用户及时更新密码，加强访问控制等措施，提升系统抵抗外部攻击能力，确保系统安全可靠运行。配合采购人做好网络安全应急事件处置、定期做好漏洞修复等管理维护工作。</w:t>
            </w:r>
          </w:p>
          <w:p w14:paraId="279BC978">
            <w:pPr>
              <w:spacing w:line="360" w:lineRule="auto"/>
              <w:rPr>
                <w:rFonts w:ascii="宋体" w:hAnsi="宋体" w:cs="宋体"/>
                <w:bCs/>
                <w:color w:val="auto"/>
                <w:szCs w:val="21"/>
                <w:highlight w:val="none"/>
              </w:rPr>
            </w:pPr>
            <w:r>
              <w:rPr>
                <w:rFonts w:hint="eastAsia" w:ascii="宋体" w:hAnsi="宋体"/>
                <w:color w:val="auto"/>
                <w:szCs w:val="21"/>
                <w:highlight w:val="none"/>
              </w:rPr>
              <w:t>通过数据在应用和传输过程中可能涉及到的数据质量问题，按照相关标准和规范进行维护和整理，保障数据质量，确保数据满足采购方业务需求。</w:t>
            </w:r>
            <w:r>
              <w:rPr>
                <w:rFonts w:hint="eastAsia" w:ascii="宋体" w:hAnsi="宋体" w:cs="宋体"/>
                <w:color w:val="auto"/>
                <w:szCs w:val="21"/>
                <w:highlight w:val="none"/>
              </w:rPr>
              <w:t>发现安全漏洞、缺陷及安全风险须及时通报，并形成报告向区网信、公安部门报告，安全漏洞未经网信、公安部门同意，不得向第三人公开。</w:t>
            </w:r>
          </w:p>
          <w:p w14:paraId="6AD6F369">
            <w:pPr>
              <w:spacing w:line="360" w:lineRule="auto"/>
              <w:rPr>
                <w:rFonts w:ascii="宋体" w:hAnsi="宋体" w:cs="宋体"/>
                <w:color w:val="auto"/>
                <w:szCs w:val="21"/>
                <w:highlight w:val="none"/>
              </w:rPr>
            </w:pPr>
            <w:r>
              <w:rPr>
                <w:rFonts w:hint="eastAsia" w:ascii="宋体" w:hAnsi="宋体" w:cs="宋体"/>
                <w:color w:val="auto"/>
                <w:szCs w:val="21"/>
                <w:highlight w:val="none"/>
              </w:rPr>
              <w:t>7、处理数据时优先使用国产安全可信的硬件软件产品，按照国家和自治区各项要求配合采购人完成相应的国产化服务。硬软件信息系统须按照国家密码管理要求设置不限于数字字母特殊字符组合的强口令的密码。</w:t>
            </w:r>
          </w:p>
          <w:p w14:paraId="06BA2257">
            <w:pPr>
              <w:spacing w:line="360" w:lineRule="auto"/>
              <w:rPr>
                <w:color w:val="auto"/>
                <w:szCs w:val="21"/>
                <w:highlight w:val="none"/>
              </w:rPr>
            </w:pPr>
            <w:r>
              <w:rPr>
                <w:rFonts w:hint="eastAsia" w:ascii="宋体" w:hAnsi="宋体" w:cs="宋体"/>
                <w:color w:val="auto"/>
                <w:szCs w:val="21"/>
                <w:highlight w:val="none"/>
              </w:rPr>
              <w:t>▲8、中标人必须与采购人签订保密协议。</w:t>
            </w:r>
          </w:p>
        </w:tc>
      </w:tr>
    </w:tbl>
    <w:p w14:paraId="34212659">
      <w:pPr>
        <w:spacing w:line="400" w:lineRule="exact"/>
        <w:ind w:firstLine="308" w:firstLineChars="147"/>
        <w:jc w:val="left"/>
        <w:rPr>
          <w:rFonts w:ascii="宋体" w:hAnsi="宋体" w:cs="Arial"/>
          <w:bCs/>
          <w:color w:val="auto"/>
          <w:szCs w:val="21"/>
          <w:highlight w:val="none"/>
          <w:u w:val="single"/>
        </w:rPr>
      </w:pPr>
      <w:r>
        <w:rPr>
          <w:rFonts w:ascii="宋体" w:hAnsi="宋体" w:cs="宋体"/>
          <w:color w:val="auto"/>
          <w:szCs w:val="21"/>
          <w:highlight w:val="none"/>
        </w:rPr>
        <w:br w:type="page"/>
      </w:r>
      <w:r>
        <w:rPr>
          <w:rFonts w:hint="eastAsia" w:ascii="宋体" w:hAnsi="宋体" w:cs="Arial"/>
          <w:b/>
          <w:color w:val="auto"/>
          <w:szCs w:val="21"/>
          <w:highlight w:val="none"/>
          <w:u w:val="single"/>
        </w:rPr>
        <w:t xml:space="preserve"> 5 </w:t>
      </w:r>
      <w:r>
        <w:rPr>
          <w:rFonts w:hint="eastAsia" w:ascii="宋体" w:hAnsi="宋体"/>
          <w:b/>
          <w:color w:val="auto"/>
          <w:szCs w:val="21"/>
          <w:highlight w:val="none"/>
        </w:rPr>
        <w:t>分标      采购预算：</w:t>
      </w:r>
      <w:r>
        <w:rPr>
          <w:rFonts w:hint="eastAsia" w:ascii="宋体" w:hAnsi="宋体" w:cs="Arial"/>
          <w:bCs/>
          <w:color w:val="auto"/>
          <w:szCs w:val="21"/>
          <w:highlight w:val="none"/>
          <w:u w:val="single"/>
        </w:rPr>
        <w:t xml:space="preserve">详见招标公告 </w:t>
      </w: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
        <w:gridCol w:w="1601"/>
        <w:gridCol w:w="756"/>
        <w:gridCol w:w="6675"/>
      </w:tblGrid>
      <w:tr w14:paraId="05BA8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9718" w:type="dxa"/>
            <w:gridSpan w:val="4"/>
            <w:tcBorders>
              <w:top w:val="single" w:color="auto" w:sz="4" w:space="0"/>
              <w:left w:val="single" w:color="auto" w:sz="4" w:space="0"/>
              <w:bottom w:val="single" w:color="auto" w:sz="4" w:space="0"/>
              <w:right w:val="single" w:color="auto" w:sz="4" w:space="0"/>
            </w:tcBorders>
            <w:vAlign w:val="center"/>
          </w:tcPr>
          <w:p w14:paraId="53A17FCD">
            <w:pPr>
              <w:pStyle w:val="23"/>
              <w:spacing w:line="340" w:lineRule="exact"/>
              <w:ind w:firstLine="316" w:firstLineChars="150"/>
              <w:jc w:val="center"/>
              <w:rPr>
                <w:rFonts w:hAnsi="宋体"/>
                <w:b/>
                <w:color w:val="auto"/>
                <w:sz w:val="21"/>
                <w:highlight w:val="none"/>
              </w:rPr>
            </w:pPr>
            <w:r>
              <w:rPr>
                <w:rFonts w:hint="eastAsia" w:hAnsi="宋体"/>
                <w:b/>
                <w:color w:val="auto"/>
                <w:sz w:val="21"/>
                <w:highlight w:val="none"/>
              </w:rPr>
              <w:t>采购需求一览表</w:t>
            </w:r>
          </w:p>
        </w:tc>
      </w:tr>
      <w:tr w14:paraId="2B70B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86" w:type="dxa"/>
            <w:tcBorders>
              <w:top w:val="single" w:color="auto" w:sz="4" w:space="0"/>
              <w:left w:val="single" w:color="auto" w:sz="4" w:space="0"/>
              <w:bottom w:val="single" w:color="auto" w:sz="4" w:space="0"/>
              <w:right w:val="single" w:color="auto" w:sz="4" w:space="0"/>
            </w:tcBorders>
            <w:vAlign w:val="center"/>
          </w:tcPr>
          <w:p w14:paraId="6ECB69C7">
            <w:pPr>
              <w:pStyle w:val="23"/>
              <w:spacing w:line="340" w:lineRule="exact"/>
              <w:jc w:val="center"/>
              <w:rPr>
                <w:rFonts w:hAnsi="宋体"/>
                <w:b/>
                <w:color w:val="auto"/>
                <w:sz w:val="21"/>
                <w:highlight w:val="none"/>
              </w:rPr>
            </w:pPr>
            <w:r>
              <w:rPr>
                <w:rFonts w:hint="eastAsia" w:hAnsi="宋体"/>
                <w:b/>
                <w:color w:val="auto"/>
                <w:sz w:val="21"/>
                <w:highlight w:val="none"/>
              </w:rPr>
              <w:t>序号</w:t>
            </w:r>
          </w:p>
        </w:tc>
        <w:tc>
          <w:tcPr>
            <w:tcW w:w="1601" w:type="dxa"/>
            <w:tcBorders>
              <w:top w:val="single" w:color="auto" w:sz="4" w:space="0"/>
              <w:left w:val="single" w:color="auto" w:sz="4" w:space="0"/>
              <w:bottom w:val="single" w:color="auto" w:sz="4" w:space="0"/>
              <w:right w:val="single" w:color="auto" w:sz="4" w:space="0"/>
            </w:tcBorders>
            <w:vAlign w:val="center"/>
          </w:tcPr>
          <w:p w14:paraId="495FEDF9">
            <w:pPr>
              <w:pStyle w:val="23"/>
              <w:spacing w:line="340" w:lineRule="exact"/>
              <w:jc w:val="center"/>
              <w:rPr>
                <w:rFonts w:hAnsi="宋体"/>
                <w:b/>
                <w:color w:val="auto"/>
                <w:sz w:val="21"/>
                <w:highlight w:val="none"/>
              </w:rPr>
            </w:pPr>
            <w:r>
              <w:rPr>
                <w:rFonts w:hint="eastAsia" w:hAnsi="宋体"/>
                <w:b/>
                <w:color w:val="auto"/>
                <w:sz w:val="21"/>
                <w:highlight w:val="none"/>
              </w:rPr>
              <w:t>服务名称</w:t>
            </w:r>
          </w:p>
        </w:tc>
        <w:tc>
          <w:tcPr>
            <w:tcW w:w="756" w:type="dxa"/>
            <w:tcBorders>
              <w:top w:val="single" w:color="auto" w:sz="4" w:space="0"/>
              <w:left w:val="single" w:color="auto" w:sz="4" w:space="0"/>
              <w:bottom w:val="single" w:color="auto" w:sz="4" w:space="0"/>
              <w:right w:val="single" w:color="auto" w:sz="4" w:space="0"/>
            </w:tcBorders>
            <w:vAlign w:val="center"/>
          </w:tcPr>
          <w:p w14:paraId="6BC46355">
            <w:pPr>
              <w:widowControl/>
              <w:spacing w:line="340" w:lineRule="exact"/>
              <w:jc w:val="center"/>
              <w:rPr>
                <w:rFonts w:ascii="宋体" w:hAnsi="宋体" w:cs="宋体"/>
                <w:b/>
                <w:color w:val="auto"/>
                <w:kern w:val="0"/>
                <w:szCs w:val="21"/>
                <w:highlight w:val="none"/>
              </w:rPr>
            </w:pPr>
            <w:r>
              <w:rPr>
                <w:rFonts w:hint="eastAsia" w:ascii="宋体" w:hAnsi="宋体" w:cs="宋体"/>
                <w:b/>
                <w:color w:val="auto"/>
                <w:kern w:val="0"/>
                <w:szCs w:val="21"/>
                <w:highlight w:val="none"/>
              </w:rPr>
              <w:t>数量</w:t>
            </w:r>
          </w:p>
        </w:tc>
        <w:tc>
          <w:tcPr>
            <w:tcW w:w="6675" w:type="dxa"/>
            <w:tcBorders>
              <w:top w:val="single" w:color="auto" w:sz="4" w:space="0"/>
              <w:left w:val="single" w:color="auto" w:sz="4" w:space="0"/>
              <w:bottom w:val="single" w:color="auto" w:sz="4" w:space="0"/>
              <w:right w:val="single" w:color="auto" w:sz="4" w:space="0"/>
            </w:tcBorders>
            <w:vAlign w:val="center"/>
          </w:tcPr>
          <w:p w14:paraId="0334A8C9">
            <w:pPr>
              <w:pStyle w:val="23"/>
              <w:spacing w:line="340" w:lineRule="exact"/>
              <w:ind w:firstLine="316" w:firstLineChars="150"/>
              <w:jc w:val="center"/>
              <w:rPr>
                <w:rFonts w:hAnsi="宋体"/>
                <w:b/>
                <w:color w:val="auto"/>
                <w:sz w:val="21"/>
                <w:highlight w:val="none"/>
              </w:rPr>
            </w:pPr>
            <w:r>
              <w:rPr>
                <w:rFonts w:hint="eastAsia" w:hAnsi="宋体"/>
                <w:b/>
                <w:color w:val="auto"/>
                <w:sz w:val="21"/>
                <w:highlight w:val="none"/>
              </w:rPr>
              <w:t>项目要求及技术需求</w:t>
            </w:r>
          </w:p>
        </w:tc>
      </w:tr>
      <w:tr w14:paraId="0101C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jc w:val="center"/>
        </w:trPr>
        <w:tc>
          <w:tcPr>
            <w:tcW w:w="686" w:type="dxa"/>
            <w:tcBorders>
              <w:top w:val="single" w:color="auto" w:sz="4" w:space="0"/>
              <w:left w:val="single" w:color="auto" w:sz="4" w:space="0"/>
              <w:right w:val="single" w:color="auto" w:sz="4" w:space="0"/>
            </w:tcBorders>
            <w:vAlign w:val="center"/>
          </w:tcPr>
          <w:p w14:paraId="07779F88">
            <w:pPr>
              <w:pStyle w:val="23"/>
              <w:spacing w:line="340" w:lineRule="exact"/>
              <w:jc w:val="center"/>
              <w:rPr>
                <w:rFonts w:hAnsi="宋体"/>
                <w:color w:val="auto"/>
                <w:sz w:val="21"/>
                <w:highlight w:val="none"/>
              </w:rPr>
            </w:pPr>
            <w:r>
              <w:rPr>
                <w:rFonts w:hint="eastAsia" w:hAnsi="宋体"/>
                <w:color w:val="auto"/>
                <w:sz w:val="21"/>
                <w:highlight w:val="none"/>
              </w:rPr>
              <w:t>1</w:t>
            </w:r>
          </w:p>
        </w:tc>
        <w:tc>
          <w:tcPr>
            <w:tcW w:w="1601" w:type="dxa"/>
            <w:tcBorders>
              <w:top w:val="single" w:color="auto" w:sz="4" w:space="0"/>
              <w:left w:val="single" w:color="auto" w:sz="4" w:space="0"/>
              <w:right w:val="single" w:color="auto" w:sz="4" w:space="0"/>
            </w:tcBorders>
            <w:vAlign w:val="center"/>
          </w:tcPr>
          <w:p w14:paraId="5C7B33FE">
            <w:pPr>
              <w:spacing w:line="380" w:lineRule="exact"/>
              <w:jc w:val="center"/>
              <w:rPr>
                <w:rFonts w:ascii="宋体" w:hAnsi="宋体" w:cs="宋体"/>
                <w:color w:val="auto"/>
                <w:szCs w:val="21"/>
                <w:highlight w:val="none"/>
              </w:rPr>
            </w:pPr>
            <w:r>
              <w:rPr>
                <w:rFonts w:hint="eastAsia" w:hAnsi="宋体"/>
                <w:color w:val="auto"/>
                <w:szCs w:val="21"/>
                <w:highlight w:val="none"/>
              </w:rPr>
              <w:t>内部控制信息系统运行维护经费项目</w:t>
            </w:r>
          </w:p>
        </w:tc>
        <w:tc>
          <w:tcPr>
            <w:tcW w:w="756" w:type="dxa"/>
            <w:tcBorders>
              <w:top w:val="single" w:color="auto" w:sz="4" w:space="0"/>
              <w:left w:val="single" w:color="auto" w:sz="4" w:space="0"/>
              <w:right w:val="single" w:color="auto" w:sz="4" w:space="0"/>
            </w:tcBorders>
            <w:vAlign w:val="center"/>
          </w:tcPr>
          <w:p w14:paraId="494D61AA">
            <w:pPr>
              <w:spacing w:line="380" w:lineRule="exact"/>
              <w:jc w:val="center"/>
              <w:rPr>
                <w:rFonts w:ascii="宋体" w:hAnsi="宋体" w:cs="宋体"/>
                <w:color w:val="auto"/>
                <w:szCs w:val="21"/>
                <w:highlight w:val="none"/>
              </w:rPr>
            </w:pPr>
            <w:r>
              <w:rPr>
                <w:rFonts w:hint="eastAsia" w:ascii="宋体" w:hAnsi="宋体" w:cs="宋体"/>
                <w:color w:val="auto"/>
                <w:szCs w:val="21"/>
                <w:highlight w:val="none"/>
              </w:rPr>
              <w:t>1项</w:t>
            </w:r>
          </w:p>
        </w:tc>
        <w:tc>
          <w:tcPr>
            <w:tcW w:w="6675" w:type="dxa"/>
            <w:tcBorders>
              <w:top w:val="single" w:color="auto" w:sz="4" w:space="0"/>
              <w:left w:val="single" w:color="auto" w:sz="4" w:space="0"/>
              <w:right w:val="single" w:color="auto" w:sz="4" w:space="0"/>
            </w:tcBorders>
            <w:vAlign w:val="center"/>
          </w:tcPr>
          <w:p w14:paraId="4BD77C61">
            <w:pPr>
              <w:spacing w:line="340" w:lineRule="exact"/>
              <w:ind w:firstLine="422" w:firstLineChars="200"/>
              <w:rPr>
                <w:b/>
                <w:bCs/>
                <w:color w:val="auto"/>
                <w:szCs w:val="21"/>
                <w:highlight w:val="none"/>
              </w:rPr>
            </w:pPr>
            <w:r>
              <w:rPr>
                <w:rFonts w:hint="eastAsia"/>
                <w:b/>
                <w:bCs/>
                <w:color w:val="auto"/>
                <w:szCs w:val="21"/>
                <w:highlight w:val="none"/>
              </w:rPr>
              <w:t>服务主要内容</w:t>
            </w:r>
          </w:p>
          <w:p w14:paraId="08451985">
            <w:pPr>
              <w:spacing w:line="340" w:lineRule="exact"/>
              <w:ind w:firstLine="420" w:firstLineChars="200"/>
              <w:rPr>
                <w:rFonts w:ascii="Calibri" w:hAnsi="Calibri" w:cs="Calibri"/>
                <w:color w:val="auto"/>
                <w:szCs w:val="21"/>
                <w:highlight w:val="none"/>
                <w:lang w:bidi="ar"/>
              </w:rPr>
            </w:pPr>
            <w:r>
              <w:rPr>
                <w:rFonts w:hint="eastAsia" w:ascii="Calibri" w:hAnsi="Calibri" w:cs="Calibri"/>
                <w:color w:val="auto"/>
                <w:szCs w:val="21"/>
                <w:highlight w:val="none"/>
                <w:lang w:bidi="ar"/>
              </w:rPr>
              <w:t>一、技术运维</w:t>
            </w:r>
          </w:p>
          <w:p w14:paraId="650F3E69">
            <w:pPr>
              <w:spacing w:line="340" w:lineRule="exact"/>
              <w:ind w:firstLine="420" w:firstLineChars="200"/>
              <w:rPr>
                <w:rFonts w:ascii="Calibri" w:hAnsi="Calibri" w:cs="Calibri"/>
                <w:color w:val="auto"/>
                <w:szCs w:val="21"/>
                <w:highlight w:val="none"/>
                <w:lang w:bidi="ar"/>
              </w:rPr>
            </w:pPr>
            <w:r>
              <w:rPr>
                <w:rFonts w:hint="eastAsia" w:ascii="Calibri" w:hAnsi="Calibri" w:cs="Calibri"/>
                <w:color w:val="auto"/>
                <w:szCs w:val="21"/>
                <w:highlight w:val="none"/>
                <w:lang w:bidi="ar"/>
              </w:rPr>
              <w:t>主要服务方式：提供现场支持服务；日常电话支持服务；紧急电话支持及必要现场服务；互联网在线服务；远程在线诊断和故障排除服务。</w:t>
            </w:r>
          </w:p>
          <w:p w14:paraId="3D49536F">
            <w:pPr>
              <w:spacing w:line="340" w:lineRule="exact"/>
              <w:ind w:firstLine="420" w:firstLineChars="200"/>
              <w:rPr>
                <w:rFonts w:ascii="Calibri" w:hAnsi="Calibri" w:cs="Calibri"/>
                <w:color w:val="auto"/>
                <w:szCs w:val="21"/>
                <w:highlight w:val="none"/>
                <w:lang w:bidi="ar"/>
              </w:rPr>
            </w:pPr>
            <w:r>
              <w:rPr>
                <w:rFonts w:hint="eastAsia" w:ascii="Calibri" w:hAnsi="Calibri" w:cs="Calibri"/>
                <w:color w:val="auto"/>
                <w:szCs w:val="21"/>
                <w:highlight w:val="none"/>
                <w:lang w:bidi="ar"/>
              </w:rPr>
              <w:t>日常运维主要内容：</w:t>
            </w:r>
          </w:p>
          <w:p w14:paraId="6BA79CF9">
            <w:pPr>
              <w:spacing w:line="340" w:lineRule="exact"/>
              <w:ind w:firstLine="420" w:firstLineChars="200"/>
              <w:rPr>
                <w:rFonts w:ascii="Calibri" w:hAnsi="Calibri" w:cs="Calibri"/>
                <w:color w:val="auto"/>
                <w:szCs w:val="21"/>
                <w:highlight w:val="none"/>
                <w:lang w:bidi="ar"/>
              </w:rPr>
            </w:pPr>
            <w:r>
              <w:rPr>
                <w:rFonts w:hint="eastAsia" w:ascii="Calibri" w:hAnsi="Calibri" w:cs="Calibri"/>
                <w:color w:val="auto"/>
                <w:szCs w:val="21"/>
                <w:highlight w:val="none"/>
                <w:lang w:bidi="ar"/>
              </w:rPr>
              <w:t>（一）系统基础信息配置及维护：承担内控系统运行的线上监控、问题的修正优化完善、运行异常的应急处理及限期恢复等，至少覆盖预算管理模块、收支管理模块、政府采购管理模块、合同管理模块、资产管理模块、建设项目管理模块共六大业务模块的正常运维；并确保内控系统运行中所有数据的准确性和安全性，做好年度数据结转、指标录入及核验等工作；按采购人要求完善改进相关功能，如签报、用章、预算项目追加等无需追加成本的功能。</w:t>
            </w:r>
          </w:p>
          <w:p w14:paraId="6651542F">
            <w:pPr>
              <w:spacing w:line="340" w:lineRule="exact"/>
              <w:ind w:firstLine="420" w:firstLineChars="200"/>
              <w:rPr>
                <w:rFonts w:ascii="Calibri" w:hAnsi="Calibri" w:cs="Calibri"/>
                <w:color w:val="auto"/>
                <w:szCs w:val="21"/>
                <w:highlight w:val="none"/>
              </w:rPr>
            </w:pPr>
            <w:r>
              <w:rPr>
                <w:rFonts w:hint="eastAsia" w:ascii="Calibri" w:hAnsi="Calibri" w:cs="Calibri"/>
                <w:color w:val="auto"/>
                <w:szCs w:val="21"/>
                <w:highlight w:val="none"/>
                <w:lang w:bidi="ar"/>
              </w:rPr>
              <w:t>（二）账号信息维护：负责用户权限设置、日志管理维护、系统参数维护，根据采购人用户情况开放内控系统应用模块、变更角色权限等设置；</w:t>
            </w:r>
          </w:p>
          <w:p w14:paraId="3D9BEB00">
            <w:pPr>
              <w:spacing w:line="340" w:lineRule="exact"/>
              <w:ind w:firstLine="420" w:firstLineChars="200"/>
              <w:rPr>
                <w:rFonts w:ascii="Calibri" w:hAnsi="Calibri" w:cs="Calibri"/>
                <w:color w:val="auto"/>
                <w:szCs w:val="21"/>
                <w:highlight w:val="none"/>
              </w:rPr>
            </w:pPr>
            <w:r>
              <w:rPr>
                <w:rFonts w:hint="eastAsia" w:ascii="Calibri" w:hAnsi="Calibri" w:cs="Calibri"/>
                <w:color w:val="auto"/>
                <w:szCs w:val="21"/>
                <w:highlight w:val="none"/>
                <w:lang w:bidi="ar"/>
              </w:rPr>
              <w:t>（三）系统操作使用咨询/用户操作疑问解答：设置专人向采购人提供技术支持服务和在线业务咨询，解决采购人系统日常使用问题；维护期内，若采购人的管理员若发生人事变动，中标供应商负责免费对新管理员进行系统的重新培训、软件操作规范指导等服务；</w:t>
            </w:r>
          </w:p>
          <w:p w14:paraId="2CEE89D3">
            <w:pPr>
              <w:spacing w:line="340" w:lineRule="exact"/>
              <w:ind w:firstLine="420" w:firstLineChars="200"/>
              <w:rPr>
                <w:rFonts w:ascii="Calibri" w:hAnsi="Calibri" w:cs="Calibri"/>
                <w:color w:val="auto"/>
                <w:szCs w:val="21"/>
                <w:highlight w:val="none"/>
                <w:lang w:bidi="ar"/>
              </w:rPr>
            </w:pPr>
            <w:r>
              <w:rPr>
                <w:rFonts w:hint="eastAsia" w:ascii="Calibri" w:hAnsi="Calibri" w:cs="Calibri"/>
                <w:color w:val="auto"/>
                <w:szCs w:val="21"/>
                <w:highlight w:val="none"/>
                <w:lang w:bidi="ar"/>
              </w:rPr>
              <w:t>（四）系统巡检与监控：定期对内控系统进行全面检查，检查软件运行状况、以往反馈问题状态的确认、收集用户需求及建议、收集系统运行的各项指标，及时排查系统漏洞和隐患，提供运行情况诊断报告和改进建议；</w:t>
            </w:r>
          </w:p>
          <w:p w14:paraId="2C9E713B">
            <w:pPr>
              <w:spacing w:line="340" w:lineRule="exact"/>
              <w:ind w:firstLine="420" w:firstLineChars="200"/>
              <w:rPr>
                <w:rFonts w:ascii="Calibri" w:hAnsi="Calibri" w:cs="Calibri"/>
                <w:color w:val="auto"/>
                <w:szCs w:val="21"/>
                <w:highlight w:val="none"/>
              </w:rPr>
            </w:pPr>
            <w:r>
              <w:rPr>
                <w:rFonts w:hint="eastAsia" w:ascii="Calibri" w:hAnsi="Calibri" w:cs="Calibri"/>
                <w:color w:val="auto"/>
                <w:szCs w:val="21"/>
                <w:highlight w:val="none"/>
                <w:lang w:bidi="ar"/>
              </w:rPr>
              <w:t>（五）表单问题处理；流程问题处理；系统环境异常处理；系统故障排除；系统异常的处理；系统漏洞处理修复；编制运维报告；</w:t>
            </w:r>
          </w:p>
          <w:p w14:paraId="44DAAE83">
            <w:pPr>
              <w:spacing w:line="340" w:lineRule="exact"/>
              <w:ind w:firstLine="420" w:firstLineChars="200"/>
              <w:rPr>
                <w:rFonts w:ascii="Calibri" w:hAnsi="Calibri" w:cs="Calibri"/>
                <w:color w:val="auto"/>
                <w:szCs w:val="21"/>
                <w:highlight w:val="none"/>
              </w:rPr>
            </w:pPr>
            <w:r>
              <w:rPr>
                <w:rFonts w:hint="eastAsia" w:ascii="Calibri" w:hAnsi="Calibri" w:cs="Calibri"/>
                <w:color w:val="auto"/>
                <w:szCs w:val="21"/>
                <w:highlight w:val="none"/>
                <w:lang w:bidi="ar"/>
              </w:rPr>
              <w:t>（六）系统数据库备份与恢复：根据采购人需要设置系统备份策略，完成系统整体数据的备份和安全存放；</w:t>
            </w:r>
          </w:p>
          <w:p w14:paraId="46305983">
            <w:pPr>
              <w:spacing w:line="340" w:lineRule="exact"/>
              <w:ind w:firstLine="420" w:firstLineChars="200"/>
              <w:rPr>
                <w:rFonts w:ascii="Calibri" w:hAnsi="Calibri" w:cs="Calibri"/>
                <w:color w:val="auto"/>
                <w:szCs w:val="21"/>
                <w:highlight w:val="none"/>
                <w:lang w:bidi="ar"/>
              </w:rPr>
            </w:pPr>
            <w:r>
              <w:rPr>
                <w:rFonts w:hint="eastAsia" w:ascii="Calibri" w:hAnsi="Calibri" w:cs="Calibri"/>
                <w:color w:val="auto"/>
                <w:szCs w:val="21"/>
                <w:highlight w:val="none"/>
                <w:lang w:bidi="ar"/>
              </w:rPr>
              <w:t>（七）进行安全管理与防护：随时配合采购人进行安全检测与漏洞修复，第一时间安装最新产品补丁以及已发现的安全漏洞与BUG修复。须按照国家相关软件、网络安全标准要求执行，若因中标供应商原因导致采购人出现数据丢失、破坏等一切损失，由中标供应商承担。</w:t>
            </w:r>
          </w:p>
          <w:p w14:paraId="6E43674E">
            <w:pPr>
              <w:spacing w:line="340" w:lineRule="exact"/>
              <w:ind w:firstLine="420" w:firstLineChars="200"/>
              <w:rPr>
                <w:color w:val="auto"/>
                <w:szCs w:val="21"/>
                <w:highlight w:val="none"/>
              </w:rPr>
            </w:pPr>
            <w:r>
              <w:rPr>
                <w:rFonts w:hint="eastAsia" w:ascii="Calibri" w:hAnsi="Calibri" w:cs="Calibri"/>
                <w:color w:val="auto"/>
                <w:szCs w:val="21"/>
                <w:highlight w:val="none"/>
                <w:lang w:bidi="ar"/>
              </w:rPr>
              <w:t>（八）保证日常工作业务的正常进行，通过配备至少1人专业技术人员驻点进行系统日常维护管理以及解决系统日常问题。</w:t>
            </w:r>
          </w:p>
          <w:p w14:paraId="49EBD56C">
            <w:pPr>
              <w:spacing w:line="340" w:lineRule="exact"/>
              <w:ind w:firstLine="420" w:firstLineChars="200"/>
              <w:rPr>
                <w:rFonts w:ascii="Calibri" w:hAnsi="Calibri" w:cs="Calibri"/>
                <w:color w:val="auto"/>
                <w:szCs w:val="21"/>
                <w:highlight w:val="none"/>
                <w:lang w:bidi="ar"/>
              </w:rPr>
            </w:pPr>
            <w:r>
              <w:rPr>
                <w:rFonts w:hint="eastAsia" w:ascii="Calibri" w:hAnsi="Calibri" w:cs="Calibri"/>
                <w:color w:val="auto"/>
                <w:szCs w:val="21"/>
                <w:highlight w:val="none"/>
                <w:lang w:bidi="ar"/>
              </w:rPr>
              <w:t>二、系统升级</w:t>
            </w:r>
          </w:p>
          <w:p w14:paraId="0282F320">
            <w:pPr>
              <w:spacing w:line="340" w:lineRule="exact"/>
              <w:ind w:firstLine="420" w:firstLineChars="200"/>
              <w:rPr>
                <w:rFonts w:ascii="Calibri" w:hAnsi="Calibri" w:cs="Calibri"/>
                <w:color w:val="auto"/>
                <w:szCs w:val="21"/>
                <w:highlight w:val="none"/>
                <w:lang w:bidi="ar"/>
              </w:rPr>
            </w:pPr>
            <w:r>
              <w:rPr>
                <w:rFonts w:hint="eastAsia" w:ascii="Calibri" w:hAnsi="Calibri" w:cs="Calibri"/>
                <w:color w:val="auto"/>
                <w:szCs w:val="21"/>
                <w:highlight w:val="none"/>
                <w:lang w:bidi="ar"/>
              </w:rPr>
              <w:t>定期或按客户需求进行内控系统、数据库和其他关键软件的升级，以获取新功能、修复漏洞和提高系统性能。</w:t>
            </w:r>
          </w:p>
          <w:p w14:paraId="16DC39EA">
            <w:pPr>
              <w:spacing w:line="340" w:lineRule="exact"/>
              <w:ind w:firstLine="420" w:firstLineChars="200"/>
              <w:rPr>
                <w:rFonts w:ascii="Calibri" w:hAnsi="Calibri" w:cs="Calibri"/>
                <w:color w:val="auto"/>
                <w:szCs w:val="21"/>
                <w:highlight w:val="none"/>
                <w:lang w:bidi="ar"/>
              </w:rPr>
            </w:pPr>
            <w:r>
              <w:rPr>
                <w:rFonts w:hint="eastAsia" w:ascii="Calibri" w:hAnsi="Calibri" w:cs="Calibri"/>
                <w:color w:val="auto"/>
                <w:szCs w:val="21"/>
                <w:highlight w:val="none"/>
                <w:lang w:bidi="ar"/>
              </w:rPr>
              <w:t>三、系统性能优化</w:t>
            </w:r>
          </w:p>
          <w:p w14:paraId="2B3EBE8C">
            <w:pPr>
              <w:spacing w:line="340" w:lineRule="exact"/>
              <w:ind w:firstLine="420" w:firstLineChars="200"/>
              <w:rPr>
                <w:rFonts w:ascii="Calibri" w:hAnsi="Calibri" w:cs="Calibri"/>
                <w:color w:val="auto"/>
                <w:szCs w:val="21"/>
                <w:highlight w:val="none"/>
                <w:lang w:bidi="ar"/>
              </w:rPr>
            </w:pPr>
            <w:r>
              <w:rPr>
                <w:rFonts w:hint="eastAsia" w:ascii="Calibri" w:hAnsi="Calibri" w:cs="Calibri"/>
                <w:color w:val="auto"/>
                <w:szCs w:val="21"/>
                <w:highlight w:val="none"/>
                <w:lang w:bidi="ar"/>
              </w:rPr>
              <w:t>针对性能进行优化，例如数据库查询优化、代码优化和缓存设置等；配置和调整系统资源，包括CPU、内存和存储等，以确保系统能够满足业务需求。</w:t>
            </w:r>
          </w:p>
          <w:p w14:paraId="5FFBD9CA">
            <w:pPr>
              <w:spacing w:line="340" w:lineRule="exact"/>
              <w:ind w:firstLine="420" w:firstLineChars="200"/>
              <w:rPr>
                <w:rFonts w:ascii="Calibri" w:hAnsi="Calibri" w:cs="Calibri"/>
                <w:color w:val="auto"/>
                <w:szCs w:val="21"/>
                <w:highlight w:val="none"/>
                <w:lang w:bidi="ar"/>
              </w:rPr>
            </w:pPr>
            <w:r>
              <w:rPr>
                <w:rFonts w:hint="eastAsia" w:ascii="Calibri" w:hAnsi="Calibri" w:cs="Calibri"/>
                <w:color w:val="auto"/>
                <w:szCs w:val="21"/>
                <w:highlight w:val="none"/>
                <w:lang w:bidi="ar"/>
              </w:rPr>
              <w:t>（一）数据库性能优化：</w:t>
            </w:r>
          </w:p>
          <w:p w14:paraId="4FAEFC32">
            <w:pPr>
              <w:spacing w:line="340" w:lineRule="exact"/>
              <w:ind w:firstLine="420" w:firstLineChars="200"/>
              <w:rPr>
                <w:rFonts w:ascii="Calibri" w:hAnsi="Calibri" w:cs="Calibri"/>
                <w:color w:val="auto"/>
                <w:szCs w:val="21"/>
                <w:highlight w:val="none"/>
                <w:lang w:bidi="ar"/>
              </w:rPr>
            </w:pPr>
            <w:r>
              <w:rPr>
                <w:rFonts w:hint="eastAsia" w:ascii="Calibri" w:hAnsi="Calibri" w:cs="Calibri"/>
                <w:color w:val="auto"/>
                <w:szCs w:val="21"/>
                <w:highlight w:val="none"/>
                <w:lang w:bidi="ar"/>
              </w:rPr>
              <w:t>1.对数据库进行索引优化，确保查询的高效执行。</w:t>
            </w:r>
          </w:p>
          <w:p w14:paraId="0562FA90">
            <w:pPr>
              <w:spacing w:line="340" w:lineRule="exact"/>
              <w:ind w:firstLine="420" w:firstLineChars="200"/>
              <w:rPr>
                <w:rFonts w:ascii="Calibri" w:hAnsi="Calibri" w:cs="Calibri"/>
                <w:color w:val="auto"/>
                <w:szCs w:val="21"/>
                <w:highlight w:val="none"/>
                <w:lang w:bidi="ar"/>
              </w:rPr>
            </w:pPr>
            <w:r>
              <w:rPr>
                <w:rFonts w:hint="eastAsia" w:ascii="Calibri" w:hAnsi="Calibri" w:cs="Calibri"/>
                <w:color w:val="auto"/>
                <w:szCs w:val="21"/>
                <w:highlight w:val="none"/>
                <w:lang w:bidi="ar"/>
              </w:rPr>
              <w:t>2.优化数据库的表结构和查询语句，以减少资源消耗和提高查询速度。</w:t>
            </w:r>
          </w:p>
          <w:p w14:paraId="369AFDAF">
            <w:pPr>
              <w:spacing w:line="340" w:lineRule="exact"/>
              <w:ind w:firstLine="420" w:firstLineChars="200"/>
              <w:rPr>
                <w:rFonts w:ascii="Calibri" w:hAnsi="Calibri" w:cs="Calibri"/>
                <w:color w:val="auto"/>
                <w:szCs w:val="21"/>
                <w:highlight w:val="none"/>
                <w:lang w:bidi="ar"/>
              </w:rPr>
            </w:pPr>
            <w:r>
              <w:rPr>
                <w:rFonts w:hint="eastAsia" w:ascii="Calibri" w:hAnsi="Calibri" w:cs="Calibri"/>
                <w:color w:val="auto"/>
                <w:szCs w:val="21"/>
                <w:highlight w:val="none"/>
                <w:lang w:bidi="ar"/>
              </w:rPr>
              <w:t>3.定期进行数据库清理和统计，删除不必要的数据和索引，提高数据库性能。</w:t>
            </w:r>
          </w:p>
          <w:p w14:paraId="460E88B9">
            <w:pPr>
              <w:spacing w:line="340" w:lineRule="exact"/>
              <w:ind w:firstLine="420" w:firstLineChars="200"/>
              <w:rPr>
                <w:rFonts w:ascii="Calibri" w:hAnsi="Calibri" w:cs="Calibri"/>
                <w:color w:val="auto"/>
                <w:szCs w:val="21"/>
                <w:highlight w:val="none"/>
                <w:lang w:bidi="ar"/>
              </w:rPr>
            </w:pPr>
            <w:r>
              <w:rPr>
                <w:rFonts w:hint="eastAsia" w:ascii="Calibri" w:hAnsi="Calibri" w:cs="Calibri"/>
                <w:color w:val="auto"/>
                <w:szCs w:val="21"/>
                <w:highlight w:val="none"/>
                <w:lang w:bidi="ar"/>
              </w:rPr>
              <w:t>（二）并发和负载均衡优化：针对系统的并发访问和负载情况，优化系统的架构和配置，提高并发处理能力。</w:t>
            </w:r>
          </w:p>
          <w:p w14:paraId="5AC17319">
            <w:pPr>
              <w:spacing w:line="340" w:lineRule="exact"/>
              <w:ind w:firstLine="420" w:firstLineChars="200"/>
              <w:rPr>
                <w:rFonts w:ascii="Calibri" w:hAnsi="Calibri" w:cs="Calibri"/>
                <w:color w:val="auto"/>
                <w:szCs w:val="21"/>
                <w:highlight w:val="none"/>
                <w:lang w:bidi="ar"/>
              </w:rPr>
            </w:pPr>
            <w:r>
              <w:rPr>
                <w:rFonts w:hint="eastAsia" w:ascii="Calibri" w:hAnsi="Calibri" w:cs="Calibri"/>
                <w:color w:val="auto"/>
                <w:szCs w:val="21"/>
                <w:highlight w:val="none"/>
                <w:lang w:bidi="ar"/>
              </w:rPr>
              <w:t>（三）缓存优化：</w:t>
            </w:r>
          </w:p>
          <w:p w14:paraId="6076E1F5">
            <w:pPr>
              <w:spacing w:line="340" w:lineRule="exact"/>
              <w:ind w:firstLine="420" w:firstLineChars="200"/>
              <w:rPr>
                <w:rFonts w:ascii="Calibri" w:hAnsi="Calibri" w:cs="Calibri"/>
                <w:color w:val="auto"/>
                <w:szCs w:val="21"/>
                <w:highlight w:val="none"/>
                <w:lang w:bidi="ar"/>
              </w:rPr>
            </w:pPr>
            <w:r>
              <w:rPr>
                <w:rFonts w:hint="eastAsia" w:ascii="Calibri" w:hAnsi="Calibri" w:cs="Calibri"/>
                <w:color w:val="auto"/>
                <w:szCs w:val="21"/>
                <w:highlight w:val="none"/>
                <w:lang w:bidi="ar"/>
              </w:rPr>
              <w:t>1.使用缓存技术，例如内存缓存和分布式缓存，缓存频繁读取的数据和计算结果，提高系统的响应速度。</w:t>
            </w:r>
          </w:p>
          <w:p w14:paraId="616E55A8">
            <w:pPr>
              <w:spacing w:line="380" w:lineRule="exact"/>
              <w:rPr>
                <w:color w:val="auto"/>
                <w:szCs w:val="21"/>
                <w:highlight w:val="none"/>
              </w:rPr>
            </w:pPr>
            <w:r>
              <w:rPr>
                <w:rFonts w:hint="eastAsia" w:ascii="Calibri" w:hAnsi="Calibri" w:cs="Calibri"/>
                <w:color w:val="auto"/>
                <w:szCs w:val="21"/>
                <w:highlight w:val="none"/>
                <w:lang w:bidi="ar"/>
              </w:rPr>
              <w:t>2.设计合理的缓存策略，包括缓存过期时间、内存分配和数据更新策略等</w:t>
            </w:r>
          </w:p>
        </w:tc>
      </w:tr>
      <w:tr w14:paraId="053E2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9718" w:type="dxa"/>
            <w:gridSpan w:val="4"/>
            <w:tcBorders>
              <w:top w:val="single" w:color="auto" w:sz="4" w:space="0"/>
              <w:left w:val="single" w:color="auto" w:sz="4" w:space="0"/>
              <w:right w:val="single" w:color="auto" w:sz="4" w:space="0"/>
            </w:tcBorders>
            <w:vAlign w:val="center"/>
          </w:tcPr>
          <w:p w14:paraId="6E67A12F">
            <w:pPr>
              <w:spacing w:line="340" w:lineRule="exact"/>
              <w:rPr>
                <w:b/>
                <w:color w:val="auto"/>
                <w:szCs w:val="21"/>
                <w:highlight w:val="none"/>
              </w:rPr>
            </w:pPr>
            <w:r>
              <w:rPr>
                <w:rFonts w:hint="eastAsia" w:ascii="宋体" w:hAnsi="宋体"/>
                <w:b/>
                <w:color w:val="auto"/>
                <w:szCs w:val="21"/>
                <w:highlight w:val="none"/>
              </w:rPr>
              <w:t>商务要求表</w:t>
            </w:r>
          </w:p>
        </w:tc>
      </w:tr>
      <w:tr w14:paraId="57C0B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87" w:type="dxa"/>
            <w:gridSpan w:val="2"/>
            <w:tcBorders>
              <w:top w:val="single" w:color="auto" w:sz="4" w:space="0"/>
              <w:left w:val="single" w:color="auto" w:sz="4" w:space="0"/>
              <w:right w:val="single" w:color="auto" w:sz="4" w:space="0"/>
            </w:tcBorders>
            <w:vAlign w:val="center"/>
          </w:tcPr>
          <w:p w14:paraId="7D3E767D">
            <w:pPr>
              <w:snapToGrid w:val="0"/>
              <w:spacing w:line="340" w:lineRule="exact"/>
              <w:jc w:val="center"/>
              <w:rPr>
                <w:rFonts w:ascii="宋体" w:hAnsi="宋体"/>
                <w:color w:val="auto"/>
                <w:szCs w:val="21"/>
                <w:highlight w:val="none"/>
              </w:rPr>
            </w:pPr>
            <w:r>
              <w:rPr>
                <w:rFonts w:hint="eastAsia" w:ascii="宋体" w:hAnsi="宋体"/>
                <w:color w:val="auto"/>
                <w:szCs w:val="21"/>
                <w:highlight w:val="none"/>
              </w:rPr>
              <w:t>▲服务期限</w:t>
            </w:r>
          </w:p>
        </w:tc>
        <w:tc>
          <w:tcPr>
            <w:tcW w:w="7431" w:type="dxa"/>
            <w:gridSpan w:val="2"/>
            <w:tcBorders>
              <w:top w:val="single" w:color="auto" w:sz="4" w:space="0"/>
              <w:left w:val="single" w:color="auto" w:sz="4" w:space="0"/>
              <w:right w:val="single" w:color="auto" w:sz="4" w:space="0"/>
            </w:tcBorders>
            <w:vAlign w:val="center"/>
          </w:tcPr>
          <w:p w14:paraId="6B47C4C4">
            <w:pPr>
              <w:spacing w:line="340" w:lineRule="exact"/>
              <w:rPr>
                <w:color w:val="auto"/>
                <w:szCs w:val="21"/>
                <w:highlight w:val="none"/>
              </w:rPr>
            </w:pPr>
            <w:r>
              <w:rPr>
                <w:rFonts w:hint="eastAsia"/>
                <w:color w:val="auto"/>
                <w:szCs w:val="21"/>
                <w:highlight w:val="none"/>
              </w:rPr>
              <w:t>2026年6月1日—2027年5月30日</w:t>
            </w:r>
          </w:p>
        </w:tc>
      </w:tr>
      <w:tr w14:paraId="34494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87" w:type="dxa"/>
            <w:gridSpan w:val="2"/>
            <w:tcBorders>
              <w:top w:val="single" w:color="auto" w:sz="4" w:space="0"/>
              <w:left w:val="single" w:color="auto" w:sz="4" w:space="0"/>
              <w:right w:val="single" w:color="auto" w:sz="4" w:space="0"/>
            </w:tcBorders>
            <w:vAlign w:val="center"/>
          </w:tcPr>
          <w:p w14:paraId="53D1267C">
            <w:pPr>
              <w:tabs>
                <w:tab w:val="left" w:pos="180"/>
                <w:tab w:val="left" w:pos="1620"/>
              </w:tabs>
              <w:spacing w:line="400" w:lineRule="exact"/>
              <w:jc w:val="center"/>
              <w:rPr>
                <w:rFonts w:ascii="宋体" w:hAnsi="宋体"/>
                <w:color w:val="auto"/>
                <w:szCs w:val="21"/>
                <w:highlight w:val="none"/>
              </w:rPr>
            </w:pPr>
            <w:r>
              <w:rPr>
                <w:rFonts w:hint="eastAsia" w:ascii="宋体" w:hAnsi="宋体"/>
                <w:color w:val="auto"/>
                <w:szCs w:val="21"/>
                <w:highlight w:val="none"/>
              </w:rPr>
              <w:t>合同签订期</w:t>
            </w:r>
          </w:p>
        </w:tc>
        <w:tc>
          <w:tcPr>
            <w:tcW w:w="7431" w:type="dxa"/>
            <w:gridSpan w:val="2"/>
            <w:tcBorders>
              <w:top w:val="single" w:color="auto" w:sz="4" w:space="0"/>
              <w:left w:val="single" w:color="auto" w:sz="4" w:space="0"/>
              <w:right w:val="single" w:color="auto" w:sz="4" w:space="0"/>
            </w:tcBorders>
            <w:vAlign w:val="center"/>
          </w:tcPr>
          <w:p w14:paraId="18CE73A7">
            <w:pPr>
              <w:tabs>
                <w:tab w:val="left" w:pos="180"/>
                <w:tab w:val="left" w:pos="1620"/>
              </w:tabs>
              <w:spacing w:line="400" w:lineRule="exact"/>
              <w:jc w:val="left"/>
              <w:rPr>
                <w:rFonts w:ascii="宋体" w:hAnsi="宋体"/>
                <w:color w:val="auto"/>
                <w:szCs w:val="21"/>
                <w:highlight w:val="none"/>
              </w:rPr>
            </w:pPr>
            <w:r>
              <w:rPr>
                <w:rFonts w:hint="eastAsia" w:ascii="宋体" w:hAnsi="宋体"/>
                <w:color w:val="auto"/>
                <w:szCs w:val="21"/>
                <w:highlight w:val="none"/>
              </w:rPr>
              <w:t>自中标通知书发出之日起25日内。</w:t>
            </w:r>
          </w:p>
        </w:tc>
      </w:tr>
      <w:tr w14:paraId="2BD01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2287" w:type="dxa"/>
            <w:gridSpan w:val="2"/>
            <w:tcBorders>
              <w:top w:val="single" w:color="auto" w:sz="4" w:space="0"/>
              <w:left w:val="single" w:color="auto" w:sz="4" w:space="0"/>
              <w:right w:val="single" w:color="auto" w:sz="4" w:space="0"/>
            </w:tcBorders>
            <w:vAlign w:val="center"/>
          </w:tcPr>
          <w:p w14:paraId="221F0A10">
            <w:pPr>
              <w:snapToGrid w:val="0"/>
              <w:spacing w:line="380" w:lineRule="exact"/>
              <w:jc w:val="center"/>
              <w:rPr>
                <w:rFonts w:ascii="宋体" w:hAnsi="宋体"/>
                <w:color w:val="auto"/>
                <w:szCs w:val="21"/>
                <w:highlight w:val="none"/>
              </w:rPr>
            </w:pPr>
            <w:r>
              <w:rPr>
                <w:rFonts w:hint="eastAsia" w:ascii="宋体" w:hAnsi="宋体"/>
                <w:color w:val="auto"/>
                <w:szCs w:val="21"/>
                <w:highlight w:val="none"/>
              </w:rPr>
              <w:t>▲服务地点</w:t>
            </w:r>
          </w:p>
        </w:tc>
        <w:tc>
          <w:tcPr>
            <w:tcW w:w="7431" w:type="dxa"/>
            <w:gridSpan w:val="2"/>
            <w:tcBorders>
              <w:top w:val="single" w:color="auto" w:sz="4" w:space="0"/>
              <w:left w:val="single" w:color="auto" w:sz="4" w:space="0"/>
              <w:right w:val="single" w:color="auto" w:sz="4" w:space="0"/>
            </w:tcBorders>
            <w:vAlign w:val="center"/>
          </w:tcPr>
          <w:p w14:paraId="6D542496">
            <w:pPr>
              <w:spacing w:line="380" w:lineRule="exact"/>
              <w:rPr>
                <w:color w:val="auto"/>
                <w:szCs w:val="21"/>
                <w:highlight w:val="none"/>
              </w:rPr>
            </w:pPr>
            <w:r>
              <w:rPr>
                <w:rFonts w:hint="eastAsia" w:hAnsi="宋体"/>
                <w:color w:val="auto"/>
                <w:szCs w:val="21"/>
                <w:highlight w:val="none"/>
              </w:rPr>
              <w:t>南宁市厢竹大道4号广西壮族自治区道路运输发展中心</w:t>
            </w:r>
            <w:r>
              <w:rPr>
                <w:rFonts w:hAnsi="宋体"/>
                <w:color w:val="auto"/>
                <w:szCs w:val="21"/>
                <w:highlight w:val="none"/>
              </w:rPr>
              <w:t>。</w:t>
            </w:r>
          </w:p>
        </w:tc>
      </w:tr>
      <w:tr w14:paraId="03895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jc w:val="center"/>
        </w:trPr>
        <w:tc>
          <w:tcPr>
            <w:tcW w:w="2287" w:type="dxa"/>
            <w:gridSpan w:val="2"/>
            <w:tcBorders>
              <w:top w:val="single" w:color="auto" w:sz="4" w:space="0"/>
              <w:left w:val="single" w:color="auto" w:sz="4" w:space="0"/>
              <w:right w:val="single" w:color="auto" w:sz="4" w:space="0"/>
            </w:tcBorders>
            <w:vAlign w:val="center"/>
          </w:tcPr>
          <w:p w14:paraId="2740260F">
            <w:pPr>
              <w:snapToGrid w:val="0"/>
              <w:spacing w:line="340" w:lineRule="exact"/>
              <w:jc w:val="center"/>
              <w:rPr>
                <w:rFonts w:ascii="宋体" w:hAnsi="宋体"/>
                <w:color w:val="auto"/>
                <w:szCs w:val="21"/>
                <w:highlight w:val="none"/>
              </w:rPr>
            </w:pPr>
            <w:r>
              <w:rPr>
                <w:rFonts w:hint="eastAsia" w:ascii="宋体" w:hAnsi="宋体"/>
                <w:color w:val="auto"/>
                <w:szCs w:val="21"/>
                <w:highlight w:val="none"/>
              </w:rPr>
              <w:t>▲付款条件</w:t>
            </w:r>
          </w:p>
        </w:tc>
        <w:tc>
          <w:tcPr>
            <w:tcW w:w="7431" w:type="dxa"/>
            <w:gridSpan w:val="2"/>
            <w:tcBorders>
              <w:top w:val="single" w:color="auto" w:sz="4" w:space="0"/>
              <w:left w:val="single" w:color="auto" w:sz="4" w:space="0"/>
              <w:right w:val="single" w:color="auto" w:sz="4" w:space="0"/>
            </w:tcBorders>
            <w:vAlign w:val="center"/>
          </w:tcPr>
          <w:p w14:paraId="02C58CDA">
            <w:pPr>
              <w:spacing w:line="360" w:lineRule="auto"/>
              <w:rPr>
                <w:color w:val="auto"/>
                <w:szCs w:val="21"/>
                <w:highlight w:val="none"/>
              </w:rPr>
            </w:pPr>
            <w:r>
              <w:rPr>
                <w:rFonts w:hint="eastAsia" w:ascii="宋体" w:hAnsi="宋体"/>
                <w:color w:val="auto"/>
                <w:szCs w:val="21"/>
                <w:highlight w:val="none"/>
              </w:rPr>
              <w:t>签订合同后十个工作日内，采购人向中标供应商支付全部合同金额的50%；在中标供应商签订合同3个月后，由采购人对中标供应商的服务能力验收，验收通过后，采购人于10个工作日内向中标供应商支付30%合同款；在中标供应商签订合同5个月后，采购人于10个工作日内向中标供应商支付20%合同款。采购人付款前，中标供应商应向采购人开具等额有效的增值税发票，采购人未收到发票的，有权不予支付相应款项直至中标供应商提供合格的增值税发票，并不承担延迟付款责任。</w:t>
            </w:r>
          </w:p>
        </w:tc>
      </w:tr>
      <w:tr w14:paraId="6AC0A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287" w:type="dxa"/>
            <w:gridSpan w:val="2"/>
            <w:tcBorders>
              <w:top w:val="single" w:color="auto" w:sz="4" w:space="0"/>
              <w:left w:val="single" w:color="auto" w:sz="4" w:space="0"/>
              <w:bottom w:val="single" w:color="auto" w:sz="4" w:space="0"/>
              <w:right w:val="single" w:color="auto" w:sz="4" w:space="0"/>
            </w:tcBorders>
            <w:vAlign w:val="center"/>
          </w:tcPr>
          <w:p w14:paraId="41183078">
            <w:pPr>
              <w:snapToGrid w:val="0"/>
              <w:spacing w:line="340" w:lineRule="exact"/>
              <w:jc w:val="center"/>
              <w:rPr>
                <w:rFonts w:ascii="宋体" w:hAnsi="宋体"/>
                <w:color w:val="auto"/>
                <w:szCs w:val="21"/>
                <w:highlight w:val="none"/>
              </w:rPr>
            </w:pPr>
            <w:r>
              <w:rPr>
                <w:rFonts w:hint="eastAsia" w:ascii="宋体" w:hAnsi="宋体"/>
                <w:color w:val="auto"/>
                <w:szCs w:val="21"/>
                <w:highlight w:val="none"/>
              </w:rPr>
              <w:t>报价要求</w:t>
            </w:r>
          </w:p>
        </w:tc>
        <w:tc>
          <w:tcPr>
            <w:tcW w:w="7431" w:type="dxa"/>
            <w:gridSpan w:val="2"/>
            <w:tcBorders>
              <w:top w:val="single" w:color="auto" w:sz="4" w:space="0"/>
              <w:left w:val="single" w:color="auto" w:sz="4" w:space="0"/>
              <w:bottom w:val="single" w:color="auto" w:sz="4" w:space="0"/>
              <w:right w:val="single" w:color="auto" w:sz="4" w:space="0"/>
            </w:tcBorders>
            <w:vAlign w:val="center"/>
          </w:tcPr>
          <w:p w14:paraId="721ED066">
            <w:pPr>
              <w:spacing w:line="400" w:lineRule="exact"/>
              <w:rPr>
                <w:color w:val="auto"/>
                <w:szCs w:val="21"/>
                <w:highlight w:val="none"/>
              </w:rPr>
            </w:pPr>
            <w:r>
              <w:rPr>
                <w:rFonts w:hint="eastAsia" w:ascii="宋体" w:hAnsi="宋体"/>
                <w:color w:val="auto"/>
                <w:szCs w:val="21"/>
                <w:highlight w:val="none"/>
              </w:rPr>
              <w:t>本项目报价为总包干价。</w:t>
            </w:r>
            <w:r>
              <w:rPr>
                <w:rFonts w:hint="eastAsia"/>
                <w:color w:val="auto"/>
                <w:szCs w:val="21"/>
                <w:highlight w:val="none"/>
              </w:rPr>
              <w:t>报价包含本项目所有服务内容、</w:t>
            </w:r>
            <w:r>
              <w:rPr>
                <w:rFonts w:hint="eastAsia" w:ascii="宋体" w:hAnsi="宋体" w:cs="宋体"/>
                <w:color w:val="auto"/>
                <w:szCs w:val="21"/>
                <w:highlight w:val="none"/>
              </w:rPr>
              <w:t>服务中包含货物</w:t>
            </w:r>
            <w:r>
              <w:rPr>
                <w:rFonts w:hint="eastAsia"/>
                <w:color w:val="auto"/>
                <w:szCs w:val="21"/>
                <w:highlight w:val="none"/>
              </w:rPr>
              <w:t>所涉及的设备、备品备件、标准附件、专用工具、人员薪酬、交通费、安装、调试、技术支持、培训、检测检验、必要的保费、各项税费、招标代理服务费及其它所有成本费用的总和。</w:t>
            </w:r>
            <w:r>
              <w:rPr>
                <w:rFonts w:hint="eastAsia" w:ascii="宋体" w:hAnsi="宋体" w:cs="宋体"/>
                <w:color w:val="auto"/>
                <w:szCs w:val="21"/>
                <w:highlight w:val="none"/>
              </w:rPr>
              <w:t>由供应商根据采购文件所提供的资料自行测算投标报价；一经中标，投标报价总价作为中标供应商与采购人签订的合同金额，合同期限内不做调整。</w:t>
            </w:r>
          </w:p>
        </w:tc>
      </w:tr>
      <w:tr w14:paraId="5FD8E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87" w:type="dxa"/>
            <w:gridSpan w:val="2"/>
            <w:tcBorders>
              <w:top w:val="single" w:color="auto" w:sz="4" w:space="0"/>
              <w:left w:val="single" w:color="auto" w:sz="4" w:space="0"/>
              <w:right w:val="single" w:color="auto" w:sz="4" w:space="0"/>
            </w:tcBorders>
            <w:vAlign w:val="center"/>
          </w:tcPr>
          <w:p w14:paraId="241EBF61">
            <w:pPr>
              <w:snapToGrid w:val="0"/>
              <w:spacing w:line="380" w:lineRule="exact"/>
              <w:jc w:val="center"/>
              <w:rPr>
                <w:rFonts w:ascii="宋体" w:hAnsi="宋体"/>
                <w:color w:val="auto"/>
                <w:szCs w:val="21"/>
                <w:highlight w:val="none"/>
              </w:rPr>
            </w:pPr>
            <w:r>
              <w:rPr>
                <w:rFonts w:hint="eastAsia" w:ascii="宋体" w:hAnsi="宋体"/>
                <w:color w:val="auto"/>
                <w:szCs w:val="21"/>
                <w:highlight w:val="none"/>
              </w:rPr>
              <w:t>其它要求</w:t>
            </w:r>
          </w:p>
        </w:tc>
        <w:tc>
          <w:tcPr>
            <w:tcW w:w="7431" w:type="dxa"/>
            <w:gridSpan w:val="2"/>
            <w:tcBorders>
              <w:top w:val="single" w:color="auto" w:sz="4" w:space="0"/>
              <w:left w:val="single" w:color="auto" w:sz="4" w:space="0"/>
              <w:right w:val="single" w:color="auto" w:sz="4" w:space="0"/>
            </w:tcBorders>
            <w:vAlign w:val="center"/>
          </w:tcPr>
          <w:p w14:paraId="7A13937A">
            <w:pPr>
              <w:spacing w:line="360" w:lineRule="auto"/>
              <w:rPr>
                <w:rFonts w:ascii="宋体" w:hAnsi="宋体" w:cs="宋体"/>
                <w:color w:val="auto"/>
                <w:szCs w:val="21"/>
                <w:highlight w:val="none"/>
              </w:rPr>
            </w:pPr>
            <w:r>
              <w:rPr>
                <w:rFonts w:hint="eastAsia" w:ascii="宋体" w:hAnsi="宋体" w:cs="宋体"/>
                <w:color w:val="auto"/>
                <w:szCs w:val="21"/>
                <w:highlight w:val="none"/>
              </w:rPr>
              <w:t>（一）服务质量要求</w:t>
            </w:r>
          </w:p>
          <w:p w14:paraId="6172E7E0">
            <w:pPr>
              <w:spacing w:line="360" w:lineRule="auto"/>
              <w:rPr>
                <w:rFonts w:ascii="宋体" w:hAnsi="宋体" w:cs="宋体"/>
                <w:color w:val="auto"/>
                <w:szCs w:val="21"/>
                <w:highlight w:val="none"/>
              </w:rPr>
            </w:pPr>
            <w:r>
              <w:rPr>
                <w:rFonts w:hint="eastAsia" w:ascii="宋体" w:hAnsi="宋体" w:cs="宋体"/>
                <w:color w:val="auto"/>
                <w:szCs w:val="21"/>
                <w:highlight w:val="none"/>
              </w:rPr>
              <w:t>▲1、投标人具备相关信息化系统的开发和运行维护经验。。</w:t>
            </w:r>
          </w:p>
          <w:p w14:paraId="4A4BE0EA">
            <w:pPr>
              <w:spacing w:line="360" w:lineRule="auto"/>
              <w:rPr>
                <w:rFonts w:ascii="宋体" w:hAnsi="宋体" w:cs="宋体"/>
                <w:color w:val="auto"/>
                <w:szCs w:val="21"/>
                <w:highlight w:val="none"/>
              </w:rPr>
            </w:pPr>
            <w:r>
              <w:rPr>
                <w:rFonts w:hint="eastAsia" w:ascii="宋体" w:hAnsi="宋体" w:cs="宋体"/>
                <w:color w:val="auto"/>
                <w:szCs w:val="21"/>
                <w:highlight w:val="none"/>
              </w:rPr>
              <w:t>2、投标人承诺中标后能为本项目提供本地化服务的能力，并在广西设有本地化的服务团队（如已具备本地化能力，投标文件中提供地址、服务团队名单、联系方式；未设立的则在投标文件中提供承诺函（格式自拟））</w:t>
            </w:r>
          </w:p>
          <w:p w14:paraId="56A852A5">
            <w:pPr>
              <w:spacing w:line="360" w:lineRule="auto"/>
              <w:rPr>
                <w:rFonts w:ascii="宋体" w:hAnsi="宋体" w:cs="宋体"/>
                <w:bCs/>
                <w:color w:val="auto"/>
                <w:szCs w:val="21"/>
                <w:highlight w:val="none"/>
              </w:rPr>
            </w:pPr>
            <w:r>
              <w:rPr>
                <w:rFonts w:hint="eastAsia" w:ascii="宋体" w:hAnsi="宋体" w:cs="宋体"/>
                <w:color w:val="auto"/>
                <w:szCs w:val="21"/>
                <w:highlight w:val="none"/>
              </w:rPr>
              <w:t>▲3、投标人提供7*24小时专人职守服务，实时响应内部服务请求，详细记录问题解决情况。</w:t>
            </w:r>
            <w:r>
              <w:rPr>
                <w:rFonts w:hint="eastAsia" w:ascii="宋体" w:hAnsi="宋体" w:cs="宋体"/>
                <w:bCs/>
                <w:color w:val="auto"/>
                <w:szCs w:val="21"/>
                <w:highlight w:val="none"/>
              </w:rPr>
              <w:t>并通过现场服务、远程技术服务、预防性服务、定期专访、远程监控等服务方式，提供7×24小时维保服务。</w:t>
            </w:r>
          </w:p>
          <w:p w14:paraId="2F0D19F4">
            <w:pPr>
              <w:spacing w:line="360" w:lineRule="auto"/>
              <w:rPr>
                <w:rFonts w:ascii="宋体" w:hAnsi="宋体" w:cs="宋体"/>
                <w:color w:val="auto"/>
                <w:szCs w:val="21"/>
                <w:highlight w:val="none"/>
              </w:rPr>
            </w:pPr>
            <w:r>
              <w:rPr>
                <w:rFonts w:hint="eastAsia" w:ascii="宋体" w:hAnsi="宋体" w:cs="宋体"/>
                <w:color w:val="auto"/>
                <w:szCs w:val="21"/>
                <w:highlight w:val="none"/>
              </w:rPr>
              <w:t>4、投标人应建立规范的内部管理制度。严格管理专职专业技术人员，保证服务态度良好、问题解决及时、重大问题及时反馈、运维记录详细。</w:t>
            </w:r>
          </w:p>
          <w:p w14:paraId="2D436DD3">
            <w:pPr>
              <w:spacing w:line="360" w:lineRule="auto"/>
              <w:rPr>
                <w:rFonts w:ascii="宋体" w:hAnsi="宋体" w:cs="宋体"/>
                <w:color w:val="auto"/>
                <w:szCs w:val="21"/>
                <w:highlight w:val="none"/>
              </w:rPr>
            </w:pPr>
            <w:r>
              <w:rPr>
                <w:rFonts w:hint="eastAsia" w:ascii="宋体" w:hAnsi="宋体" w:cs="宋体"/>
                <w:color w:val="auto"/>
                <w:szCs w:val="21"/>
                <w:highlight w:val="none"/>
              </w:rPr>
              <w:t>5、投标人应建立常见系统故障应急预案，以便出现问题后，及时作出响应，降低事故后果。</w:t>
            </w:r>
          </w:p>
          <w:p w14:paraId="5B63925F">
            <w:pPr>
              <w:spacing w:line="360" w:lineRule="auto"/>
              <w:rPr>
                <w:rFonts w:ascii="宋体" w:hAnsi="宋体" w:cs="宋体"/>
                <w:color w:val="auto"/>
                <w:szCs w:val="21"/>
                <w:highlight w:val="none"/>
              </w:rPr>
            </w:pPr>
            <w:r>
              <w:rPr>
                <w:rFonts w:hint="eastAsia" w:ascii="宋体" w:hAnsi="宋体" w:cs="宋体"/>
                <w:color w:val="auto"/>
                <w:szCs w:val="21"/>
                <w:highlight w:val="none"/>
              </w:rPr>
              <w:t>6、投标人有义务对专职专业技术人员进行岗前操作培训，以便更好地掌握平台运维技能。</w:t>
            </w:r>
          </w:p>
          <w:p w14:paraId="103AACC3">
            <w:pPr>
              <w:spacing w:line="360" w:lineRule="auto"/>
              <w:rPr>
                <w:rFonts w:ascii="宋体" w:hAnsi="宋体" w:cs="宋体"/>
                <w:color w:val="auto"/>
                <w:szCs w:val="21"/>
                <w:highlight w:val="none"/>
              </w:rPr>
            </w:pPr>
            <w:r>
              <w:rPr>
                <w:rFonts w:hint="eastAsia" w:ascii="宋体" w:hAnsi="宋体" w:cs="宋体"/>
                <w:color w:val="auto"/>
                <w:szCs w:val="21"/>
                <w:highlight w:val="none"/>
              </w:rPr>
              <w:t>7、当出现系统崩溃导致业务停止、数据丢失等系统故障时，投标人必须在10分钟内进行响应，2小时内提出处理方案，12小时内解决故障。</w:t>
            </w:r>
          </w:p>
          <w:p w14:paraId="1125F9F4">
            <w:pPr>
              <w:spacing w:line="360" w:lineRule="auto"/>
              <w:rPr>
                <w:rFonts w:ascii="宋体" w:hAnsi="宋体" w:cs="宋体"/>
                <w:color w:val="auto"/>
                <w:szCs w:val="21"/>
                <w:highlight w:val="none"/>
              </w:rPr>
            </w:pPr>
            <w:r>
              <w:rPr>
                <w:rFonts w:hint="eastAsia" w:ascii="宋体" w:hAnsi="宋体" w:cs="宋体"/>
                <w:color w:val="auto"/>
                <w:szCs w:val="21"/>
                <w:highlight w:val="none"/>
              </w:rPr>
              <w:t>（二）服务规范要求</w:t>
            </w:r>
          </w:p>
          <w:p w14:paraId="38915F34">
            <w:pPr>
              <w:spacing w:line="360" w:lineRule="auto"/>
              <w:rPr>
                <w:rFonts w:ascii="宋体" w:hAnsi="宋体" w:cs="宋体"/>
                <w:color w:val="auto"/>
                <w:szCs w:val="21"/>
                <w:highlight w:val="none"/>
              </w:rPr>
            </w:pPr>
            <w:r>
              <w:rPr>
                <w:rFonts w:hint="eastAsia" w:ascii="宋体" w:hAnsi="宋体" w:cs="宋体"/>
                <w:color w:val="auto"/>
                <w:szCs w:val="21"/>
                <w:highlight w:val="none"/>
              </w:rPr>
              <w:t>1、遵守用户的规章制度，严格按照规章制度办事。</w:t>
            </w:r>
          </w:p>
          <w:p w14:paraId="71F2F9CA">
            <w:pPr>
              <w:spacing w:line="360" w:lineRule="auto"/>
              <w:rPr>
                <w:rFonts w:ascii="宋体" w:hAnsi="宋体" w:cs="宋体"/>
                <w:color w:val="auto"/>
                <w:szCs w:val="21"/>
                <w:highlight w:val="none"/>
              </w:rPr>
            </w:pPr>
            <w:r>
              <w:rPr>
                <w:rFonts w:hint="eastAsia" w:ascii="宋体" w:hAnsi="宋体" w:cs="宋体"/>
                <w:color w:val="auto"/>
                <w:szCs w:val="21"/>
                <w:highlight w:val="none"/>
              </w:rPr>
              <w:t>2、对被支持单位的网络、主机、系统软件、应用软件等的密码、核心参数、业务数据等负有保密责任，不得随意复制和传播。</w:t>
            </w:r>
          </w:p>
          <w:p w14:paraId="6AC13E76">
            <w:pPr>
              <w:spacing w:line="360" w:lineRule="auto"/>
              <w:rPr>
                <w:rFonts w:ascii="宋体" w:hAnsi="宋体" w:cs="宋体"/>
                <w:color w:val="auto"/>
                <w:szCs w:val="21"/>
                <w:highlight w:val="none"/>
              </w:rPr>
            </w:pPr>
            <w:r>
              <w:rPr>
                <w:rFonts w:hint="eastAsia" w:ascii="宋体" w:hAnsi="宋体" w:cs="宋体"/>
                <w:color w:val="auto"/>
                <w:szCs w:val="21"/>
                <w:highlight w:val="none"/>
              </w:rPr>
              <w:t>3、严格按照服务工作流程规范进行日常工作，如果发生由于日常工作遗漏和疏忽导致业户的数据丢失或被攻击、未授权的配置变更等影响业主业务正常开展的情况，将根据情节严重对相关责任人进行相应的处罚。</w:t>
            </w:r>
          </w:p>
          <w:p w14:paraId="3378A70A">
            <w:pPr>
              <w:spacing w:line="360" w:lineRule="auto"/>
              <w:rPr>
                <w:rFonts w:ascii="宋体" w:hAnsi="宋体" w:cs="宋体"/>
                <w:color w:val="auto"/>
                <w:szCs w:val="21"/>
                <w:highlight w:val="none"/>
              </w:rPr>
            </w:pPr>
            <w:r>
              <w:rPr>
                <w:rFonts w:hint="eastAsia" w:ascii="宋体" w:hAnsi="宋体" w:cs="宋体"/>
                <w:color w:val="auto"/>
                <w:szCs w:val="21"/>
                <w:highlight w:val="none"/>
              </w:rPr>
              <w:t>4、服务期间须按照国家网络安全及信息保密安全有关管理规定做好网络安全保密工作。指定具体网络安全责任人，建立管理技术团队负责项目实施过程中的网络安全管理。网络安全责任人及工作人员有变更、乙方工作人员有业务转型或乙方因自身原因有合并重组等的须提前向甲方进行书面说明，未经甲方同意，乙方不得私自将在甲方工作期间的项目任务进行分包、转包。中标供应商必须承担为采购人保守相关保密信息的义务和责任，包括以下内容：中标供应商应严格控制了解项目关键资料的人员范围，对参与项目运维的有关工作人员要明确保密责任，严格保密纪律，不得泄漏、使用系统数据信息用于其他用途。</w:t>
            </w:r>
          </w:p>
          <w:p w14:paraId="77BFCE14">
            <w:pPr>
              <w:spacing w:line="360" w:lineRule="auto"/>
              <w:rPr>
                <w:rFonts w:ascii="宋体" w:hAnsi="宋体" w:cs="宋体"/>
                <w:color w:val="auto"/>
                <w:szCs w:val="21"/>
                <w:highlight w:val="none"/>
              </w:rPr>
            </w:pPr>
            <w:r>
              <w:rPr>
                <w:rFonts w:hint="eastAsia" w:ascii="宋体" w:hAnsi="宋体" w:cs="宋体"/>
                <w:color w:val="auto"/>
                <w:szCs w:val="21"/>
                <w:highlight w:val="none"/>
              </w:rPr>
              <w:t>5、服务期间涉及的政务数据和其他数据须分开处理，不得私自将工作中处理的数据进行变更处理。中标人在服务期间处理数据，涉及到个人信息时，须按照国家个人信息保护相关管理规定，做好数据处理存储工作。采购人具有所有权、使用权和访问权，中标人不得私自更改、访问、利用和销毁服务期间涉及到的政务数据信息。</w:t>
            </w:r>
          </w:p>
          <w:p w14:paraId="22F4E5BA">
            <w:pPr>
              <w:spacing w:line="360" w:lineRule="auto"/>
              <w:rPr>
                <w:rFonts w:ascii="宋体" w:hAnsi="宋体"/>
                <w:color w:val="auto"/>
                <w:szCs w:val="21"/>
                <w:highlight w:val="none"/>
              </w:rPr>
            </w:pPr>
            <w:r>
              <w:rPr>
                <w:rFonts w:hint="eastAsia" w:ascii="宋体" w:hAnsi="宋体" w:cs="宋体"/>
                <w:color w:val="auto"/>
                <w:szCs w:val="21"/>
                <w:highlight w:val="none"/>
              </w:rPr>
              <w:t>6、做好网络安全漏洞检查，</w:t>
            </w:r>
            <w:r>
              <w:rPr>
                <w:rFonts w:hint="eastAsia" w:ascii="宋体" w:hAnsi="宋体"/>
                <w:color w:val="auto"/>
                <w:szCs w:val="21"/>
                <w:highlight w:val="none"/>
              </w:rPr>
              <w:t>如定期修改系统管理员密码，提醒用户及时更新密码，加强访问控制等措施，提升系统抵抗外部攻击能力，确保系统安全可靠运行。配合采购人做好网络安全应急事件处置、定期做好漏洞修复等管理维护工作。</w:t>
            </w:r>
          </w:p>
          <w:p w14:paraId="447F90C8">
            <w:pPr>
              <w:spacing w:line="360" w:lineRule="auto"/>
              <w:rPr>
                <w:rFonts w:ascii="宋体" w:hAnsi="宋体" w:cs="宋体"/>
                <w:bCs/>
                <w:color w:val="auto"/>
                <w:szCs w:val="21"/>
                <w:highlight w:val="none"/>
              </w:rPr>
            </w:pPr>
            <w:r>
              <w:rPr>
                <w:rFonts w:hint="eastAsia" w:ascii="宋体" w:hAnsi="宋体"/>
                <w:color w:val="auto"/>
                <w:szCs w:val="21"/>
                <w:highlight w:val="none"/>
              </w:rPr>
              <w:t>通过数据在应用和传输过程中可能涉及到的数据质量问题，按照相关标准和规范进行维护和整理，保障数据质量，确保数据满足采购方业务需求。</w:t>
            </w:r>
            <w:r>
              <w:rPr>
                <w:rFonts w:hint="eastAsia" w:ascii="宋体" w:hAnsi="宋体" w:cs="宋体"/>
                <w:color w:val="auto"/>
                <w:szCs w:val="21"/>
                <w:highlight w:val="none"/>
              </w:rPr>
              <w:t>发现安全漏洞、缺陷及安全风险须及时通报，并形成报告向区网信、公安部门报告，安全漏洞未经网信、公安部门同意，不得向第三人公开。</w:t>
            </w:r>
          </w:p>
          <w:p w14:paraId="51986086">
            <w:pPr>
              <w:spacing w:line="360" w:lineRule="auto"/>
              <w:rPr>
                <w:rFonts w:ascii="宋体" w:hAnsi="宋体" w:cs="宋体"/>
                <w:color w:val="auto"/>
                <w:szCs w:val="21"/>
                <w:highlight w:val="none"/>
              </w:rPr>
            </w:pPr>
            <w:r>
              <w:rPr>
                <w:rFonts w:hint="eastAsia" w:ascii="宋体" w:hAnsi="宋体" w:cs="宋体"/>
                <w:color w:val="auto"/>
                <w:szCs w:val="21"/>
                <w:highlight w:val="none"/>
              </w:rPr>
              <w:t>7、处理数据时优先使用国产安全可信的硬件软件产品。硬软件信息系统须按照国家密码管理要求设置不限于数字字母特殊字符组合的强口令的密码。</w:t>
            </w:r>
          </w:p>
          <w:p w14:paraId="10E38B97">
            <w:pPr>
              <w:spacing w:line="360" w:lineRule="auto"/>
              <w:rPr>
                <w:color w:val="auto"/>
                <w:szCs w:val="21"/>
                <w:highlight w:val="none"/>
              </w:rPr>
            </w:pPr>
            <w:r>
              <w:rPr>
                <w:rFonts w:hint="eastAsia" w:ascii="宋体" w:hAnsi="宋体" w:cs="宋体"/>
                <w:color w:val="auto"/>
                <w:szCs w:val="21"/>
                <w:highlight w:val="none"/>
              </w:rPr>
              <w:t>▲8、中标人必须与采购人签订保密协议。</w:t>
            </w:r>
          </w:p>
        </w:tc>
      </w:tr>
    </w:tbl>
    <w:p w14:paraId="5395E620">
      <w:pPr>
        <w:spacing w:line="400" w:lineRule="exact"/>
        <w:ind w:firstLine="308" w:firstLineChars="147"/>
        <w:jc w:val="left"/>
        <w:rPr>
          <w:rFonts w:ascii="宋体" w:hAnsi="宋体" w:cs="Arial"/>
          <w:bCs/>
          <w:color w:val="auto"/>
          <w:szCs w:val="21"/>
          <w:highlight w:val="none"/>
          <w:u w:val="single"/>
        </w:rPr>
      </w:pPr>
      <w:r>
        <w:rPr>
          <w:rFonts w:ascii="宋体" w:hAnsi="宋体" w:cs="宋体"/>
          <w:color w:val="auto"/>
          <w:szCs w:val="21"/>
          <w:highlight w:val="none"/>
        </w:rPr>
        <w:br w:type="page"/>
      </w:r>
      <w:r>
        <w:rPr>
          <w:rFonts w:hint="eastAsia" w:ascii="宋体" w:hAnsi="宋体" w:cs="Arial"/>
          <w:b/>
          <w:color w:val="auto"/>
          <w:szCs w:val="21"/>
          <w:highlight w:val="none"/>
          <w:u w:val="single"/>
        </w:rPr>
        <w:t xml:space="preserve"> 6 </w:t>
      </w:r>
      <w:r>
        <w:rPr>
          <w:rFonts w:hint="eastAsia" w:ascii="宋体" w:hAnsi="宋体"/>
          <w:b/>
          <w:color w:val="auto"/>
          <w:szCs w:val="21"/>
          <w:highlight w:val="none"/>
        </w:rPr>
        <w:t>分标      采购预算：</w:t>
      </w:r>
      <w:r>
        <w:rPr>
          <w:rFonts w:hint="eastAsia" w:ascii="宋体" w:hAnsi="宋体" w:cs="Arial"/>
          <w:bCs/>
          <w:color w:val="auto"/>
          <w:szCs w:val="21"/>
          <w:highlight w:val="none"/>
          <w:u w:val="single"/>
        </w:rPr>
        <w:t xml:space="preserve">详见招标公告 </w:t>
      </w: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
        <w:gridCol w:w="1601"/>
        <w:gridCol w:w="756"/>
        <w:gridCol w:w="6675"/>
      </w:tblGrid>
      <w:tr w14:paraId="41136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9718" w:type="dxa"/>
            <w:gridSpan w:val="4"/>
            <w:tcBorders>
              <w:top w:val="single" w:color="auto" w:sz="4" w:space="0"/>
              <w:left w:val="single" w:color="auto" w:sz="4" w:space="0"/>
              <w:bottom w:val="single" w:color="auto" w:sz="4" w:space="0"/>
              <w:right w:val="single" w:color="auto" w:sz="4" w:space="0"/>
            </w:tcBorders>
            <w:vAlign w:val="center"/>
          </w:tcPr>
          <w:p w14:paraId="4693AC39">
            <w:pPr>
              <w:pStyle w:val="23"/>
              <w:spacing w:line="340" w:lineRule="exact"/>
              <w:ind w:firstLine="316" w:firstLineChars="150"/>
              <w:jc w:val="center"/>
              <w:rPr>
                <w:rFonts w:hAnsi="宋体"/>
                <w:b/>
                <w:color w:val="auto"/>
                <w:sz w:val="21"/>
                <w:highlight w:val="none"/>
              </w:rPr>
            </w:pPr>
            <w:r>
              <w:rPr>
                <w:rFonts w:hint="eastAsia" w:hAnsi="宋体"/>
                <w:b/>
                <w:color w:val="auto"/>
                <w:sz w:val="21"/>
                <w:highlight w:val="none"/>
              </w:rPr>
              <w:t>采购需求一览表</w:t>
            </w:r>
          </w:p>
        </w:tc>
      </w:tr>
      <w:tr w14:paraId="462D9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86" w:type="dxa"/>
            <w:tcBorders>
              <w:top w:val="single" w:color="auto" w:sz="4" w:space="0"/>
              <w:left w:val="single" w:color="auto" w:sz="4" w:space="0"/>
              <w:bottom w:val="single" w:color="auto" w:sz="4" w:space="0"/>
              <w:right w:val="single" w:color="auto" w:sz="4" w:space="0"/>
            </w:tcBorders>
            <w:vAlign w:val="center"/>
          </w:tcPr>
          <w:p w14:paraId="3082F1BF">
            <w:pPr>
              <w:pStyle w:val="23"/>
              <w:spacing w:line="340" w:lineRule="exact"/>
              <w:jc w:val="center"/>
              <w:rPr>
                <w:rFonts w:hAnsi="宋体"/>
                <w:b/>
                <w:color w:val="auto"/>
                <w:sz w:val="21"/>
                <w:highlight w:val="none"/>
              </w:rPr>
            </w:pPr>
            <w:r>
              <w:rPr>
                <w:rFonts w:hint="eastAsia" w:hAnsi="宋体"/>
                <w:b/>
                <w:color w:val="auto"/>
                <w:sz w:val="21"/>
                <w:highlight w:val="none"/>
              </w:rPr>
              <w:t>序号</w:t>
            </w:r>
          </w:p>
        </w:tc>
        <w:tc>
          <w:tcPr>
            <w:tcW w:w="1601" w:type="dxa"/>
            <w:tcBorders>
              <w:top w:val="single" w:color="auto" w:sz="4" w:space="0"/>
              <w:left w:val="single" w:color="auto" w:sz="4" w:space="0"/>
              <w:bottom w:val="single" w:color="auto" w:sz="4" w:space="0"/>
              <w:right w:val="single" w:color="auto" w:sz="4" w:space="0"/>
            </w:tcBorders>
            <w:vAlign w:val="center"/>
          </w:tcPr>
          <w:p w14:paraId="7F0D0A23">
            <w:pPr>
              <w:pStyle w:val="23"/>
              <w:spacing w:line="340" w:lineRule="exact"/>
              <w:jc w:val="center"/>
              <w:rPr>
                <w:rFonts w:hAnsi="宋体"/>
                <w:b/>
                <w:color w:val="auto"/>
                <w:sz w:val="21"/>
                <w:highlight w:val="none"/>
              </w:rPr>
            </w:pPr>
            <w:r>
              <w:rPr>
                <w:rFonts w:hint="eastAsia" w:hAnsi="宋体"/>
                <w:b/>
                <w:color w:val="auto"/>
                <w:sz w:val="21"/>
                <w:highlight w:val="none"/>
              </w:rPr>
              <w:t>服务名称</w:t>
            </w:r>
          </w:p>
        </w:tc>
        <w:tc>
          <w:tcPr>
            <w:tcW w:w="756" w:type="dxa"/>
            <w:tcBorders>
              <w:top w:val="single" w:color="auto" w:sz="4" w:space="0"/>
              <w:left w:val="single" w:color="auto" w:sz="4" w:space="0"/>
              <w:bottom w:val="single" w:color="auto" w:sz="4" w:space="0"/>
              <w:right w:val="single" w:color="auto" w:sz="4" w:space="0"/>
            </w:tcBorders>
            <w:vAlign w:val="center"/>
          </w:tcPr>
          <w:p w14:paraId="72260189">
            <w:pPr>
              <w:widowControl/>
              <w:spacing w:line="340" w:lineRule="exact"/>
              <w:jc w:val="center"/>
              <w:rPr>
                <w:rFonts w:ascii="宋体" w:hAnsi="宋体" w:cs="宋体"/>
                <w:b/>
                <w:color w:val="auto"/>
                <w:kern w:val="0"/>
                <w:szCs w:val="21"/>
                <w:highlight w:val="none"/>
              </w:rPr>
            </w:pPr>
            <w:r>
              <w:rPr>
                <w:rFonts w:hint="eastAsia" w:ascii="宋体" w:hAnsi="宋体" w:cs="宋体"/>
                <w:b/>
                <w:color w:val="auto"/>
                <w:kern w:val="0"/>
                <w:szCs w:val="21"/>
                <w:highlight w:val="none"/>
              </w:rPr>
              <w:t>数量</w:t>
            </w:r>
          </w:p>
        </w:tc>
        <w:tc>
          <w:tcPr>
            <w:tcW w:w="6675" w:type="dxa"/>
            <w:tcBorders>
              <w:top w:val="single" w:color="auto" w:sz="4" w:space="0"/>
              <w:left w:val="single" w:color="auto" w:sz="4" w:space="0"/>
              <w:bottom w:val="single" w:color="auto" w:sz="4" w:space="0"/>
              <w:right w:val="single" w:color="auto" w:sz="4" w:space="0"/>
            </w:tcBorders>
            <w:vAlign w:val="center"/>
          </w:tcPr>
          <w:p w14:paraId="7CA70004">
            <w:pPr>
              <w:pStyle w:val="23"/>
              <w:spacing w:line="340" w:lineRule="exact"/>
              <w:ind w:firstLine="316" w:firstLineChars="150"/>
              <w:jc w:val="center"/>
              <w:rPr>
                <w:rFonts w:hAnsi="宋体"/>
                <w:b/>
                <w:color w:val="auto"/>
                <w:sz w:val="21"/>
                <w:highlight w:val="none"/>
              </w:rPr>
            </w:pPr>
            <w:r>
              <w:rPr>
                <w:rFonts w:hint="eastAsia" w:hAnsi="宋体"/>
                <w:b/>
                <w:color w:val="auto"/>
                <w:sz w:val="21"/>
                <w:highlight w:val="none"/>
              </w:rPr>
              <w:t>项目要求及技术需求</w:t>
            </w:r>
          </w:p>
        </w:tc>
      </w:tr>
      <w:tr w14:paraId="185E1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jc w:val="center"/>
        </w:trPr>
        <w:tc>
          <w:tcPr>
            <w:tcW w:w="686" w:type="dxa"/>
            <w:tcBorders>
              <w:top w:val="single" w:color="auto" w:sz="4" w:space="0"/>
              <w:left w:val="single" w:color="auto" w:sz="4" w:space="0"/>
              <w:right w:val="single" w:color="auto" w:sz="4" w:space="0"/>
            </w:tcBorders>
            <w:vAlign w:val="center"/>
          </w:tcPr>
          <w:p w14:paraId="6296BEF5">
            <w:pPr>
              <w:pStyle w:val="23"/>
              <w:spacing w:line="340" w:lineRule="exact"/>
              <w:jc w:val="center"/>
              <w:rPr>
                <w:rFonts w:hAnsi="宋体"/>
                <w:color w:val="auto"/>
                <w:sz w:val="21"/>
                <w:highlight w:val="none"/>
              </w:rPr>
            </w:pPr>
            <w:r>
              <w:rPr>
                <w:rFonts w:hint="eastAsia" w:hAnsi="宋体"/>
                <w:color w:val="auto"/>
                <w:sz w:val="21"/>
                <w:highlight w:val="none"/>
              </w:rPr>
              <w:t>1</w:t>
            </w:r>
          </w:p>
        </w:tc>
        <w:tc>
          <w:tcPr>
            <w:tcW w:w="1601" w:type="dxa"/>
            <w:tcBorders>
              <w:top w:val="single" w:color="auto" w:sz="4" w:space="0"/>
              <w:left w:val="single" w:color="auto" w:sz="4" w:space="0"/>
              <w:right w:val="single" w:color="auto" w:sz="4" w:space="0"/>
            </w:tcBorders>
            <w:vAlign w:val="center"/>
          </w:tcPr>
          <w:p w14:paraId="2BB8CAB1">
            <w:pPr>
              <w:spacing w:line="380" w:lineRule="exact"/>
              <w:jc w:val="center"/>
              <w:rPr>
                <w:rFonts w:ascii="宋体" w:hAnsi="宋体" w:cs="宋体"/>
                <w:color w:val="auto"/>
                <w:szCs w:val="21"/>
                <w:highlight w:val="none"/>
              </w:rPr>
            </w:pPr>
            <w:r>
              <w:rPr>
                <w:rFonts w:hint="eastAsia" w:hAnsi="宋体"/>
                <w:color w:val="auto"/>
                <w:szCs w:val="21"/>
                <w:highlight w:val="none"/>
              </w:rPr>
              <w:t>广西道路运输行业党建服务系统“桂运先锋”平台</w:t>
            </w:r>
          </w:p>
        </w:tc>
        <w:tc>
          <w:tcPr>
            <w:tcW w:w="756" w:type="dxa"/>
            <w:tcBorders>
              <w:top w:val="single" w:color="auto" w:sz="4" w:space="0"/>
              <w:left w:val="single" w:color="auto" w:sz="4" w:space="0"/>
              <w:right w:val="single" w:color="auto" w:sz="4" w:space="0"/>
            </w:tcBorders>
            <w:vAlign w:val="center"/>
          </w:tcPr>
          <w:p w14:paraId="37137018">
            <w:pPr>
              <w:spacing w:line="380" w:lineRule="exact"/>
              <w:jc w:val="center"/>
              <w:rPr>
                <w:rFonts w:ascii="宋体" w:hAnsi="宋体" w:cs="宋体"/>
                <w:color w:val="auto"/>
                <w:szCs w:val="21"/>
                <w:highlight w:val="none"/>
              </w:rPr>
            </w:pPr>
            <w:r>
              <w:rPr>
                <w:rFonts w:hint="eastAsia" w:ascii="宋体" w:hAnsi="宋体" w:cs="宋体"/>
                <w:color w:val="auto"/>
                <w:szCs w:val="21"/>
                <w:highlight w:val="none"/>
              </w:rPr>
              <w:t>1项</w:t>
            </w:r>
          </w:p>
        </w:tc>
        <w:tc>
          <w:tcPr>
            <w:tcW w:w="6675" w:type="dxa"/>
            <w:tcBorders>
              <w:top w:val="single" w:color="auto" w:sz="4" w:space="0"/>
              <w:left w:val="single" w:color="auto" w:sz="4" w:space="0"/>
              <w:right w:val="single" w:color="auto" w:sz="4" w:space="0"/>
            </w:tcBorders>
            <w:vAlign w:val="center"/>
          </w:tcPr>
          <w:p w14:paraId="30AB6834">
            <w:pPr>
              <w:spacing w:line="380" w:lineRule="exact"/>
              <w:rPr>
                <w:color w:val="auto"/>
                <w:szCs w:val="21"/>
                <w:highlight w:val="none"/>
              </w:rPr>
            </w:pPr>
            <w:r>
              <w:rPr>
                <w:rFonts w:hint="eastAsia" w:ascii="宋体" w:hAnsi="宋体" w:cs="宋体"/>
                <w:color w:val="auto"/>
                <w:kern w:val="0"/>
                <w:szCs w:val="21"/>
                <w:highlight w:val="none"/>
                <w:lang w:bidi="ar"/>
              </w:rPr>
              <w:t>日常运行维护内容主要涉及系统技术支持服务、系统安全保障服务、用户咨询支撑服务、培训及知识管理、运维报告与绩效评估等方面。主要包括：</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1.系统技术支持服务</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完成服务内容请求分析、故障处理、系统优化、日常系统操作支持、系统发布和发布前测试等工作。</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2.系统安全保障服务</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进行应用系统监控、系统巡检、配置维护、运行分析、备份/恢复、资源管理、系统业务数据维护、重要时期业务保障、应急处理和应急演练等工作。</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3.用户咨询支撑服务</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受理用户业务咨询请求及答疑，并协助开展用户满意度调查。</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4.培训及知识管理</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提供与使用该系统相关的技术文档及培训服务，帮助建设单位相关人员熟练掌握系统的使用及管理操作，按照建设单位指定的进度计划及工作要求完成知识转移。</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5.运维报告与绩效评估</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定期报告生成和运维期间绩效指标监控。</w:t>
            </w:r>
          </w:p>
        </w:tc>
      </w:tr>
      <w:tr w14:paraId="5F325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9718" w:type="dxa"/>
            <w:gridSpan w:val="4"/>
            <w:tcBorders>
              <w:top w:val="single" w:color="auto" w:sz="4" w:space="0"/>
              <w:left w:val="single" w:color="auto" w:sz="4" w:space="0"/>
              <w:right w:val="single" w:color="auto" w:sz="4" w:space="0"/>
            </w:tcBorders>
            <w:vAlign w:val="center"/>
          </w:tcPr>
          <w:p w14:paraId="6FEE88B6">
            <w:pPr>
              <w:spacing w:line="340" w:lineRule="exact"/>
              <w:rPr>
                <w:b/>
                <w:color w:val="auto"/>
                <w:szCs w:val="21"/>
                <w:highlight w:val="none"/>
              </w:rPr>
            </w:pPr>
            <w:r>
              <w:rPr>
                <w:rFonts w:hint="eastAsia" w:ascii="宋体" w:hAnsi="宋体"/>
                <w:b/>
                <w:color w:val="auto"/>
                <w:szCs w:val="21"/>
                <w:highlight w:val="none"/>
              </w:rPr>
              <w:t>商务要求表</w:t>
            </w:r>
          </w:p>
        </w:tc>
      </w:tr>
      <w:tr w14:paraId="1F141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87" w:type="dxa"/>
            <w:gridSpan w:val="2"/>
            <w:tcBorders>
              <w:top w:val="single" w:color="auto" w:sz="4" w:space="0"/>
              <w:left w:val="single" w:color="auto" w:sz="4" w:space="0"/>
              <w:right w:val="single" w:color="auto" w:sz="4" w:space="0"/>
            </w:tcBorders>
            <w:vAlign w:val="center"/>
          </w:tcPr>
          <w:p w14:paraId="66EA3B6B">
            <w:pPr>
              <w:snapToGrid w:val="0"/>
              <w:spacing w:line="340" w:lineRule="exact"/>
              <w:jc w:val="center"/>
              <w:rPr>
                <w:rFonts w:ascii="宋体" w:hAnsi="宋体"/>
                <w:color w:val="auto"/>
                <w:szCs w:val="21"/>
                <w:highlight w:val="none"/>
              </w:rPr>
            </w:pPr>
            <w:r>
              <w:rPr>
                <w:rFonts w:hint="eastAsia" w:ascii="宋体" w:hAnsi="宋体"/>
                <w:color w:val="auto"/>
                <w:szCs w:val="21"/>
                <w:highlight w:val="none"/>
              </w:rPr>
              <w:t>▲服务期限</w:t>
            </w:r>
          </w:p>
        </w:tc>
        <w:tc>
          <w:tcPr>
            <w:tcW w:w="7431" w:type="dxa"/>
            <w:gridSpan w:val="2"/>
            <w:tcBorders>
              <w:top w:val="single" w:color="auto" w:sz="4" w:space="0"/>
              <w:left w:val="single" w:color="auto" w:sz="4" w:space="0"/>
              <w:right w:val="single" w:color="auto" w:sz="4" w:space="0"/>
            </w:tcBorders>
            <w:vAlign w:val="center"/>
          </w:tcPr>
          <w:p w14:paraId="3A3D19FC">
            <w:pPr>
              <w:spacing w:line="340" w:lineRule="exact"/>
              <w:rPr>
                <w:color w:val="auto"/>
                <w:szCs w:val="21"/>
                <w:highlight w:val="none"/>
              </w:rPr>
            </w:pPr>
            <w:r>
              <w:rPr>
                <w:rFonts w:hAnsi="宋体"/>
                <w:color w:val="auto"/>
                <w:szCs w:val="21"/>
                <w:highlight w:val="none"/>
              </w:rPr>
              <w:t>服务期限</w:t>
            </w:r>
            <w:r>
              <w:rPr>
                <w:rFonts w:hint="eastAsia" w:hAnsi="宋体"/>
                <w:color w:val="auto"/>
                <w:szCs w:val="21"/>
                <w:highlight w:val="none"/>
              </w:rPr>
              <w:t>：2026年7月1日至2027年6月30日。</w:t>
            </w:r>
          </w:p>
        </w:tc>
      </w:tr>
      <w:tr w14:paraId="0C250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87" w:type="dxa"/>
            <w:gridSpan w:val="2"/>
            <w:tcBorders>
              <w:top w:val="single" w:color="auto" w:sz="4" w:space="0"/>
              <w:left w:val="single" w:color="auto" w:sz="4" w:space="0"/>
              <w:right w:val="single" w:color="auto" w:sz="4" w:space="0"/>
            </w:tcBorders>
            <w:vAlign w:val="center"/>
          </w:tcPr>
          <w:p w14:paraId="47C72AE1">
            <w:pPr>
              <w:tabs>
                <w:tab w:val="left" w:pos="180"/>
                <w:tab w:val="left" w:pos="1620"/>
              </w:tabs>
              <w:spacing w:line="400" w:lineRule="exact"/>
              <w:jc w:val="center"/>
              <w:rPr>
                <w:rFonts w:ascii="宋体" w:hAnsi="宋体"/>
                <w:color w:val="auto"/>
                <w:szCs w:val="21"/>
                <w:highlight w:val="none"/>
              </w:rPr>
            </w:pPr>
            <w:r>
              <w:rPr>
                <w:rFonts w:hint="eastAsia" w:ascii="宋体" w:hAnsi="宋体"/>
                <w:color w:val="auto"/>
                <w:szCs w:val="21"/>
                <w:highlight w:val="none"/>
              </w:rPr>
              <w:t>合同签订期</w:t>
            </w:r>
          </w:p>
        </w:tc>
        <w:tc>
          <w:tcPr>
            <w:tcW w:w="7431" w:type="dxa"/>
            <w:gridSpan w:val="2"/>
            <w:tcBorders>
              <w:top w:val="single" w:color="auto" w:sz="4" w:space="0"/>
              <w:left w:val="single" w:color="auto" w:sz="4" w:space="0"/>
              <w:right w:val="single" w:color="auto" w:sz="4" w:space="0"/>
            </w:tcBorders>
            <w:vAlign w:val="center"/>
          </w:tcPr>
          <w:p w14:paraId="7FECB813">
            <w:pPr>
              <w:tabs>
                <w:tab w:val="left" w:pos="180"/>
                <w:tab w:val="left" w:pos="1620"/>
              </w:tabs>
              <w:spacing w:line="400" w:lineRule="exact"/>
              <w:jc w:val="left"/>
              <w:rPr>
                <w:rFonts w:ascii="宋体" w:hAnsi="宋体"/>
                <w:color w:val="auto"/>
                <w:szCs w:val="21"/>
                <w:highlight w:val="none"/>
              </w:rPr>
            </w:pPr>
            <w:r>
              <w:rPr>
                <w:rFonts w:hint="eastAsia" w:ascii="宋体" w:hAnsi="宋体"/>
                <w:color w:val="auto"/>
                <w:szCs w:val="21"/>
                <w:highlight w:val="none"/>
              </w:rPr>
              <w:t>自中标通知书发出之日起25日内。</w:t>
            </w:r>
          </w:p>
        </w:tc>
      </w:tr>
      <w:tr w14:paraId="5562E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2287" w:type="dxa"/>
            <w:gridSpan w:val="2"/>
            <w:tcBorders>
              <w:top w:val="single" w:color="auto" w:sz="4" w:space="0"/>
              <w:left w:val="single" w:color="auto" w:sz="4" w:space="0"/>
              <w:right w:val="single" w:color="auto" w:sz="4" w:space="0"/>
            </w:tcBorders>
            <w:vAlign w:val="center"/>
          </w:tcPr>
          <w:p w14:paraId="14C00107">
            <w:pPr>
              <w:snapToGrid w:val="0"/>
              <w:spacing w:line="380" w:lineRule="exact"/>
              <w:jc w:val="center"/>
              <w:rPr>
                <w:rFonts w:ascii="宋体" w:hAnsi="宋体"/>
                <w:color w:val="auto"/>
                <w:szCs w:val="21"/>
                <w:highlight w:val="none"/>
              </w:rPr>
            </w:pPr>
            <w:r>
              <w:rPr>
                <w:rFonts w:hint="eastAsia" w:ascii="宋体" w:hAnsi="宋体"/>
                <w:color w:val="auto"/>
                <w:szCs w:val="21"/>
                <w:highlight w:val="none"/>
              </w:rPr>
              <w:t>▲服务地点</w:t>
            </w:r>
          </w:p>
        </w:tc>
        <w:tc>
          <w:tcPr>
            <w:tcW w:w="7431" w:type="dxa"/>
            <w:gridSpan w:val="2"/>
            <w:tcBorders>
              <w:top w:val="single" w:color="auto" w:sz="4" w:space="0"/>
              <w:left w:val="single" w:color="auto" w:sz="4" w:space="0"/>
              <w:right w:val="single" w:color="auto" w:sz="4" w:space="0"/>
            </w:tcBorders>
            <w:vAlign w:val="center"/>
          </w:tcPr>
          <w:p w14:paraId="0BE70CF7">
            <w:pPr>
              <w:spacing w:line="380" w:lineRule="exact"/>
              <w:rPr>
                <w:color w:val="auto"/>
                <w:szCs w:val="21"/>
                <w:highlight w:val="none"/>
              </w:rPr>
            </w:pPr>
            <w:r>
              <w:rPr>
                <w:rFonts w:hint="eastAsia" w:ascii="宋体" w:hAnsi="宋体"/>
                <w:color w:val="auto"/>
                <w:szCs w:val="21"/>
                <w:highlight w:val="none"/>
              </w:rPr>
              <w:t>广西区内（采购人指定地点）</w:t>
            </w:r>
          </w:p>
        </w:tc>
      </w:tr>
      <w:tr w14:paraId="2AB88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jc w:val="center"/>
        </w:trPr>
        <w:tc>
          <w:tcPr>
            <w:tcW w:w="2287" w:type="dxa"/>
            <w:gridSpan w:val="2"/>
            <w:tcBorders>
              <w:top w:val="single" w:color="auto" w:sz="4" w:space="0"/>
              <w:left w:val="single" w:color="auto" w:sz="4" w:space="0"/>
              <w:right w:val="single" w:color="auto" w:sz="4" w:space="0"/>
            </w:tcBorders>
            <w:vAlign w:val="center"/>
          </w:tcPr>
          <w:p w14:paraId="12D13DAA">
            <w:pPr>
              <w:snapToGrid w:val="0"/>
              <w:spacing w:line="340" w:lineRule="exact"/>
              <w:jc w:val="center"/>
              <w:rPr>
                <w:rFonts w:ascii="宋体" w:hAnsi="宋体"/>
                <w:color w:val="auto"/>
                <w:szCs w:val="21"/>
                <w:highlight w:val="none"/>
              </w:rPr>
            </w:pPr>
            <w:r>
              <w:rPr>
                <w:rFonts w:hint="eastAsia" w:ascii="宋体" w:hAnsi="宋体"/>
                <w:color w:val="auto"/>
                <w:szCs w:val="21"/>
                <w:highlight w:val="none"/>
              </w:rPr>
              <w:t>▲付款条件</w:t>
            </w:r>
          </w:p>
        </w:tc>
        <w:tc>
          <w:tcPr>
            <w:tcW w:w="7431" w:type="dxa"/>
            <w:gridSpan w:val="2"/>
            <w:tcBorders>
              <w:top w:val="single" w:color="auto" w:sz="4" w:space="0"/>
              <w:left w:val="single" w:color="auto" w:sz="4" w:space="0"/>
              <w:right w:val="single" w:color="auto" w:sz="4" w:space="0"/>
            </w:tcBorders>
            <w:vAlign w:val="center"/>
          </w:tcPr>
          <w:p w14:paraId="6689B33A">
            <w:pPr>
              <w:spacing w:line="360" w:lineRule="auto"/>
              <w:rPr>
                <w:color w:val="auto"/>
                <w:szCs w:val="21"/>
                <w:highlight w:val="none"/>
              </w:rPr>
            </w:pPr>
            <w:r>
              <w:rPr>
                <w:rFonts w:hint="eastAsia" w:ascii="宋体" w:hAnsi="宋体"/>
                <w:color w:val="auto"/>
                <w:szCs w:val="21"/>
                <w:highlight w:val="none"/>
              </w:rPr>
              <w:t>签订合同后十个工作日内，采购人向中标供应商支付全部合同金额的50%；完成日常运行维护能力验收后三个月内，采购人向中标供应商支付全部合同款剩余的50%。采购人付款前，中标供应商应向采购人开具等额有效的增值税发票，采购人未收到发票的，有权不予支付相应款项直至中标供应商提供合格发票，并不承担延迟付款责任。</w:t>
            </w:r>
          </w:p>
        </w:tc>
      </w:tr>
      <w:tr w14:paraId="6A913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287" w:type="dxa"/>
            <w:gridSpan w:val="2"/>
            <w:tcBorders>
              <w:top w:val="single" w:color="auto" w:sz="4" w:space="0"/>
              <w:left w:val="single" w:color="auto" w:sz="4" w:space="0"/>
              <w:bottom w:val="single" w:color="auto" w:sz="4" w:space="0"/>
              <w:right w:val="single" w:color="auto" w:sz="4" w:space="0"/>
            </w:tcBorders>
            <w:vAlign w:val="center"/>
          </w:tcPr>
          <w:p w14:paraId="727C92FD">
            <w:pPr>
              <w:snapToGrid w:val="0"/>
              <w:spacing w:line="340" w:lineRule="exact"/>
              <w:jc w:val="center"/>
              <w:rPr>
                <w:rFonts w:ascii="宋体" w:hAnsi="宋体"/>
                <w:color w:val="auto"/>
                <w:szCs w:val="21"/>
                <w:highlight w:val="none"/>
              </w:rPr>
            </w:pPr>
            <w:r>
              <w:rPr>
                <w:rFonts w:hint="eastAsia" w:ascii="宋体" w:hAnsi="宋体"/>
                <w:color w:val="auto"/>
                <w:szCs w:val="21"/>
                <w:highlight w:val="none"/>
              </w:rPr>
              <w:t>报价要求</w:t>
            </w:r>
          </w:p>
        </w:tc>
        <w:tc>
          <w:tcPr>
            <w:tcW w:w="7431" w:type="dxa"/>
            <w:gridSpan w:val="2"/>
            <w:tcBorders>
              <w:top w:val="single" w:color="auto" w:sz="4" w:space="0"/>
              <w:left w:val="single" w:color="auto" w:sz="4" w:space="0"/>
              <w:bottom w:val="single" w:color="auto" w:sz="4" w:space="0"/>
              <w:right w:val="single" w:color="auto" w:sz="4" w:space="0"/>
            </w:tcBorders>
            <w:vAlign w:val="center"/>
          </w:tcPr>
          <w:p w14:paraId="426F7060">
            <w:pPr>
              <w:spacing w:line="400" w:lineRule="exact"/>
              <w:rPr>
                <w:color w:val="auto"/>
                <w:szCs w:val="21"/>
                <w:highlight w:val="none"/>
              </w:rPr>
            </w:pPr>
            <w:r>
              <w:rPr>
                <w:rFonts w:hint="eastAsia" w:ascii="宋体" w:hAnsi="宋体"/>
                <w:color w:val="auto"/>
                <w:szCs w:val="21"/>
                <w:highlight w:val="none"/>
              </w:rPr>
              <w:t>本项目报价为总包干价。</w:t>
            </w:r>
            <w:r>
              <w:rPr>
                <w:rFonts w:hint="eastAsia"/>
                <w:color w:val="auto"/>
                <w:szCs w:val="21"/>
                <w:highlight w:val="none"/>
              </w:rPr>
              <w:t>报价包含本项目所有服务内容、</w:t>
            </w:r>
            <w:r>
              <w:rPr>
                <w:rFonts w:hint="eastAsia" w:ascii="宋体" w:hAnsi="宋体" w:cs="宋体"/>
                <w:color w:val="auto"/>
                <w:szCs w:val="21"/>
                <w:highlight w:val="none"/>
              </w:rPr>
              <w:t>服务中包含货物</w:t>
            </w:r>
            <w:r>
              <w:rPr>
                <w:rFonts w:hint="eastAsia"/>
                <w:color w:val="auto"/>
                <w:szCs w:val="21"/>
                <w:highlight w:val="none"/>
              </w:rPr>
              <w:t>所涉及的设备、备品备件、标准附件、专用工具、人员薪酬、交通费、安装、调试、技术支持、培训、检测检验、必要的保费、各项税费、招标代理服务费及其它所有成本费用的总和。</w:t>
            </w:r>
            <w:r>
              <w:rPr>
                <w:rFonts w:hint="eastAsia" w:ascii="宋体" w:hAnsi="宋体" w:cs="宋体"/>
                <w:color w:val="auto"/>
                <w:szCs w:val="21"/>
                <w:highlight w:val="none"/>
              </w:rPr>
              <w:t>由供应商根据采购文件所提供的资料自行测算投标报价；一经中标，投标报价总价作为中标供应商与采购人签订的合同金额，合同期限内不做调整。</w:t>
            </w:r>
          </w:p>
        </w:tc>
      </w:tr>
      <w:tr w14:paraId="520F2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87" w:type="dxa"/>
            <w:gridSpan w:val="2"/>
            <w:tcBorders>
              <w:top w:val="single" w:color="auto" w:sz="4" w:space="0"/>
              <w:left w:val="single" w:color="auto" w:sz="4" w:space="0"/>
              <w:right w:val="single" w:color="auto" w:sz="4" w:space="0"/>
            </w:tcBorders>
            <w:vAlign w:val="center"/>
          </w:tcPr>
          <w:p w14:paraId="5BFE9D29">
            <w:pPr>
              <w:snapToGrid w:val="0"/>
              <w:spacing w:line="380" w:lineRule="exact"/>
              <w:jc w:val="center"/>
              <w:rPr>
                <w:rFonts w:ascii="宋体" w:hAnsi="宋体"/>
                <w:color w:val="auto"/>
                <w:szCs w:val="21"/>
                <w:highlight w:val="none"/>
              </w:rPr>
            </w:pPr>
            <w:r>
              <w:rPr>
                <w:rFonts w:hint="eastAsia" w:ascii="宋体" w:hAnsi="宋体"/>
                <w:color w:val="auto"/>
                <w:szCs w:val="21"/>
                <w:highlight w:val="none"/>
              </w:rPr>
              <w:t>其它要求</w:t>
            </w:r>
          </w:p>
        </w:tc>
        <w:tc>
          <w:tcPr>
            <w:tcW w:w="7431" w:type="dxa"/>
            <w:gridSpan w:val="2"/>
            <w:tcBorders>
              <w:top w:val="single" w:color="auto" w:sz="4" w:space="0"/>
              <w:left w:val="single" w:color="auto" w:sz="4" w:space="0"/>
              <w:right w:val="single" w:color="auto" w:sz="4" w:space="0"/>
            </w:tcBorders>
            <w:vAlign w:val="center"/>
          </w:tcPr>
          <w:p w14:paraId="3B228B78">
            <w:pPr>
              <w:spacing w:line="340" w:lineRule="exact"/>
              <w:rPr>
                <w:rFonts w:ascii="宋体" w:hAnsi="宋体" w:cs="宋体"/>
                <w:color w:val="auto"/>
                <w:szCs w:val="21"/>
                <w:highlight w:val="none"/>
              </w:rPr>
            </w:pPr>
            <w:r>
              <w:rPr>
                <w:rFonts w:hint="eastAsia" w:ascii="宋体" w:hAnsi="宋体" w:cs="宋体"/>
                <w:color w:val="auto"/>
                <w:szCs w:val="21"/>
                <w:highlight w:val="none"/>
              </w:rPr>
              <w:t>（一）服务质量要求</w:t>
            </w:r>
          </w:p>
          <w:p w14:paraId="525250EF">
            <w:pPr>
              <w:spacing w:line="340" w:lineRule="exact"/>
              <w:rPr>
                <w:rFonts w:ascii="宋体" w:hAnsi="宋体" w:cs="宋体"/>
                <w:color w:val="auto"/>
                <w:szCs w:val="21"/>
                <w:highlight w:val="none"/>
              </w:rPr>
            </w:pPr>
            <w:r>
              <w:rPr>
                <w:rFonts w:hint="eastAsia" w:ascii="宋体" w:hAnsi="宋体" w:cs="宋体"/>
                <w:color w:val="auto"/>
                <w:szCs w:val="21"/>
                <w:highlight w:val="none"/>
              </w:rPr>
              <w:t>▲1、投标人具备相关信息化系统的开发和运行维护经验。</w:t>
            </w:r>
          </w:p>
          <w:p w14:paraId="7DD60BBE">
            <w:pPr>
              <w:spacing w:line="340" w:lineRule="exact"/>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投标人承诺中标后能为本项目提供本地化服务的能力，并在广西设有本地化的服务团队（如已具备本地化能力，投标文件中提供地址、服务团队名单、联系方式；未设立的则在投标文件中提供承诺函（格式自拟））。</w:t>
            </w:r>
          </w:p>
          <w:p w14:paraId="58B1E65C">
            <w:pPr>
              <w:spacing w:line="360" w:lineRule="auto"/>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、投标人提供7*24小时专人职守服务，实时响应内部服务请求，详细记录问题解决情况。</w:t>
            </w:r>
            <w:r>
              <w:rPr>
                <w:rFonts w:hint="eastAsia" w:ascii="宋体" w:hAnsi="宋体" w:cs="宋体"/>
                <w:bCs/>
                <w:color w:val="auto"/>
                <w:szCs w:val="21"/>
                <w:highlight w:val="none"/>
              </w:rPr>
              <w:t>配合</w:t>
            </w:r>
            <w:r>
              <w:rPr>
                <w:rFonts w:ascii="宋体" w:hAnsi="宋体" w:cs="宋体"/>
                <w:bCs/>
                <w:color w:val="auto"/>
                <w:szCs w:val="21"/>
                <w:highlight w:val="none"/>
              </w:rPr>
              <w:t>1</w:t>
            </w:r>
            <w:r>
              <w:rPr>
                <w:rFonts w:hint="eastAsia" w:ascii="宋体" w:hAnsi="宋体" w:cs="宋体"/>
                <w:bCs/>
                <w:color w:val="auto"/>
                <w:szCs w:val="21"/>
                <w:highlight w:val="none"/>
              </w:rPr>
              <w:t>名或以上运维人员通过现场服务、远程技术服务、预防性服务、定期专访、远程监控等服务方式，提供7×24小时维保服务。面向各级道路运输管理机构、省内驾驶培训机构提供技术和业务支持，包括通过网络、电话和邮件远程技术协助，现场技术支持。</w:t>
            </w:r>
          </w:p>
          <w:p w14:paraId="0E277515">
            <w:pPr>
              <w:spacing w:line="360" w:lineRule="auto"/>
              <w:rPr>
                <w:rFonts w:ascii="宋体" w:hAnsi="宋体" w:cs="宋体"/>
                <w:color w:val="auto"/>
                <w:szCs w:val="21"/>
                <w:highlight w:val="none"/>
              </w:rPr>
            </w:pPr>
            <w:r>
              <w:rPr>
                <w:rFonts w:ascii="宋体" w:hAnsi="宋体" w:cs="宋体"/>
                <w:color w:val="auto"/>
                <w:szCs w:val="21"/>
                <w:highlight w:val="none"/>
              </w:rPr>
              <w:t>4</w:t>
            </w:r>
            <w:r>
              <w:rPr>
                <w:rFonts w:hint="eastAsia" w:ascii="宋体" w:hAnsi="宋体" w:cs="宋体"/>
                <w:color w:val="auto"/>
                <w:szCs w:val="21"/>
                <w:highlight w:val="none"/>
              </w:rPr>
              <w:t>、投标人应建立规范的内部管理制度。严格管理专职专业技术人员，保证服务态度良好、问题解决及时、重大问题及时反馈、运维记录详细。</w:t>
            </w:r>
          </w:p>
          <w:p w14:paraId="4CD8EF54">
            <w:pPr>
              <w:spacing w:line="360" w:lineRule="auto"/>
              <w:rPr>
                <w:rFonts w:ascii="宋体" w:hAnsi="宋体" w:cs="宋体"/>
                <w:color w:val="auto"/>
                <w:szCs w:val="21"/>
                <w:highlight w:val="none"/>
              </w:rPr>
            </w:pPr>
            <w:r>
              <w:rPr>
                <w:rFonts w:ascii="宋体" w:hAnsi="宋体" w:cs="宋体"/>
                <w:color w:val="auto"/>
                <w:szCs w:val="21"/>
                <w:highlight w:val="none"/>
              </w:rPr>
              <w:t>5</w:t>
            </w:r>
            <w:r>
              <w:rPr>
                <w:rFonts w:hint="eastAsia" w:ascii="宋体" w:hAnsi="宋体" w:cs="宋体"/>
                <w:color w:val="auto"/>
                <w:szCs w:val="21"/>
                <w:highlight w:val="none"/>
              </w:rPr>
              <w:t>、投标人应建立常见系统故障应急预案，以便出现问题后，及时作出响应，降低事故后果。</w:t>
            </w:r>
          </w:p>
          <w:p w14:paraId="10D2ED14">
            <w:pPr>
              <w:spacing w:line="360" w:lineRule="auto"/>
              <w:rPr>
                <w:rFonts w:ascii="宋体" w:hAnsi="宋体" w:cs="宋体"/>
                <w:color w:val="auto"/>
                <w:szCs w:val="21"/>
                <w:highlight w:val="none"/>
              </w:rPr>
            </w:pPr>
            <w:r>
              <w:rPr>
                <w:rFonts w:ascii="宋体" w:hAnsi="宋体" w:cs="宋体"/>
                <w:color w:val="auto"/>
                <w:szCs w:val="21"/>
                <w:highlight w:val="none"/>
              </w:rPr>
              <w:t>6</w:t>
            </w:r>
            <w:r>
              <w:rPr>
                <w:rFonts w:hint="eastAsia" w:ascii="宋体" w:hAnsi="宋体" w:cs="宋体"/>
                <w:color w:val="auto"/>
                <w:szCs w:val="21"/>
                <w:highlight w:val="none"/>
              </w:rPr>
              <w:t>、投标人有义务对专职专业技术人员进行岗前操作培训，以便更好地掌握平台运维技能。</w:t>
            </w:r>
          </w:p>
          <w:p w14:paraId="032B6CF0">
            <w:pPr>
              <w:spacing w:line="360" w:lineRule="auto"/>
              <w:rPr>
                <w:rFonts w:ascii="宋体" w:hAnsi="宋体" w:cs="宋体"/>
                <w:color w:val="auto"/>
                <w:szCs w:val="21"/>
                <w:highlight w:val="none"/>
              </w:rPr>
            </w:pPr>
            <w:r>
              <w:rPr>
                <w:rFonts w:ascii="宋体" w:hAnsi="宋体" w:cs="宋体"/>
                <w:color w:val="auto"/>
                <w:szCs w:val="21"/>
                <w:highlight w:val="none"/>
              </w:rPr>
              <w:t>7</w:t>
            </w:r>
            <w:r>
              <w:rPr>
                <w:rFonts w:hint="eastAsia" w:ascii="宋体" w:hAnsi="宋体" w:cs="宋体"/>
                <w:color w:val="auto"/>
                <w:szCs w:val="21"/>
                <w:highlight w:val="none"/>
              </w:rPr>
              <w:t>、当出现系统崩溃导致业务停止、数据丢失等系统故障时，投标人必须在10分钟内进行响应，2小时内提出处理方案，12小时内解决故障。</w:t>
            </w:r>
          </w:p>
          <w:p w14:paraId="7F6CD3B4">
            <w:pPr>
              <w:spacing w:line="360" w:lineRule="auto"/>
              <w:rPr>
                <w:rFonts w:ascii="宋体" w:hAnsi="宋体" w:cs="宋体"/>
                <w:color w:val="auto"/>
                <w:szCs w:val="21"/>
                <w:highlight w:val="none"/>
              </w:rPr>
            </w:pPr>
            <w:r>
              <w:rPr>
                <w:rFonts w:hint="eastAsia" w:ascii="宋体" w:hAnsi="宋体" w:cs="宋体"/>
                <w:color w:val="auto"/>
                <w:szCs w:val="21"/>
                <w:highlight w:val="none"/>
              </w:rPr>
              <w:t>（二）服务规范要求</w:t>
            </w:r>
          </w:p>
          <w:p w14:paraId="6100BE46">
            <w:pPr>
              <w:spacing w:line="360" w:lineRule="auto"/>
              <w:rPr>
                <w:rFonts w:ascii="宋体" w:hAnsi="宋体" w:cs="宋体"/>
                <w:color w:val="auto"/>
                <w:szCs w:val="21"/>
                <w:highlight w:val="none"/>
              </w:rPr>
            </w:pPr>
            <w:r>
              <w:rPr>
                <w:rFonts w:hint="eastAsia" w:ascii="宋体" w:hAnsi="宋体" w:cs="宋体"/>
                <w:color w:val="auto"/>
                <w:szCs w:val="21"/>
                <w:highlight w:val="none"/>
              </w:rPr>
              <w:t>1、遵守用户的规章制度，严格按照规章制度办事。</w:t>
            </w:r>
          </w:p>
          <w:p w14:paraId="07F6B40C">
            <w:pPr>
              <w:spacing w:line="360" w:lineRule="auto"/>
              <w:rPr>
                <w:rFonts w:ascii="宋体" w:hAnsi="宋体" w:cs="宋体"/>
                <w:color w:val="auto"/>
                <w:szCs w:val="21"/>
                <w:highlight w:val="none"/>
              </w:rPr>
            </w:pPr>
            <w:r>
              <w:rPr>
                <w:rFonts w:hint="eastAsia" w:ascii="宋体" w:hAnsi="宋体" w:cs="宋体"/>
                <w:color w:val="auto"/>
                <w:szCs w:val="21"/>
                <w:highlight w:val="none"/>
              </w:rPr>
              <w:t>2、对被支持单位的网络、主机、系统软件、应用软件等的密码、核心参数、业务数据等负有保密责任，不得随意复制和传播。</w:t>
            </w:r>
          </w:p>
          <w:p w14:paraId="2506D782">
            <w:pPr>
              <w:spacing w:line="360" w:lineRule="auto"/>
              <w:rPr>
                <w:rFonts w:ascii="宋体" w:hAnsi="宋体" w:cs="宋体"/>
                <w:color w:val="auto"/>
                <w:szCs w:val="21"/>
                <w:highlight w:val="none"/>
              </w:rPr>
            </w:pPr>
            <w:r>
              <w:rPr>
                <w:rFonts w:hint="eastAsia" w:ascii="宋体" w:hAnsi="宋体" w:cs="宋体"/>
                <w:color w:val="auto"/>
                <w:szCs w:val="21"/>
                <w:highlight w:val="none"/>
              </w:rPr>
              <w:t>3、严格按照服务工作流程规范进行日常工作，如果发生由于日常工作遗漏和疏忽导致业户的数据丢失或被攻击、未授权的配置变更等影响业主业务正常开展的情况，将根据情节严重对相关责任人进行相应的处罚。</w:t>
            </w:r>
          </w:p>
          <w:p w14:paraId="048FF3E4">
            <w:pPr>
              <w:spacing w:line="360" w:lineRule="auto"/>
              <w:rPr>
                <w:rFonts w:ascii="宋体" w:hAnsi="宋体" w:cs="宋体"/>
                <w:color w:val="auto"/>
                <w:szCs w:val="21"/>
                <w:highlight w:val="none"/>
              </w:rPr>
            </w:pPr>
            <w:r>
              <w:rPr>
                <w:rFonts w:hint="eastAsia" w:ascii="宋体" w:hAnsi="宋体" w:cs="宋体"/>
                <w:color w:val="auto"/>
                <w:szCs w:val="21"/>
                <w:highlight w:val="none"/>
              </w:rPr>
              <w:t>4、服务期间须按照国家网络安全及信息保密安全有关管理规定做好网络安全保密工作。指定具体网络安全责任人，建立独立的管理技术团队负责项目实施过程中的网络安全管理。网络安全责任人及工作人员有变更、乙方工作人员有业务转型或乙方因自身原因有合并重组等的须提前向甲方进行书面说明，未经甲方同意，乙方不得私自将在甲方工作期间的项目任务进行分包、转包。中标供应商必须承担为采购人保守相关保密信息的义务和责任，包括以下内容：中标供应商应严格控制了解项目关键资料的人员范围，对参与项目运维的有关工作人员要明确保密责任，严格保密纪律，不得泄漏、使用系统数据信息用于其他用途。</w:t>
            </w:r>
          </w:p>
          <w:p w14:paraId="55EB5EC7">
            <w:pPr>
              <w:spacing w:line="360" w:lineRule="auto"/>
              <w:rPr>
                <w:rFonts w:ascii="宋体" w:hAnsi="宋体" w:cs="宋体"/>
                <w:color w:val="auto"/>
                <w:szCs w:val="21"/>
                <w:highlight w:val="none"/>
              </w:rPr>
            </w:pPr>
            <w:r>
              <w:rPr>
                <w:rFonts w:hint="eastAsia" w:ascii="宋体" w:hAnsi="宋体" w:cs="宋体"/>
                <w:color w:val="auto"/>
                <w:szCs w:val="21"/>
                <w:highlight w:val="none"/>
              </w:rPr>
              <w:t>5、服务期间涉及的政务数据和其他数据须分开处理，不得私自将工作中处理的数据进行变更处理。中标人在服务期间处理数据，涉及到个人信息时，须按照国家个人信息保护相关管理规定，做好数据处理存储工作。采购人具有所有权、使用权和访问权，中标人不得私自更改、访问、利用和销毁服务期间涉及到的政务数据信息。</w:t>
            </w:r>
          </w:p>
          <w:p w14:paraId="26854B4A">
            <w:pPr>
              <w:spacing w:line="360" w:lineRule="auto"/>
              <w:rPr>
                <w:rFonts w:ascii="宋体" w:hAnsi="宋体"/>
                <w:color w:val="auto"/>
                <w:szCs w:val="21"/>
                <w:highlight w:val="none"/>
              </w:rPr>
            </w:pPr>
            <w:r>
              <w:rPr>
                <w:rFonts w:hint="eastAsia" w:ascii="宋体" w:hAnsi="宋体" w:cs="宋体"/>
                <w:color w:val="auto"/>
                <w:szCs w:val="21"/>
                <w:highlight w:val="none"/>
              </w:rPr>
              <w:t>6、做好网络安全漏洞检查，</w:t>
            </w:r>
            <w:r>
              <w:rPr>
                <w:rFonts w:hint="eastAsia" w:ascii="宋体" w:hAnsi="宋体"/>
                <w:color w:val="auto"/>
                <w:szCs w:val="21"/>
                <w:highlight w:val="none"/>
              </w:rPr>
              <w:t>如定期修改系统管理员密码，提醒用户及时更新密码，加强访问控制等措施，提升系统抵抗外部攻击能力，确保系统安全可靠运行。配合采购人做好网络安全应急事件处置、定期做好漏洞修复等管理维护工作。</w:t>
            </w:r>
          </w:p>
          <w:p w14:paraId="0288EA29">
            <w:pPr>
              <w:spacing w:line="360" w:lineRule="auto"/>
              <w:rPr>
                <w:rFonts w:ascii="宋体" w:hAnsi="宋体" w:cs="宋体"/>
                <w:bCs/>
                <w:color w:val="auto"/>
                <w:szCs w:val="21"/>
                <w:highlight w:val="none"/>
              </w:rPr>
            </w:pPr>
            <w:r>
              <w:rPr>
                <w:rFonts w:hint="eastAsia" w:ascii="宋体" w:hAnsi="宋体"/>
                <w:color w:val="auto"/>
                <w:szCs w:val="21"/>
                <w:highlight w:val="none"/>
              </w:rPr>
              <w:t>通过数据在应用和传输过程中可能涉及到的数据质量问题，按照相关标准和规范进行维护和整理，保障数据质量，确保数据满足采购方业务需求。</w:t>
            </w:r>
            <w:r>
              <w:rPr>
                <w:rFonts w:hint="eastAsia" w:ascii="宋体" w:hAnsi="宋体" w:cs="宋体"/>
                <w:color w:val="auto"/>
                <w:szCs w:val="21"/>
                <w:highlight w:val="none"/>
              </w:rPr>
              <w:t>发现安全漏洞、缺陷及安全风险须及时通报，并形成报告向区网信、公安部门报告，安全漏洞未经网信、公安部门同意，不得向第三人公开。</w:t>
            </w:r>
          </w:p>
          <w:p w14:paraId="01193703">
            <w:pPr>
              <w:spacing w:line="360" w:lineRule="auto"/>
              <w:rPr>
                <w:rFonts w:ascii="宋体" w:hAnsi="宋体" w:cs="宋体"/>
                <w:color w:val="auto"/>
                <w:szCs w:val="21"/>
                <w:highlight w:val="none"/>
              </w:rPr>
            </w:pPr>
            <w:r>
              <w:rPr>
                <w:rFonts w:hint="eastAsia" w:ascii="宋体" w:hAnsi="宋体" w:cs="宋体"/>
                <w:color w:val="auto"/>
                <w:szCs w:val="21"/>
                <w:highlight w:val="none"/>
              </w:rPr>
              <w:t>7、处理数据时优先使用国产安全可信的硬件软件产品，按照国家和自治区各项要求配合采购人完成相应的国产化服务。硬软件信息系统须按照国家密码管理要求设置不限于数字字母特殊字符组合的强口令的密码。</w:t>
            </w:r>
          </w:p>
          <w:p w14:paraId="1AAE5F3B">
            <w:pPr>
              <w:spacing w:line="360" w:lineRule="auto"/>
              <w:rPr>
                <w:color w:val="auto"/>
                <w:szCs w:val="21"/>
                <w:highlight w:val="none"/>
              </w:rPr>
            </w:pPr>
            <w:r>
              <w:rPr>
                <w:rFonts w:hint="eastAsia" w:ascii="宋体" w:hAnsi="宋体" w:cs="宋体"/>
                <w:color w:val="auto"/>
                <w:szCs w:val="21"/>
                <w:highlight w:val="none"/>
              </w:rPr>
              <w:t>▲8、中标人必须与采购人签订保密协议。</w:t>
            </w:r>
          </w:p>
        </w:tc>
      </w:tr>
    </w:tbl>
    <w:p w14:paraId="42556E7B">
      <w:pPr>
        <w:spacing w:line="400" w:lineRule="exact"/>
        <w:ind w:firstLine="308" w:firstLineChars="147"/>
        <w:jc w:val="left"/>
        <w:rPr>
          <w:rFonts w:ascii="宋体" w:hAnsi="宋体" w:cs="Arial"/>
          <w:bCs/>
          <w:color w:val="auto"/>
          <w:szCs w:val="21"/>
          <w:highlight w:val="none"/>
          <w:u w:val="single"/>
        </w:rPr>
      </w:pPr>
      <w:r>
        <w:rPr>
          <w:rFonts w:ascii="宋体" w:hAnsi="宋体" w:cs="宋体"/>
          <w:color w:val="auto"/>
          <w:szCs w:val="21"/>
          <w:highlight w:val="none"/>
        </w:rPr>
        <w:br w:type="page"/>
      </w:r>
      <w:r>
        <w:rPr>
          <w:rFonts w:hint="eastAsia" w:ascii="宋体" w:hAnsi="宋体" w:cs="Arial"/>
          <w:b/>
          <w:color w:val="auto"/>
          <w:szCs w:val="21"/>
          <w:highlight w:val="none"/>
          <w:u w:val="single"/>
        </w:rPr>
        <w:t xml:space="preserve"> 7 </w:t>
      </w:r>
      <w:r>
        <w:rPr>
          <w:rFonts w:hint="eastAsia" w:ascii="宋体" w:hAnsi="宋体"/>
          <w:b/>
          <w:color w:val="auto"/>
          <w:szCs w:val="21"/>
          <w:highlight w:val="none"/>
        </w:rPr>
        <w:t>分标      采购预算：</w:t>
      </w:r>
      <w:r>
        <w:rPr>
          <w:rFonts w:hint="eastAsia" w:ascii="宋体" w:hAnsi="宋体" w:cs="Arial"/>
          <w:bCs/>
          <w:color w:val="auto"/>
          <w:szCs w:val="21"/>
          <w:highlight w:val="none"/>
          <w:u w:val="single"/>
        </w:rPr>
        <w:t xml:space="preserve">详见招标公告 </w:t>
      </w: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
        <w:gridCol w:w="1601"/>
        <w:gridCol w:w="756"/>
        <w:gridCol w:w="6675"/>
      </w:tblGrid>
      <w:tr w14:paraId="6E8A3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9718" w:type="dxa"/>
            <w:gridSpan w:val="4"/>
            <w:tcBorders>
              <w:top w:val="single" w:color="auto" w:sz="4" w:space="0"/>
              <w:left w:val="single" w:color="auto" w:sz="4" w:space="0"/>
              <w:bottom w:val="single" w:color="auto" w:sz="4" w:space="0"/>
              <w:right w:val="single" w:color="auto" w:sz="4" w:space="0"/>
            </w:tcBorders>
            <w:vAlign w:val="center"/>
          </w:tcPr>
          <w:p w14:paraId="10EAC873">
            <w:pPr>
              <w:pStyle w:val="23"/>
              <w:spacing w:line="340" w:lineRule="exact"/>
              <w:ind w:firstLine="316" w:firstLineChars="150"/>
              <w:jc w:val="center"/>
              <w:rPr>
                <w:rFonts w:hAnsi="宋体"/>
                <w:b/>
                <w:color w:val="auto"/>
                <w:sz w:val="21"/>
                <w:highlight w:val="none"/>
              </w:rPr>
            </w:pPr>
            <w:r>
              <w:rPr>
                <w:rFonts w:hint="eastAsia" w:hAnsi="宋体"/>
                <w:b/>
                <w:color w:val="auto"/>
                <w:sz w:val="21"/>
                <w:highlight w:val="none"/>
              </w:rPr>
              <w:t>采购需求一览表</w:t>
            </w:r>
          </w:p>
        </w:tc>
      </w:tr>
      <w:tr w14:paraId="3688B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86" w:type="dxa"/>
            <w:tcBorders>
              <w:top w:val="single" w:color="auto" w:sz="4" w:space="0"/>
              <w:left w:val="single" w:color="auto" w:sz="4" w:space="0"/>
              <w:bottom w:val="single" w:color="auto" w:sz="4" w:space="0"/>
              <w:right w:val="single" w:color="auto" w:sz="4" w:space="0"/>
            </w:tcBorders>
            <w:vAlign w:val="center"/>
          </w:tcPr>
          <w:p w14:paraId="300CFBFD">
            <w:pPr>
              <w:pStyle w:val="23"/>
              <w:spacing w:line="340" w:lineRule="exact"/>
              <w:jc w:val="center"/>
              <w:rPr>
                <w:rFonts w:hAnsi="宋体"/>
                <w:b/>
                <w:color w:val="auto"/>
                <w:sz w:val="21"/>
                <w:highlight w:val="none"/>
              </w:rPr>
            </w:pPr>
            <w:r>
              <w:rPr>
                <w:rFonts w:hint="eastAsia" w:hAnsi="宋体"/>
                <w:b/>
                <w:color w:val="auto"/>
                <w:sz w:val="21"/>
                <w:highlight w:val="none"/>
              </w:rPr>
              <w:t>序号</w:t>
            </w:r>
          </w:p>
        </w:tc>
        <w:tc>
          <w:tcPr>
            <w:tcW w:w="1601" w:type="dxa"/>
            <w:tcBorders>
              <w:top w:val="single" w:color="auto" w:sz="4" w:space="0"/>
              <w:left w:val="single" w:color="auto" w:sz="4" w:space="0"/>
              <w:bottom w:val="single" w:color="auto" w:sz="4" w:space="0"/>
              <w:right w:val="single" w:color="auto" w:sz="4" w:space="0"/>
            </w:tcBorders>
            <w:vAlign w:val="center"/>
          </w:tcPr>
          <w:p w14:paraId="170DB011">
            <w:pPr>
              <w:pStyle w:val="23"/>
              <w:spacing w:line="340" w:lineRule="exact"/>
              <w:jc w:val="center"/>
              <w:rPr>
                <w:rFonts w:hAnsi="宋体"/>
                <w:b/>
                <w:color w:val="auto"/>
                <w:sz w:val="21"/>
                <w:highlight w:val="none"/>
              </w:rPr>
            </w:pPr>
            <w:r>
              <w:rPr>
                <w:rFonts w:hint="eastAsia" w:hAnsi="宋体"/>
                <w:b/>
                <w:color w:val="auto"/>
                <w:sz w:val="21"/>
                <w:highlight w:val="none"/>
              </w:rPr>
              <w:t>服务名称</w:t>
            </w:r>
          </w:p>
        </w:tc>
        <w:tc>
          <w:tcPr>
            <w:tcW w:w="756" w:type="dxa"/>
            <w:tcBorders>
              <w:top w:val="single" w:color="auto" w:sz="4" w:space="0"/>
              <w:left w:val="single" w:color="auto" w:sz="4" w:space="0"/>
              <w:bottom w:val="single" w:color="auto" w:sz="4" w:space="0"/>
              <w:right w:val="single" w:color="auto" w:sz="4" w:space="0"/>
            </w:tcBorders>
            <w:vAlign w:val="center"/>
          </w:tcPr>
          <w:p w14:paraId="776B3340">
            <w:pPr>
              <w:widowControl/>
              <w:spacing w:line="340" w:lineRule="exact"/>
              <w:jc w:val="center"/>
              <w:rPr>
                <w:rFonts w:ascii="宋体" w:hAnsi="宋体" w:cs="宋体"/>
                <w:b/>
                <w:color w:val="auto"/>
                <w:kern w:val="0"/>
                <w:szCs w:val="21"/>
                <w:highlight w:val="none"/>
              </w:rPr>
            </w:pPr>
            <w:r>
              <w:rPr>
                <w:rFonts w:hint="eastAsia" w:ascii="宋体" w:hAnsi="宋体" w:cs="宋体"/>
                <w:b/>
                <w:color w:val="auto"/>
                <w:kern w:val="0"/>
                <w:szCs w:val="21"/>
                <w:highlight w:val="none"/>
              </w:rPr>
              <w:t>数量</w:t>
            </w:r>
          </w:p>
        </w:tc>
        <w:tc>
          <w:tcPr>
            <w:tcW w:w="6675" w:type="dxa"/>
            <w:tcBorders>
              <w:top w:val="single" w:color="auto" w:sz="4" w:space="0"/>
              <w:left w:val="single" w:color="auto" w:sz="4" w:space="0"/>
              <w:bottom w:val="single" w:color="auto" w:sz="4" w:space="0"/>
              <w:right w:val="single" w:color="auto" w:sz="4" w:space="0"/>
            </w:tcBorders>
            <w:vAlign w:val="center"/>
          </w:tcPr>
          <w:p w14:paraId="53F8BDFA">
            <w:pPr>
              <w:pStyle w:val="23"/>
              <w:spacing w:line="340" w:lineRule="exact"/>
              <w:ind w:firstLine="316" w:firstLineChars="150"/>
              <w:jc w:val="center"/>
              <w:rPr>
                <w:rFonts w:hAnsi="宋体"/>
                <w:b/>
                <w:color w:val="auto"/>
                <w:sz w:val="21"/>
                <w:highlight w:val="none"/>
              </w:rPr>
            </w:pPr>
            <w:r>
              <w:rPr>
                <w:rFonts w:hint="eastAsia" w:hAnsi="宋体"/>
                <w:b/>
                <w:color w:val="auto"/>
                <w:sz w:val="21"/>
                <w:highlight w:val="none"/>
              </w:rPr>
              <w:t>项目要求及技术需求</w:t>
            </w:r>
          </w:p>
        </w:tc>
      </w:tr>
      <w:tr w14:paraId="6C657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jc w:val="center"/>
        </w:trPr>
        <w:tc>
          <w:tcPr>
            <w:tcW w:w="686" w:type="dxa"/>
            <w:tcBorders>
              <w:top w:val="single" w:color="auto" w:sz="4" w:space="0"/>
              <w:left w:val="single" w:color="auto" w:sz="4" w:space="0"/>
              <w:right w:val="single" w:color="auto" w:sz="4" w:space="0"/>
            </w:tcBorders>
            <w:vAlign w:val="center"/>
          </w:tcPr>
          <w:p w14:paraId="4F8331D3">
            <w:pPr>
              <w:pStyle w:val="23"/>
              <w:spacing w:line="340" w:lineRule="exact"/>
              <w:jc w:val="center"/>
              <w:rPr>
                <w:rFonts w:hAnsi="宋体"/>
                <w:color w:val="auto"/>
                <w:sz w:val="21"/>
                <w:highlight w:val="none"/>
              </w:rPr>
            </w:pPr>
            <w:r>
              <w:rPr>
                <w:rFonts w:hint="eastAsia" w:hAnsi="宋体"/>
                <w:color w:val="auto"/>
                <w:sz w:val="21"/>
                <w:highlight w:val="none"/>
              </w:rPr>
              <w:t>1</w:t>
            </w:r>
          </w:p>
        </w:tc>
        <w:tc>
          <w:tcPr>
            <w:tcW w:w="1601" w:type="dxa"/>
            <w:tcBorders>
              <w:top w:val="single" w:color="auto" w:sz="4" w:space="0"/>
              <w:left w:val="single" w:color="auto" w:sz="4" w:space="0"/>
              <w:right w:val="single" w:color="auto" w:sz="4" w:space="0"/>
            </w:tcBorders>
            <w:vAlign w:val="center"/>
          </w:tcPr>
          <w:p w14:paraId="1EA6692B">
            <w:pPr>
              <w:spacing w:line="380" w:lineRule="exact"/>
              <w:jc w:val="center"/>
              <w:rPr>
                <w:rFonts w:ascii="宋体" w:hAnsi="宋体" w:cs="宋体"/>
                <w:color w:val="auto"/>
                <w:szCs w:val="21"/>
                <w:highlight w:val="none"/>
              </w:rPr>
            </w:pPr>
            <w:r>
              <w:rPr>
                <w:rFonts w:hint="eastAsia" w:hAnsi="宋体"/>
                <w:color w:val="auto"/>
                <w:szCs w:val="21"/>
                <w:highlight w:val="none"/>
              </w:rPr>
              <w:t>广西道路运输发展中心业务系统第三方技术服务</w:t>
            </w:r>
          </w:p>
        </w:tc>
        <w:tc>
          <w:tcPr>
            <w:tcW w:w="756" w:type="dxa"/>
            <w:tcBorders>
              <w:top w:val="single" w:color="auto" w:sz="4" w:space="0"/>
              <w:left w:val="single" w:color="auto" w:sz="4" w:space="0"/>
              <w:right w:val="single" w:color="auto" w:sz="4" w:space="0"/>
            </w:tcBorders>
            <w:vAlign w:val="center"/>
          </w:tcPr>
          <w:p w14:paraId="0C4B8D3D">
            <w:pPr>
              <w:spacing w:line="380" w:lineRule="exact"/>
              <w:jc w:val="center"/>
              <w:rPr>
                <w:rFonts w:ascii="宋体" w:hAnsi="宋体" w:cs="宋体"/>
                <w:color w:val="auto"/>
                <w:szCs w:val="21"/>
                <w:highlight w:val="none"/>
              </w:rPr>
            </w:pPr>
            <w:r>
              <w:rPr>
                <w:rFonts w:hint="eastAsia" w:ascii="宋体" w:hAnsi="宋体" w:cs="宋体"/>
                <w:color w:val="auto"/>
                <w:szCs w:val="21"/>
                <w:highlight w:val="none"/>
              </w:rPr>
              <w:t>1项</w:t>
            </w:r>
          </w:p>
        </w:tc>
        <w:tc>
          <w:tcPr>
            <w:tcW w:w="6675" w:type="dxa"/>
            <w:tcBorders>
              <w:top w:val="single" w:color="auto" w:sz="4" w:space="0"/>
              <w:left w:val="single" w:color="auto" w:sz="4" w:space="0"/>
              <w:right w:val="single" w:color="auto" w:sz="4" w:space="0"/>
            </w:tcBorders>
            <w:vAlign w:val="center"/>
          </w:tcPr>
          <w:p w14:paraId="6207838A">
            <w:pPr>
              <w:spacing w:line="380" w:lineRule="exac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一、国产数据库适配及数据迁移服务</w:t>
            </w:r>
          </w:p>
          <w:p w14:paraId="6AA4C0E8">
            <w:pPr>
              <w:spacing w:line="380" w:lineRule="exac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为全面推动交通运输行业信息系统安全可控升级，本项目需完成广西道路运输管理信息系统、广西道路运输动态监控行业服务系统、广西网络货运信息监测系统、内部控制信息系统等4个核心业务系统向自治区级XC云平台的整体迁移。服务内容包括但不限于：</w:t>
            </w:r>
          </w:p>
          <w:p w14:paraId="044F76A1">
            <w:pPr>
              <w:spacing w:line="380" w:lineRule="exac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1、系统适配优化：对原系统架构、SQL语句、存储过程、触发器、函数等进行深度分析与改造，确保其在国产数据库环境下的功能完整性和性能稳定性；</w:t>
            </w:r>
          </w:p>
          <w:p w14:paraId="5724750F">
            <w:pPr>
              <w:spacing w:line="380" w:lineRule="exac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2、数据资产梳理与清洗：全面收集各系统历史数据，开展数据质量评估、冗余清理、格式标准化及敏感信息脱敏处理；</w:t>
            </w:r>
          </w:p>
          <w:p w14:paraId="1C8A57D7">
            <w:pPr>
              <w:spacing w:line="380" w:lineRule="exac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3、数据迁移实施：制定详细迁移方案（含回滚预案），分阶段、分批次完成结构迁移、数据迁移及索引重建；</w:t>
            </w:r>
          </w:p>
          <w:p w14:paraId="7D2E09AB">
            <w:pPr>
              <w:spacing w:line="380" w:lineRule="exac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4、迁移验证与测试：通过数据一致性校验、业务功能回归测试、压力负载测试等方式，确保迁移后数据零丢失、逻辑无偏差、业务连续可用；</w:t>
            </w:r>
          </w:p>
          <w:p w14:paraId="112511F2">
            <w:pPr>
              <w:spacing w:line="380" w:lineRule="exac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5、迁移后性能调优：基于国产数据库特性，开展SQL优化、索引策略调整、内存参数配置等，保障系统响应效率不低于原系统水平。</w:t>
            </w:r>
          </w:p>
          <w:p w14:paraId="6015F900">
            <w:pPr>
              <w:spacing w:line="380" w:lineRule="exac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二、国产数据库产品技术要求</w:t>
            </w:r>
          </w:p>
          <w:p w14:paraId="43E6DB8A">
            <w:pPr>
              <w:spacing w:line="380" w:lineRule="exac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投标人须提供满足以下全部技术指标的国产关系型数据库产品，且该产品须已通过国家权威机构的安全可靠测评（等级不低于Ⅰ级），并符合《数据库政府采购需求标准（2023年版）》：</w:t>
            </w:r>
          </w:p>
          <w:p w14:paraId="49553D8A">
            <w:pPr>
              <w:spacing w:line="380" w:lineRule="exac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1、硬件与操作系统兼容性 。支持鲲鹏、飞腾、龙芯等主流国产CPU架构；</w:t>
            </w:r>
          </w:p>
          <w:p w14:paraId="31A12354">
            <w:pPr>
              <w:spacing w:line="380" w:lineRule="exac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兼容统信UOS、银河麒麟等国产操作系统；可根据采购人指定的“CPU+OS”组合提供匹配版本。</w:t>
            </w:r>
          </w:p>
          <w:p w14:paraId="4FF8C897">
            <w:pPr>
              <w:spacing w:line="380" w:lineRule="exac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2、开发接口与语言支持，兼容多种数据库开发与框架。</w:t>
            </w:r>
          </w:p>
          <w:p w14:paraId="5B29E81D">
            <w:pPr>
              <w:spacing w:line="380" w:lineRule="exac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全面兼容OCI、OO4O、OCCI、OTL、QT、Pro*C、ODBC、JDBC、Hibernate、.NET Data Provider、EF/EFCore、NHibernate、VS DDEX插件等主流开发接口；支持C/C++、Java、Python、Go、PHP、Node.js等多种开发语言。</w:t>
            </w:r>
          </w:p>
          <w:p w14:paraId="505829EA">
            <w:pPr>
              <w:spacing w:line="380" w:lineRule="exac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 xml:space="preserve">3、高阶表结构与分区能力 </w:t>
            </w:r>
          </w:p>
          <w:p w14:paraId="098CA96A">
            <w:pPr>
              <w:spacing w:line="380" w:lineRule="exac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单表支持最多2048列；支持分区表，包括范围分区、哈希分区、列表分区、间隔分区等;支持组合分区，如可以实现列表、范围组合分区等;单表最大支持65,535个分区，支持分区键包含多列，分区键可包含最多16列；支持分区的增加、删除、合并、拆分、交换、截断、重命名等全生命周期操作，并支持分区表在线迁移。</w:t>
            </w:r>
          </w:p>
          <w:p w14:paraId="2FE20C8D">
            <w:pPr>
              <w:spacing w:line="380" w:lineRule="exac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 xml:space="preserve">4、高性能事务处理能力 </w:t>
            </w:r>
          </w:p>
          <w:p w14:paraId="338E3E45">
            <w:pPr>
              <w:spacing w:line="380" w:lineRule="exac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（1）在x86环境： 3000仓、3000并发下持续运行60分钟，TPC-C性能 ≥ 170万 tpmC； 100仓、200并发下持续运行10分钟，TPC-C性能 ≥ 195万 tpmC；</w:t>
            </w:r>
          </w:p>
          <w:p w14:paraId="36669FB8">
            <w:pPr>
              <w:spacing w:line="380" w:lineRule="exac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（2）在双路国产CPU环境（如鲲鹏920）： 100仓、144并发下持续运行10分钟，TPC-C性能 ≥ 115万 tpmC。</w:t>
            </w:r>
          </w:p>
          <w:p w14:paraId="58B8191F">
            <w:pPr>
              <w:spacing w:line="380" w:lineRule="exac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 xml:space="preserve">5、高吞吐数据写入能力 </w:t>
            </w:r>
          </w:p>
          <w:p w14:paraId="10652E5E">
            <w:pPr>
              <w:spacing w:line="380" w:lineRule="exac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单表插入100万条记录耗时 &lt; 1.3秒，平均写入速率 ≥ 80万条/秒；单库单表批量导入200万行数据耗时 &lt; 3秒，批量导入速率 ≥ 70万条/秒。</w:t>
            </w:r>
          </w:p>
          <w:p w14:paraId="4C1D28DB">
            <w:pPr>
              <w:spacing w:line="380" w:lineRule="exac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 xml:space="preserve">6、高并发服务能力 </w:t>
            </w:r>
          </w:p>
          <w:p w14:paraId="02D2F30F">
            <w:pPr>
              <w:spacing w:line="380" w:lineRule="exac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支持 ≥ 25万用户在线并发访问；持续压测1小时以上，请求成功率100%，平均响应时间 ≤ 200ms，系统资源无瓶颈。</w:t>
            </w:r>
          </w:p>
          <w:p w14:paraId="2B257F44">
            <w:pPr>
              <w:spacing w:line="380" w:lineRule="exac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 xml:space="preserve">7、智能自治优化能力，具备智能数据库资质优化技术。 </w:t>
            </w:r>
          </w:p>
          <w:p w14:paraId="2E557EB3">
            <w:pPr>
              <w:spacing w:line="380" w:lineRule="exac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内置基于代价的查询优化器（CBO）；支持表及索引的统计信息系，支持对象统计信息自动采集与更新；能通过分析对象统计信息生成最优执行计划；支持数据库内存及执行计划智能配置，支持数据库动态配置调整，支持内存、连接池、执行计划等参数的动态自调优。</w:t>
            </w:r>
          </w:p>
          <w:p w14:paraId="1CFE07F6">
            <w:pPr>
              <w:spacing w:line="380" w:lineRule="exac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 xml:space="preserve">8、自主可控与知识产权 </w:t>
            </w:r>
          </w:p>
          <w:p w14:paraId="2D284A2D">
            <w:pPr>
              <w:spacing w:line="380" w:lineRule="exac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提供的数据库产品在国产数据库采购目录里，是完全自主可控的产品。核心功能模块源代码自主率 ≥ 95%；</w:t>
            </w:r>
          </w:p>
          <w:p w14:paraId="394FA501">
            <w:pPr>
              <w:spacing w:line="380" w:lineRule="exac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研发过程符合CMMI 5级标准。</w:t>
            </w:r>
          </w:p>
          <w:p w14:paraId="3621BD5F">
            <w:pPr>
              <w:spacing w:line="380" w:lineRule="exac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 xml:space="preserve">9、国密与安全合规 </w:t>
            </w:r>
          </w:p>
          <w:p w14:paraId="3C7761AC">
            <w:pPr>
              <w:spacing w:line="380" w:lineRule="exac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支持SM4国密算法的按列存储加密；按照CMMI5标准设计、研发、发行，支持ODBC 2.x/3.x、JDBC 3.0、OLE DB 2.7、Unix ODBC等标准接口；过国家信息安全等级保护及安全可靠测评（≥Ⅰ级）。</w:t>
            </w:r>
          </w:p>
          <w:p w14:paraId="1B653B68">
            <w:pPr>
              <w:spacing w:line="380" w:lineRule="exact"/>
              <w:rPr>
                <w:rFonts w:ascii="宋体" w:hAnsi="宋体" w:cs="宋体"/>
                <w:color w:val="auto"/>
                <w:kern w:val="0"/>
                <w:szCs w:val="21"/>
                <w:highlight w:val="none"/>
                <w:lang w:bidi="ar"/>
              </w:rPr>
            </w:pPr>
            <w:r>
              <w:rPr>
                <w:rFonts w:ascii="宋体" w:hAnsi="宋体" w:cs="宋体"/>
                <w:color w:val="auto"/>
                <w:kern w:val="0"/>
                <w:szCs w:val="21"/>
                <w:highlight w:val="none"/>
                <w:lang w:bidi="ar"/>
              </w:rPr>
              <w:t>10</w:t>
            </w:r>
            <w:r>
              <w:rPr>
                <w:rFonts w:hint="eastAsia" w:ascii="宋体" w:hAnsi="宋体" w:cs="宋体"/>
                <w:color w:val="auto"/>
                <w:kern w:val="0"/>
                <w:szCs w:val="21"/>
                <w:highlight w:val="none"/>
                <w:lang w:bidi="ar"/>
              </w:rPr>
              <w:t xml:space="preserve">、支持全文检索性能 </w:t>
            </w:r>
          </w:p>
          <w:p w14:paraId="56803370">
            <w:pPr>
              <w:spacing w:line="380" w:lineRule="exac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在1亿条数据规模下： 前模糊、后模糊、前后模糊查询响应时间均 ≤ 1ms。</w:t>
            </w:r>
          </w:p>
          <w:p w14:paraId="42A31F05">
            <w:pPr>
              <w:spacing w:line="380" w:lineRule="exac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三、工程技术与安全保障要求</w:t>
            </w:r>
          </w:p>
          <w:p w14:paraId="468C2CEF">
            <w:pPr>
              <w:spacing w:line="380" w:lineRule="exac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▲（一）部署要求</w:t>
            </w:r>
          </w:p>
          <w:p w14:paraId="2FD50E3A">
            <w:pPr>
              <w:spacing w:line="380" w:lineRule="exac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采用集中式部署模式，统一部署于广西政务云信创专区；</w:t>
            </w:r>
          </w:p>
          <w:p w14:paraId="33894078">
            <w:pPr>
              <w:spacing w:line="380" w:lineRule="exac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所有组件（数据库、中间件、应用）须在信创环境下完成兼容性适配并通过验收测试。</w:t>
            </w:r>
          </w:p>
          <w:p w14:paraId="077ECAA4">
            <w:pPr>
              <w:spacing w:line="380" w:lineRule="exac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（二）性能与可靠性要求</w:t>
            </w:r>
          </w:p>
          <w:p w14:paraId="157BF49F">
            <w:pPr>
              <w:spacing w:line="380" w:lineRule="exac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兼容性保障：完成全链路兼容性测试，确保国产数据库与现有业务逻辑无缝集成，功能100%可用；</w:t>
            </w:r>
          </w:p>
          <w:p w14:paraId="1AB2084D">
            <w:pPr>
              <w:spacing w:line="380" w:lineRule="exac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性能不降反升：迁移后系统关键业务响应时间、并发处理能力、批处理效率等核心指标不得低于原系统，鼓励性能提升；</w:t>
            </w:r>
          </w:p>
          <w:p w14:paraId="3B933496">
            <w:pPr>
              <w:spacing w:line="380" w:lineRule="exac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数据完整性：迁移过程须实现零数据丢失、零逻辑错误、零业务中断，提供完整的数据比对报告。</w:t>
            </w:r>
          </w:p>
          <w:p w14:paraId="660FB84B">
            <w:pPr>
              <w:spacing w:line="380" w:lineRule="exac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▲（三）安全要求</w:t>
            </w:r>
          </w:p>
          <w:p w14:paraId="3A1C05F5">
            <w:pPr>
              <w:spacing w:line="380" w:lineRule="exac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建立覆盖“用户—应用—数据库—网络”四层的安全防护体系；</w:t>
            </w:r>
          </w:p>
          <w:p w14:paraId="3C4B59D6">
            <w:pPr>
              <w:spacing w:line="380" w:lineRule="exac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实现强身份认证、细粒度授权、操作审计日志留存 ≥ 180天；</w:t>
            </w:r>
          </w:p>
          <w:p w14:paraId="04B9E8BB">
            <w:pPr>
              <w:spacing w:line="380" w:lineRule="exac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数据存储与传输须支持国密算法加密；</w:t>
            </w:r>
          </w:p>
          <w:p w14:paraId="5D6D6A89">
            <w:pPr>
              <w:spacing w:line="380" w:lineRule="exac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应用层须具备防范SQL注入、XSS、CSRF、URL重定向钓鱼等常见Web攻击的能力；</w:t>
            </w:r>
          </w:p>
          <w:p w14:paraId="4BE12F82">
            <w:pPr>
              <w:spacing w:line="380" w:lineRule="exac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严格限制非法访问与越权操作，确保数据不被窃取、篡改或破坏。</w:t>
            </w:r>
          </w:p>
          <w:p w14:paraId="51CBE4E7">
            <w:pPr>
              <w:spacing w:line="380" w:lineRule="exac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▲（四）交接要求</w:t>
            </w:r>
          </w:p>
          <w:p w14:paraId="1BA933DF">
            <w:pPr>
              <w:spacing w:line="380" w:lineRule="exact"/>
              <w:rPr>
                <w:color w:val="auto"/>
                <w:szCs w:val="21"/>
                <w:highlight w:val="none"/>
              </w:rPr>
            </w:pPr>
            <w:r>
              <w:rPr>
                <w:rFonts w:hint="eastAsia" w:ascii="宋体" w:hAnsi="宋体" w:cs="宋体"/>
                <w:color w:val="auto"/>
                <w:kern w:val="0"/>
                <w:szCs w:val="21"/>
                <w:highlight w:val="none"/>
                <w:lang w:bidi="ar"/>
              </w:rPr>
              <w:t>项目验收合格后，中标供应商须完成数据库交接。</w:t>
            </w:r>
          </w:p>
        </w:tc>
      </w:tr>
      <w:tr w14:paraId="7564C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9718" w:type="dxa"/>
            <w:gridSpan w:val="4"/>
            <w:tcBorders>
              <w:top w:val="single" w:color="auto" w:sz="4" w:space="0"/>
              <w:left w:val="single" w:color="auto" w:sz="4" w:space="0"/>
              <w:right w:val="single" w:color="auto" w:sz="4" w:space="0"/>
            </w:tcBorders>
            <w:vAlign w:val="center"/>
          </w:tcPr>
          <w:p w14:paraId="1119D9EC">
            <w:pPr>
              <w:spacing w:line="340" w:lineRule="exact"/>
              <w:rPr>
                <w:b/>
                <w:color w:val="auto"/>
                <w:szCs w:val="21"/>
                <w:highlight w:val="none"/>
              </w:rPr>
            </w:pPr>
            <w:r>
              <w:rPr>
                <w:rFonts w:hint="eastAsia" w:ascii="宋体" w:hAnsi="宋体"/>
                <w:b/>
                <w:color w:val="auto"/>
                <w:szCs w:val="21"/>
                <w:highlight w:val="none"/>
              </w:rPr>
              <w:t>商务要求表</w:t>
            </w:r>
          </w:p>
        </w:tc>
      </w:tr>
      <w:tr w14:paraId="6FE65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87" w:type="dxa"/>
            <w:gridSpan w:val="2"/>
            <w:tcBorders>
              <w:top w:val="single" w:color="auto" w:sz="4" w:space="0"/>
              <w:left w:val="single" w:color="auto" w:sz="4" w:space="0"/>
              <w:right w:val="single" w:color="auto" w:sz="4" w:space="0"/>
            </w:tcBorders>
            <w:vAlign w:val="center"/>
          </w:tcPr>
          <w:p w14:paraId="5976E4A5">
            <w:pPr>
              <w:snapToGrid w:val="0"/>
              <w:spacing w:line="340" w:lineRule="exact"/>
              <w:jc w:val="center"/>
              <w:rPr>
                <w:rFonts w:ascii="宋体" w:hAnsi="宋体"/>
                <w:color w:val="auto"/>
                <w:szCs w:val="21"/>
                <w:highlight w:val="none"/>
              </w:rPr>
            </w:pPr>
            <w:r>
              <w:rPr>
                <w:rFonts w:hint="eastAsia" w:ascii="宋体" w:hAnsi="宋体"/>
                <w:color w:val="auto"/>
                <w:szCs w:val="21"/>
                <w:highlight w:val="none"/>
              </w:rPr>
              <w:t>▲服务期限</w:t>
            </w:r>
          </w:p>
        </w:tc>
        <w:tc>
          <w:tcPr>
            <w:tcW w:w="7431" w:type="dxa"/>
            <w:gridSpan w:val="2"/>
            <w:tcBorders>
              <w:top w:val="single" w:color="auto" w:sz="4" w:space="0"/>
              <w:left w:val="single" w:color="auto" w:sz="4" w:space="0"/>
              <w:right w:val="single" w:color="auto" w:sz="4" w:space="0"/>
            </w:tcBorders>
            <w:vAlign w:val="center"/>
          </w:tcPr>
          <w:p w14:paraId="1FC2926A">
            <w:pPr>
              <w:spacing w:line="340" w:lineRule="exact"/>
              <w:rPr>
                <w:color w:val="auto"/>
                <w:szCs w:val="21"/>
                <w:highlight w:val="none"/>
              </w:rPr>
            </w:pPr>
            <w:r>
              <w:rPr>
                <w:rFonts w:hint="eastAsia" w:hAnsi="宋体"/>
                <w:color w:val="auto"/>
                <w:szCs w:val="21"/>
                <w:highlight w:val="none"/>
              </w:rPr>
              <w:t>于2</w:t>
            </w:r>
            <w:r>
              <w:rPr>
                <w:rFonts w:hAnsi="宋体"/>
                <w:color w:val="auto"/>
                <w:szCs w:val="21"/>
                <w:highlight w:val="none"/>
              </w:rPr>
              <w:t>026年</w:t>
            </w:r>
            <w:r>
              <w:rPr>
                <w:rFonts w:hint="eastAsia" w:hAnsi="宋体"/>
                <w:color w:val="auto"/>
                <w:szCs w:val="21"/>
                <w:highlight w:val="none"/>
              </w:rPr>
              <w:t>1</w:t>
            </w:r>
            <w:r>
              <w:rPr>
                <w:rFonts w:hAnsi="宋体"/>
                <w:color w:val="auto"/>
                <w:szCs w:val="21"/>
                <w:highlight w:val="none"/>
              </w:rPr>
              <w:t>2月底前完成数据库适配，并移交数据库资产。自完成适配后，免费运维服务一年。</w:t>
            </w:r>
          </w:p>
        </w:tc>
      </w:tr>
      <w:tr w14:paraId="74D33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87" w:type="dxa"/>
            <w:gridSpan w:val="2"/>
            <w:tcBorders>
              <w:top w:val="single" w:color="auto" w:sz="4" w:space="0"/>
              <w:left w:val="single" w:color="auto" w:sz="4" w:space="0"/>
              <w:right w:val="single" w:color="auto" w:sz="4" w:space="0"/>
            </w:tcBorders>
            <w:vAlign w:val="center"/>
          </w:tcPr>
          <w:p w14:paraId="68FB2A94">
            <w:pPr>
              <w:tabs>
                <w:tab w:val="left" w:pos="180"/>
                <w:tab w:val="left" w:pos="1620"/>
              </w:tabs>
              <w:spacing w:line="400" w:lineRule="exact"/>
              <w:jc w:val="center"/>
              <w:rPr>
                <w:rFonts w:ascii="宋体" w:hAnsi="宋体"/>
                <w:color w:val="auto"/>
                <w:szCs w:val="21"/>
                <w:highlight w:val="none"/>
              </w:rPr>
            </w:pPr>
            <w:r>
              <w:rPr>
                <w:rFonts w:hint="eastAsia" w:ascii="宋体" w:hAnsi="宋体"/>
                <w:color w:val="auto"/>
                <w:szCs w:val="21"/>
                <w:highlight w:val="none"/>
              </w:rPr>
              <w:t>合同签订期</w:t>
            </w:r>
          </w:p>
        </w:tc>
        <w:tc>
          <w:tcPr>
            <w:tcW w:w="7431" w:type="dxa"/>
            <w:gridSpan w:val="2"/>
            <w:tcBorders>
              <w:top w:val="single" w:color="auto" w:sz="4" w:space="0"/>
              <w:left w:val="single" w:color="auto" w:sz="4" w:space="0"/>
              <w:right w:val="single" w:color="auto" w:sz="4" w:space="0"/>
            </w:tcBorders>
            <w:vAlign w:val="center"/>
          </w:tcPr>
          <w:p w14:paraId="08CAB345">
            <w:pPr>
              <w:tabs>
                <w:tab w:val="left" w:pos="180"/>
                <w:tab w:val="left" w:pos="1620"/>
              </w:tabs>
              <w:spacing w:line="400" w:lineRule="exact"/>
              <w:jc w:val="left"/>
              <w:rPr>
                <w:rFonts w:ascii="宋体" w:hAnsi="宋体"/>
                <w:color w:val="auto"/>
                <w:szCs w:val="21"/>
                <w:highlight w:val="none"/>
              </w:rPr>
            </w:pPr>
            <w:r>
              <w:rPr>
                <w:rFonts w:hint="eastAsia" w:ascii="宋体" w:hAnsi="宋体"/>
                <w:color w:val="auto"/>
                <w:szCs w:val="21"/>
                <w:highlight w:val="none"/>
              </w:rPr>
              <w:t>自中标通知书发出之日起25日内。</w:t>
            </w:r>
          </w:p>
        </w:tc>
      </w:tr>
      <w:tr w14:paraId="1FF89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2287" w:type="dxa"/>
            <w:gridSpan w:val="2"/>
            <w:tcBorders>
              <w:top w:val="single" w:color="auto" w:sz="4" w:space="0"/>
              <w:left w:val="single" w:color="auto" w:sz="4" w:space="0"/>
              <w:right w:val="single" w:color="auto" w:sz="4" w:space="0"/>
            </w:tcBorders>
            <w:vAlign w:val="center"/>
          </w:tcPr>
          <w:p w14:paraId="69BE8331">
            <w:pPr>
              <w:snapToGrid w:val="0"/>
              <w:spacing w:line="380" w:lineRule="exact"/>
              <w:jc w:val="center"/>
              <w:rPr>
                <w:rFonts w:ascii="宋体" w:hAnsi="宋体"/>
                <w:color w:val="auto"/>
                <w:szCs w:val="21"/>
                <w:highlight w:val="none"/>
              </w:rPr>
            </w:pPr>
            <w:r>
              <w:rPr>
                <w:rFonts w:hint="eastAsia" w:ascii="宋体" w:hAnsi="宋体"/>
                <w:color w:val="auto"/>
                <w:szCs w:val="21"/>
                <w:highlight w:val="none"/>
              </w:rPr>
              <w:t>▲服务地点</w:t>
            </w:r>
          </w:p>
        </w:tc>
        <w:tc>
          <w:tcPr>
            <w:tcW w:w="7431" w:type="dxa"/>
            <w:gridSpan w:val="2"/>
            <w:tcBorders>
              <w:top w:val="single" w:color="auto" w:sz="4" w:space="0"/>
              <w:left w:val="single" w:color="auto" w:sz="4" w:space="0"/>
              <w:right w:val="single" w:color="auto" w:sz="4" w:space="0"/>
            </w:tcBorders>
            <w:vAlign w:val="center"/>
          </w:tcPr>
          <w:p w14:paraId="11E2682B">
            <w:pPr>
              <w:spacing w:line="380" w:lineRule="exact"/>
              <w:rPr>
                <w:color w:val="auto"/>
                <w:szCs w:val="21"/>
                <w:highlight w:val="none"/>
              </w:rPr>
            </w:pPr>
            <w:r>
              <w:rPr>
                <w:rFonts w:hint="eastAsia" w:ascii="宋体" w:hAnsi="宋体"/>
                <w:color w:val="auto"/>
                <w:szCs w:val="21"/>
                <w:highlight w:val="none"/>
              </w:rPr>
              <w:t>广西区内（采购人指定地点）</w:t>
            </w:r>
          </w:p>
        </w:tc>
      </w:tr>
      <w:tr w14:paraId="20285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jc w:val="center"/>
        </w:trPr>
        <w:tc>
          <w:tcPr>
            <w:tcW w:w="2287" w:type="dxa"/>
            <w:gridSpan w:val="2"/>
            <w:tcBorders>
              <w:top w:val="single" w:color="auto" w:sz="4" w:space="0"/>
              <w:left w:val="single" w:color="auto" w:sz="4" w:space="0"/>
              <w:right w:val="single" w:color="auto" w:sz="4" w:space="0"/>
            </w:tcBorders>
            <w:vAlign w:val="center"/>
          </w:tcPr>
          <w:p w14:paraId="00852DA8">
            <w:pPr>
              <w:snapToGrid w:val="0"/>
              <w:spacing w:line="340" w:lineRule="exact"/>
              <w:jc w:val="center"/>
              <w:rPr>
                <w:rFonts w:ascii="宋体" w:hAnsi="宋体"/>
                <w:color w:val="auto"/>
                <w:szCs w:val="21"/>
                <w:highlight w:val="none"/>
              </w:rPr>
            </w:pPr>
            <w:r>
              <w:rPr>
                <w:rFonts w:hint="eastAsia" w:ascii="宋体" w:hAnsi="宋体"/>
                <w:color w:val="auto"/>
                <w:szCs w:val="21"/>
                <w:highlight w:val="none"/>
              </w:rPr>
              <w:t>▲付款条件</w:t>
            </w:r>
          </w:p>
        </w:tc>
        <w:tc>
          <w:tcPr>
            <w:tcW w:w="7431" w:type="dxa"/>
            <w:gridSpan w:val="2"/>
            <w:tcBorders>
              <w:top w:val="single" w:color="auto" w:sz="4" w:space="0"/>
              <w:left w:val="single" w:color="auto" w:sz="4" w:space="0"/>
              <w:right w:val="single" w:color="auto" w:sz="4" w:space="0"/>
            </w:tcBorders>
            <w:vAlign w:val="center"/>
          </w:tcPr>
          <w:p w14:paraId="1163A44F">
            <w:pPr>
              <w:spacing w:line="360" w:lineRule="auto"/>
              <w:rPr>
                <w:color w:val="auto"/>
                <w:szCs w:val="21"/>
                <w:highlight w:val="none"/>
              </w:rPr>
            </w:pPr>
            <w:r>
              <w:rPr>
                <w:rFonts w:hint="eastAsia" w:ascii="宋体" w:hAnsi="宋体"/>
                <w:color w:val="auto"/>
                <w:szCs w:val="21"/>
                <w:highlight w:val="none"/>
              </w:rPr>
              <w:t>签订合同后十五个工作日内，采购人向中标供应商支付全部合同金额的50%；签订合同2个月后支付合同款的4</w:t>
            </w:r>
            <w:r>
              <w:rPr>
                <w:rFonts w:ascii="宋体" w:hAnsi="宋体"/>
                <w:color w:val="auto"/>
                <w:szCs w:val="21"/>
                <w:highlight w:val="none"/>
              </w:rPr>
              <w:t>0%，</w:t>
            </w:r>
            <w:r>
              <w:rPr>
                <w:rFonts w:hint="eastAsia" w:ascii="宋体" w:hAnsi="宋体"/>
                <w:color w:val="auto"/>
                <w:szCs w:val="21"/>
                <w:highlight w:val="none"/>
              </w:rPr>
              <w:t>完成验收后二十个工作日内，采购人向中标供应商支付全部合同款的</w:t>
            </w:r>
            <w:r>
              <w:rPr>
                <w:rFonts w:ascii="宋体" w:hAnsi="宋体"/>
                <w:color w:val="auto"/>
                <w:szCs w:val="21"/>
                <w:highlight w:val="none"/>
              </w:rPr>
              <w:t>1</w:t>
            </w:r>
            <w:r>
              <w:rPr>
                <w:rFonts w:hint="eastAsia" w:ascii="宋体" w:hAnsi="宋体"/>
                <w:color w:val="auto"/>
                <w:szCs w:val="21"/>
                <w:highlight w:val="none"/>
              </w:rPr>
              <w:t>0%。采购人付款前，中标供应商应向采购人开具等额有效的增值税发票，采购人未收到发票的，有权不予支付相应款项直至中标供应商提供合格发票，并不承担延迟付款责任。</w:t>
            </w:r>
          </w:p>
        </w:tc>
      </w:tr>
      <w:tr w14:paraId="2F525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287" w:type="dxa"/>
            <w:gridSpan w:val="2"/>
            <w:tcBorders>
              <w:top w:val="single" w:color="auto" w:sz="4" w:space="0"/>
              <w:left w:val="single" w:color="auto" w:sz="4" w:space="0"/>
              <w:bottom w:val="single" w:color="auto" w:sz="4" w:space="0"/>
              <w:right w:val="single" w:color="auto" w:sz="4" w:space="0"/>
            </w:tcBorders>
            <w:vAlign w:val="center"/>
          </w:tcPr>
          <w:p w14:paraId="3850C6BC">
            <w:pPr>
              <w:snapToGrid w:val="0"/>
              <w:spacing w:line="340" w:lineRule="exact"/>
              <w:jc w:val="center"/>
              <w:rPr>
                <w:rFonts w:ascii="宋体" w:hAnsi="宋体"/>
                <w:color w:val="auto"/>
                <w:szCs w:val="21"/>
                <w:highlight w:val="none"/>
              </w:rPr>
            </w:pPr>
            <w:r>
              <w:rPr>
                <w:rFonts w:hint="eastAsia" w:ascii="宋体" w:hAnsi="宋体"/>
                <w:color w:val="auto"/>
                <w:szCs w:val="21"/>
                <w:highlight w:val="none"/>
              </w:rPr>
              <w:t>报价要求</w:t>
            </w:r>
          </w:p>
        </w:tc>
        <w:tc>
          <w:tcPr>
            <w:tcW w:w="7431" w:type="dxa"/>
            <w:gridSpan w:val="2"/>
            <w:tcBorders>
              <w:top w:val="single" w:color="auto" w:sz="4" w:space="0"/>
              <w:left w:val="single" w:color="auto" w:sz="4" w:space="0"/>
              <w:bottom w:val="single" w:color="auto" w:sz="4" w:space="0"/>
              <w:right w:val="single" w:color="auto" w:sz="4" w:space="0"/>
            </w:tcBorders>
            <w:vAlign w:val="center"/>
          </w:tcPr>
          <w:p w14:paraId="71CF7CC1">
            <w:pPr>
              <w:spacing w:line="400" w:lineRule="exact"/>
              <w:rPr>
                <w:color w:val="auto"/>
                <w:szCs w:val="21"/>
                <w:highlight w:val="none"/>
              </w:rPr>
            </w:pPr>
            <w:r>
              <w:rPr>
                <w:rFonts w:hint="eastAsia" w:ascii="宋体" w:hAnsi="宋体"/>
                <w:color w:val="auto"/>
                <w:szCs w:val="21"/>
                <w:highlight w:val="none"/>
              </w:rPr>
              <w:t>本项目报价为总包干价。</w:t>
            </w:r>
            <w:r>
              <w:rPr>
                <w:rFonts w:hint="eastAsia"/>
                <w:color w:val="auto"/>
                <w:szCs w:val="21"/>
                <w:highlight w:val="none"/>
              </w:rPr>
              <w:t>报价包含本项目所有服务内容、</w:t>
            </w:r>
            <w:r>
              <w:rPr>
                <w:rFonts w:hint="eastAsia" w:ascii="宋体" w:hAnsi="宋体" w:cs="宋体"/>
                <w:color w:val="auto"/>
                <w:szCs w:val="21"/>
                <w:highlight w:val="none"/>
              </w:rPr>
              <w:t>服务中包含货物</w:t>
            </w:r>
            <w:r>
              <w:rPr>
                <w:rFonts w:hint="eastAsia"/>
                <w:color w:val="auto"/>
                <w:szCs w:val="21"/>
                <w:highlight w:val="none"/>
              </w:rPr>
              <w:t>所涉及的设备、备品备件、标准附件、专用工具、人员薪酬、交通费、安装、调试、技术支持、培训、检测检验、必要的保费、各项税费、招标代理服务费及其它所有成本费用的总和。</w:t>
            </w:r>
            <w:r>
              <w:rPr>
                <w:rFonts w:hint="eastAsia" w:ascii="宋体" w:hAnsi="宋体" w:cs="宋体"/>
                <w:color w:val="auto"/>
                <w:szCs w:val="21"/>
                <w:highlight w:val="none"/>
              </w:rPr>
              <w:t>由供应商根据采购文件所提供的资料自行测算投标报价；一经中标，投标报价总价作为中标供应商与采购人签订的合同金额，合同期限内不做调整。</w:t>
            </w:r>
          </w:p>
        </w:tc>
      </w:tr>
      <w:tr w14:paraId="55EB2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87" w:type="dxa"/>
            <w:gridSpan w:val="2"/>
            <w:tcBorders>
              <w:top w:val="single" w:color="auto" w:sz="4" w:space="0"/>
              <w:left w:val="single" w:color="auto" w:sz="4" w:space="0"/>
              <w:right w:val="single" w:color="auto" w:sz="4" w:space="0"/>
            </w:tcBorders>
            <w:vAlign w:val="center"/>
          </w:tcPr>
          <w:p w14:paraId="37FF2054">
            <w:pPr>
              <w:snapToGrid w:val="0"/>
              <w:spacing w:line="380" w:lineRule="exact"/>
              <w:jc w:val="center"/>
              <w:rPr>
                <w:rFonts w:ascii="宋体" w:hAnsi="宋体"/>
                <w:color w:val="auto"/>
                <w:szCs w:val="21"/>
                <w:highlight w:val="none"/>
              </w:rPr>
            </w:pPr>
            <w:r>
              <w:rPr>
                <w:rFonts w:hint="eastAsia" w:ascii="宋体" w:hAnsi="宋体"/>
                <w:color w:val="auto"/>
                <w:szCs w:val="21"/>
                <w:highlight w:val="none"/>
              </w:rPr>
              <w:t>其它要求</w:t>
            </w:r>
          </w:p>
        </w:tc>
        <w:tc>
          <w:tcPr>
            <w:tcW w:w="7431" w:type="dxa"/>
            <w:gridSpan w:val="2"/>
            <w:tcBorders>
              <w:top w:val="single" w:color="auto" w:sz="4" w:space="0"/>
              <w:left w:val="single" w:color="auto" w:sz="4" w:space="0"/>
              <w:right w:val="single" w:color="auto" w:sz="4" w:space="0"/>
            </w:tcBorders>
            <w:vAlign w:val="center"/>
          </w:tcPr>
          <w:p w14:paraId="01A06D81">
            <w:pPr>
              <w:spacing w:line="340" w:lineRule="exact"/>
              <w:rPr>
                <w:rFonts w:ascii="宋体" w:hAnsi="宋体" w:cs="宋体"/>
                <w:color w:val="auto"/>
                <w:szCs w:val="21"/>
                <w:highlight w:val="none"/>
              </w:rPr>
            </w:pPr>
            <w:r>
              <w:rPr>
                <w:rFonts w:hint="eastAsia" w:ascii="宋体" w:hAnsi="宋体" w:cs="宋体"/>
                <w:color w:val="auto"/>
                <w:szCs w:val="21"/>
                <w:highlight w:val="none"/>
              </w:rPr>
              <w:t>（一）服务质量要求</w:t>
            </w:r>
          </w:p>
          <w:p w14:paraId="34097C67">
            <w:pPr>
              <w:spacing w:line="340" w:lineRule="exact"/>
              <w:rPr>
                <w:rFonts w:ascii="宋体" w:hAnsi="宋体" w:cs="宋体"/>
                <w:color w:val="auto"/>
                <w:szCs w:val="21"/>
                <w:highlight w:val="none"/>
              </w:rPr>
            </w:pPr>
            <w:r>
              <w:rPr>
                <w:rFonts w:hint="eastAsia" w:ascii="宋体" w:hAnsi="宋体" w:cs="宋体"/>
                <w:color w:val="auto"/>
                <w:szCs w:val="21"/>
                <w:highlight w:val="none"/>
              </w:rPr>
              <w:t>▲1、投标人具备相关信息化系统的开发和运行维护经验。。</w:t>
            </w:r>
          </w:p>
          <w:p w14:paraId="116AB688">
            <w:pPr>
              <w:spacing w:line="340" w:lineRule="exact"/>
              <w:rPr>
                <w:rFonts w:ascii="宋体" w:hAnsi="宋体" w:cs="宋体"/>
                <w:color w:val="auto"/>
                <w:szCs w:val="21"/>
                <w:highlight w:val="none"/>
              </w:rPr>
            </w:pPr>
            <w:r>
              <w:rPr>
                <w:rFonts w:hint="eastAsia" w:ascii="宋体" w:hAnsi="宋体" w:cs="宋体"/>
                <w:color w:val="auto"/>
                <w:szCs w:val="21"/>
                <w:highlight w:val="none"/>
              </w:rPr>
              <w:t>2、投标人承诺中标后能为本项目提供本地化服务的能力，并在广西设有本地化的服务团队（如已具备本地化能力，投标文件中提供地址、服务团队名单、联系方式；未设立的则在投标文件中提供承诺函（格式自拟））。</w:t>
            </w:r>
          </w:p>
          <w:p w14:paraId="356398BD">
            <w:pPr>
              <w:spacing w:line="340" w:lineRule="exact"/>
              <w:rPr>
                <w:rFonts w:ascii="宋体" w:hAnsi="宋体" w:cs="宋体"/>
                <w:color w:val="auto"/>
                <w:szCs w:val="21"/>
                <w:highlight w:val="none"/>
              </w:rPr>
            </w:pPr>
            <w:r>
              <w:rPr>
                <w:rFonts w:hint="eastAsia" w:ascii="宋体" w:hAnsi="宋体" w:cs="宋体"/>
                <w:color w:val="auto"/>
                <w:kern w:val="0"/>
                <w:szCs w:val="21"/>
                <w:highlight w:val="none"/>
                <w:lang w:bidi="ar"/>
              </w:rPr>
              <w:t>3、提供软件的日常运维服务，包括：软件在安装、调试、故障清除、优化配置、软件接口优化、数据库维护、数据备份、对系统进行的功能完善及系统软件优化，提供应用软件系统故障、数据备份及管理、技术业务支持、应用软件日常功能修改、灾后数据恢复以及软件日常升级服务、数据规范和处理、系统性能优化、应用服务维护、与各有关单位数据交换及维护服务。根据要求出具系统月度运行情况月报和系统演示支持。面向管理部门提供</w:t>
            </w:r>
            <w:r>
              <w:rPr>
                <w:rFonts w:hint="eastAsia" w:ascii="宋体" w:hAnsi="宋体" w:cs="宋体"/>
                <w:bCs/>
                <w:color w:val="auto"/>
                <w:szCs w:val="21"/>
                <w:highlight w:val="none"/>
              </w:rPr>
              <w:t>。</w:t>
            </w:r>
            <w:r>
              <w:rPr>
                <w:rFonts w:hint="eastAsia" w:ascii="宋体" w:hAnsi="宋体" w:cs="宋体"/>
                <w:color w:val="auto"/>
                <w:kern w:val="0"/>
                <w:szCs w:val="21"/>
                <w:highlight w:val="none"/>
                <w:lang w:bidi="ar"/>
              </w:rPr>
              <w:t>7*24小时的热线电话技术支持服务。</w:t>
            </w:r>
          </w:p>
          <w:p w14:paraId="77FE1B25">
            <w:pPr>
              <w:spacing w:line="360" w:lineRule="auto"/>
              <w:rPr>
                <w:rFonts w:ascii="宋体" w:hAnsi="宋体" w:cs="宋体"/>
                <w:color w:val="auto"/>
                <w:szCs w:val="21"/>
                <w:highlight w:val="none"/>
              </w:rPr>
            </w:pPr>
            <w:r>
              <w:rPr>
                <w:rFonts w:hint="eastAsia" w:ascii="宋体" w:hAnsi="宋体" w:cs="宋体"/>
                <w:color w:val="auto"/>
                <w:szCs w:val="21"/>
                <w:highlight w:val="none"/>
              </w:rPr>
              <w:t>4、投标人应建立规范的内部管理制度。严格管理专职专业技术人员，保证服务态度良好、问题解决及时、重大问题及时反馈、运维记录详细。</w:t>
            </w:r>
          </w:p>
          <w:p w14:paraId="7B37D2C8">
            <w:pPr>
              <w:spacing w:line="360" w:lineRule="auto"/>
              <w:rPr>
                <w:rFonts w:ascii="宋体" w:hAnsi="宋体" w:cs="宋体"/>
                <w:color w:val="auto"/>
                <w:szCs w:val="21"/>
                <w:highlight w:val="none"/>
              </w:rPr>
            </w:pPr>
            <w:r>
              <w:rPr>
                <w:rFonts w:hint="eastAsia" w:ascii="宋体" w:hAnsi="宋体" w:cs="宋体"/>
                <w:color w:val="auto"/>
                <w:szCs w:val="21"/>
                <w:highlight w:val="none"/>
              </w:rPr>
              <w:t>5、投标人应建立常见系统故障应急预案，以便出现问题后，及时作出响应，降低事故后果。</w:t>
            </w:r>
          </w:p>
          <w:p w14:paraId="71F937DF">
            <w:pPr>
              <w:spacing w:line="360" w:lineRule="auto"/>
              <w:rPr>
                <w:rFonts w:ascii="宋体" w:hAnsi="宋体" w:cs="宋体"/>
                <w:color w:val="auto"/>
                <w:szCs w:val="21"/>
                <w:highlight w:val="none"/>
              </w:rPr>
            </w:pPr>
            <w:r>
              <w:rPr>
                <w:rFonts w:hint="eastAsia" w:ascii="宋体" w:hAnsi="宋体" w:cs="宋体"/>
                <w:color w:val="auto"/>
                <w:szCs w:val="21"/>
                <w:highlight w:val="none"/>
              </w:rPr>
              <w:t>6、投标人有义务对专职专业技术人员进行岗前操作培训，以便更好地掌握平台运维技能。</w:t>
            </w:r>
          </w:p>
          <w:p w14:paraId="2D04E647">
            <w:pPr>
              <w:spacing w:line="360" w:lineRule="auto"/>
              <w:rPr>
                <w:rFonts w:ascii="宋体" w:hAnsi="宋体" w:cs="宋体"/>
                <w:color w:val="auto"/>
                <w:szCs w:val="21"/>
                <w:highlight w:val="none"/>
              </w:rPr>
            </w:pPr>
            <w:r>
              <w:rPr>
                <w:rFonts w:hint="eastAsia" w:ascii="宋体" w:hAnsi="宋体" w:cs="宋体"/>
                <w:color w:val="auto"/>
                <w:szCs w:val="21"/>
                <w:highlight w:val="none"/>
              </w:rPr>
              <w:t>7、当出现系统崩溃导致业务停止、数据丢失等系统故障时，投标人必须在10分钟内进行响应，2小时内提出处理方案，12小时内解决故障。</w:t>
            </w:r>
          </w:p>
          <w:p w14:paraId="5EA4CEE8">
            <w:pPr>
              <w:spacing w:line="360" w:lineRule="auto"/>
              <w:rPr>
                <w:rFonts w:ascii="宋体" w:hAnsi="宋体" w:cs="宋体"/>
                <w:color w:val="auto"/>
                <w:szCs w:val="21"/>
                <w:highlight w:val="none"/>
              </w:rPr>
            </w:pPr>
            <w:r>
              <w:rPr>
                <w:rFonts w:hint="eastAsia" w:ascii="宋体" w:hAnsi="宋体" w:cs="宋体"/>
                <w:color w:val="auto"/>
                <w:szCs w:val="21"/>
                <w:highlight w:val="none"/>
              </w:rPr>
              <w:t>（二）服务规范要求</w:t>
            </w:r>
          </w:p>
          <w:p w14:paraId="58AD462B">
            <w:pPr>
              <w:spacing w:line="360" w:lineRule="auto"/>
              <w:rPr>
                <w:rFonts w:ascii="宋体" w:hAnsi="宋体" w:cs="宋体"/>
                <w:color w:val="auto"/>
                <w:szCs w:val="21"/>
                <w:highlight w:val="none"/>
              </w:rPr>
            </w:pPr>
            <w:r>
              <w:rPr>
                <w:rFonts w:hint="eastAsia" w:ascii="宋体" w:hAnsi="宋体" w:cs="宋体"/>
                <w:color w:val="auto"/>
                <w:szCs w:val="21"/>
                <w:highlight w:val="none"/>
              </w:rPr>
              <w:t>1、遵守用户的规章制度，严格按照规章制度办事。</w:t>
            </w:r>
          </w:p>
          <w:p w14:paraId="445308F0">
            <w:pPr>
              <w:spacing w:line="360" w:lineRule="auto"/>
              <w:rPr>
                <w:rFonts w:ascii="宋体" w:hAnsi="宋体" w:cs="宋体"/>
                <w:color w:val="auto"/>
                <w:szCs w:val="21"/>
                <w:highlight w:val="none"/>
              </w:rPr>
            </w:pPr>
            <w:r>
              <w:rPr>
                <w:rFonts w:hint="eastAsia" w:ascii="宋体" w:hAnsi="宋体" w:cs="宋体"/>
                <w:color w:val="auto"/>
                <w:szCs w:val="21"/>
                <w:highlight w:val="none"/>
              </w:rPr>
              <w:t>2、对被支持单位的网络、主机、系统软件、应用软件等的密码、核心参数、业务数据等负有保密责任，不得随意复制和传播。</w:t>
            </w:r>
          </w:p>
          <w:p w14:paraId="1A6BE731">
            <w:pPr>
              <w:spacing w:line="360" w:lineRule="auto"/>
              <w:rPr>
                <w:rFonts w:ascii="宋体" w:hAnsi="宋体" w:cs="宋体"/>
                <w:color w:val="auto"/>
                <w:szCs w:val="21"/>
                <w:highlight w:val="none"/>
              </w:rPr>
            </w:pPr>
            <w:r>
              <w:rPr>
                <w:rFonts w:hint="eastAsia" w:ascii="宋体" w:hAnsi="宋体" w:cs="宋体"/>
                <w:color w:val="auto"/>
                <w:szCs w:val="21"/>
                <w:highlight w:val="none"/>
              </w:rPr>
              <w:t>3、严格按照服务工作流程规范进行日常工作，如果发生由于日常工作遗漏和疏忽导致业户的数据丢失或被攻击、未授权的配置变更等影响业主业务正常开展的情况，将根据情节严重对相关责任人进行相应的处罚。</w:t>
            </w:r>
          </w:p>
          <w:p w14:paraId="41F69CA1">
            <w:pPr>
              <w:spacing w:line="360" w:lineRule="auto"/>
              <w:rPr>
                <w:rFonts w:ascii="宋体" w:hAnsi="宋体" w:cs="宋体"/>
                <w:color w:val="auto"/>
                <w:szCs w:val="21"/>
                <w:highlight w:val="none"/>
              </w:rPr>
            </w:pPr>
            <w:r>
              <w:rPr>
                <w:rFonts w:hint="eastAsia" w:ascii="宋体" w:hAnsi="宋体" w:cs="宋体"/>
                <w:color w:val="auto"/>
                <w:szCs w:val="21"/>
                <w:highlight w:val="none"/>
              </w:rPr>
              <w:t>4、服务期间须按照国家网络安全及信息保密安全有关管理规定做好网络安全保密工作。指定具体网络安全责任人，建立管理技术团队负责项目实施过程中的网络安全管理。网络安全责任人及工作人员有变更、乙方工作人员有业务转型或乙方因自身原因有合并重组等的须提前向甲方进行书面说明，未经甲方同意，乙方不得私自将在甲方工作期间的项目任务进行分包、转包。中标供应商必须承担为采购人保守相关保密信息的义务和责任，包括以下内容：中标供应商应严格控制了解项目关键资料的人员范围，对参与项目运维的有关工作人员要明确保密责任，严格保密纪律，不得泄漏、使用系统数据信息用于其他用途。</w:t>
            </w:r>
          </w:p>
          <w:p w14:paraId="39D0ED19">
            <w:pPr>
              <w:spacing w:line="360" w:lineRule="auto"/>
              <w:rPr>
                <w:rFonts w:ascii="宋体" w:hAnsi="宋体" w:cs="宋体"/>
                <w:color w:val="auto"/>
                <w:szCs w:val="21"/>
                <w:highlight w:val="none"/>
              </w:rPr>
            </w:pPr>
            <w:r>
              <w:rPr>
                <w:rFonts w:hint="eastAsia" w:ascii="宋体" w:hAnsi="宋体" w:cs="宋体"/>
                <w:color w:val="auto"/>
                <w:szCs w:val="21"/>
                <w:highlight w:val="none"/>
              </w:rPr>
              <w:t>5、服务期间涉及的政务数据和其他数据须分开处理，不得私自将工作中处理的数据进行变更处理。中标人在服务期间处理数据，涉及到个人信息时，须按照国家个人信息保护相关管理规定，做好数据处理存储工作。采购人具有所有权、使用权和访问权，中标人不得私自更改、访问、利用和销毁服务期间涉及到的政务数据信息。</w:t>
            </w:r>
          </w:p>
          <w:p w14:paraId="6575C23E">
            <w:pPr>
              <w:spacing w:line="360" w:lineRule="auto"/>
              <w:rPr>
                <w:rFonts w:ascii="宋体" w:hAnsi="宋体"/>
                <w:color w:val="auto"/>
                <w:szCs w:val="21"/>
                <w:highlight w:val="none"/>
              </w:rPr>
            </w:pPr>
            <w:r>
              <w:rPr>
                <w:rFonts w:hint="eastAsia" w:ascii="宋体" w:hAnsi="宋体" w:cs="宋体"/>
                <w:color w:val="auto"/>
                <w:szCs w:val="21"/>
                <w:highlight w:val="none"/>
              </w:rPr>
              <w:t>6、做好网络安全漏洞检查，</w:t>
            </w:r>
            <w:r>
              <w:rPr>
                <w:rFonts w:hint="eastAsia" w:ascii="宋体" w:hAnsi="宋体"/>
                <w:color w:val="auto"/>
                <w:szCs w:val="21"/>
                <w:highlight w:val="none"/>
              </w:rPr>
              <w:t>如定期修改系统管理员密码，提醒用户及时更新密码，加强访问控制等措施，提升系统抵抗外部攻击能力，确保系统安全可靠运行。配合采购人做好网络安全应急事件处置、定期做好漏洞修复等管理维护工作。</w:t>
            </w:r>
          </w:p>
          <w:p w14:paraId="448F9F9B">
            <w:pPr>
              <w:spacing w:line="360" w:lineRule="auto"/>
              <w:rPr>
                <w:rFonts w:ascii="宋体" w:hAnsi="宋体" w:cs="宋体"/>
                <w:bCs/>
                <w:color w:val="auto"/>
                <w:szCs w:val="21"/>
                <w:highlight w:val="none"/>
              </w:rPr>
            </w:pPr>
            <w:r>
              <w:rPr>
                <w:rFonts w:hint="eastAsia" w:ascii="宋体" w:hAnsi="宋体"/>
                <w:color w:val="auto"/>
                <w:szCs w:val="21"/>
                <w:highlight w:val="none"/>
              </w:rPr>
              <w:t>通过数据在应用和传输过程中可能涉及到的数据质量问题，按照相关标准和规范进行维护和整理，保障数据质量，确保数据满足采购方业务需求。</w:t>
            </w:r>
            <w:r>
              <w:rPr>
                <w:rFonts w:hint="eastAsia" w:ascii="宋体" w:hAnsi="宋体" w:cs="宋体"/>
                <w:color w:val="auto"/>
                <w:szCs w:val="21"/>
                <w:highlight w:val="none"/>
              </w:rPr>
              <w:t>发现安全漏洞、缺陷及安全风险须及时通报，并形成报告向区网信、公安部门报告，安全漏洞未经网信、公安部门同意，不得向第三人公开。</w:t>
            </w:r>
          </w:p>
          <w:p w14:paraId="74FEA52A">
            <w:pPr>
              <w:spacing w:line="360" w:lineRule="auto"/>
              <w:rPr>
                <w:rFonts w:ascii="宋体" w:hAnsi="宋体" w:cs="宋体"/>
                <w:color w:val="auto"/>
                <w:szCs w:val="21"/>
                <w:highlight w:val="none"/>
              </w:rPr>
            </w:pPr>
            <w:r>
              <w:rPr>
                <w:rFonts w:hint="eastAsia" w:ascii="宋体" w:hAnsi="宋体" w:cs="宋体"/>
                <w:color w:val="auto"/>
                <w:szCs w:val="21"/>
                <w:highlight w:val="none"/>
              </w:rPr>
              <w:t>7、处理数据时优先使用国产安全可信的硬件软件产品，按照国家和自治区各项要求配合采购人完成相应的国产化服务。硬软件信息系统须按照国家密码管理要求设置不限于数字字母特殊字符组合的强口令的密码。</w:t>
            </w:r>
          </w:p>
          <w:p w14:paraId="0208B2EC">
            <w:pPr>
              <w:spacing w:line="360" w:lineRule="auto"/>
              <w:rPr>
                <w:color w:val="auto"/>
                <w:szCs w:val="21"/>
                <w:highlight w:val="none"/>
              </w:rPr>
            </w:pPr>
            <w:r>
              <w:rPr>
                <w:rFonts w:hint="eastAsia" w:ascii="宋体" w:hAnsi="宋体" w:cs="宋体"/>
                <w:color w:val="auto"/>
                <w:szCs w:val="21"/>
                <w:highlight w:val="none"/>
              </w:rPr>
              <w:t>▲8、中标人必须与采购人签订保密协议。</w:t>
            </w:r>
          </w:p>
        </w:tc>
      </w:tr>
    </w:tbl>
    <w:p w14:paraId="24CC9B80">
      <w:pPr>
        <w:spacing w:line="400" w:lineRule="exact"/>
        <w:ind w:firstLine="308" w:firstLineChars="147"/>
        <w:jc w:val="left"/>
        <w:rPr>
          <w:rFonts w:ascii="宋体" w:hAnsi="宋体" w:cs="Arial"/>
          <w:bCs/>
          <w:color w:val="auto"/>
          <w:szCs w:val="21"/>
          <w:highlight w:val="none"/>
          <w:u w:val="single"/>
        </w:rPr>
      </w:pPr>
      <w:r>
        <w:rPr>
          <w:rFonts w:ascii="宋体" w:hAnsi="宋体" w:cs="宋体"/>
          <w:color w:val="auto"/>
          <w:szCs w:val="21"/>
          <w:highlight w:val="none"/>
        </w:rPr>
        <w:br w:type="page"/>
      </w:r>
      <w:r>
        <w:rPr>
          <w:rFonts w:hint="eastAsia" w:ascii="宋体" w:hAnsi="宋体" w:cs="Arial"/>
          <w:b/>
          <w:color w:val="auto"/>
          <w:szCs w:val="21"/>
          <w:highlight w:val="none"/>
          <w:u w:val="single"/>
        </w:rPr>
        <w:t xml:space="preserve">8 </w:t>
      </w:r>
      <w:r>
        <w:rPr>
          <w:rFonts w:hint="eastAsia" w:ascii="宋体" w:hAnsi="宋体"/>
          <w:b/>
          <w:color w:val="auto"/>
          <w:szCs w:val="21"/>
          <w:highlight w:val="none"/>
        </w:rPr>
        <w:t>分标      采购预算：</w:t>
      </w:r>
      <w:r>
        <w:rPr>
          <w:rFonts w:hint="eastAsia" w:ascii="宋体" w:hAnsi="宋体" w:cs="Arial"/>
          <w:bCs/>
          <w:color w:val="auto"/>
          <w:szCs w:val="21"/>
          <w:highlight w:val="none"/>
          <w:u w:val="single"/>
        </w:rPr>
        <w:t xml:space="preserve">详见招标公告 </w:t>
      </w: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
        <w:gridCol w:w="1601"/>
        <w:gridCol w:w="756"/>
        <w:gridCol w:w="6675"/>
      </w:tblGrid>
      <w:tr w14:paraId="26C6B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9718" w:type="dxa"/>
            <w:gridSpan w:val="4"/>
            <w:tcBorders>
              <w:top w:val="single" w:color="auto" w:sz="4" w:space="0"/>
              <w:left w:val="single" w:color="auto" w:sz="4" w:space="0"/>
              <w:bottom w:val="single" w:color="auto" w:sz="4" w:space="0"/>
              <w:right w:val="single" w:color="auto" w:sz="4" w:space="0"/>
            </w:tcBorders>
            <w:vAlign w:val="center"/>
          </w:tcPr>
          <w:p w14:paraId="525252EB">
            <w:pPr>
              <w:pStyle w:val="23"/>
              <w:spacing w:line="340" w:lineRule="exact"/>
              <w:ind w:firstLine="316" w:firstLineChars="150"/>
              <w:jc w:val="center"/>
              <w:rPr>
                <w:rFonts w:hAnsi="宋体"/>
                <w:b/>
                <w:color w:val="auto"/>
                <w:sz w:val="21"/>
                <w:highlight w:val="none"/>
              </w:rPr>
            </w:pPr>
            <w:r>
              <w:rPr>
                <w:rFonts w:hint="eastAsia" w:hAnsi="宋体"/>
                <w:b/>
                <w:color w:val="auto"/>
                <w:sz w:val="21"/>
                <w:highlight w:val="none"/>
              </w:rPr>
              <w:t>采购需求一览表</w:t>
            </w:r>
          </w:p>
        </w:tc>
      </w:tr>
      <w:tr w14:paraId="4D85E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86" w:type="dxa"/>
            <w:tcBorders>
              <w:top w:val="single" w:color="auto" w:sz="4" w:space="0"/>
              <w:left w:val="single" w:color="auto" w:sz="4" w:space="0"/>
              <w:bottom w:val="single" w:color="auto" w:sz="4" w:space="0"/>
              <w:right w:val="single" w:color="auto" w:sz="4" w:space="0"/>
            </w:tcBorders>
            <w:vAlign w:val="center"/>
          </w:tcPr>
          <w:p w14:paraId="640D3E76">
            <w:pPr>
              <w:pStyle w:val="23"/>
              <w:spacing w:line="340" w:lineRule="exact"/>
              <w:jc w:val="center"/>
              <w:rPr>
                <w:rFonts w:hAnsi="宋体"/>
                <w:b/>
                <w:color w:val="auto"/>
                <w:sz w:val="21"/>
                <w:highlight w:val="none"/>
              </w:rPr>
            </w:pPr>
            <w:r>
              <w:rPr>
                <w:rFonts w:hint="eastAsia" w:hAnsi="宋体"/>
                <w:b/>
                <w:color w:val="auto"/>
                <w:sz w:val="21"/>
                <w:highlight w:val="none"/>
              </w:rPr>
              <w:t>序号</w:t>
            </w:r>
          </w:p>
        </w:tc>
        <w:tc>
          <w:tcPr>
            <w:tcW w:w="1601" w:type="dxa"/>
            <w:tcBorders>
              <w:top w:val="single" w:color="auto" w:sz="4" w:space="0"/>
              <w:left w:val="single" w:color="auto" w:sz="4" w:space="0"/>
              <w:bottom w:val="single" w:color="auto" w:sz="4" w:space="0"/>
              <w:right w:val="single" w:color="auto" w:sz="4" w:space="0"/>
            </w:tcBorders>
            <w:vAlign w:val="center"/>
          </w:tcPr>
          <w:p w14:paraId="661D00DD">
            <w:pPr>
              <w:pStyle w:val="23"/>
              <w:spacing w:line="340" w:lineRule="exact"/>
              <w:jc w:val="center"/>
              <w:rPr>
                <w:rFonts w:hAnsi="宋体"/>
                <w:b/>
                <w:color w:val="auto"/>
                <w:sz w:val="21"/>
                <w:highlight w:val="none"/>
              </w:rPr>
            </w:pPr>
            <w:r>
              <w:rPr>
                <w:rFonts w:hint="eastAsia" w:hAnsi="宋体"/>
                <w:b/>
                <w:color w:val="auto"/>
                <w:sz w:val="21"/>
                <w:highlight w:val="none"/>
              </w:rPr>
              <w:t>服务名称</w:t>
            </w:r>
          </w:p>
        </w:tc>
        <w:tc>
          <w:tcPr>
            <w:tcW w:w="756" w:type="dxa"/>
            <w:tcBorders>
              <w:top w:val="single" w:color="auto" w:sz="4" w:space="0"/>
              <w:left w:val="single" w:color="auto" w:sz="4" w:space="0"/>
              <w:bottom w:val="single" w:color="auto" w:sz="4" w:space="0"/>
              <w:right w:val="single" w:color="auto" w:sz="4" w:space="0"/>
            </w:tcBorders>
            <w:vAlign w:val="center"/>
          </w:tcPr>
          <w:p w14:paraId="0F834D5B">
            <w:pPr>
              <w:widowControl/>
              <w:spacing w:line="340" w:lineRule="exact"/>
              <w:jc w:val="center"/>
              <w:rPr>
                <w:rFonts w:ascii="宋体" w:hAnsi="宋体" w:cs="宋体"/>
                <w:b/>
                <w:color w:val="auto"/>
                <w:kern w:val="0"/>
                <w:szCs w:val="21"/>
                <w:highlight w:val="none"/>
              </w:rPr>
            </w:pPr>
            <w:r>
              <w:rPr>
                <w:rFonts w:hint="eastAsia" w:ascii="宋体" w:hAnsi="宋体" w:cs="宋体"/>
                <w:b/>
                <w:color w:val="auto"/>
                <w:kern w:val="0"/>
                <w:szCs w:val="21"/>
                <w:highlight w:val="none"/>
              </w:rPr>
              <w:t>数量</w:t>
            </w:r>
          </w:p>
        </w:tc>
        <w:tc>
          <w:tcPr>
            <w:tcW w:w="6675" w:type="dxa"/>
            <w:tcBorders>
              <w:top w:val="single" w:color="auto" w:sz="4" w:space="0"/>
              <w:left w:val="single" w:color="auto" w:sz="4" w:space="0"/>
              <w:bottom w:val="single" w:color="auto" w:sz="4" w:space="0"/>
              <w:right w:val="single" w:color="auto" w:sz="4" w:space="0"/>
            </w:tcBorders>
            <w:vAlign w:val="center"/>
          </w:tcPr>
          <w:p w14:paraId="432BBE0D">
            <w:pPr>
              <w:pStyle w:val="23"/>
              <w:spacing w:line="340" w:lineRule="exact"/>
              <w:ind w:firstLine="316" w:firstLineChars="150"/>
              <w:jc w:val="center"/>
              <w:rPr>
                <w:rFonts w:hAnsi="宋体"/>
                <w:b/>
                <w:color w:val="auto"/>
                <w:sz w:val="21"/>
                <w:highlight w:val="none"/>
              </w:rPr>
            </w:pPr>
            <w:r>
              <w:rPr>
                <w:rFonts w:hint="eastAsia" w:hAnsi="宋体"/>
                <w:b/>
                <w:color w:val="auto"/>
                <w:sz w:val="21"/>
                <w:highlight w:val="none"/>
              </w:rPr>
              <w:t>项目要求及技术需求</w:t>
            </w:r>
          </w:p>
        </w:tc>
      </w:tr>
      <w:tr w14:paraId="28D01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jc w:val="center"/>
        </w:trPr>
        <w:tc>
          <w:tcPr>
            <w:tcW w:w="686" w:type="dxa"/>
            <w:tcBorders>
              <w:top w:val="single" w:color="auto" w:sz="4" w:space="0"/>
              <w:left w:val="single" w:color="auto" w:sz="4" w:space="0"/>
              <w:right w:val="single" w:color="auto" w:sz="4" w:space="0"/>
            </w:tcBorders>
            <w:vAlign w:val="center"/>
          </w:tcPr>
          <w:p w14:paraId="7A882B1A">
            <w:pPr>
              <w:pStyle w:val="23"/>
              <w:spacing w:line="340" w:lineRule="exact"/>
              <w:jc w:val="center"/>
              <w:rPr>
                <w:rFonts w:hAnsi="宋体"/>
                <w:color w:val="auto"/>
                <w:sz w:val="21"/>
                <w:highlight w:val="none"/>
              </w:rPr>
            </w:pPr>
            <w:r>
              <w:rPr>
                <w:rFonts w:hint="eastAsia" w:hAnsi="宋体"/>
                <w:color w:val="auto"/>
                <w:sz w:val="21"/>
                <w:highlight w:val="none"/>
              </w:rPr>
              <w:t>1</w:t>
            </w:r>
          </w:p>
        </w:tc>
        <w:tc>
          <w:tcPr>
            <w:tcW w:w="1601" w:type="dxa"/>
            <w:tcBorders>
              <w:top w:val="single" w:color="auto" w:sz="4" w:space="0"/>
              <w:left w:val="single" w:color="auto" w:sz="4" w:space="0"/>
              <w:right w:val="single" w:color="auto" w:sz="4" w:space="0"/>
            </w:tcBorders>
            <w:vAlign w:val="center"/>
          </w:tcPr>
          <w:p w14:paraId="524F0340">
            <w:pPr>
              <w:spacing w:line="380" w:lineRule="exact"/>
              <w:jc w:val="center"/>
              <w:rPr>
                <w:rFonts w:ascii="宋体" w:hAnsi="宋体" w:cs="宋体"/>
                <w:color w:val="auto"/>
                <w:szCs w:val="21"/>
                <w:highlight w:val="none"/>
              </w:rPr>
            </w:pPr>
            <w:r>
              <w:rPr>
                <w:rFonts w:hint="eastAsia" w:hAnsi="宋体"/>
                <w:bCs/>
                <w:color w:val="auto"/>
                <w:szCs w:val="20"/>
                <w:highlight w:val="none"/>
              </w:rPr>
              <w:t>广西道路运输发展中心业务系统等保测评及密评服务</w:t>
            </w:r>
          </w:p>
        </w:tc>
        <w:tc>
          <w:tcPr>
            <w:tcW w:w="756" w:type="dxa"/>
            <w:tcBorders>
              <w:top w:val="single" w:color="auto" w:sz="4" w:space="0"/>
              <w:left w:val="single" w:color="auto" w:sz="4" w:space="0"/>
              <w:right w:val="single" w:color="auto" w:sz="4" w:space="0"/>
            </w:tcBorders>
            <w:vAlign w:val="center"/>
          </w:tcPr>
          <w:p w14:paraId="4CCD2DA0">
            <w:pPr>
              <w:spacing w:line="380" w:lineRule="exact"/>
              <w:jc w:val="center"/>
              <w:rPr>
                <w:rFonts w:ascii="宋体" w:hAnsi="宋体" w:cs="宋体"/>
                <w:color w:val="auto"/>
                <w:szCs w:val="21"/>
                <w:highlight w:val="none"/>
              </w:rPr>
            </w:pPr>
            <w:r>
              <w:rPr>
                <w:rFonts w:hint="eastAsia" w:ascii="宋体" w:hAnsi="宋体" w:cs="宋体"/>
                <w:color w:val="auto"/>
                <w:szCs w:val="21"/>
                <w:highlight w:val="none"/>
              </w:rPr>
              <w:t>1项</w:t>
            </w:r>
          </w:p>
        </w:tc>
        <w:tc>
          <w:tcPr>
            <w:tcW w:w="6675" w:type="dxa"/>
            <w:tcBorders>
              <w:top w:val="single" w:color="auto" w:sz="4" w:space="0"/>
              <w:left w:val="single" w:color="auto" w:sz="4" w:space="0"/>
              <w:right w:val="single" w:color="auto" w:sz="4" w:space="0"/>
            </w:tcBorders>
            <w:vAlign w:val="center"/>
          </w:tcPr>
          <w:p w14:paraId="00F8C16C">
            <w:pPr>
              <w:spacing w:line="380" w:lineRule="exact"/>
              <w:jc w:val="left"/>
              <w:rPr>
                <w:rFonts w:hAnsi="宋体"/>
                <w:bCs/>
                <w:color w:val="auto"/>
                <w:szCs w:val="20"/>
                <w:highlight w:val="none"/>
              </w:rPr>
            </w:pPr>
            <w:r>
              <w:rPr>
                <w:rFonts w:hint="eastAsia" w:hAnsi="宋体"/>
                <w:bCs/>
                <w:color w:val="auto"/>
                <w:szCs w:val="20"/>
                <w:highlight w:val="none"/>
              </w:rPr>
              <w:t>一、等保测评服务要求</w:t>
            </w:r>
          </w:p>
          <w:p w14:paraId="07ED8FF1">
            <w:pPr>
              <w:spacing w:line="380" w:lineRule="exact"/>
              <w:jc w:val="left"/>
              <w:rPr>
                <w:rFonts w:hAnsi="宋体"/>
                <w:bCs/>
                <w:color w:val="auto"/>
                <w:szCs w:val="20"/>
                <w:highlight w:val="none"/>
              </w:rPr>
            </w:pPr>
            <w:r>
              <w:rPr>
                <w:rFonts w:hint="eastAsia" w:hAnsi="宋体"/>
                <w:bCs/>
                <w:color w:val="auto"/>
                <w:szCs w:val="20"/>
                <w:highlight w:val="none"/>
              </w:rPr>
              <w:t>（一）服务内容及要求</w:t>
            </w:r>
          </w:p>
          <w:p w14:paraId="1C0F9A8A">
            <w:pPr>
              <w:spacing w:line="380" w:lineRule="exact"/>
              <w:jc w:val="left"/>
              <w:rPr>
                <w:rFonts w:hAnsi="宋体"/>
                <w:bCs/>
                <w:color w:val="auto"/>
                <w:szCs w:val="20"/>
                <w:highlight w:val="none"/>
              </w:rPr>
            </w:pPr>
            <w:r>
              <w:rPr>
                <w:rFonts w:hint="eastAsia" w:hAnsi="宋体"/>
                <w:bCs/>
                <w:color w:val="auto"/>
                <w:szCs w:val="20"/>
                <w:highlight w:val="none"/>
              </w:rPr>
              <w:t>依据《网络安全等级保护基本要求》（GB/T 22239-2019）对2个三级系统（广西机动车驾驶培训公共服务平台、广西道路运输管理信息系统），3个二级系统（广西道路运输动态监控行业服务系统、广西网络货运信息监测系统、内部控制信息系统等5个系统）开展网络安全等级保护测评工作，并出具网络安全等级保护测评报告。</w:t>
            </w:r>
          </w:p>
          <w:p w14:paraId="331B9BF7">
            <w:pPr>
              <w:spacing w:line="380" w:lineRule="exact"/>
              <w:jc w:val="left"/>
              <w:rPr>
                <w:rFonts w:hAnsi="宋体"/>
                <w:bCs/>
                <w:color w:val="auto"/>
                <w:szCs w:val="20"/>
                <w:highlight w:val="none"/>
              </w:rPr>
            </w:pPr>
            <w:r>
              <w:rPr>
                <w:rFonts w:hint="eastAsia" w:hAnsi="宋体"/>
                <w:bCs/>
                <w:color w:val="auto"/>
                <w:szCs w:val="20"/>
                <w:highlight w:val="none"/>
              </w:rPr>
              <w:t>按照等级保护定级备案流程，协助进行定级备案工作，遵照等级保护基本要求，通过对系统的技术与管理的角度进行检查，如若信息系统未达到等级保护要求，需出具差距分析报告并协助整改，使信息系统符合等级保护的要求。</w:t>
            </w:r>
          </w:p>
          <w:p w14:paraId="248B2CBF">
            <w:pPr>
              <w:spacing w:line="380" w:lineRule="exact"/>
              <w:jc w:val="left"/>
              <w:rPr>
                <w:rFonts w:hAnsi="宋体"/>
                <w:bCs/>
                <w:color w:val="auto"/>
                <w:szCs w:val="20"/>
                <w:highlight w:val="none"/>
              </w:rPr>
            </w:pPr>
            <w:r>
              <w:rPr>
                <w:rFonts w:hint="eastAsia" w:hAnsi="宋体"/>
                <w:bCs/>
                <w:color w:val="auto"/>
                <w:szCs w:val="20"/>
                <w:highlight w:val="none"/>
              </w:rPr>
              <w:t>1.测评内容</w:t>
            </w:r>
          </w:p>
          <w:p w14:paraId="6792762C">
            <w:pPr>
              <w:spacing w:line="380" w:lineRule="exact"/>
              <w:jc w:val="left"/>
              <w:rPr>
                <w:rFonts w:hAnsi="宋体"/>
                <w:bCs/>
                <w:color w:val="auto"/>
                <w:szCs w:val="20"/>
                <w:highlight w:val="none"/>
              </w:rPr>
            </w:pPr>
            <w:r>
              <w:rPr>
                <w:rFonts w:hint="eastAsia" w:hAnsi="宋体"/>
                <w:bCs/>
                <w:color w:val="auto"/>
                <w:szCs w:val="20"/>
                <w:highlight w:val="none"/>
              </w:rPr>
              <w:t>对本项目系统进行网络安全等级保护测评。具体测评内容如下：</w:t>
            </w:r>
          </w:p>
          <w:p w14:paraId="6305B5F8">
            <w:pPr>
              <w:spacing w:line="380" w:lineRule="exact"/>
              <w:jc w:val="left"/>
              <w:rPr>
                <w:rFonts w:hAnsi="宋体"/>
                <w:bCs/>
                <w:color w:val="auto"/>
                <w:szCs w:val="20"/>
                <w:highlight w:val="none"/>
              </w:rPr>
            </w:pPr>
            <w:r>
              <w:rPr>
                <w:rFonts w:hint="eastAsia" w:hAnsi="宋体"/>
                <w:bCs/>
                <w:color w:val="auto"/>
                <w:szCs w:val="20"/>
                <w:highlight w:val="none"/>
              </w:rPr>
              <w:t>（1）安全通用要求</w:t>
            </w:r>
          </w:p>
          <w:p w14:paraId="19BDE34B">
            <w:pPr>
              <w:spacing w:line="380" w:lineRule="exact"/>
              <w:jc w:val="left"/>
              <w:rPr>
                <w:rFonts w:hAnsi="宋体"/>
                <w:bCs/>
                <w:color w:val="auto"/>
                <w:szCs w:val="20"/>
                <w:highlight w:val="none"/>
              </w:rPr>
            </w:pPr>
            <w:r>
              <w:rPr>
                <w:rFonts w:hint="eastAsia" w:hAnsi="宋体"/>
                <w:bCs/>
                <w:color w:val="auto"/>
                <w:szCs w:val="20"/>
                <w:highlight w:val="none"/>
              </w:rPr>
              <w:t>安全通用要求测评内容应包括安全技术和安全管理两大类，其中技术类应包括对安全物理环境、安全通信网络、安全区域边界、安全计算环境、安全管理中心五个方面的测评，安全管理类测评应包括对安全管理制度、安全管理机构、安全管理人员、安全建设管理、安全运维管理五个方面的测评。</w:t>
            </w:r>
          </w:p>
          <w:p w14:paraId="6233BE5B">
            <w:pPr>
              <w:spacing w:line="380" w:lineRule="exact"/>
              <w:jc w:val="left"/>
              <w:rPr>
                <w:rFonts w:hAnsi="宋体"/>
                <w:bCs/>
                <w:color w:val="auto"/>
                <w:szCs w:val="20"/>
                <w:highlight w:val="none"/>
              </w:rPr>
            </w:pPr>
            <w:r>
              <w:rPr>
                <w:rFonts w:hint="eastAsia" w:hAnsi="宋体"/>
                <w:bCs/>
                <w:color w:val="auto"/>
                <w:szCs w:val="20"/>
                <w:highlight w:val="none"/>
              </w:rPr>
              <w:t>（2）安全扩展要求</w:t>
            </w:r>
          </w:p>
          <w:p w14:paraId="7AC8694B">
            <w:pPr>
              <w:spacing w:line="380" w:lineRule="exact"/>
              <w:jc w:val="left"/>
              <w:rPr>
                <w:rFonts w:hAnsi="宋体"/>
                <w:bCs/>
                <w:color w:val="auto"/>
                <w:szCs w:val="20"/>
                <w:highlight w:val="none"/>
              </w:rPr>
            </w:pPr>
            <w:r>
              <w:rPr>
                <w:rFonts w:hint="eastAsia" w:hAnsi="宋体"/>
                <w:bCs/>
                <w:color w:val="auto"/>
                <w:szCs w:val="20"/>
                <w:highlight w:val="none"/>
              </w:rPr>
              <w:t>应用了不同新技术的安全保护对象处于不同的应用场景中，面临不同的安全威胁，因此会有不同的安全需求，如本项目执行时发现等级保护对象涉及测评标准安全扩展要求（云计算、移动互联网、物联网、大数据、工业控制）方面内容的，则根据实际情况选定适用的安全扩展要求测评内容开展本项目测评工作。</w:t>
            </w:r>
          </w:p>
          <w:p w14:paraId="5B78F633">
            <w:pPr>
              <w:spacing w:line="380" w:lineRule="exact"/>
              <w:jc w:val="left"/>
              <w:rPr>
                <w:rFonts w:hAnsi="宋体"/>
                <w:bCs/>
                <w:color w:val="auto"/>
                <w:szCs w:val="20"/>
                <w:highlight w:val="none"/>
              </w:rPr>
            </w:pPr>
            <w:r>
              <w:rPr>
                <w:rFonts w:hint="eastAsia" w:hAnsi="宋体"/>
                <w:bCs/>
                <w:color w:val="auto"/>
                <w:szCs w:val="20"/>
                <w:highlight w:val="none"/>
              </w:rPr>
              <w:t>2.测评方法</w:t>
            </w:r>
          </w:p>
          <w:p w14:paraId="07DDA4E4">
            <w:pPr>
              <w:spacing w:line="380" w:lineRule="exact"/>
              <w:jc w:val="left"/>
              <w:rPr>
                <w:rFonts w:hAnsi="宋体"/>
                <w:bCs/>
                <w:color w:val="auto"/>
                <w:szCs w:val="20"/>
                <w:highlight w:val="none"/>
              </w:rPr>
            </w:pPr>
            <w:r>
              <w:rPr>
                <w:rFonts w:hint="eastAsia" w:hAnsi="宋体"/>
                <w:bCs/>
                <w:color w:val="auto"/>
                <w:szCs w:val="20"/>
                <w:highlight w:val="none"/>
              </w:rPr>
              <w:t>在测评实施过程中，应采用访谈、检查和测试、渗透测试等测评方法进行，并与国家相关规范及标准的要求相符。</w:t>
            </w:r>
          </w:p>
          <w:p w14:paraId="77103FFB">
            <w:pPr>
              <w:spacing w:line="380" w:lineRule="exact"/>
              <w:jc w:val="left"/>
              <w:rPr>
                <w:rFonts w:hAnsi="宋体"/>
                <w:bCs/>
                <w:color w:val="auto"/>
                <w:szCs w:val="20"/>
                <w:highlight w:val="none"/>
              </w:rPr>
            </w:pPr>
            <w:r>
              <w:rPr>
                <w:rFonts w:hint="eastAsia" w:hAnsi="宋体"/>
                <w:bCs/>
                <w:color w:val="auto"/>
                <w:szCs w:val="20"/>
                <w:highlight w:val="none"/>
              </w:rPr>
              <w:t>访谈是指测评人员通过引导信息系统相关人员进行有目的的（有针对性的）交流以帮助测评人员理解、分析或取得证据的过程；</w:t>
            </w:r>
          </w:p>
          <w:p w14:paraId="2234F5FF">
            <w:pPr>
              <w:spacing w:line="380" w:lineRule="exact"/>
              <w:jc w:val="left"/>
              <w:rPr>
                <w:rFonts w:hAnsi="宋体"/>
                <w:bCs/>
                <w:color w:val="auto"/>
                <w:szCs w:val="20"/>
                <w:highlight w:val="none"/>
              </w:rPr>
            </w:pPr>
            <w:r>
              <w:rPr>
                <w:rFonts w:hint="eastAsia" w:hAnsi="宋体"/>
                <w:bCs/>
                <w:color w:val="auto"/>
                <w:szCs w:val="20"/>
                <w:highlight w:val="none"/>
              </w:rPr>
              <w:t>检查是指测评人员通过对测评对象（如管理制度、操作记录、安全配置等）进行观察、查验、分析以帮助测评人员理解、分析或取得证据的过程；</w:t>
            </w:r>
          </w:p>
          <w:p w14:paraId="2AA13AD8">
            <w:pPr>
              <w:spacing w:line="380" w:lineRule="exact"/>
              <w:jc w:val="left"/>
              <w:rPr>
                <w:rFonts w:hAnsi="宋体"/>
                <w:bCs/>
                <w:color w:val="auto"/>
                <w:szCs w:val="20"/>
                <w:highlight w:val="none"/>
              </w:rPr>
            </w:pPr>
            <w:r>
              <w:rPr>
                <w:rFonts w:hint="eastAsia" w:hAnsi="宋体"/>
                <w:bCs/>
                <w:color w:val="auto"/>
                <w:szCs w:val="20"/>
                <w:highlight w:val="none"/>
              </w:rPr>
              <w:t>测试是测评人员使用预定的方法/工具使测评对象产生特定的行为，通过查看和分析结果以帮助测评人员获取证据的过程；</w:t>
            </w:r>
          </w:p>
          <w:p w14:paraId="332855F6">
            <w:pPr>
              <w:spacing w:line="380" w:lineRule="exact"/>
              <w:jc w:val="left"/>
              <w:rPr>
                <w:rFonts w:hAnsi="宋体"/>
                <w:bCs/>
                <w:color w:val="auto"/>
                <w:szCs w:val="20"/>
                <w:highlight w:val="none"/>
              </w:rPr>
            </w:pPr>
            <w:r>
              <w:rPr>
                <w:rFonts w:hint="eastAsia" w:hAnsi="宋体"/>
                <w:bCs/>
                <w:color w:val="auto"/>
                <w:szCs w:val="20"/>
                <w:highlight w:val="none"/>
              </w:rPr>
              <w:t>测评结果判定要求采信配置核查结果，同时要求对安全策略进行测试验证，包括漏洞扫描、策略有效性验证、数据抓包分析、数据通信监听、数据备份恢复、应急响应和渗透测试等。渗透测试是模拟黑客的攻击方法，对受保护对象的应用系统、主机、网络进行攻击，从而验证测评对象的弱点、技术缺陷或漏洞的一种评估方法。</w:t>
            </w:r>
          </w:p>
          <w:p w14:paraId="44D1E8DA">
            <w:pPr>
              <w:spacing w:line="380" w:lineRule="exact"/>
              <w:jc w:val="left"/>
              <w:rPr>
                <w:rFonts w:hAnsi="宋体"/>
                <w:bCs/>
                <w:color w:val="auto"/>
                <w:szCs w:val="20"/>
                <w:highlight w:val="none"/>
              </w:rPr>
            </w:pPr>
            <w:r>
              <w:rPr>
                <w:rFonts w:hint="eastAsia" w:hAnsi="宋体"/>
                <w:bCs/>
                <w:color w:val="auto"/>
                <w:szCs w:val="20"/>
                <w:highlight w:val="none"/>
              </w:rPr>
              <w:t>（二）主要成果要求</w:t>
            </w:r>
          </w:p>
          <w:p w14:paraId="4F797EAB">
            <w:pPr>
              <w:spacing w:line="380" w:lineRule="exact"/>
              <w:jc w:val="left"/>
              <w:rPr>
                <w:rFonts w:hAnsi="宋体"/>
                <w:bCs/>
                <w:color w:val="auto"/>
                <w:szCs w:val="20"/>
                <w:highlight w:val="none"/>
              </w:rPr>
            </w:pPr>
            <w:r>
              <w:rPr>
                <w:rFonts w:hint="eastAsia" w:hAnsi="宋体"/>
                <w:bCs/>
                <w:color w:val="auto"/>
                <w:szCs w:val="20"/>
                <w:highlight w:val="none"/>
              </w:rPr>
              <w:t>采购人委托供应商作为本项目第三方等保测评及相关备案等事项的全权服务方。供应商负责委托具备相应资质的第三方测评机构，依据GB/T 22239-2019等多项等级保护标准，开展系统等保测评服务，并出具《网络安全等级保护测评报告》和等保备案证明。</w:t>
            </w:r>
          </w:p>
          <w:p w14:paraId="0FB53F3C">
            <w:pPr>
              <w:spacing w:line="380" w:lineRule="exact"/>
              <w:jc w:val="left"/>
              <w:rPr>
                <w:rFonts w:hAnsi="宋体"/>
                <w:bCs/>
                <w:color w:val="auto"/>
                <w:szCs w:val="20"/>
                <w:highlight w:val="none"/>
              </w:rPr>
            </w:pPr>
            <w:r>
              <w:rPr>
                <w:rFonts w:hint="eastAsia" w:hAnsi="宋体"/>
                <w:bCs/>
                <w:color w:val="auto"/>
                <w:szCs w:val="20"/>
                <w:highlight w:val="none"/>
              </w:rPr>
              <w:t>二、密码应用测评服务要求</w:t>
            </w:r>
          </w:p>
          <w:p w14:paraId="1573576B">
            <w:pPr>
              <w:spacing w:line="380" w:lineRule="exact"/>
              <w:jc w:val="left"/>
              <w:rPr>
                <w:rFonts w:hAnsi="宋体"/>
                <w:bCs/>
                <w:color w:val="auto"/>
                <w:szCs w:val="20"/>
                <w:highlight w:val="none"/>
              </w:rPr>
            </w:pPr>
            <w:r>
              <w:rPr>
                <w:rFonts w:hint="eastAsia" w:hAnsi="宋体"/>
                <w:bCs/>
                <w:color w:val="auto"/>
                <w:szCs w:val="20"/>
                <w:highlight w:val="none"/>
              </w:rPr>
              <w:t>（一）服务内容及要求</w:t>
            </w:r>
          </w:p>
          <w:p w14:paraId="5EBF53CF">
            <w:pPr>
              <w:spacing w:line="380" w:lineRule="exact"/>
              <w:jc w:val="left"/>
              <w:rPr>
                <w:rFonts w:hAnsi="宋体"/>
                <w:bCs/>
                <w:color w:val="auto"/>
                <w:szCs w:val="20"/>
                <w:highlight w:val="none"/>
              </w:rPr>
            </w:pPr>
            <w:r>
              <w:rPr>
                <w:rFonts w:hint="eastAsia" w:hAnsi="宋体"/>
                <w:bCs/>
                <w:color w:val="auto"/>
                <w:szCs w:val="20"/>
                <w:highlight w:val="none"/>
              </w:rPr>
              <w:t>依据《信息安全技术 信息系统密码应用基本要求GB/T 39786-2021》和《信息系统密码应用测评要求GB/T 43206-2023》的相关要求及通过评估的密码应用方案，对2个三级系统（广西机动车驾驶培训公共服务平台、广西道路运输管理信息系统），3个二级系统（广西道路运输动态监控行业服务系统、广西网络货运信息监测系统、内部控制信息系统）等5个系统进行商用密码应用方案评估和商用密码应用安全性评估服务，测评完成并报广西密码管理局报备。具体测评内容从物理和环境、网络和通信、设备和计算、应用和数据以及安全管理等层面开展商用密码应用安全性评估工作，最终出具被评估系统的《密码应用安全性评估报告》。</w:t>
            </w:r>
          </w:p>
          <w:p w14:paraId="758EBB43">
            <w:pPr>
              <w:spacing w:line="380" w:lineRule="exact"/>
              <w:jc w:val="left"/>
              <w:rPr>
                <w:rFonts w:hAnsi="宋体"/>
                <w:bCs/>
                <w:color w:val="auto"/>
                <w:szCs w:val="20"/>
                <w:highlight w:val="none"/>
              </w:rPr>
            </w:pPr>
            <w:r>
              <w:rPr>
                <w:rFonts w:hint="eastAsia" w:hAnsi="宋体"/>
                <w:bCs/>
                <w:color w:val="auto"/>
                <w:szCs w:val="20"/>
                <w:highlight w:val="none"/>
              </w:rPr>
              <w:t>1.测评内容</w:t>
            </w:r>
          </w:p>
          <w:p w14:paraId="7E124747">
            <w:pPr>
              <w:spacing w:line="380" w:lineRule="exact"/>
              <w:jc w:val="left"/>
              <w:rPr>
                <w:rFonts w:hAnsi="宋体"/>
                <w:bCs/>
                <w:color w:val="auto"/>
                <w:szCs w:val="20"/>
                <w:highlight w:val="none"/>
              </w:rPr>
            </w:pPr>
            <w:r>
              <w:rPr>
                <w:rFonts w:hint="eastAsia" w:hAnsi="宋体"/>
                <w:bCs/>
                <w:color w:val="auto"/>
                <w:szCs w:val="20"/>
                <w:highlight w:val="none"/>
              </w:rPr>
              <w:t>对本项目各系统商用密码应用方案进行评估服务，以及对本项目进行商用密码应用安全性评估服务。具体测评内容如下：</w:t>
            </w:r>
          </w:p>
          <w:p w14:paraId="14C6DE26">
            <w:pPr>
              <w:spacing w:line="380" w:lineRule="exact"/>
              <w:jc w:val="left"/>
              <w:rPr>
                <w:rFonts w:hAnsi="宋体"/>
                <w:bCs/>
                <w:color w:val="auto"/>
                <w:szCs w:val="20"/>
                <w:highlight w:val="none"/>
              </w:rPr>
            </w:pPr>
            <w:r>
              <w:rPr>
                <w:rFonts w:hint="eastAsia" w:hAnsi="宋体"/>
                <w:bCs/>
                <w:color w:val="auto"/>
                <w:szCs w:val="20"/>
                <w:highlight w:val="none"/>
              </w:rPr>
              <w:t>（1）密码应用调研</w:t>
            </w:r>
          </w:p>
          <w:p w14:paraId="25EBCB00">
            <w:pPr>
              <w:spacing w:line="380" w:lineRule="exact"/>
              <w:jc w:val="left"/>
              <w:rPr>
                <w:rFonts w:hAnsi="宋体"/>
                <w:bCs/>
                <w:color w:val="auto"/>
                <w:szCs w:val="20"/>
                <w:highlight w:val="none"/>
              </w:rPr>
            </w:pPr>
            <w:r>
              <w:rPr>
                <w:rFonts w:hint="eastAsia" w:hAnsi="宋体"/>
                <w:bCs/>
                <w:color w:val="auto"/>
                <w:szCs w:val="20"/>
                <w:highlight w:val="none"/>
              </w:rPr>
              <w:t>对信息系统中涉及的商用密码应用情况进行全面调研，包括密码算法、密码产品、密钥管理、密码应用场景等方面的信息收集，明确密码在信息系统中的具体应用方式。</w:t>
            </w:r>
          </w:p>
          <w:p w14:paraId="30B110AB">
            <w:pPr>
              <w:spacing w:line="380" w:lineRule="exact"/>
              <w:jc w:val="left"/>
              <w:rPr>
                <w:rFonts w:hAnsi="宋体"/>
                <w:bCs/>
                <w:color w:val="auto"/>
                <w:szCs w:val="20"/>
                <w:highlight w:val="none"/>
              </w:rPr>
            </w:pPr>
            <w:r>
              <w:rPr>
                <w:rFonts w:hint="eastAsia" w:hAnsi="宋体"/>
                <w:bCs/>
                <w:color w:val="auto"/>
                <w:szCs w:val="20"/>
                <w:highlight w:val="none"/>
              </w:rPr>
              <w:t>（2）评估实施</w:t>
            </w:r>
          </w:p>
          <w:p w14:paraId="1FEEFA7B">
            <w:pPr>
              <w:spacing w:line="380" w:lineRule="exact"/>
              <w:jc w:val="left"/>
              <w:rPr>
                <w:rFonts w:hAnsi="宋体"/>
                <w:bCs/>
                <w:color w:val="auto"/>
                <w:szCs w:val="20"/>
                <w:highlight w:val="none"/>
              </w:rPr>
            </w:pPr>
            <w:r>
              <w:rPr>
                <w:rFonts w:hint="eastAsia" w:hAnsi="宋体"/>
                <w:bCs/>
                <w:color w:val="auto"/>
                <w:szCs w:val="20"/>
                <w:highlight w:val="none"/>
              </w:rPr>
              <w:t>从物理和环境、网络和通信、设备和计算、应用和数据以及安全管理等层面开展商用密码应用安全性评估工作。测评工作主要包括如下内容：</w:t>
            </w:r>
          </w:p>
          <w:p w14:paraId="7B80F947">
            <w:pPr>
              <w:spacing w:line="380" w:lineRule="exact"/>
              <w:jc w:val="left"/>
              <w:rPr>
                <w:rFonts w:hAnsi="宋体"/>
                <w:bCs/>
                <w:color w:val="auto"/>
                <w:szCs w:val="20"/>
                <w:highlight w:val="none"/>
              </w:rPr>
            </w:pPr>
            <w:r>
              <w:rPr>
                <w:rFonts w:hint="eastAsia" w:hAnsi="宋体"/>
                <w:bCs/>
                <w:color w:val="auto"/>
                <w:szCs w:val="20"/>
                <w:highlight w:val="none"/>
              </w:rPr>
              <w:t>①通用测评</w:t>
            </w:r>
          </w:p>
          <w:p w14:paraId="551298B4">
            <w:pPr>
              <w:spacing w:line="380" w:lineRule="exact"/>
              <w:jc w:val="left"/>
              <w:rPr>
                <w:rFonts w:hAnsi="宋体"/>
                <w:bCs/>
                <w:color w:val="auto"/>
                <w:szCs w:val="20"/>
                <w:highlight w:val="none"/>
              </w:rPr>
            </w:pPr>
            <w:r>
              <w:rPr>
                <w:rFonts w:hint="eastAsia" w:hAnsi="宋体"/>
                <w:bCs/>
                <w:color w:val="auto"/>
                <w:szCs w:val="20"/>
                <w:highlight w:val="none"/>
              </w:rPr>
              <w:t>核查信息系统中使用的密码算法、密码技术、密码产品和密码服务是否满足国家密码管理的相关标准规范要求。</w:t>
            </w:r>
          </w:p>
          <w:p w14:paraId="41372F2B">
            <w:pPr>
              <w:spacing w:line="380" w:lineRule="exact"/>
              <w:jc w:val="left"/>
              <w:rPr>
                <w:rFonts w:hAnsi="宋体"/>
                <w:bCs/>
                <w:color w:val="auto"/>
                <w:szCs w:val="20"/>
                <w:highlight w:val="none"/>
              </w:rPr>
            </w:pPr>
            <w:r>
              <w:rPr>
                <w:rFonts w:hint="eastAsia" w:hAnsi="宋体"/>
                <w:bCs/>
                <w:color w:val="auto"/>
                <w:szCs w:val="20"/>
                <w:highlight w:val="none"/>
              </w:rPr>
              <w:t>②密码应用技术测评</w:t>
            </w:r>
          </w:p>
          <w:p w14:paraId="1A541793">
            <w:pPr>
              <w:spacing w:line="380" w:lineRule="exact"/>
              <w:jc w:val="left"/>
              <w:rPr>
                <w:rFonts w:hAnsi="宋体"/>
                <w:bCs/>
                <w:color w:val="auto"/>
                <w:szCs w:val="20"/>
                <w:highlight w:val="none"/>
              </w:rPr>
            </w:pPr>
            <w:r>
              <w:rPr>
                <w:rFonts w:hint="eastAsia" w:hAnsi="宋体"/>
                <w:bCs/>
                <w:color w:val="auto"/>
                <w:szCs w:val="20"/>
                <w:highlight w:val="none"/>
              </w:rPr>
              <w:t>包括物理和环境安全测评、网络和通信安全测评、设备和计算安全测评、应用和数据安全测评，验证信息系统的密码应用是否达到相应安全等级的安全保护能力、是否满足相应安全等级的保护要求。</w:t>
            </w:r>
          </w:p>
          <w:p w14:paraId="55B3FF84">
            <w:pPr>
              <w:spacing w:line="380" w:lineRule="exact"/>
              <w:jc w:val="left"/>
              <w:rPr>
                <w:rFonts w:hAnsi="宋体"/>
                <w:bCs/>
                <w:color w:val="auto"/>
                <w:szCs w:val="20"/>
                <w:highlight w:val="none"/>
              </w:rPr>
            </w:pPr>
            <w:r>
              <w:rPr>
                <w:rFonts w:hint="eastAsia" w:hAnsi="宋体"/>
                <w:bCs/>
                <w:color w:val="auto"/>
                <w:szCs w:val="20"/>
                <w:highlight w:val="none"/>
              </w:rPr>
              <w:t>③密钥管理测评</w:t>
            </w:r>
          </w:p>
          <w:p w14:paraId="7F510D8F">
            <w:pPr>
              <w:spacing w:line="380" w:lineRule="exact"/>
              <w:jc w:val="left"/>
              <w:rPr>
                <w:rFonts w:hAnsi="宋体"/>
                <w:bCs/>
                <w:color w:val="auto"/>
                <w:szCs w:val="20"/>
                <w:highlight w:val="none"/>
              </w:rPr>
            </w:pPr>
            <w:r>
              <w:rPr>
                <w:rFonts w:hint="eastAsia" w:hAnsi="宋体"/>
                <w:bCs/>
                <w:color w:val="auto"/>
                <w:szCs w:val="20"/>
                <w:highlight w:val="none"/>
              </w:rPr>
              <w:t>测评密钥管理各个环节，包括对密钥产生、分发、存储、使用、更新、归档、撤销、备份、恢复、销毁等环节进行管理和策略制定的全过程是否符合要求，完成单项及单元测评结果判定。</w:t>
            </w:r>
          </w:p>
          <w:p w14:paraId="165D46CC">
            <w:pPr>
              <w:spacing w:line="380" w:lineRule="exact"/>
              <w:jc w:val="left"/>
              <w:rPr>
                <w:rFonts w:hAnsi="宋体"/>
                <w:bCs/>
                <w:color w:val="auto"/>
                <w:szCs w:val="20"/>
                <w:highlight w:val="none"/>
              </w:rPr>
            </w:pPr>
            <w:r>
              <w:rPr>
                <w:rFonts w:hint="eastAsia" w:hAnsi="宋体"/>
                <w:bCs/>
                <w:color w:val="auto"/>
                <w:szCs w:val="20"/>
                <w:highlight w:val="none"/>
              </w:rPr>
              <w:t>④密码应用管理测评</w:t>
            </w:r>
          </w:p>
          <w:p w14:paraId="0514B971">
            <w:pPr>
              <w:spacing w:line="380" w:lineRule="exact"/>
              <w:jc w:val="left"/>
              <w:rPr>
                <w:rFonts w:hAnsi="宋体"/>
                <w:bCs/>
                <w:color w:val="auto"/>
                <w:szCs w:val="20"/>
                <w:highlight w:val="none"/>
              </w:rPr>
            </w:pPr>
            <w:r>
              <w:rPr>
                <w:rFonts w:hint="eastAsia" w:hAnsi="宋体"/>
                <w:bCs/>
                <w:color w:val="auto"/>
                <w:szCs w:val="20"/>
                <w:highlight w:val="none"/>
              </w:rPr>
              <w:t>从管理制度、人员管理、建设运行和应急处置四个层面进行安全管理测评，验证信息系统安全管理机制是否完善，是否能够确保密码技术被合规、正确、有效地实施。</w:t>
            </w:r>
          </w:p>
          <w:p w14:paraId="4E28168A">
            <w:pPr>
              <w:spacing w:line="380" w:lineRule="exact"/>
              <w:jc w:val="left"/>
              <w:rPr>
                <w:rFonts w:hAnsi="宋体"/>
                <w:bCs/>
                <w:color w:val="auto"/>
                <w:szCs w:val="20"/>
                <w:highlight w:val="none"/>
              </w:rPr>
            </w:pPr>
            <w:r>
              <w:rPr>
                <w:rFonts w:hint="eastAsia" w:hAnsi="宋体"/>
                <w:bCs/>
                <w:color w:val="auto"/>
                <w:szCs w:val="20"/>
                <w:highlight w:val="none"/>
              </w:rPr>
              <w:t>（3）整改协助</w:t>
            </w:r>
          </w:p>
          <w:p w14:paraId="5AA2ED63">
            <w:pPr>
              <w:spacing w:line="380" w:lineRule="exact"/>
              <w:jc w:val="left"/>
              <w:rPr>
                <w:rFonts w:hAnsi="宋体"/>
                <w:bCs/>
                <w:color w:val="auto"/>
                <w:szCs w:val="20"/>
                <w:highlight w:val="none"/>
              </w:rPr>
            </w:pPr>
            <w:r>
              <w:rPr>
                <w:rFonts w:hint="eastAsia" w:hAnsi="宋体"/>
                <w:bCs/>
                <w:color w:val="auto"/>
                <w:szCs w:val="20"/>
                <w:highlight w:val="none"/>
              </w:rPr>
              <w:t>根据安全性评估结果，制定商用密码应用整改建议，协助对存在问题的密码应用进行优化调整，在整改完成后进行复查，验证整改效果。</w:t>
            </w:r>
          </w:p>
          <w:p w14:paraId="70DA3FB6">
            <w:pPr>
              <w:spacing w:line="380" w:lineRule="exact"/>
              <w:jc w:val="left"/>
              <w:rPr>
                <w:rFonts w:hAnsi="宋体"/>
                <w:bCs/>
                <w:color w:val="auto"/>
                <w:szCs w:val="20"/>
                <w:highlight w:val="none"/>
              </w:rPr>
            </w:pPr>
            <w:r>
              <w:rPr>
                <w:rFonts w:hint="eastAsia" w:hAnsi="宋体"/>
                <w:bCs/>
                <w:color w:val="auto"/>
                <w:szCs w:val="20"/>
                <w:highlight w:val="none"/>
              </w:rPr>
              <w:t>（二）主要成果要求</w:t>
            </w:r>
          </w:p>
          <w:p w14:paraId="24E816C8">
            <w:pPr>
              <w:spacing w:line="380" w:lineRule="exact"/>
              <w:jc w:val="left"/>
              <w:rPr>
                <w:rFonts w:hAnsi="宋体"/>
                <w:bCs/>
                <w:color w:val="auto"/>
                <w:szCs w:val="20"/>
                <w:highlight w:val="none"/>
              </w:rPr>
            </w:pPr>
            <w:r>
              <w:rPr>
                <w:rFonts w:hint="eastAsia" w:hAnsi="宋体"/>
                <w:bCs/>
                <w:color w:val="auto"/>
                <w:szCs w:val="20"/>
                <w:highlight w:val="none"/>
              </w:rPr>
              <w:t>采购人委托供应商作为本项目第三方密码应用测评及相关备案等事项的全权服务方。供应商负责委托具备相应资质的第三方商用密码应用安全性评估机构，根据国家密码管理部门要求及相关政策标准要求，对系统进行评估，并出具《商用密码安全性评估报告》和商密评估报告备案证明。</w:t>
            </w:r>
          </w:p>
          <w:p w14:paraId="48D29052">
            <w:pPr>
              <w:spacing w:line="380" w:lineRule="exact"/>
              <w:jc w:val="left"/>
              <w:rPr>
                <w:rFonts w:hAnsi="宋体"/>
                <w:bCs/>
                <w:color w:val="auto"/>
                <w:szCs w:val="20"/>
                <w:highlight w:val="none"/>
              </w:rPr>
            </w:pPr>
            <w:r>
              <w:rPr>
                <w:rFonts w:hint="eastAsia" w:hAnsi="宋体"/>
                <w:bCs/>
                <w:color w:val="auto"/>
                <w:szCs w:val="20"/>
                <w:highlight w:val="none"/>
              </w:rPr>
              <w:t>三、验收咨询服务要求</w:t>
            </w:r>
          </w:p>
          <w:p w14:paraId="2C01FA61">
            <w:pPr>
              <w:spacing w:line="380" w:lineRule="exact"/>
              <w:jc w:val="left"/>
              <w:rPr>
                <w:rFonts w:hAnsi="宋体"/>
                <w:bCs/>
                <w:color w:val="auto"/>
                <w:szCs w:val="20"/>
                <w:highlight w:val="none"/>
              </w:rPr>
            </w:pPr>
            <w:r>
              <w:rPr>
                <w:rFonts w:hint="eastAsia" w:hAnsi="宋体"/>
                <w:bCs/>
                <w:color w:val="auto"/>
                <w:szCs w:val="20"/>
                <w:highlight w:val="none"/>
              </w:rPr>
              <w:t>（一）</w:t>
            </w:r>
            <w:r>
              <w:rPr>
                <w:rFonts w:hAnsi="宋体"/>
                <w:bCs/>
                <w:color w:val="auto"/>
                <w:szCs w:val="20"/>
                <w:highlight w:val="none"/>
              </w:rPr>
              <w:t>服务内容</w:t>
            </w:r>
            <w:r>
              <w:rPr>
                <w:rFonts w:hint="eastAsia" w:hAnsi="宋体"/>
                <w:bCs/>
                <w:color w:val="auto"/>
                <w:szCs w:val="20"/>
                <w:highlight w:val="none"/>
              </w:rPr>
              <w:t>范围</w:t>
            </w:r>
          </w:p>
          <w:p w14:paraId="134866B6">
            <w:pPr>
              <w:spacing w:line="380" w:lineRule="exact"/>
              <w:jc w:val="left"/>
              <w:rPr>
                <w:rFonts w:hAnsi="宋体"/>
                <w:bCs/>
                <w:color w:val="auto"/>
                <w:szCs w:val="20"/>
                <w:highlight w:val="none"/>
              </w:rPr>
            </w:pPr>
            <w:r>
              <w:rPr>
                <w:rFonts w:hint="eastAsia" w:hAnsi="宋体"/>
                <w:bCs/>
                <w:color w:val="auto"/>
                <w:szCs w:val="20"/>
                <w:highlight w:val="none"/>
              </w:rPr>
              <w:t>供应商需为以下2个项目进行验收咨询服务：</w:t>
            </w:r>
          </w:p>
          <w:p w14:paraId="54E821DA">
            <w:pPr>
              <w:spacing w:line="380" w:lineRule="exact"/>
              <w:jc w:val="left"/>
              <w:rPr>
                <w:rFonts w:hAnsi="宋体"/>
                <w:bCs/>
                <w:color w:val="auto"/>
                <w:szCs w:val="20"/>
                <w:highlight w:val="none"/>
              </w:rPr>
            </w:pPr>
            <w:r>
              <w:rPr>
                <w:rFonts w:ascii="Calibri" w:hAnsi="Calibri" w:cs="Calibri"/>
                <w:bCs/>
                <w:color w:val="auto"/>
                <w:szCs w:val="20"/>
                <w:highlight w:val="none"/>
              </w:rPr>
              <w:t>①</w:t>
            </w:r>
            <w:r>
              <w:rPr>
                <w:rFonts w:hint="eastAsia" w:hAnsi="宋体"/>
                <w:bCs/>
                <w:color w:val="auto"/>
                <w:szCs w:val="20"/>
                <w:highlight w:val="none"/>
              </w:rPr>
              <w:t>广西道路运输信息服务平台运营及维护项目（包括1、广西道路运输大数据预警研判技术服务，2、广西道路运输驾驶员继续教育与从业资格考试技术服务，3、广西机动车驾驶培训公共服务，4、广西道路运输车辆智能防控系统技术服务，5、内部控制信息系统运行维护经费项目，6、广西道路运输行业党建服务系统“桂运先锋”平台，7、广西道路运输发展中心业务系统第三方技术服务）</w:t>
            </w:r>
          </w:p>
          <w:p w14:paraId="6991AEB8">
            <w:pPr>
              <w:spacing w:line="380" w:lineRule="exact"/>
              <w:jc w:val="left"/>
              <w:rPr>
                <w:rFonts w:hAnsi="宋体"/>
                <w:bCs/>
                <w:color w:val="auto"/>
                <w:szCs w:val="20"/>
                <w:highlight w:val="none"/>
              </w:rPr>
            </w:pPr>
            <w:r>
              <w:rPr>
                <w:rFonts w:ascii="Calibri" w:hAnsi="Calibri" w:cs="Calibri"/>
                <w:bCs/>
                <w:color w:val="auto"/>
                <w:szCs w:val="20"/>
                <w:highlight w:val="none"/>
              </w:rPr>
              <w:t>②</w:t>
            </w:r>
            <w:r>
              <w:rPr>
                <w:rFonts w:hint="eastAsia" w:hAnsi="宋体"/>
                <w:bCs/>
                <w:color w:val="auto"/>
                <w:szCs w:val="20"/>
                <w:highlight w:val="none"/>
              </w:rPr>
              <w:t>广西道路运输综合监管平台运营及维护项目（包括1、广西道路运输运政及动态监控技术服务，2、广西道路运输第三方安全监测技术服务，3、广西网络货运信息监测系统技术服务，4、广西道路运输数智监管平台技术服务，5、广西重型载货汽车北斗视频监管系统技术服务，6、广西道路运输车辆检验检测联网技术服务，7、广西驾驶培训监管技术服务，8、广西网约车监管信息交互技术服务。）</w:t>
            </w:r>
          </w:p>
          <w:p w14:paraId="6846784F">
            <w:pPr>
              <w:spacing w:line="380" w:lineRule="exact"/>
              <w:jc w:val="left"/>
              <w:rPr>
                <w:rFonts w:hAnsi="宋体"/>
                <w:bCs/>
                <w:color w:val="auto"/>
                <w:szCs w:val="20"/>
                <w:highlight w:val="none"/>
              </w:rPr>
            </w:pPr>
          </w:p>
          <w:p w14:paraId="10D77D61">
            <w:pPr>
              <w:spacing w:line="380" w:lineRule="exact"/>
              <w:jc w:val="left"/>
              <w:rPr>
                <w:rFonts w:hAnsi="宋体"/>
                <w:bCs/>
                <w:color w:val="auto"/>
                <w:szCs w:val="20"/>
                <w:highlight w:val="none"/>
              </w:rPr>
            </w:pPr>
            <w:r>
              <w:rPr>
                <w:rFonts w:hint="eastAsia" w:hAnsi="宋体"/>
                <w:bCs/>
                <w:color w:val="auto"/>
                <w:szCs w:val="20"/>
                <w:highlight w:val="none"/>
              </w:rPr>
              <w:t>（二）具体验收咨询服务内容</w:t>
            </w:r>
          </w:p>
          <w:p w14:paraId="4BCD5C94">
            <w:pPr>
              <w:spacing w:line="380" w:lineRule="exact"/>
              <w:jc w:val="left"/>
              <w:rPr>
                <w:rFonts w:hAnsi="宋体"/>
                <w:bCs/>
                <w:color w:val="auto"/>
                <w:szCs w:val="20"/>
                <w:highlight w:val="none"/>
              </w:rPr>
            </w:pPr>
            <w:r>
              <w:rPr>
                <w:rFonts w:hint="eastAsia" w:hAnsi="宋体"/>
                <w:bCs/>
                <w:color w:val="auto"/>
                <w:szCs w:val="20"/>
                <w:highlight w:val="none"/>
              </w:rPr>
              <w:t>1.</w:t>
            </w:r>
            <w:r>
              <w:rPr>
                <w:rFonts w:hAnsi="宋体"/>
                <w:bCs/>
                <w:color w:val="auto"/>
                <w:szCs w:val="20"/>
                <w:highlight w:val="none"/>
              </w:rPr>
              <w:t>技术资料完整性与规范性审核</w:t>
            </w:r>
          </w:p>
          <w:p w14:paraId="56BF11A1">
            <w:pPr>
              <w:spacing w:line="380" w:lineRule="exact"/>
              <w:jc w:val="left"/>
              <w:rPr>
                <w:rFonts w:hAnsi="宋体"/>
                <w:bCs/>
                <w:color w:val="auto"/>
                <w:szCs w:val="20"/>
                <w:highlight w:val="none"/>
              </w:rPr>
            </w:pPr>
            <w:r>
              <w:rPr>
                <w:rFonts w:hint="eastAsia" w:hAnsi="宋体"/>
                <w:bCs/>
                <w:color w:val="auto"/>
                <w:szCs w:val="20"/>
                <w:highlight w:val="none"/>
              </w:rPr>
              <w:t>（</w:t>
            </w:r>
            <w:r>
              <w:rPr>
                <w:rFonts w:hAnsi="宋体"/>
                <w:bCs/>
                <w:color w:val="auto"/>
                <w:szCs w:val="20"/>
                <w:highlight w:val="none"/>
              </w:rPr>
              <w:t>1）按照自治区数据局验收政策要求，梳理业主、承建等参建单位提供的文档材料是否齐全，梳理验收材料清单供参建各方补充材料。</w:t>
            </w:r>
          </w:p>
          <w:p w14:paraId="68615DA0">
            <w:pPr>
              <w:spacing w:line="380" w:lineRule="exact"/>
              <w:jc w:val="left"/>
              <w:rPr>
                <w:rFonts w:hAnsi="宋体"/>
                <w:bCs/>
                <w:color w:val="auto"/>
                <w:szCs w:val="20"/>
                <w:highlight w:val="none"/>
              </w:rPr>
            </w:pPr>
            <w:r>
              <w:rPr>
                <w:rFonts w:hint="eastAsia" w:hAnsi="宋体"/>
                <w:bCs/>
                <w:color w:val="auto"/>
                <w:szCs w:val="20"/>
                <w:highlight w:val="none"/>
              </w:rPr>
              <w:t>（</w:t>
            </w:r>
            <w:r>
              <w:rPr>
                <w:rFonts w:hAnsi="宋体"/>
                <w:bCs/>
                <w:color w:val="auto"/>
                <w:szCs w:val="20"/>
                <w:highlight w:val="none"/>
              </w:rPr>
              <w:t>2）技术资料审核：</w:t>
            </w:r>
            <w:r>
              <w:rPr>
                <w:rFonts w:hint="eastAsia" w:hAnsi="宋体"/>
                <w:bCs/>
                <w:color w:val="auto"/>
                <w:szCs w:val="20"/>
                <w:highlight w:val="none"/>
              </w:rPr>
              <w:t>审核项目合同</w:t>
            </w:r>
            <w:r>
              <w:rPr>
                <w:rFonts w:hAnsi="宋体"/>
                <w:bCs/>
                <w:color w:val="auto"/>
                <w:szCs w:val="20"/>
                <w:highlight w:val="none"/>
              </w:rPr>
              <w:t>、</w:t>
            </w:r>
            <w:r>
              <w:rPr>
                <w:rFonts w:hint="eastAsia" w:hAnsi="宋体"/>
                <w:bCs/>
                <w:color w:val="auto"/>
                <w:szCs w:val="20"/>
                <w:highlight w:val="none"/>
              </w:rPr>
              <w:t>交付服务提供内容是否的</w:t>
            </w:r>
            <w:r>
              <w:rPr>
                <w:rFonts w:hAnsi="宋体"/>
                <w:bCs/>
                <w:color w:val="auto"/>
                <w:szCs w:val="20"/>
                <w:highlight w:val="none"/>
              </w:rPr>
              <w:t>与项目实际建设情况一致，满足可追溯、可复用要求；</w:t>
            </w:r>
          </w:p>
          <w:p w14:paraId="6C0AEF11">
            <w:pPr>
              <w:spacing w:line="380" w:lineRule="exact"/>
              <w:jc w:val="left"/>
              <w:rPr>
                <w:rFonts w:hAnsi="宋体"/>
                <w:bCs/>
                <w:color w:val="auto"/>
                <w:szCs w:val="20"/>
                <w:highlight w:val="none"/>
              </w:rPr>
            </w:pPr>
            <w:r>
              <w:rPr>
                <w:rFonts w:hint="eastAsia" w:hAnsi="宋体"/>
                <w:bCs/>
                <w:color w:val="auto"/>
                <w:szCs w:val="20"/>
                <w:highlight w:val="none"/>
              </w:rPr>
              <w:t>2.</w:t>
            </w:r>
            <w:r>
              <w:rPr>
                <w:rFonts w:hAnsi="宋体"/>
                <w:bCs/>
                <w:color w:val="auto"/>
                <w:szCs w:val="20"/>
                <w:highlight w:val="none"/>
              </w:rPr>
              <w:t>协助组织项目竣工验收</w:t>
            </w:r>
          </w:p>
          <w:p w14:paraId="7DBA29F3">
            <w:pPr>
              <w:spacing w:line="380" w:lineRule="exact"/>
              <w:jc w:val="left"/>
              <w:rPr>
                <w:rFonts w:hAnsi="宋体"/>
                <w:bCs/>
                <w:color w:val="auto"/>
                <w:szCs w:val="20"/>
                <w:highlight w:val="none"/>
              </w:rPr>
            </w:pPr>
            <w:r>
              <w:rPr>
                <w:rFonts w:hint="eastAsia" w:hAnsi="宋体"/>
                <w:bCs/>
                <w:color w:val="auto"/>
                <w:szCs w:val="20"/>
                <w:highlight w:val="none"/>
              </w:rPr>
              <w:t>（</w:t>
            </w:r>
            <w:r>
              <w:rPr>
                <w:rFonts w:hAnsi="宋体"/>
                <w:bCs/>
                <w:color w:val="auto"/>
                <w:szCs w:val="20"/>
                <w:highlight w:val="none"/>
              </w:rPr>
              <w:t>1）会前准备会议签到表、会议议程文件，</w:t>
            </w:r>
            <w:r>
              <w:rPr>
                <w:rFonts w:hint="eastAsia" w:hAnsi="宋体"/>
                <w:bCs/>
                <w:color w:val="auto"/>
                <w:szCs w:val="20"/>
                <w:highlight w:val="none"/>
              </w:rPr>
              <w:t>协助组织</w:t>
            </w:r>
            <w:r>
              <w:rPr>
                <w:rFonts w:hAnsi="宋体"/>
                <w:bCs/>
                <w:color w:val="auto"/>
                <w:szCs w:val="20"/>
                <w:highlight w:val="none"/>
              </w:rPr>
              <w:t>竣工验收会</w:t>
            </w:r>
            <w:r>
              <w:rPr>
                <w:rFonts w:hint="eastAsia" w:hAnsi="宋体"/>
                <w:bCs/>
                <w:color w:val="auto"/>
                <w:szCs w:val="20"/>
                <w:highlight w:val="none"/>
              </w:rPr>
              <w:t>议</w:t>
            </w:r>
            <w:r>
              <w:rPr>
                <w:rFonts w:hAnsi="宋体"/>
                <w:bCs/>
                <w:color w:val="auto"/>
                <w:szCs w:val="20"/>
                <w:highlight w:val="none"/>
              </w:rPr>
              <w:t>。</w:t>
            </w:r>
          </w:p>
          <w:p w14:paraId="4960CA49">
            <w:pPr>
              <w:spacing w:line="380" w:lineRule="exact"/>
              <w:jc w:val="left"/>
              <w:rPr>
                <w:rFonts w:hAnsi="宋体"/>
                <w:bCs/>
                <w:color w:val="auto"/>
                <w:szCs w:val="20"/>
                <w:highlight w:val="none"/>
              </w:rPr>
            </w:pPr>
            <w:r>
              <w:rPr>
                <w:rFonts w:hint="eastAsia" w:hAnsi="宋体"/>
                <w:bCs/>
                <w:color w:val="auto"/>
                <w:szCs w:val="20"/>
                <w:highlight w:val="none"/>
              </w:rPr>
              <w:t>（</w:t>
            </w:r>
            <w:r>
              <w:rPr>
                <w:rFonts w:hAnsi="宋体"/>
                <w:bCs/>
                <w:color w:val="auto"/>
                <w:szCs w:val="20"/>
                <w:highlight w:val="none"/>
              </w:rPr>
              <w:t>2）会中对项目竣工验收问题进行记录形成会议纪要。</w:t>
            </w:r>
          </w:p>
          <w:p w14:paraId="27760282">
            <w:pPr>
              <w:spacing w:line="380" w:lineRule="exact"/>
              <w:jc w:val="left"/>
              <w:rPr>
                <w:rFonts w:hAnsi="宋体"/>
                <w:bCs/>
                <w:color w:val="auto"/>
                <w:szCs w:val="20"/>
                <w:highlight w:val="none"/>
              </w:rPr>
            </w:pPr>
            <w:r>
              <w:rPr>
                <w:rFonts w:hint="eastAsia" w:hAnsi="宋体"/>
                <w:bCs/>
                <w:color w:val="auto"/>
                <w:szCs w:val="20"/>
                <w:highlight w:val="none"/>
              </w:rPr>
              <w:t>3.服务交付成果</w:t>
            </w:r>
          </w:p>
          <w:p w14:paraId="5B4F8995">
            <w:pPr>
              <w:spacing w:line="380" w:lineRule="exact"/>
              <w:jc w:val="left"/>
              <w:rPr>
                <w:rFonts w:hAnsi="宋体"/>
                <w:bCs/>
                <w:color w:val="auto"/>
                <w:szCs w:val="20"/>
                <w:highlight w:val="none"/>
              </w:rPr>
            </w:pPr>
            <w:r>
              <w:rPr>
                <w:rFonts w:hint="eastAsia" w:hAnsi="宋体"/>
                <w:bCs/>
                <w:color w:val="auto"/>
                <w:szCs w:val="20"/>
                <w:highlight w:val="none"/>
              </w:rPr>
              <w:t>（1）广西道路运输信息服务平台运营及维护项目验收咨询报告</w:t>
            </w:r>
          </w:p>
          <w:p w14:paraId="06E15CE5">
            <w:pPr>
              <w:spacing w:line="380" w:lineRule="exact"/>
              <w:jc w:val="left"/>
              <w:rPr>
                <w:color w:val="auto"/>
                <w:szCs w:val="21"/>
                <w:highlight w:val="none"/>
              </w:rPr>
            </w:pPr>
            <w:r>
              <w:rPr>
                <w:rFonts w:hint="eastAsia" w:hAnsi="宋体"/>
                <w:bCs/>
                <w:color w:val="auto"/>
                <w:szCs w:val="20"/>
                <w:highlight w:val="none"/>
              </w:rPr>
              <w:t>（2）广西道路运输综合监管平台运营及维护项目验收咨询报告</w:t>
            </w:r>
          </w:p>
        </w:tc>
      </w:tr>
      <w:tr w14:paraId="63E9F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9718" w:type="dxa"/>
            <w:gridSpan w:val="4"/>
            <w:tcBorders>
              <w:top w:val="single" w:color="auto" w:sz="4" w:space="0"/>
              <w:left w:val="single" w:color="auto" w:sz="4" w:space="0"/>
              <w:right w:val="single" w:color="auto" w:sz="4" w:space="0"/>
            </w:tcBorders>
            <w:vAlign w:val="center"/>
          </w:tcPr>
          <w:p w14:paraId="36AF1FF5">
            <w:pPr>
              <w:spacing w:line="340" w:lineRule="exact"/>
              <w:rPr>
                <w:b/>
                <w:color w:val="auto"/>
                <w:szCs w:val="21"/>
                <w:highlight w:val="none"/>
              </w:rPr>
            </w:pPr>
            <w:r>
              <w:rPr>
                <w:rFonts w:hint="eastAsia" w:ascii="宋体" w:hAnsi="宋体"/>
                <w:b/>
                <w:color w:val="auto"/>
                <w:szCs w:val="21"/>
                <w:highlight w:val="none"/>
              </w:rPr>
              <w:t>商务要求表</w:t>
            </w:r>
          </w:p>
        </w:tc>
      </w:tr>
      <w:tr w14:paraId="3C731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87" w:type="dxa"/>
            <w:gridSpan w:val="2"/>
            <w:tcBorders>
              <w:top w:val="single" w:color="auto" w:sz="4" w:space="0"/>
              <w:left w:val="single" w:color="auto" w:sz="4" w:space="0"/>
              <w:right w:val="single" w:color="auto" w:sz="4" w:space="0"/>
            </w:tcBorders>
            <w:vAlign w:val="center"/>
          </w:tcPr>
          <w:p w14:paraId="55EBD297">
            <w:pPr>
              <w:snapToGrid w:val="0"/>
              <w:spacing w:line="340" w:lineRule="exact"/>
              <w:jc w:val="center"/>
              <w:rPr>
                <w:rFonts w:ascii="宋体" w:hAnsi="宋体"/>
                <w:color w:val="auto"/>
                <w:szCs w:val="21"/>
                <w:highlight w:val="none"/>
              </w:rPr>
            </w:pPr>
            <w:r>
              <w:rPr>
                <w:rFonts w:hint="eastAsia" w:ascii="宋体" w:hAnsi="宋体"/>
                <w:color w:val="auto"/>
                <w:szCs w:val="21"/>
                <w:highlight w:val="none"/>
              </w:rPr>
              <w:t>▲服务期限</w:t>
            </w:r>
          </w:p>
        </w:tc>
        <w:tc>
          <w:tcPr>
            <w:tcW w:w="7431" w:type="dxa"/>
            <w:gridSpan w:val="2"/>
            <w:tcBorders>
              <w:top w:val="single" w:color="auto" w:sz="4" w:space="0"/>
              <w:left w:val="single" w:color="auto" w:sz="4" w:space="0"/>
              <w:right w:val="single" w:color="auto" w:sz="4" w:space="0"/>
            </w:tcBorders>
            <w:vAlign w:val="center"/>
          </w:tcPr>
          <w:p w14:paraId="269E95F4">
            <w:pPr>
              <w:spacing w:line="340" w:lineRule="exact"/>
              <w:rPr>
                <w:color w:val="auto"/>
                <w:szCs w:val="21"/>
                <w:highlight w:val="none"/>
              </w:rPr>
            </w:pPr>
            <w:r>
              <w:rPr>
                <w:rFonts w:hint="eastAsia" w:ascii="宋体" w:hAnsi="宋体"/>
                <w:color w:val="auto"/>
                <w:szCs w:val="21"/>
                <w:highlight w:val="none"/>
              </w:rPr>
              <w:t>自合同签订之日起至以上所列工程完成验收之日止。</w:t>
            </w:r>
          </w:p>
        </w:tc>
      </w:tr>
      <w:tr w14:paraId="3F2A7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87" w:type="dxa"/>
            <w:gridSpan w:val="2"/>
            <w:tcBorders>
              <w:top w:val="single" w:color="auto" w:sz="4" w:space="0"/>
              <w:left w:val="single" w:color="auto" w:sz="4" w:space="0"/>
              <w:right w:val="single" w:color="auto" w:sz="4" w:space="0"/>
            </w:tcBorders>
            <w:vAlign w:val="center"/>
          </w:tcPr>
          <w:p w14:paraId="2964EC79">
            <w:pPr>
              <w:tabs>
                <w:tab w:val="left" w:pos="180"/>
                <w:tab w:val="left" w:pos="1620"/>
              </w:tabs>
              <w:spacing w:line="400" w:lineRule="exact"/>
              <w:jc w:val="center"/>
              <w:rPr>
                <w:rFonts w:ascii="宋体" w:hAnsi="宋体"/>
                <w:color w:val="auto"/>
                <w:szCs w:val="21"/>
                <w:highlight w:val="none"/>
              </w:rPr>
            </w:pPr>
            <w:r>
              <w:rPr>
                <w:rFonts w:hint="eastAsia" w:ascii="宋体" w:hAnsi="宋体"/>
                <w:color w:val="auto"/>
                <w:szCs w:val="21"/>
                <w:highlight w:val="none"/>
              </w:rPr>
              <w:t>合同签订期</w:t>
            </w:r>
          </w:p>
        </w:tc>
        <w:tc>
          <w:tcPr>
            <w:tcW w:w="7431" w:type="dxa"/>
            <w:gridSpan w:val="2"/>
            <w:tcBorders>
              <w:top w:val="single" w:color="auto" w:sz="4" w:space="0"/>
              <w:left w:val="single" w:color="auto" w:sz="4" w:space="0"/>
              <w:right w:val="single" w:color="auto" w:sz="4" w:space="0"/>
            </w:tcBorders>
            <w:vAlign w:val="center"/>
          </w:tcPr>
          <w:p w14:paraId="50663036">
            <w:pPr>
              <w:tabs>
                <w:tab w:val="left" w:pos="180"/>
                <w:tab w:val="left" w:pos="1620"/>
              </w:tabs>
              <w:spacing w:line="400" w:lineRule="exact"/>
              <w:jc w:val="left"/>
              <w:rPr>
                <w:rFonts w:ascii="宋体" w:hAnsi="宋体"/>
                <w:color w:val="auto"/>
                <w:szCs w:val="21"/>
                <w:highlight w:val="none"/>
              </w:rPr>
            </w:pPr>
            <w:r>
              <w:rPr>
                <w:rFonts w:hint="eastAsia" w:ascii="宋体" w:hAnsi="宋体"/>
                <w:color w:val="auto"/>
                <w:szCs w:val="21"/>
                <w:highlight w:val="none"/>
              </w:rPr>
              <w:t>自中标通知书发出之日起25日内。</w:t>
            </w:r>
          </w:p>
        </w:tc>
      </w:tr>
      <w:tr w14:paraId="45439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2287" w:type="dxa"/>
            <w:gridSpan w:val="2"/>
            <w:tcBorders>
              <w:top w:val="single" w:color="auto" w:sz="4" w:space="0"/>
              <w:left w:val="single" w:color="auto" w:sz="4" w:space="0"/>
              <w:right w:val="single" w:color="auto" w:sz="4" w:space="0"/>
            </w:tcBorders>
            <w:vAlign w:val="center"/>
          </w:tcPr>
          <w:p w14:paraId="0EC0EA37">
            <w:pPr>
              <w:snapToGrid w:val="0"/>
              <w:spacing w:line="380" w:lineRule="exact"/>
              <w:jc w:val="center"/>
              <w:rPr>
                <w:rFonts w:ascii="宋体" w:hAnsi="宋体"/>
                <w:color w:val="auto"/>
                <w:szCs w:val="21"/>
                <w:highlight w:val="none"/>
              </w:rPr>
            </w:pPr>
            <w:r>
              <w:rPr>
                <w:rFonts w:hint="eastAsia" w:ascii="宋体" w:hAnsi="宋体"/>
                <w:color w:val="auto"/>
                <w:szCs w:val="21"/>
                <w:highlight w:val="none"/>
              </w:rPr>
              <w:t>▲服务地点</w:t>
            </w:r>
          </w:p>
        </w:tc>
        <w:tc>
          <w:tcPr>
            <w:tcW w:w="7431" w:type="dxa"/>
            <w:gridSpan w:val="2"/>
            <w:tcBorders>
              <w:top w:val="single" w:color="auto" w:sz="4" w:space="0"/>
              <w:left w:val="single" w:color="auto" w:sz="4" w:space="0"/>
              <w:right w:val="single" w:color="auto" w:sz="4" w:space="0"/>
            </w:tcBorders>
            <w:vAlign w:val="center"/>
          </w:tcPr>
          <w:p w14:paraId="5EB8BBB4">
            <w:pPr>
              <w:spacing w:line="380" w:lineRule="exact"/>
              <w:rPr>
                <w:color w:val="auto"/>
                <w:szCs w:val="21"/>
                <w:highlight w:val="none"/>
              </w:rPr>
            </w:pPr>
            <w:r>
              <w:rPr>
                <w:rFonts w:hint="eastAsia" w:ascii="宋体" w:hAnsi="宋体"/>
                <w:color w:val="auto"/>
                <w:szCs w:val="21"/>
                <w:highlight w:val="none"/>
              </w:rPr>
              <w:t>广西区内（采购人指定地点）</w:t>
            </w:r>
          </w:p>
        </w:tc>
      </w:tr>
      <w:tr w14:paraId="76804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jc w:val="center"/>
        </w:trPr>
        <w:tc>
          <w:tcPr>
            <w:tcW w:w="2287" w:type="dxa"/>
            <w:gridSpan w:val="2"/>
            <w:tcBorders>
              <w:top w:val="single" w:color="auto" w:sz="4" w:space="0"/>
              <w:left w:val="single" w:color="auto" w:sz="4" w:space="0"/>
              <w:right w:val="single" w:color="auto" w:sz="4" w:space="0"/>
            </w:tcBorders>
            <w:vAlign w:val="center"/>
          </w:tcPr>
          <w:p w14:paraId="324252AC">
            <w:pPr>
              <w:snapToGrid w:val="0"/>
              <w:spacing w:line="340" w:lineRule="exact"/>
              <w:jc w:val="center"/>
              <w:rPr>
                <w:rFonts w:ascii="宋体" w:hAnsi="宋体"/>
                <w:color w:val="auto"/>
                <w:szCs w:val="21"/>
                <w:highlight w:val="none"/>
              </w:rPr>
            </w:pPr>
            <w:r>
              <w:rPr>
                <w:rFonts w:hint="eastAsia" w:ascii="宋体" w:hAnsi="宋体"/>
                <w:color w:val="auto"/>
                <w:szCs w:val="21"/>
                <w:highlight w:val="none"/>
              </w:rPr>
              <w:t>▲付款条件</w:t>
            </w:r>
          </w:p>
        </w:tc>
        <w:tc>
          <w:tcPr>
            <w:tcW w:w="7431" w:type="dxa"/>
            <w:gridSpan w:val="2"/>
            <w:tcBorders>
              <w:top w:val="single" w:color="auto" w:sz="4" w:space="0"/>
              <w:left w:val="single" w:color="auto" w:sz="4" w:space="0"/>
              <w:right w:val="single" w:color="auto" w:sz="4" w:space="0"/>
            </w:tcBorders>
            <w:vAlign w:val="center"/>
          </w:tcPr>
          <w:p w14:paraId="2C3C3E7E">
            <w:pPr>
              <w:spacing w:line="360" w:lineRule="auto"/>
              <w:rPr>
                <w:color w:val="auto"/>
                <w:szCs w:val="21"/>
                <w:highlight w:val="none"/>
              </w:rPr>
            </w:pPr>
            <w:r>
              <w:rPr>
                <w:rFonts w:hint="eastAsia" w:ascii="宋体" w:hAnsi="宋体"/>
                <w:color w:val="auto"/>
                <w:szCs w:val="21"/>
                <w:highlight w:val="none"/>
              </w:rPr>
              <w:t>本项目分批次付款，签订合同后十个工作日内，采购人向中标供应商支付全部合同金额的50%；在中标供应商签订合同</w:t>
            </w:r>
            <w:r>
              <w:rPr>
                <w:rFonts w:ascii="宋体" w:hAnsi="宋体"/>
                <w:color w:val="auto"/>
                <w:szCs w:val="21"/>
                <w:highlight w:val="none"/>
              </w:rPr>
              <w:t>2</w:t>
            </w:r>
            <w:r>
              <w:rPr>
                <w:rFonts w:hint="eastAsia" w:ascii="宋体" w:hAnsi="宋体"/>
                <w:color w:val="auto"/>
                <w:szCs w:val="21"/>
                <w:highlight w:val="none"/>
              </w:rPr>
              <w:t>个月后，由采购人内向中标供应商支付30%合同款;在中标供应商完成服务能力验收后，采购人于10个工作日内向中标供应商支付20%合同款。采购人付款前，中标供应商应向采购人开具等额有效的增值税发票，采购人未收到发票的，有权不予支付相应款项直至中标供应商提供合格发票，并不承担延迟付款责任。</w:t>
            </w:r>
          </w:p>
        </w:tc>
      </w:tr>
      <w:tr w14:paraId="1BD90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287" w:type="dxa"/>
            <w:gridSpan w:val="2"/>
            <w:tcBorders>
              <w:top w:val="single" w:color="auto" w:sz="4" w:space="0"/>
              <w:left w:val="single" w:color="auto" w:sz="4" w:space="0"/>
              <w:bottom w:val="single" w:color="auto" w:sz="4" w:space="0"/>
              <w:right w:val="single" w:color="auto" w:sz="4" w:space="0"/>
            </w:tcBorders>
            <w:vAlign w:val="center"/>
          </w:tcPr>
          <w:p w14:paraId="4A0AC6E1">
            <w:pPr>
              <w:snapToGrid w:val="0"/>
              <w:spacing w:line="340" w:lineRule="exact"/>
              <w:jc w:val="center"/>
              <w:rPr>
                <w:rFonts w:ascii="宋体" w:hAnsi="宋体"/>
                <w:color w:val="auto"/>
                <w:szCs w:val="21"/>
                <w:highlight w:val="none"/>
              </w:rPr>
            </w:pPr>
            <w:r>
              <w:rPr>
                <w:rFonts w:hint="eastAsia" w:ascii="宋体" w:hAnsi="宋体"/>
                <w:color w:val="auto"/>
                <w:szCs w:val="21"/>
                <w:highlight w:val="none"/>
              </w:rPr>
              <w:t>报价要求</w:t>
            </w:r>
          </w:p>
        </w:tc>
        <w:tc>
          <w:tcPr>
            <w:tcW w:w="7431" w:type="dxa"/>
            <w:gridSpan w:val="2"/>
            <w:tcBorders>
              <w:top w:val="single" w:color="auto" w:sz="4" w:space="0"/>
              <w:left w:val="single" w:color="auto" w:sz="4" w:space="0"/>
              <w:bottom w:val="single" w:color="auto" w:sz="4" w:space="0"/>
              <w:right w:val="single" w:color="auto" w:sz="4" w:space="0"/>
            </w:tcBorders>
            <w:vAlign w:val="center"/>
          </w:tcPr>
          <w:p w14:paraId="5051C55C">
            <w:pPr>
              <w:spacing w:line="400" w:lineRule="exact"/>
              <w:rPr>
                <w:color w:val="auto"/>
                <w:szCs w:val="21"/>
                <w:highlight w:val="none"/>
              </w:rPr>
            </w:pPr>
            <w:r>
              <w:rPr>
                <w:rFonts w:hint="eastAsia" w:ascii="宋体" w:hAnsi="宋体"/>
                <w:color w:val="auto"/>
                <w:szCs w:val="21"/>
                <w:highlight w:val="none"/>
              </w:rPr>
              <w:t>本项目报价为总包干价。</w:t>
            </w:r>
            <w:r>
              <w:rPr>
                <w:rFonts w:hint="eastAsia"/>
                <w:color w:val="auto"/>
                <w:highlight w:val="none"/>
              </w:rPr>
              <w:t>报价包含本项目所有服务内容、</w:t>
            </w:r>
            <w:r>
              <w:rPr>
                <w:rFonts w:hint="eastAsia" w:ascii="宋体" w:hAnsi="宋体" w:cs="宋体"/>
                <w:color w:val="auto"/>
                <w:szCs w:val="21"/>
                <w:highlight w:val="none"/>
              </w:rPr>
              <w:t>服务中包含货物</w:t>
            </w:r>
            <w:r>
              <w:rPr>
                <w:rFonts w:hint="eastAsia"/>
                <w:color w:val="auto"/>
                <w:highlight w:val="none"/>
              </w:rPr>
              <w:t>所涉及的标准附件、专用工具、人员薪酬、交通费、检测检验、必要的保费、各项税费、招标代理服务费及其它所有成本费用的总和。</w:t>
            </w:r>
            <w:r>
              <w:rPr>
                <w:rFonts w:hint="eastAsia" w:ascii="宋体" w:hAnsi="宋体" w:cs="宋体"/>
                <w:color w:val="auto"/>
                <w:highlight w:val="none"/>
              </w:rPr>
              <w:t>由供应商根据采购文件所提供的资料自行测算投标报价；一经中标，投标报价总价作为中标供应商与采购人签订的合同金额，合同期限内不</w:t>
            </w:r>
            <w:r>
              <w:rPr>
                <w:rFonts w:hint="eastAsia" w:ascii="宋体" w:hAnsi="宋体" w:cs="宋体"/>
                <w:color w:val="auto"/>
                <w:szCs w:val="21"/>
                <w:highlight w:val="none"/>
              </w:rPr>
              <w:t>做调整。</w:t>
            </w:r>
          </w:p>
        </w:tc>
      </w:tr>
      <w:tr w14:paraId="29C26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87" w:type="dxa"/>
            <w:gridSpan w:val="2"/>
            <w:tcBorders>
              <w:top w:val="single" w:color="auto" w:sz="4" w:space="0"/>
              <w:left w:val="single" w:color="auto" w:sz="4" w:space="0"/>
              <w:right w:val="single" w:color="auto" w:sz="4" w:space="0"/>
            </w:tcBorders>
            <w:vAlign w:val="center"/>
          </w:tcPr>
          <w:p w14:paraId="2CB60B14">
            <w:pPr>
              <w:snapToGrid w:val="0"/>
              <w:spacing w:line="380" w:lineRule="exact"/>
              <w:jc w:val="center"/>
              <w:rPr>
                <w:rFonts w:ascii="宋体" w:hAnsi="宋体"/>
                <w:color w:val="auto"/>
                <w:szCs w:val="21"/>
                <w:highlight w:val="none"/>
              </w:rPr>
            </w:pPr>
            <w:r>
              <w:rPr>
                <w:rFonts w:hint="eastAsia" w:ascii="宋体" w:hAnsi="宋体"/>
                <w:color w:val="auto"/>
                <w:szCs w:val="21"/>
                <w:highlight w:val="none"/>
              </w:rPr>
              <w:t>其它要求</w:t>
            </w:r>
          </w:p>
        </w:tc>
        <w:tc>
          <w:tcPr>
            <w:tcW w:w="7431" w:type="dxa"/>
            <w:gridSpan w:val="2"/>
            <w:tcBorders>
              <w:top w:val="single" w:color="auto" w:sz="4" w:space="0"/>
              <w:left w:val="single" w:color="auto" w:sz="4" w:space="0"/>
              <w:right w:val="single" w:color="auto" w:sz="4" w:space="0"/>
            </w:tcBorders>
            <w:vAlign w:val="center"/>
          </w:tcPr>
          <w:p w14:paraId="35C6E3B8">
            <w:pPr>
              <w:spacing w:line="400" w:lineRule="exact"/>
              <w:rPr>
                <w:color w:val="auto"/>
                <w:highlight w:val="none"/>
              </w:rPr>
            </w:pPr>
            <w:r>
              <w:rPr>
                <w:rFonts w:hint="eastAsia"/>
                <w:color w:val="auto"/>
                <w:highlight w:val="none"/>
              </w:rPr>
              <w:t>1.售后服务要求：</w:t>
            </w:r>
          </w:p>
          <w:p w14:paraId="3E1A4A51">
            <w:pPr>
              <w:spacing w:line="400" w:lineRule="exact"/>
              <w:rPr>
                <w:color w:val="auto"/>
                <w:highlight w:val="none"/>
              </w:rPr>
            </w:pPr>
            <w:r>
              <w:rPr>
                <w:rFonts w:hint="eastAsia"/>
                <w:color w:val="auto"/>
                <w:highlight w:val="none"/>
              </w:rPr>
              <w:t>（1）质量保证期1年（自提交服务成果并验收合格之日起计）。</w:t>
            </w:r>
          </w:p>
          <w:p w14:paraId="1050457C">
            <w:pPr>
              <w:spacing w:line="400" w:lineRule="exact"/>
              <w:rPr>
                <w:color w:val="auto"/>
                <w:highlight w:val="none"/>
              </w:rPr>
            </w:pPr>
            <w:r>
              <w:rPr>
                <w:rFonts w:hint="eastAsia"/>
                <w:color w:val="auto"/>
                <w:highlight w:val="none"/>
              </w:rPr>
              <w:t>（2）处理问题响应时间：接到采购人处理问题通知后2小时内到达采购人指定现场。</w:t>
            </w:r>
          </w:p>
          <w:p w14:paraId="03A0C204">
            <w:pPr>
              <w:spacing w:line="400" w:lineRule="exact"/>
              <w:rPr>
                <w:color w:val="auto"/>
                <w:highlight w:val="none"/>
              </w:rPr>
            </w:pPr>
            <w:r>
              <w:rPr>
                <w:rFonts w:hint="eastAsia"/>
                <w:color w:val="auto"/>
                <w:highlight w:val="none"/>
              </w:rPr>
              <w:t>2.其他要求：</w:t>
            </w:r>
          </w:p>
          <w:p w14:paraId="7C7DC5C2">
            <w:pPr>
              <w:spacing w:line="400" w:lineRule="exact"/>
              <w:rPr>
                <w:color w:val="auto"/>
                <w:highlight w:val="none"/>
              </w:rPr>
            </w:pPr>
            <w:r>
              <w:rPr>
                <w:rFonts w:hint="eastAsia"/>
                <w:color w:val="auto"/>
                <w:highlight w:val="none"/>
              </w:rPr>
              <w:t>（1）中标供应商不得承担本项目工程建设的系统集成及相关实施工作。</w:t>
            </w:r>
          </w:p>
          <w:p w14:paraId="252CAD62">
            <w:pPr>
              <w:spacing w:line="400" w:lineRule="exact"/>
              <w:rPr>
                <w:color w:val="auto"/>
                <w:highlight w:val="none"/>
              </w:rPr>
            </w:pPr>
            <w:r>
              <w:rPr>
                <w:rFonts w:hint="eastAsia"/>
                <w:color w:val="auto"/>
                <w:highlight w:val="none"/>
              </w:rPr>
              <w:t>（2）本项目成果及其相关知识产权权利归采购人所有。</w:t>
            </w:r>
          </w:p>
          <w:p w14:paraId="110DCDC8">
            <w:pPr>
              <w:spacing w:line="400" w:lineRule="exact"/>
              <w:rPr>
                <w:color w:val="auto"/>
                <w:highlight w:val="none"/>
              </w:rPr>
            </w:pPr>
            <w:r>
              <w:rPr>
                <w:rFonts w:hint="eastAsia"/>
                <w:color w:val="auto"/>
                <w:highlight w:val="none"/>
              </w:rPr>
              <w:t>（3）</w:t>
            </w:r>
            <w:r>
              <w:rPr>
                <w:rFonts w:hint="eastAsia" w:ascii="宋体" w:hAnsi="宋体" w:cs="宋体"/>
                <w:color w:val="auto"/>
                <w:szCs w:val="21"/>
                <w:highlight w:val="none"/>
              </w:rPr>
              <w:t>中标人必须与采购人签订保密协议。</w:t>
            </w:r>
          </w:p>
        </w:tc>
      </w:tr>
    </w:tbl>
    <w:p w14:paraId="0253EDC7">
      <w:pPr>
        <w:spacing w:line="400" w:lineRule="exact"/>
        <w:ind w:firstLine="308" w:firstLineChars="147"/>
        <w:jc w:val="left"/>
        <w:rPr>
          <w:rFonts w:ascii="宋体" w:hAnsi="宋体" w:cs="Arial"/>
          <w:bCs/>
          <w:color w:val="auto"/>
          <w:szCs w:val="21"/>
          <w:highlight w:val="none"/>
          <w:u w:val="single"/>
        </w:rPr>
      </w:pPr>
      <w:r>
        <w:rPr>
          <w:rFonts w:ascii="宋体" w:hAnsi="宋体" w:cs="宋体"/>
          <w:color w:val="auto"/>
          <w:szCs w:val="21"/>
          <w:highlight w:val="none"/>
        </w:rPr>
        <w:br w:type="page"/>
      </w:r>
    </w:p>
    <w:p w14:paraId="426A791D">
      <w:pPr>
        <w:spacing w:line="428" w:lineRule="exact"/>
        <w:rPr>
          <w:rFonts w:ascii="Arial Unicode MS" w:hAnsi="Arial Unicode MS" w:eastAsia="等线" w:cs="Arial Unicode MS"/>
          <w:color w:val="auto"/>
          <w:kern w:val="0"/>
          <w:szCs w:val="21"/>
          <w:highlight w:val="none"/>
        </w:rPr>
      </w:pPr>
      <w:r>
        <w:rPr>
          <w:rFonts w:hint="eastAsia" w:ascii="黑体" w:hAnsi="黑体" w:eastAsia="黑体" w:cs="黑体"/>
          <w:color w:val="auto"/>
          <w:szCs w:val="21"/>
          <w:highlight w:val="none"/>
        </w:rPr>
        <w:t>附件：</w:t>
      </w:r>
    </w:p>
    <w:p w14:paraId="64E0830D">
      <w:pPr>
        <w:spacing w:line="528" w:lineRule="exact"/>
        <w:jc w:val="center"/>
        <w:rPr>
          <w:rFonts w:ascii="Arial Unicode MS" w:hAnsi="Arial Unicode MS" w:eastAsia="Arial Unicode MS" w:cs="Arial Unicode MS"/>
          <w:color w:val="auto"/>
          <w:szCs w:val="21"/>
          <w:highlight w:val="none"/>
        </w:rPr>
      </w:pPr>
      <w:r>
        <w:rPr>
          <w:rFonts w:hint="eastAsia" w:ascii="微软雅黑" w:hAnsi="微软雅黑" w:eastAsia="微软雅黑" w:cs="微软雅黑"/>
          <w:color w:val="auto"/>
          <w:szCs w:val="21"/>
          <w:highlight w:val="none"/>
        </w:rPr>
        <w:t>中小微企业划型标准</w:t>
      </w:r>
    </w:p>
    <w:tbl>
      <w:tblPr>
        <w:tblStyle w:val="47"/>
        <w:tblW w:w="5000" w:type="pct"/>
        <w:tblInd w:w="0" w:type="dxa"/>
        <w:tblLayout w:type="autofit"/>
        <w:tblCellMar>
          <w:top w:w="0" w:type="dxa"/>
          <w:left w:w="108" w:type="dxa"/>
          <w:bottom w:w="0" w:type="dxa"/>
          <w:right w:w="108" w:type="dxa"/>
        </w:tblCellMar>
      </w:tblPr>
      <w:tblGrid>
        <w:gridCol w:w="1750"/>
        <w:gridCol w:w="1487"/>
        <w:gridCol w:w="1338"/>
        <w:gridCol w:w="1721"/>
        <w:gridCol w:w="1614"/>
        <w:gridCol w:w="1036"/>
      </w:tblGrid>
      <w:tr w14:paraId="5B5B271B">
        <w:tblPrEx>
          <w:tblCellMar>
            <w:top w:w="0" w:type="dxa"/>
            <w:left w:w="108" w:type="dxa"/>
            <w:bottom w:w="0" w:type="dxa"/>
            <w:right w:w="108" w:type="dxa"/>
          </w:tblCellMar>
        </w:tblPrEx>
        <w:trPr>
          <w:trHeight w:val="285" w:hRule="atLeast"/>
        </w:trPr>
        <w:tc>
          <w:tcPr>
            <w:tcW w:w="978" w:type="pct"/>
            <w:tcBorders>
              <w:top w:val="single" w:color="auto" w:sz="4" w:space="0"/>
              <w:left w:val="single" w:color="auto" w:sz="4" w:space="0"/>
              <w:bottom w:val="single" w:color="auto" w:sz="4" w:space="0"/>
              <w:right w:val="single" w:color="auto" w:sz="4" w:space="0"/>
            </w:tcBorders>
            <w:vAlign w:val="center"/>
          </w:tcPr>
          <w:p w14:paraId="5D40AA26">
            <w:pPr>
              <w:widowControl/>
              <w:jc w:val="center"/>
              <w:rPr>
                <w:rFonts w:ascii="宋体" w:hAnsi="宋体" w:cs="宋体"/>
                <w:b/>
                <w:color w:val="auto"/>
                <w:kern w:val="0"/>
                <w:szCs w:val="21"/>
                <w:highlight w:val="none"/>
              </w:rPr>
            </w:pPr>
            <w:r>
              <w:rPr>
                <w:rFonts w:hint="eastAsia" w:ascii="宋体" w:hAnsi="宋体" w:cs="宋体"/>
                <w:b/>
                <w:color w:val="auto"/>
                <w:kern w:val="0"/>
                <w:szCs w:val="21"/>
                <w:highlight w:val="none"/>
              </w:rPr>
              <w:t>行业名称</w:t>
            </w:r>
          </w:p>
        </w:tc>
        <w:tc>
          <w:tcPr>
            <w:tcW w:w="831" w:type="pct"/>
            <w:tcBorders>
              <w:top w:val="single" w:color="auto" w:sz="4" w:space="0"/>
              <w:left w:val="nil"/>
              <w:bottom w:val="single" w:color="auto" w:sz="4" w:space="0"/>
              <w:right w:val="single" w:color="auto" w:sz="4" w:space="0"/>
            </w:tcBorders>
            <w:vAlign w:val="center"/>
          </w:tcPr>
          <w:p w14:paraId="46346F1B">
            <w:pPr>
              <w:widowControl/>
              <w:jc w:val="center"/>
              <w:rPr>
                <w:rFonts w:ascii="宋体" w:hAnsi="宋体" w:cs="宋体"/>
                <w:b/>
                <w:color w:val="auto"/>
                <w:kern w:val="0"/>
                <w:szCs w:val="21"/>
                <w:highlight w:val="none"/>
              </w:rPr>
            </w:pPr>
            <w:r>
              <w:rPr>
                <w:rFonts w:hint="eastAsia" w:ascii="宋体" w:hAnsi="宋体" w:cs="宋体"/>
                <w:b/>
                <w:color w:val="auto"/>
                <w:kern w:val="0"/>
                <w:szCs w:val="21"/>
                <w:highlight w:val="none"/>
              </w:rPr>
              <w:t>指标名称</w:t>
            </w:r>
          </w:p>
        </w:tc>
        <w:tc>
          <w:tcPr>
            <w:tcW w:w="748" w:type="pct"/>
            <w:tcBorders>
              <w:top w:val="single" w:color="auto" w:sz="4" w:space="0"/>
              <w:left w:val="nil"/>
              <w:bottom w:val="single" w:color="auto" w:sz="4" w:space="0"/>
              <w:right w:val="single" w:color="auto" w:sz="4" w:space="0"/>
            </w:tcBorders>
            <w:vAlign w:val="center"/>
          </w:tcPr>
          <w:p w14:paraId="3A98DAF9">
            <w:pPr>
              <w:widowControl/>
              <w:jc w:val="center"/>
              <w:rPr>
                <w:rFonts w:ascii="宋体" w:hAnsi="宋体" w:cs="宋体"/>
                <w:b/>
                <w:color w:val="auto"/>
                <w:kern w:val="0"/>
                <w:szCs w:val="21"/>
                <w:highlight w:val="none"/>
              </w:rPr>
            </w:pPr>
            <w:r>
              <w:rPr>
                <w:rFonts w:hint="eastAsia" w:ascii="宋体" w:hAnsi="宋体" w:cs="宋体"/>
                <w:b/>
                <w:color w:val="auto"/>
                <w:kern w:val="0"/>
                <w:szCs w:val="21"/>
                <w:highlight w:val="none"/>
              </w:rPr>
              <w:t>计量单位</w:t>
            </w:r>
          </w:p>
        </w:tc>
        <w:tc>
          <w:tcPr>
            <w:tcW w:w="962" w:type="pct"/>
            <w:tcBorders>
              <w:top w:val="single" w:color="auto" w:sz="4" w:space="0"/>
              <w:left w:val="nil"/>
              <w:bottom w:val="single" w:color="auto" w:sz="4" w:space="0"/>
              <w:right w:val="single" w:color="auto" w:sz="4" w:space="0"/>
            </w:tcBorders>
            <w:vAlign w:val="center"/>
          </w:tcPr>
          <w:p w14:paraId="2C9F6D91">
            <w:pPr>
              <w:widowControl/>
              <w:jc w:val="center"/>
              <w:rPr>
                <w:rFonts w:ascii="宋体" w:hAnsi="宋体" w:cs="宋体"/>
                <w:b/>
                <w:color w:val="auto"/>
                <w:kern w:val="0"/>
                <w:szCs w:val="21"/>
                <w:highlight w:val="none"/>
              </w:rPr>
            </w:pPr>
            <w:r>
              <w:rPr>
                <w:rFonts w:hint="eastAsia" w:ascii="宋体" w:hAnsi="宋体" w:cs="宋体"/>
                <w:b/>
                <w:color w:val="auto"/>
                <w:kern w:val="0"/>
                <w:szCs w:val="21"/>
                <w:highlight w:val="none"/>
              </w:rPr>
              <w:t>中型</w:t>
            </w:r>
          </w:p>
        </w:tc>
        <w:tc>
          <w:tcPr>
            <w:tcW w:w="902" w:type="pct"/>
            <w:tcBorders>
              <w:top w:val="single" w:color="auto" w:sz="4" w:space="0"/>
              <w:left w:val="nil"/>
              <w:bottom w:val="single" w:color="auto" w:sz="4" w:space="0"/>
              <w:right w:val="single" w:color="auto" w:sz="4" w:space="0"/>
            </w:tcBorders>
            <w:vAlign w:val="center"/>
          </w:tcPr>
          <w:p w14:paraId="5FD63ED6">
            <w:pPr>
              <w:widowControl/>
              <w:jc w:val="center"/>
              <w:rPr>
                <w:rFonts w:ascii="宋体" w:hAnsi="宋体" w:cs="宋体"/>
                <w:b/>
                <w:color w:val="auto"/>
                <w:kern w:val="0"/>
                <w:szCs w:val="21"/>
                <w:highlight w:val="none"/>
              </w:rPr>
            </w:pPr>
            <w:r>
              <w:rPr>
                <w:rFonts w:hint="eastAsia" w:ascii="宋体" w:hAnsi="宋体" w:cs="宋体"/>
                <w:b/>
                <w:color w:val="auto"/>
                <w:kern w:val="0"/>
                <w:szCs w:val="21"/>
                <w:highlight w:val="none"/>
              </w:rPr>
              <w:t>小型</w:t>
            </w:r>
          </w:p>
        </w:tc>
        <w:tc>
          <w:tcPr>
            <w:tcW w:w="579" w:type="pct"/>
            <w:tcBorders>
              <w:top w:val="single" w:color="auto" w:sz="4" w:space="0"/>
              <w:left w:val="nil"/>
              <w:bottom w:val="single" w:color="auto" w:sz="4" w:space="0"/>
              <w:right w:val="single" w:color="auto" w:sz="4" w:space="0"/>
            </w:tcBorders>
            <w:vAlign w:val="center"/>
          </w:tcPr>
          <w:p w14:paraId="12728BA2">
            <w:pPr>
              <w:widowControl/>
              <w:jc w:val="center"/>
              <w:rPr>
                <w:rFonts w:ascii="宋体" w:hAnsi="宋体" w:cs="宋体"/>
                <w:b/>
                <w:color w:val="auto"/>
                <w:kern w:val="0"/>
                <w:szCs w:val="21"/>
                <w:highlight w:val="none"/>
              </w:rPr>
            </w:pPr>
            <w:r>
              <w:rPr>
                <w:rFonts w:hint="eastAsia" w:ascii="宋体" w:hAnsi="宋体" w:cs="宋体"/>
                <w:b/>
                <w:color w:val="auto"/>
                <w:kern w:val="0"/>
                <w:szCs w:val="21"/>
                <w:highlight w:val="none"/>
              </w:rPr>
              <w:t>微型</w:t>
            </w:r>
          </w:p>
        </w:tc>
      </w:tr>
      <w:tr w14:paraId="24DE5788">
        <w:tblPrEx>
          <w:tblCellMar>
            <w:top w:w="0" w:type="dxa"/>
            <w:left w:w="108" w:type="dxa"/>
            <w:bottom w:w="0" w:type="dxa"/>
            <w:right w:w="108" w:type="dxa"/>
          </w:tblCellMar>
        </w:tblPrEx>
        <w:trPr>
          <w:trHeight w:val="225" w:hRule="atLeast"/>
        </w:trPr>
        <w:tc>
          <w:tcPr>
            <w:tcW w:w="978" w:type="pct"/>
            <w:tcBorders>
              <w:top w:val="nil"/>
              <w:left w:val="single" w:color="auto" w:sz="4" w:space="0"/>
              <w:bottom w:val="single" w:color="auto" w:sz="4" w:space="0"/>
              <w:right w:val="single" w:color="auto" w:sz="4" w:space="0"/>
            </w:tcBorders>
            <w:vAlign w:val="bottom"/>
          </w:tcPr>
          <w:p w14:paraId="2DEB84D8">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农、林、牧、渔</w:t>
            </w:r>
          </w:p>
        </w:tc>
        <w:tc>
          <w:tcPr>
            <w:tcW w:w="831" w:type="pct"/>
            <w:tcBorders>
              <w:top w:val="nil"/>
              <w:left w:val="nil"/>
              <w:bottom w:val="single" w:color="auto" w:sz="4" w:space="0"/>
              <w:right w:val="single" w:color="auto" w:sz="4" w:space="0"/>
            </w:tcBorders>
            <w:vAlign w:val="center"/>
          </w:tcPr>
          <w:p w14:paraId="431FC734">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748" w:type="pct"/>
            <w:tcBorders>
              <w:top w:val="nil"/>
              <w:left w:val="nil"/>
              <w:bottom w:val="single" w:color="auto" w:sz="4" w:space="0"/>
              <w:right w:val="single" w:color="auto" w:sz="4" w:space="0"/>
            </w:tcBorders>
            <w:vAlign w:val="center"/>
          </w:tcPr>
          <w:p w14:paraId="11FF5297">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962" w:type="pct"/>
            <w:tcBorders>
              <w:top w:val="nil"/>
              <w:left w:val="nil"/>
              <w:bottom w:val="single" w:color="auto" w:sz="4" w:space="0"/>
              <w:right w:val="single" w:color="auto" w:sz="4" w:space="0"/>
            </w:tcBorders>
            <w:vAlign w:val="center"/>
          </w:tcPr>
          <w:p w14:paraId="067717EA">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500≤Y＜20000</w:t>
            </w:r>
          </w:p>
        </w:tc>
        <w:tc>
          <w:tcPr>
            <w:tcW w:w="902" w:type="pct"/>
            <w:tcBorders>
              <w:top w:val="nil"/>
              <w:left w:val="nil"/>
              <w:bottom w:val="single" w:color="auto" w:sz="4" w:space="0"/>
              <w:right w:val="single" w:color="auto" w:sz="4" w:space="0"/>
            </w:tcBorders>
            <w:vAlign w:val="center"/>
          </w:tcPr>
          <w:p w14:paraId="6627E228">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50≤Y＜500</w:t>
            </w:r>
          </w:p>
        </w:tc>
        <w:tc>
          <w:tcPr>
            <w:tcW w:w="579" w:type="pct"/>
            <w:tcBorders>
              <w:top w:val="nil"/>
              <w:left w:val="nil"/>
              <w:bottom w:val="single" w:color="auto" w:sz="4" w:space="0"/>
              <w:right w:val="single" w:color="auto" w:sz="4" w:space="0"/>
            </w:tcBorders>
            <w:vAlign w:val="center"/>
          </w:tcPr>
          <w:p w14:paraId="7101306F">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Y＜50</w:t>
            </w:r>
          </w:p>
        </w:tc>
      </w:tr>
      <w:tr w14:paraId="0F5D976E">
        <w:tblPrEx>
          <w:tblCellMar>
            <w:top w:w="0" w:type="dxa"/>
            <w:left w:w="108" w:type="dxa"/>
            <w:bottom w:w="0" w:type="dxa"/>
            <w:right w:w="108" w:type="dxa"/>
          </w:tblCellMar>
        </w:tblPrEx>
        <w:trPr>
          <w:trHeight w:val="225" w:hRule="atLeast"/>
        </w:trPr>
        <w:tc>
          <w:tcPr>
            <w:tcW w:w="978" w:type="pct"/>
            <w:vMerge w:val="restart"/>
            <w:tcBorders>
              <w:top w:val="nil"/>
              <w:left w:val="single" w:color="auto" w:sz="4" w:space="0"/>
              <w:bottom w:val="single" w:color="auto" w:sz="4" w:space="0"/>
              <w:right w:val="single" w:color="auto" w:sz="4" w:space="0"/>
            </w:tcBorders>
            <w:vAlign w:val="bottom"/>
          </w:tcPr>
          <w:p w14:paraId="51544C4D">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工业</w:t>
            </w:r>
          </w:p>
        </w:tc>
        <w:tc>
          <w:tcPr>
            <w:tcW w:w="831" w:type="pct"/>
            <w:tcBorders>
              <w:top w:val="nil"/>
              <w:left w:val="nil"/>
              <w:bottom w:val="single" w:color="auto" w:sz="4" w:space="0"/>
              <w:right w:val="single" w:color="auto" w:sz="4" w:space="0"/>
            </w:tcBorders>
            <w:vAlign w:val="center"/>
          </w:tcPr>
          <w:p w14:paraId="520FC311">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748" w:type="pct"/>
            <w:tcBorders>
              <w:top w:val="nil"/>
              <w:left w:val="nil"/>
              <w:bottom w:val="single" w:color="auto" w:sz="4" w:space="0"/>
              <w:right w:val="single" w:color="auto" w:sz="4" w:space="0"/>
            </w:tcBorders>
            <w:vAlign w:val="center"/>
          </w:tcPr>
          <w:p w14:paraId="007FB3C8">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962" w:type="pct"/>
            <w:tcBorders>
              <w:top w:val="nil"/>
              <w:left w:val="nil"/>
              <w:bottom w:val="single" w:color="auto" w:sz="4" w:space="0"/>
              <w:right w:val="single" w:color="auto" w:sz="4" w:space="0"/>
            </w:tcBorders>
            <w:vAlign w:val="center"/>
          </w:tcPr>
          <w:p w14:paraId="5CDFA288">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300≤X＜1000</w:t>
            </w:r>
          </w:p>
        </w:tc>
        <w:tc>
          <w:tcPr>
            <w:tcW w:w="902" w:type="pct"/>
            <w:tcBorders>
              <w:top w:val="nil"/>
              <w:left w:val="nil"/>
              <w:bottom w:val="single" w:color="auto" w:sz="4" w:space="0"/>
              <w:right w:val="single" w:color="auto" w:sz="4" w:space="0"/>
            </w:tcBorders>
            <w:vAlign w:val="center"/>
          </w:tcPr>
          <w:p w14:paraId="34000398">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20≤X＜300</w:t>
            </w:r>
          </w:p>
        </w:tc>
        <w:tc>
          <w:tcPr>
            <w:tcW w:w="579" w:type="pct"/>
            <w:tcBorders>
              <w:top w:val="nil"/>
              <w:left w:val="nil"/>
              <w:bottom w:val="single" w:color="auto" w:sz="4" w:space="0"/>
              <w:right w:val="single" w:color="auto" w:sz="4" w:space="0"/>
            </w:tcBorders>
            <w:vAlign w:val="center"/>
          </w:tcPr>
          <w:p w14:paraId="0B381A91">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X＜20</w:t>
            </w:r>
          </w:p>
        </w:tc>
      </w:tr>
      <w:tr w14:paraId="2CF93D96">
        <w:tblPrEx>
          <w:tblCellMar>
            <w:top w:w="0" w:type="dxa"/>
            <w:left w:w="108" w:type="dxa"/>
            <w:bottom w:w="0" w:type="dxa"/>
            <w:right w:w="108" w:type="dxa"/>
          </w:tblCellMar>
        </w:tblPrEx>
        <w:trPr>
          <w:trHeight w:val="225" w:hRule="atLeast"/>
        </w:trPr>
        <w:tc>
          <w:tcPr>
            <w:tcW w:w="978" w:type="pct"/>
            <w:vMerge w:val="continue"/>
            <w:tcBorders>
              <w:top w:val="nil"/>
              <w:left w:val="single" w:color="auto" w:sz="4" w:space="0"/>
              <w:bottom w:val="single" w:color="auto" w:sz="4" w:space="0"/>
              <w:right w:val="single" w:color="auto" w:sz="4" w:space="0"/>
            </w:tcBorders>
            <w:vAlign w:val="center"/>
          </w:tcPr>
          <w:p w14:paraId="3D188A2A">
            <w:pPr>
              <w:widowControl/>
              <w:jc w:val="left"/>
              <w:rPr>
                <w:rFonts w:ascii="宋体" w:hAnsi="宋体" w:cs="宋体"/>
                <w:b/>
                <w:bCs/>
                <w:color w:val="auto"/>
                <w:kern w:val="0"/>
                <w:szCs w:val="21"/>
                <w:highlight w:val="none"/>
              </w:rPr>
            </w:pPr>
          </w:p>
        </w:tc>
        <w:tc>
          <w:tcPr>
            <w:tcW w:w="831" w:type="pct"/>
            <w:tcBorders>
              <w:top w:val="nil"/>
              <w:left w:val="nil"/>
              <w:bottom w:val="single" w:color="auto" w:sz="4" w:space="0"/>
              <w:right w:val="single" w:color="auto" w:sz="4" w:space="0"/>
            </w:tcBorders>
            <w:vAlign w:val="center"/>
          </w:tcPr>
          <w:p w14:paraId="7D00BB3E">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748" w:type="pct"/>
            <w:tcBorders>
              <w:top w:val="nil"/>
              <w:left w:val="nil"/>
              <w:bottom w:val="single" w:color="auto" w:sz="4" w:space="0"/>
              <w:right w:val="single" w:color="auto" w:sz="4" w:space="0"/>
            </w:tcBorders>
            <w:vAlign w:val="center"/>
          </w:tcPr>
          <w:p w14:paraId="2E07AD0A">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962" w:type="pct"/>
            <w:tcBorders>
              <w:top w:val="nil"/>
              <w:left w:val="nil"/>
              <w:bottom w:val="single" w:color="auto" w:sz="4" w:space="0"/>
              <w:right w:val="single" w:color="auto" w:sz="4" w:space="0"/>
            </w:tcBorders>
            <w:vAlign w:val="center"/>
          </w:tcPr>
          <w:p w14:paraId="2F1498C0">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2000≤Y＜40000</w:t>
            </w:r>
          </w:p>
        </w:tc>
        <w:tc>
          <w:tcPr>
            <w:tcW w:w="902" w:type="pct"/>
            <w:tcBorders>
              <w:top w:val="nil"/>
              <w:left w:val="nil"/>
              <w:bottom w:val="single" w:color="auto" w:sz="4" w:space="0"/>
              <w:right w:val="single" w:color="auto" w:sz="4" w:space="0"/>
            </w:tcBorders>
            <w:vAlign w:val="center"/>
          </w:tcPr>
          <w:p w14:paraId="3A457F4D">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300≤Y＜2000</w:t>
            </w:r>
          </w:p>
        </w:tc>
        <w:tc>
          <w:tcPr>
            <w:tcW w:w="579" w:type="pct"/>
            <w:tcBorders>
              <w:top w:val="nil"/>
              <w:left w:val="nil"/>
              <w:bottom w:val="single" w:color="auto" w:sz="4" w:space="0"/>
              <w:right w:val="single" w:color="auto" w:sz="4" w:space="0"/>
            </w:tcBorders>
            <w:vAlign w:val="center"/>
          </w:tcPr>
          <w:p w14:paraId="60C6865D">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Y＜300</w:t>
            </w:r>
          </w:p>
        </w:tc>
      </w:tr>
      <w:tr w14:paraId="768E3E50">
        <w:tblPrEx>
          <w:tblCellMar>
            <w:top w:w="0" w:type="dxa"/>
            <w:left w:w="108" w:type="dxa"/>
            <w:bottom w:w="0" w:type="dxa"/>
            <w:right w:w="108" w:type="dxa"/>
          </w:tblCellMar>
        </w:tblPrEx>
        <w:trPr>
          <w:trHeight w:val="225" w:hRule="atLeast"/>
        </w:trPr>
        <w:tc>
          <w:tcPr>
            <w:tcW w:w="978" w:type="pct"/>
            <w:vMerge w:val="restart"/>
            <w:tcBorders>
              <w:top w:val="nil"/>
              <w:left w:val="single" w:color="auto" w:sz="4" w:space="0"/>
              <w:bottom w:val="single" w:color="auto" w:sz="4" w:space="0"/>
              <w:right w:val="single" w:color="auto" w:sz="4" w:space="0"/>
            </w:tcBorders>
            <w:vAlign w:val="bottom"/>
          </w:tcPr>
          <w:p w14:paraId="06E88C8B">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建筑业</w:t>
            </w:r>
          </w:p>
        </w:tc>
        <w:tc>
          <w:tcPr>
            <w:tcW w:w="831" w:type="pct"/>
            <w:tcBorders>
              <w:top w:val="nil"/>
              <w:left w:val="nil"/>
              <w:bottom w:val="single" w:color="auto" w:sz="4" w:space="0"/>
              <w:right w:val="single" w:color="auto" w:sz="4" w:space="0"/>
            </w:tcBorders>
            <w:vAlign w:val="center"/>
          </w:tcPr>
          <w:p w14:paraId="5173FC43">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748" w:type="pct"/>
            <w:tcBorders>
              <w:top w:val="nil"/>
              <w:left w:val="nil"/>
              <w:bottom w:val="single" w:color="auto" w:sz="4" w:space="0"/>
              <w:right w:val="single" w:color="auto" w:sz="4" w:space="0"/>
            </w:tcBorders>
            <w:vAlign w:val="center"/>
          </w:tcPr>
          <w:p w14:paraId="746532EE">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962" w:type="pct"/>
            <w:tcBorders>
              <w:top w:val="nil"/>
              <w:left w:val="nil"/>
              <w:bottom w:val="single" w:color="auto" w:sz="4" w:space="0"/>
              <w:right w:val="single" w:color="auto" w:sz="4" w:space="0"/>
            </w:tcBorders>
            <w:vAlign w:val="center"/>
          </w:tcPr>
          <w:p w14:paraId="59D66590">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6000≤Y＜80000</w:t>
            </w:r>
          </w:p>
        </w:tc>
        <w:tc>
          <w:tcPr>
            <w:tcW w:w="902" w:type="pct"/>
            <w:tcBorders>
              <w:top w:val="nil"/>
              <w:left w:val="nil"/>
              <w:bottom w:val="single" w:color="auto" w:sz="4" w:space="0"/>
              <w:right w:val="single" w:color="auto" w:sz="4" w:space="0"/>
            </w:tcBorders>
            <w:vAlign w:val="center"/>
          </w:tcPr>
          <w:p w14:paraId="5E38022D">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300≤Y＜6000</w:t>
            </w:r>
          </w:p>
        </w:tc>
        <w:tc>
          <w:tcPr>
            <w:tcW w:w="579" w:type="pct"/>
            <w:tcBorders>
              <w:top w:val="nil"/>
              <w:left w:val="nil"/>
              <w:bottom w:val="single" w:color="auto" w:sz="4" w:space="0"/>
              <w:right w:val="single" w:color="auto" w:sz="4" w:space="0"/>
            </w:tcBorders>
            <w:vAlign w:val="center"/>
          </w:tcPr>
          <w:p w14:paraId="3AFF3DB8">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Y＜300</w:t>
            </w:r>
          </w:p>
        </w:tc>
      </w:tr>
      <w:tr w14:paraId="24B32983">
        <w:tblPrEx>
          <w:tblCellMar>
            <w:top w:w="0" w:type="dxa"/>
            <w:left w:w="108" w:type="dxa"/>
            <w:bottom w:w="0" w:type="dxa"/>
            <w:right w:w="108" w:type="dxa"/>
          </w:tblCellMar>
        </w:tblPrEx>
        <w:trPr>
          <w:trHeight w:val="225" w:hRule="atLeast"/>
        </w:trPr>
        <w:tc>
          <w:tcPr>
            <w:tcW w:w="978" w:type="pct"/>
            <w:vMerge w:val="continue"/>
            <w:tcBorders>
              <w:top w:val="nil"/>
              <w:left w:val="single" w:color="auto" w:sz="4" w:space="0"/>
              <w:bottom w:val="single" w:color="auto" w:sz="4" w:space="0"/>
              <w:right w:val="single" w:color="auto" w:sz="4" w:space="0"/>
            </w:tcBorders>
            <w:vAlign w:val="center"/>
          </w:tcPr>
          <w:p w14:paraId="4AA4DDC7">
            <w:pPr>
              <w:widowControl/>
              <w:jc w:val="left"/>
              <w:rPr>
                <w:rFonts w:ascii="宋体" w:hAnsi="宋体" w:cs="宋体"/>
                <w:b/>
                <w:bCs/>
                <w:color w:val="auto"/>
                <w:kern w:val="0"/>
                <w:szCs w:val="21"/>
                <w:highlight w:val="none"/>
              </w:rPr>
            </w:pPr>
          </w:p>
        </w:tc>
        <w:tc>
          <w:tcPr>
            <w:tcW w:w="831" w:type="pct"/>
            <w:tcBorders>
              <w:top w:val="nil"/>
              <w:left w:val="nil"/>
              <w:bottom w:val="single" w:color="auto" w:sz="4" w:space="0"/>
              <w:right w:val="single" w:color="auto" w:sz="4" w:space="0"/>
            </w:tcBorders>
            <w:vAlign w:val="center"/>
          </w:tcPr>
          <w:p w14:paraId="6CF56490">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资产总额（Z）</w:t>
            </w:r>
          </w:p>
        </w:tc>
        <w:tc>
          <w:tcPr>
            <w:tcW w:w="748" w:type="pct"/>
            <w:tcBorders>
              <w:top w:val="nil"/>
              <w:left w:val="nil"/>
              <w:bottom w:val="single" w:color="auto" w:sz="4" w:space="0"/>
              <w:right w:val="single" w:color="auto" w:sz="4" w:space="0"/>
            </w:tcBorders>
            <w:vAlign w:val="center"/>
          </w:tcPr>
          <w:p w14:paraId="177C80AF">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962" w:type="pct"/>
            <w:tcBorders>
              <w:top w:val="nil"/>
              <w:left w:val="nil"/>
              <w:bottom w:val="single" w:color="auto" w:sz="4" w:space="0"/>
              <w:right w:val="single" w:color="auto" w:sz="4" w:space="0"/>
            </w:tcBorders>
            <w:vAlign w:val="center"/>
          </w:tcPr>
          <w:p w14:paraId="17BF486A">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5000≤Z＜80000</w:t>
            </w:r>
          </w:p>
        </w:tc>
        <w:tc>
          <w:tcPr>
            <w:tcW w:w="902" w:type="pct"/>
            <w:tcBorders>
              <w:top w:val="nil"/>
              <w:left w:val="nil"/>
              <w:bottom w:val="single" w:color="auto" w:sz="4" w:space="0"/>
              <w:right w:val="single" w:color="auto" w:sz="4" w:space="0"/>
            </w:tcBorders>
            <w:vAlign w:val="center"/>
          </w:tcPr>
          <w:p w14:paraId="25419C92">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300≤Z＜5000</w:t>
            </w:r>
          </w:p>
        </w:tc>
        <w:tc>
          <w:tcPr>
            <w:tcW w:w="579" w:type="pct"/>
            <w:tcBorders>
              <w:top w:val="nil"/>
              <w:left w:val="nil"/>
              <w:bottom w:val="single" w:color="auto" w:sz="4" w:space="0"/>
              <w:right w:val="single" w:color="auto" w:sz="4" w:space="0"/>
            </w:tcBorders>
            <w:vAlign w:val="center"/>
          </w:tcPr>
          <w:p w14:paraId="1A49E8CA">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Z＜300</w:t>
            </w:r>
          </w:p>
        </w:tc>
      </w:tr>
      <w:tr w14:paraId="072673D2">
        <w:tblPrEx>
          <w:tblCellMar>
            <w:top w:w="0" w:type="dxa"/>
            <w:left w:w="108" w:type="dxa"/>
            <w:bottom w:w="0" w:type="dxa"/>
            <w:right w:w="108" w:type="dxa"/>
          </w:tblCellMar>
        </w:tblPrEx>
        <w:trPr>
          <w:trHeight w:val="225" w:hRule="atLeast"/>
        </w:trPr>
        <w:tc>
          <w:tcPr>
            <w:tcW w:w="978" w:type="pct"/>
            <w:vMerge w:val="restart"/>
            <w:tcBorders>
              <w:top w:val="nil"/>
              <w:left w:val="single" w:color="auto" w:sz="4" w:space="0"/>
              <w:bottom w:val="single" w:color="auto" w:sz="4" w:space="0"/>
              <w:right w:val="single" w:color="auto" w:sz="4" w:space="0"/>
            </w:tcBorders>
            <w:vAlign w:val="bottom"/>
          </w:tcPr>
          <w:p w14:paraId="480879D0">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批发业</w:t>
            </w:r>
          </w:p>
        </w:tc>
        <w:tc>
          <w:tcPr>
            <w:tcW w:w="831" w:type="pct"/>
            <w:tcBorders>
              <w:top w:val="nil"/>
              <w:left w:val="nil"/>
              <w:bottom w:val="single" w:color="auto" w:sz="4" w:space="0"/>
              <w:right w:val="single" w:color="auto" w:sz="4" w:space="0"/>
            </w:tcBorders>
            <w:vAlign w:val="center"/>
          </w:tcPr>
          <w:p w14:paraId="0D27D7F1">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748" w:type="pct"/>
            <w:tcBorders>
              <w:top w:val="nil"/>
              <w:left w:val="nil"/>
              <w:bottom w:val="single" w:color="auto" w:sz="4" w:space="0"/>
              <w:right w:val="single" w:color="auto" w:sz="4" w:space="0"/>
            </w:tcBorders>
            <w:vAlign w:val="center"/>
          </w:tcPr>
          <w:p w14:paraId="021EB550">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962" w:type="pct"/>
            <w:tcBorders>
              <w:top w:val="nil"/>
              <w:left w:val="nil"/>
              <w:bottom w:val="single" w:color="auto" w:sz="4" w:space="0"/>
              <w:right w:val="single" w:color="auto" w:sz="4" w:space="0"/>
            </w:tcBorders>
            <w:vAlign w:val="center"/>
          </w:tcPr>
          <w:p w14:paraId="62334B08">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20≤X＜200</w:t>
            </w:r>
          </w:p>
        </w:tc>
        <w:tc>
          <w:tcPr>
            <w:tcW w:w="902" w:type="pct"/>
            <w:tcBorders>
              <w:top w:val="nil"/>
              <w:left w:val="nil"/>
              <w:bottom w:val="single" w:color="auto" w:sz="4" w:space="0"/>
              <w:right w:val="single" w:color="auto" w:sz="4" w:space="0"/>
            </w:tcBorders>
            <w:vAlign w:val="center"/>
          </w:tcPr>
          <w:p w14:paraId="43C096DE">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5≤X＜20</w:t>
            </w:r>
          </w:p>
        </w:tc>
        <w:tc>
          <w:tcPr>
            <w:tcW w:w="579" w:type="pct"/>
            <w:tcBorders>
              <w:top w:val="nil"/>
              <w:left w:val="nil"/>
              <w:bottom w:val="single" w:color="auto" w:sz="4" w:space="0"/>
              <w:right w:val="single" w:color="auto" w:sz="4" w:space="0"/>
            </w:tcBorders>
            <w:vAlign w:val="center"/>
          </w:tcPr>
          <w:p w14:paraId="7CACE5D2">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X＜5</w:t>
            </w:r>
          </w:p>
        </w:tc>
      </w:tr>
      <w:tr w14:paraId="2597D03D">
        <w:tblPrEx>
          <w:tblCellMar>
            <w:top w:w="0" w:type="dxa"/>
            <w:left w:w="108" w:type="dxa"/>
            <w:bottom w:w="0" w:type="dxa"/>
            <w:right w:w="108" w:type="dxa"/>
          </w:tblCellMar>
        </w:tblPrEx>
        <w:trPr>
          <w:trHeight w:val="225" w:hRule="atLeast"/>
        </w:trPr>
        <w:tc>
          <w:tcPr>
            <w:tcW w:w="978" w:type="pct"/>
            <w:vMerge w:val="continue"/>
            <w:tcBorders>
              <w:top w:val="nil"/>
              <w:left w:val="single" w:color="auto" w:sz="4" w:space="0"/>
              <w:bottom w:val="single" w:color="auto" w:sz="4" w:space="0"/>
              <w:right w:val="single" w:color="auto" w:sz="4" w:space="0"/>
            </w:tcBorders>
            <w:vAlign w:val="center"/>
          </w:tcPr>
          <w:p w14:paraId="2FE49E69">
            <w:pPr>
              <w:widowControl/>
              <w:jc w:val="left"/>
              <w:rPr>
                <w:rFonts w:ascii="宋体" w:hAnsi="宋体" w:cs="宋体"/>
                <w:b/>
                <w:bCs/>
                <w:color w:val="auto"/>
                <w:kern w:val="0"/>
                <w:szCs w:val="21"/>
                <w:highlight w:val="none"/>
              </w:rPr>
            </w:pPr>
          </w:p>
        </w:tc>
        <w:tc>
          <w:tcPr>
            <w:tcW w:w="831" w:type="pct"/>
            <w:tcBorders>
              <w:top w:val="nil"/>
              <w:left w:val="nil"/>
              <w:bottom w:val="single" w:color="auto" w:sz="4" w:space="0"/>
              <w:right w:val="single" w:color="auto" w:sz="4" w:space="0"/>
            </w:tcBorders>
            <w:vAlign w:val="center"/>
          </w:tcPr>
          <w:p w14:paraId="0E279B02">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748" w:type="pct"/>
            <w:tcBorders>
              <w:top w:val="nil"/>
              <w:left w:val="nil"/>
              <w:bottom w:val="single" w:color="auto" w:sz="4" w:space="0"/>
              <w:right w:val="single" w:color="auto" w:sz="4" w:space="0"/>
            </w:tcBorders>
            <w:vAlign w:val="center"/>
          </w:tcPr>
          <w:p w14:paraId="491432FC">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962" w:type="pct"/>
            <w:tcBorders>
              <w:top w:val="nil"/>
              <w:left w:val="nil"/>
              <w:bottom w:val="single" w:color="auto" w:sz="4" w:space="0"/>
              <w:right w:val="single" w:color="auto" w:sz="4" w:space="0"/>
            </w:tcBorders>
            <w:vAlign w:val="center"/>
          </w:tcPr>
          <w:p w14:paraId="258813C8">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5000≤Y＜40000</w:t>
            </w:r>
          </w:p>
        </w:tc>
        <w:tc>
          <w:tcPr>
            <w:tcW w:w="902" w:type="pct"/>
            <w:tcBorders>
              <w:top w:val="nil"/>
              <w:left w:val="nil"/>
              <w:bottom w:val="single" w:color="auto" w:sz="4" w:space="0"/>
              <w:right w:val="single" w:color="auto" w:sz="4" w:space="0"/>
            </w:tcBorders>
            <w:vAlign w:val="center"/>
          </w:tcPr>
          <w:p w14:paraId="5A9A97CA">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1000≤Y＜5000</w:t>
            </w:r>
          </w:p>
        </w:tc>
        <w:tc>
          <w:tcPr>
            <w:tcW w:w="579" w:type="pct"/>
            <w:tcBorders>
              <w:top w:val="nil"/>
              <w:left w:val="nil"/>
              <w:bottom w:val="single" w:color="auto" w:sz="4" w:space="0"/>
              <w:right w:val="single" w:color="auto" w:sz="4" w:space="0"/>
            </w:tcBorders>
            <w:vAlign w:val="center"/>
          </w:tcPr>
          <w:p w14:paraId="51CCD18C">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Y＜1000</w:t>
            </w:r>
          </w:p>
        </w:tc>
      </w:tr>
      <w:tr w14:paraId="598A0C80">
        <w:tblPrEx>
          <w:tblCellMar>
            <w:top w:w="0" w:type="dxa"/>
            <w:left w:w="108" w:type="dxa"/>
            <w:bottom w:w="0" w:type="dxa"/>
            <w:right w:w="108" w:type="dxa"/>
          </w:tblCellMar>
        </w:tblPrEx>
        <w:trPr>
          <w:trHeight w:val="225" w:hRule="atLeast"/>
        </w:trPr>
        <w:tc>
          <w:tcPr>
            <w:tcW w:w="978" w:type="pct"/>
            <w:vMerge w:val="restart"/>
            <w:tcBorders>
              <w:top w:val="nil"/>
              <w:left w:val="single" w:color="auto" w:sz="4" w:space="0"/>
              <w:bottom w:val="single" w:color="auto" w:sz="4" w:space="0"/>
              <w:right w:val="single" w:color="auto" w:sz="4" w:space="0"/>
            </w:tcBorders>
            <w:vAlign w:val="bottom"/>
          </w:tcPr>
          <w:p w14:paraId="442426A3">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零售业</w:t>
            </w:r>
          </w:p>
        </w:tc>
        <w:tc>
          <w:tcPr>
            <w:tcW w:w="831" w:type="pct"/>
            <w:tcBorders>
              <w:top w:val="nil"/>
              <w:left w:val="nil"/>
              <w:bottom w:val="single" w:color="auto" w:sz="4" w:space="0"/>
              <w:right w:val="single" w:color="auto" w:sz="4" w:space="0"/>
            </w:tcBorders>
            <w:vAlign w:val="center"/>
          </w:tcPr>
          <w:p w14:paraId="64387AA1">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748" w:type="pct"/>
            <w:tcBorders>
              <w:top w:val="nil"/>
              <w:left w:val="nil"/>
              <w:bottom w:val="single" w:color="auto" w:sz="4" w:space="0"/>
              <w:right w:val="single" w:color="auto" w:sz="4" w:space="0"/>
            </w:tcBorders>
            <w:vAlign w:val="center"/>
          </w:tcPr>
          <w:p w14:paraId="400BC2E5">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962" w:type="pct"/>
            <w:tcBorders>
              <w:top w:val="nil"/>
              <w:left w:val="nil"/>
              <w:bottom w:val="single" w:color="auto" w:sz="4" w:space="0"/>
              <w:right w:val="single" w:color="auto" w:sz="4" w:space="0"/>
            </w:tcBorders>
            <w:vAlign w:val="center"/>
          </w:tcPr>
          <w:p w14:paraId="3E671FF9">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50≤X＜300</w:t>
            </w:r>
          </w:p>
        </w:tc>
        <w:tc>
          <w:tcPr>
            <w:tcW w:w="902" w:type="pct"/>
            <w:tcBorders>
              <w:top w:val="nil"/>
              <w:left w:val="nil"/>
              <w:bottom w:val="single" w:color="auto" w:sz="4" w:space="0"/>
              <w:right w:val="single" w:color="auto" w:sz="4" w:space="0"/>
            </w:tcBorders>
            <w:vAlign w:val="center"/>
          </w:tcPr>
          <w:p w14:paraId="323BFF91">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10≤X＜50</w:t>
            </w:r>
          </w:p>
        </w:tc>
        <w:tc>
          <w:tcPr>
            <w:tcW w:w="579" w:type="pct"/>
            <w:tcBorders>
              <w:top w:val="nil"/>
              <w:left w:val="nil"/>
              <w:bottom w:val="single" w:color="auto" w:sz="4" w:space="0"/>
              <w:right w:val="single" w:color="auto" w:sz="4" w:space="0"/>
            </w:tcBorders>
            <w:vAlign w:val="center"/>
          </w:tcPr>
          <w:p w14:paraId="3412C965">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X＜10</w:t>
            </w:r>
          </w:p>
        </w:tc>
      </w:tr>
      <w:tr w14:paraId="6E8BF09A">
        <w:tblPrEx>
          <w:tblCellMar>
            <w:top w:w="0" w:type="dxa"/>
            <w:left w:w="108" w:type="dxa"/>
            <w:bottom w:w="0" w:type="dxa"/>
            <w:right w:w="108" w:type="dxa"/>
          </w:tblCellMar>
        </w:tblPrEx>
        <w:trPr>
          <w:trHeight w:val="225" w:hRule="atLeast"/>
        </w:trPr>
        <w:tc>
          <w:tcPr>
            <w:tcW w:w="978" w:type="pct"/>
            <w:vMerge w:val="continue"/>
            <w:tcBorders>
              <w:top w:val="nil"/>
              <w:left w:val="single" w:color="auto" w:sz="4" w:space="0"/>
              <w:bottom w:val="single" w:color="auto" w:sz="4" w:space="0"/>
              <w:right w:val="single" w:color="auto" w:sz="4" w:space="0"/>
            </w:tcBorders>
            <w:vAlign w:val="center"/>
          </w:tcPr>
          <w:p w14:paraId="19FF2A14">
            <w:pPr>
              <w:widowControl/>
              <w:jc w:val="left"/>
              <w:rPr>
                <w:rFonts w:ascii="宋体" w:hAnsi="宋体" w:cs="宋体"/>
                <w:b/>
                <w:bCs/>
                <w:color w:val="auto"/>
                <w:kern w:val="0"/>
                <w:szCs w:val="21"/>
                <w:highlight w:val="none"/>
              </w:rPr>
            </w:pPr>
          </w:p>
        </w:tc>
        <w:tc>
          <w:tcPr>
            <w:tcW w:w="831" w:type="pct"/>
            <w:tcBorders>
              <w:top w:val="nil"/>
              <w:left w:val="nil"/>
              <w:bottom w:val="single" w:color="auto" w:sz="4" w:space="0"/>
              <w:right w:val="single" w:color="auto" w:sz="4" w:space="0"/>
            </w:tcBorders>
            <w:vAlign w:val="center"/>
          </w:tcPr>
          <w:p w14:paraId="0721EB63">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748" w:type="pct"/>
            <w:tcBorders>
              <w:top w:val="nil"/>
              <w:left w:val="nil"/>
              <w:bottom w:val="single" w:color="auto" w:sz="4" w:space="0"/>
              <w:right w:val="single" w:color="auto" w:sz="4" w:space="0"/>
            </w:tcBorders>
            <w:vAlign w:val="center"/>
          </w:tcPr>
          <w:p w14:paraId="458F7047">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962" w:type="pct"/>
            <w:tcBorders>
              <w:top w:val="nil"/>
              <w:left w:val="nil"/>
              <w:bottom w:val="single" w:color="auto" w:sz="4" w:space="0"/>
              <w:right w:val="single" w:color="auto" w:sz="4" w:space="0"/>
            </w:tcBorders>
            <w:vAlign w:val="center"/>
          </w:tcPr>
          <w:p w14:paraId="408A06DE">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500≤Y＜20000</w:t>
            </w:r>
          </w:p>
        </w:tc>
        <w:tc>
          <w:tcPr>
            <w:tcW w:w="902" w:type="pct"/>
            <w:tcBorders>
              <w:top w:val="nil"/>
              <w:left w:val="nil"/>
              <w:bottom w:val="single" w:color="auto" w:sz="4" w:space="0"/>
              <w:right w:val="single" w:color="auto" w:sz="4" w:space="0"/>
            </w:tcBorders>
            <w:vAlign w:val="center"/>
          </w:tcPr>
          <w:p w14:paraId="07B32194">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100≤Y＜500</w:t>
            </w:r>
          </w:p>
        </w:tc>
        <w:tc>
          <w:tcPr>
            <w:tcW w:w="579" w:type="pct"/>
            <w:tcBorders>
              <w:top w:val="nil"/>
              <w:left w:val="nil"/>
              <w:bottom w:val="single" w:color="auto" w:sz="4" w:space="0"/>
              <w:right w:val="single" w:color="auto" w:sz="4" w:space="0"/>
            </w:tcBorders>
            <w:vAlign w:val="center"/>
          </w:tcPr>
          <w:p w14:paraId="4FDEECB5">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Y＜100</w:t>
            </w:r>
          </w:p>
        </w:tc>
      </w:tr>
      <w:tr w14:paraId="324BFE03">
        <w:tblPrEx>
          <w:tblCellMar>
            <w:top w:w="0" w:type="dxa"/>
            <w:left w:w="108" w:type="dxa"/>
            <w:bottom w:w="0" w:type="dxa"/>
            <w:right w:w="108" w:type="dxa"/>
          </w:tblCellMar>
        </w:tblPrEx>
        <w:trPr>
          <w:trHeight w:val="225" w:hRule="atLeast"/>
        </w:trPr>
        <w:tc>
          <w:tcPr>
            <w:tcW w:w="978" w:type="pct"/>
            <w:vMerge w:val="restart"/>
            <w:tcBorders>
              <w:top w:val="nil"/>
              <w:left w:val="single" w:color="auto" w:sz="4" w:space="0"/>
              <w:bottom w:val="single" w:color="auto" w:sz="4" w:space="0"/>
              <w:right w:val="single" w:color="auto" w:sz="4" w:space="0"/>
            </w:tcBorders>
            <w:vAlign w:val="bottom"/>
          </w:tcPr>
          <w:p w14:paraId="45D3707D">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交通运输业</w:t>
            </w:r>
          </w:p>
        </w:tc>
        <w:tc>
          <w:tcPr>
            <w:tcW w:w="831" w:type="pct"/>
            <w:tcBorders>
              <w:top w:val="nil"/>
              <w:left w:val="nil"/>
              <w:bottom w:val="single" w:color="auto" w:sz="4" w:space="0"/>
              <w:right w:val="single" w:color="auto" w:sz="4" w:space="0"/>
            </w:tcBorders>
            <w:vAlign w:val="center"/>
          </w:tcPr>
          <w:p w14:paraId="057AA361">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748" w:type="pct"/>
            <w:tcBorders>
              <w:top w:val="nil"/>
              <w:left w:val="nil"/>
              <w:bottom w:val="single" w:color="auto" w:sz="4" w:space="0"/>
              <w:right w:val="single" w:color="auto" w:sz="4" w:space="0"/>
            </w:tcBorders>
            <w:vAlign w:val="center"/>
          </w:tcPr>
          <w:p w14:paraId="5D961306">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962" w:type="pct"/>
            <w:tcBorders>
              <w:top w:val="nil"/>
              <w:left w:val="nil"/>
              <w:bottom w:val="single" w:color="auto" w:sz="4" w:space="0"/>
              <w:right w:val="single" w:color="auto" w:sz="4" w:space="0"/>
            </w:tcBorders>
            <w:vAlign w:val="center"/>
          </w:tcPr>
          <w:p w14:paraId="5D1C1DAA">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300≤X＜1000</w:t>
            </w:r>
          </w:p>
        </w:tc>
        <w:tc>
          <w:tcPr>
            <w:tcW w:w="902" w:type="pct"/>
            <w:tcBorders>
              <w:top w:val="nil"/>
              <w:left w:val="nil"/>
              <w:bottom w:val="single" w:color="auto" w:sz="4" w:space="0"/>
              <w:right w:val="single" w:color="auto" w:sz="4" w:space="0"/>
            </w:tcBorders>
            <w:vAlign w:val="center"/>
          </w:tcPr>
          <w:p w14:paraId="7388F4C6">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20≤X＜300</w:t>
            </w:r>
          </w:p>
        </w:tc>
        <w:tc>
          <w:tcPr>
            <w:tcW w:w="579" w:type="pct"/>
            <w:tcBorders>
              <w:top w:val="nil"/>
              <w:left w:val="nil"/>
              <w:bottom w:val="single" w:color="auto" w:sz="4" w:space="0"/>
              <w:right w:val="single" w:color="auto" w:sz="4" w:space="0"/>
            </w:tcBorders>
            <w:vAlign w:val="center"/>
          </w:tcPr>
          <w:p w14:paraId="573A6B6C">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X＜20</w:t>
            </w:r>
          </w:p>
        </w:tc>
      </w:tr>
      <w:tr w14:paraId="5B3B5464">
        <w:tblPrEx>
          <w:tblCellMar>
            <w:top w:w="0" w:type="dxa"/>
            <w:left w:w="108" w:type="dxa"/>
            <w:bottom w:w="0" w:type="dxa"/>
            <w:right w:w="108" w:type="dxa"/>
          </w:tblCellMar>
        </w:tblPrEx>
        <w:trPr>
          <w:trHeight w:val="225" w:hRule="atLeast"/>
        </w:trPr>
        <w:tc>
          <w:tcPr>
            <w:tcW w:w="978" w:type="pct"/>
            <w:vMerge w:val="continue"/>
            <w:tcBorders>
              <w:top w:val="nil"/>
              <w:left w:val="single" w:color="auto" w:sz="4" w:space="0"/>
              <w:bottom w:val="single" w:color="auto" w:sz="4" w:space="0"/>
              <w:right w:val="single" w:color="auto" w:sz="4" w:space="0"/>
            </w:tcBorders>
            <w:vAlign w:val="center"/>
          </w:tcPr>
          <w:p w14:paraId="0565DFCB">
            <w:pPr>
              <w:widowControl/>
              <w:jc w:val="left"/>
              <w:rPr>
                <w:rFonts w:ascii="宋体" w:hAnsi="宋体" w:cs="宋体"/>
                <w:b/>
                <w:bCs/>
                <w:color w:val="auto"/>
                <w:kern w:val="0"/>
                <w:szCs w:val="21"/>
                <w:highlight w:val="none"/>
              </w:rPr>
            </w:pPr>
          </w:p>
        </w:tc>
        <w:tc>
          <w:tcPr>
            <w:tcW w:w="831" w:type="pct"/>
            <w:tcBorders>
              <w:top w:val="nil"/>
              <w:left w:val="nil"/>
              <w:bottom w:val="single" w:color="auto" w:sz="4" w:space="0"/>
              <w:right w:val="single" w:color="auto" w:sz="4" w:space="0"/>
            </w:tcBorders>
            <w:vAlign w:val="center"/>
          </w:tcPr>
          <w:p w14:paraId="05882C98">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748" w:type="pct"/>
            <w:tcBorders>
              <w:top w:val="nil"/>
              <w:left w:val="nil"/>
              <w:bottom w:val="single" w:color="auto" w:sz="4" w:space="0"/>
              <w:right w:val="single" w:color="auto" w:sz="4" w:space="0"/>
            </w:tcBorders>
            <w:vAlign w:val="center"/>
          </w:tcPr>
          <w:p w14:paraId="55D20D62">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962" w:type="pct"/>
            <w:tcBorders>
              <w:top w:val="nil"/>
              <w:left w:val="nil"/>
              <w:bottom w:val="single" w:color="auto" w:sz="4" w:space="0"/>
              <w:right w:val="single" w:color="auto" w:sz="4" w:space="0"/>
            </w:tcBorders>
            <w:vAlign w:val="center"/>
          </w:tcPr>
          <w:p w14:paraId="6E001E91">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3000≤Y＜30000</w:t>
            </w:r>
          </w:p>
        </w:tc>
        <w:tc>
          <w:tcPr>
            <w:tcW w:w="902" w:type="pct"/>
            <w:tcBorders>
              <w:top w:val="nil"/>
              <w:left w:val="nil"/>
              <w:bottom w:val="single" w:color="auto" w:sz="4" w:space="0"/>
              <w:right w:val="single" w:color="auto" w:sz="4" w:space="0"/>
            </w:tcBorders>
            <w:vAlign w:val="center"/>
          </w:tcPr>
          <w:p w14:paraId="692A5148">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200≤Y＜3000</w:t>
            </w:r>
          </w:p>
        </w:tc>
        <w:tc>
          <w:tcPr>
            <w:tcW w:w="579" w:type="pct"/>
            <w:tcBorders>
              <w:top w:val="nil"/>
              <w:left w:val="nil"/>
              <w:bottom w:val="single" w:color="auto" w:sz="4" w:space="0"/>
              <w:right w:val="single" w:color="auto" w:sz="4" w:space="0"/>
            </w:tcBorders>
            <w:vAlign w:val="center"/>
          </w:tcPr>
          <w:p w14:paraId="3C67C089">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Y＜200</w:t>
            </w:r>
          </w:p>
        </w:tc>
      </w:tr>
      <w:tr w14:paraId="6E2A1828">
        <w:tblPrEx>
          <w:tblCellMar>
            <w:top w:w="0" w:type="dxa"/>
            <w:left w:w="108" w:type="dxa"/>
            <w:bottom w:w="0" w:type="dxa"/>
            <w:right w:w="108" w:type="dxa"/>
          </w:tblCellMar>
        </w:tblPrEx>
        <w:trPr>
          <w:trHeight w:val="225" w:hRule="atLeast"/>
        </w:trPr>
        <w:tc>
          <w:tcPr>
            <w:tcW w:w="978" w:type="pct"/>
            <w:vMerge w:val="restart"/>
            <w:tcBorders>
              <w:top w:val="nil"/>
              <w:left w:val="single" w:color="auto" w:sz="4" w:space="0"/>
              <w:bottom w:val="single" w:color="auto" w:sz="4" w:space="0"/>
              <w:right w:val="single" w:color="auto" w:sz="4" w:space="0"/>
            </w:tcBorders>
            <w:vAlign w:val="bottom"/>
          </w:tcPr>
          <w:p w14:paraId="66ACB664">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仓储业</w:t>
            </w:r>
          </w:p>
        </w:tc>
        <w:tc>
          <w:tcPr>
            <w:tcW w:w="831" w:type="pct"/>
            <w:tcBorders>
              <w:top w:val="nil"/>
              <w:left w:val="nil"/>
              <w:bottom w:val="single" w:color="auto" w:sz="4" w:space="0"/>
              <w:right w:val="single" w:color="auto" w:sz="4" w:space="0"/>
            </w:tcBorders>
            <w:vAlign w:val="center"/>
          </w:tcPr>
          <w:p w14:paraId="2DDC8382">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748" w:type="pct"/>
            <w:tcBorders>
              <w:top w:val="nil"/>
              <w:left w:val="nil"/>
              <w:bottom w:val="single" w:color="auto" w:sz="4" w:space="0"/>
              <w:right w:val="single" w:color="auto" w:sz="4" w:space="0"/>
            </w:tcBorders>
            <w:vAlign w:val="center"/>
          </w:tcPr>
          <w:p w14:paraId="11AC0976">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962" w:type="pct"/>
            <w:tcBorders>
              <w:top w:val="nil"/>
              <w:left w:val="nil"/>
              <w:bottom w:val="single" w:color="auto" w:sz="4" w:space="0"/>
              <w:right w:val="single" w:color="auto" w:sz="4" w:space="0"/>
            </w:tcBorders>
            <w:vAlign w:val="center"/>
          </w:tcPr>
          <w:p w14:paraId="3B447F5E">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100≤X＜200</w:t>
            </w:r>
          </w:p>
        </w:tc>
        <w:tc>
          <w:tcPr>
            <w:tcW w:w="902" w:type="pct"/>
            <w:tcBorders>
              <w:top w:val="nil"/>
              <w:left w:val="nil"/>
              <w:bottom w:val="single" w:color="auto" w:sz="4" w:space="0"/>
              <w:right w:val="single" w:color="auto" w:sz="4" w:space="0"/>
            </w:tcBorders>
            <w:vAlign w:val="center"/>
          </w:tcPr>
          <w:p w14:paraId="76930C7D">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20≤X＜100</w:t>
            </w:r>
          </w:p>
        </w:tc>
        <w:tc>
          <w:tcPr>
            <w:tcW w:w="579" w:type="pct"/>
            <w:tcBorders>
              <w:top w:val="nil"/>
              <w:left w:val="nil"/>
              <w:bottom w:val="single" w:color="auto" w:sz="4" w:space="0"/>
              <w:right w:val="single" w:color="auto" w:sz="4" w:space="0"/>
            </w:tcBorders>
            <w:vAlign w:val="center"/>
          </w:tcPr>
          <w:p w14:paraId="7B862F96">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X＜20</w:t>
            </w:r>
          </w:p>
        </w:tc>
      </w:tr>
      <w:tr w14:paraId="534D2156">
        <w:tblPrEx>
          <w:tblCellMar>
            <w:top w:w="0" w:type="dxa"/>
            <w:left w:w="108" w:type="dxa"/>
            <w:bottom w:w="0" w:type="dxa"/>
            <w:right w:w="108" w:type="dxa"/>
          </w:tblCellMar>
        </w:tblPrEx>
        <w:trPr>
          <w:trHeight w:val="225" w:hRule="atLeast"/>
        </w:trPr>
        <w:tc>
          <w:tcPr>
            <w:tcW w:w="978" w:type="pct"/>
            <w:vMerge w:val="continue"/>
            <w:tcBorders>
              <w:top w:val="nil"/>
              <w:left w:val="single" w:color="auto" w:sz="4" w:space="0"/>
              <w:bottom w:val="single" w:color="auto" w:sz="4" w:space="0"/>
              <w:right w:val="single" w:color="auto" w:sz="4" w:space="0"/>
            </w:tcBorders>
            <w:vAlign w:val="center"/>
          </w:tcPr>
          <w:p w14:paraId="6BC8FDDF">
            <w:pPr>
              <w:widowControl/>
              <w:jc w:val="left"/>
              <w:rPr>
                <w:rFonts w:ascii="宋体" w:hAnsi="宋体" w:cs="宋体"/>
                <w:b/>
                <w:bCs/>
                <w:color w:val="auto"/>
                <w:kern w:val="0"/>
                <w:szCs w:val="21"/>
                <w:highlight w:val="none"/>
              </w:rPr>
            </w:pPr>
          </w:p>
        </w:tc>
        <w:tc>
          <w:tcPr>
            <w:tcW w:w="831" w:type="pct"/>
            <w:tcBorders>
              <w:top w:val="nil"/>
              <w:left w:val="nil"/>
              <w:bottom w:val="single" w:color="auto" w:sz="4" w:space="0"/>
              <w:right w:val="single" w:color="auto" w:sz="4" w:space="0"/>
            </w:tcBorders>
            <w:vAlign w:val="center"/>
          </w:tcPr>
          <w:p w14:paraId="266EB5A6">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748" w:type="pct"/>
            <w:tcBorders>
              <w:top w:val="nil"/>
              <w:left w:val="nil"/>
              <w:bottom w:val="single" w:color="auto" w:sz="4" w:space="0"/>
              <w:right w:val="single" w:color="auto" w:sz="4" w:space="0"/>
            </w:tcBorders>
            <w:vAlign w:val="center"/>
          </w:tcPr>
          <w:p w14:paraId="21980D57">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962" w:type="pct"/>
            <w:tcBorders>
              <w:top w:val="nil"/>
              <w:left w:val="nil"/>
              <w:bottom w:val="single" w:color="auto" w:sz="4" w:space="0"/>
              <w:right w:val="single" w:color="auto" w:sz="4" w:space="0"/>
            </w:tcBorders>
            <w:vAlign w:val="center"/>
          </w:tcPr>
          <w:p w14:paraId="72B585DA">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1000≤Y＜30000</w:t>
            </w:r>
          </w:p>
        </w:tc>
        <w:tc>
          <w:tcPr>
            <w:tcW w:w="902" w:type="pct"/>
            <w:tcBorders>
              <w:top w:val="nil"/>
              <w:left w:val="nil"/>
              <w:bottom w:val="single" w:color="auto" w:sz="4" w:space="0"/>
              <w:right w:val="single" w:color="auto" w:sz="4" w:space="0"/>
            </w:tcBorders>
            <w:vAlign w:val="center"/>
          </w:tcPr>
          <w:p w14:paraId="7C10E99B">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100≤Y＜1000</w:t>
            </w:r>
          </w:p>
        </w:tc>
        <w:tc>
          <w:tcPr>
            <w:tcW w:w="579" w:type="pct"/>
            <w:tcBorders>
              <w:top w:val="nil"/>
              <w:left w:val="nil"/>
              <w:bottom w:val="single" w:color="auto" w:sz="4" w:space="0"/>
              <w:right w:val="single" w:color="auto" w:sz="4" w:space="0"/>
            </w:tcBorders>
            <w:vAlign w:val="center"/>
          </w:tcPr>
          <w:p w14:paraId="45B5AAC5">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Y＜100</w:t>
            </w:r>
          </w:p>
        </w:tc>
      </w:tr>
      <w:tr w14:paraId="41FF1D79">
        <w:tblPrEx>
          <w:tblCellMar>
            <w:top w:w="0" w:type="dxa"/>
            <w:left w:w="108" w:type="dxa"/>
            <w:bottom w:w="0" w:type="dxa"/>
            <w:right w:w="108" w:type="dxa"/>
          </w:tblCellMar>
        </w:tblPrEx>
        <w:trPr>
          <w:trHeight w:val="225" w:hRule="atLeast"/>
        </w:trPr>
        <w:tc>
          <w:tcPr>
            <w:tcW w:w="978" w:type="pct"/>
            <w:vMerge w:val="restart"/>
            <w:tcBorders>
              <w:top w:val="nil"/>
              <w:left w:val="single" w:color="auto" w:sz="4" w:space="0"/>
              <w:bottom w:val="single" w:color="auto" w:sz="4" w:space="0"/>
              <w:right w:val="single" w:color="auto" w:sz="4" w:space="0"/>
            </w:tcBorders>
            <w:vAlign w:val="bottom"/>
          </w:tcPr>
          <w:p w14:paraId="5C30ACEA">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邮政业</w:t>
            </w:r>
          </w:p>
        </w:tc>
        <w:tc>
          <w:tcPr>
            <w:tcW w:w="831" w:type="pct"/>
            <w:tcBorders>
              <w:top w:val="nil"/>
              <w:left w:val="nil"/>
              <w:bottom w:val="single" w:color="auto" w:sz="4" w:space="0"/>
              <w:right w:val="single" w:color="auto" w:sz="4" w:space="0"/>
            </w:tcBorders>
            <w:vAlign w:val="center"/>
          </w:tcPr>
          <w:p w14:paraId="7CA00208">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748" w:type="pct"/>
            <w:tcBorders>
              <w:top w:val="nil"/>
              <w:left w:val="nil"/>
              <w:bottom w:val="single" w:color="auto" w:sz="4" w:space="0"/>
              <w:right w:val="single" w:color="auto" w:sz="4" w:space="0"/>
            </w:tcBorders>
            <w:vAlign w:val="center"/>
          </w:tcPr>
          <w:p w14:paraId="379A7750">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962" w:type="pct"/>
            <w:tcBorders>
              <w:top w:val="nil"/>
              <w:left w:val="nil"/>
              <w:bottom w:val="single" w:color="auto" w:sz="4" w:space="0"/>
              <w:right w:val="single" w:color="auto" w:sz="4" w:space="0"/>
            </w:tcBorders>
            <w:vAlign w:val="center"/>
          </w:tcPr>
          <w:p w14:paraId="4C678DE8">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300≤X＜1000</w:t>
            </w:r>
          </w:p>
        </w:tc>
        <w:tc>
          <w:tcPr>
            <w:tcW w:w="902" w:type="pct"/>
            <w:tcBorders>
              <w:top w:val="nil"/>
              <w:left w:val="nil"/>
              <w:bottom w:val="single" w:color="auto" w:sz="4" w:space="0"/>
              <w:right w:val="single" w:color="auto" w:sz="4" w:space="0"/>
            </w:tcBorders>
            <w:vAlign w:val="center"/>
          </w:tcPr>
          <w:p w14:paraId="19874E65">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20≤X＜300</w:t>
            </w:r>
          </w:p>
        </w:tc>
        <w:tc>
          <w:tcPr>
            <w:tcW w:w="579" w:type="pct"/>
            <w:tcBorders>
              <w:top w:val="nil"/>
              <w:left w:val="nil"/>
              <w:bottom w:val="single" w:color="auto" w:sz="4" w:space="0"/>
              <w:right w:val="single" w:color="auto" w:sz="4" w:space="0"/>
            </w:tcBorders>
            <w:vAlign w:val="center"/>
          </w:tcPr>
          <w:p w14:paraId="24423037">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X＜20</w:t>
            </w:r>
          </w:p>
        </w:tc>
      </w:tr>
      <w:tr w14:paraId="47D6B176">
        <w:tblPrEx>
          <w:tblCellMar>
            <w:top w:w="0" w:type="dxa"/>
            <w:left w:w="108" w:type="dxa"/>
            <w:bottom w:w="0" w:type="dxa"/>
            <w:right w:w="108" w:type="dxa"/>
          </w:tblCellMar>
        </w:tblPrEx>
        <w:trPr>
          <w:trHeight w:val="225" w:hRule="atLeast"/>
        </w:trPr>
        <w:tc>
          <w:tcPr>
            <w:tcW w:w="978" w:type="pct"/>
            <w:vMerge w:val="continue"/>
            <w:tcBorders>
              <w:top w:val="nil"/>
              <w:left w:val="single" w:color="auto" w:sz="4" w:space="0"/>
              <w:bottom w:val="single" w:color="auto" w:sz="4" w:space="0"/>
              <w:right w:val="single" w:color="auto" w:sz="4" w:space="0"/>
            </w:tcBorders>
            <w:vAlign w:val="center"/>
          </w:tcPr>
          <w:p w14:paraId="60093498">
            <w:pPr>
              <w:widowControl/>
              <w:jc w:val="left"/>
              <w:rPr>
                <w:rFonts w:ascii="宋体" w:hAnsi="宋体" w:cs="宋体"/>
                <w:b/>
                <w:bCs/>
                <w:color w:val="auto"/>
                <w:kern w:val="0"/>
                <w:szCs w:val="21"/>
                <w:highlight w:val="none"/>
              </w:rPr>
            </w:pPr>
          </w:p>
        </w:tc>
        <w:tc>
          <w:tcPr>
            <w:tcW w:w="831" w:type="pct"/>
            <w:tcBorders>
              <w:top w:val="nil"/>
              <w:left w:val="nil"/>
              <w:bottom w:val="single" w:color="auto" w:sz="4" w:space="0"/>
              <w:right w:val="single" w:color="auto" w:sz="4" w:space="0"/>
            </w:tcBorders>
            <w:vAlign w:val="center"/>
          </w:tcPr>
          <w:p w14:paraId="2A864FB1">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748" w:type="pct"/>
            <w:tcBorders>
              <w:top w:val="nil"/>
              <w:left w:val="nil"/>
              <w:bottom w:val="single" w:color="auto" w:sz="4" w:space="0"/>
              <w:right w:val="single" w:color="auto" w:sz="4" w:space="0"/>
            </w:tcBorders>
            <w:vAlign w:val="center"/>
          </w:tcPr>
          <w:p w14:paraId="272B4698">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962" w:type="pct"/>
            <w:tcBorders>
              <w:top w:val="nil"/>
              <w:left w:val="nil"/>
              <w:bottom w:val="single" w:color="auto" w:sz="4" w:space="0"/>
              <w:right w:val="single" w:color="auto" w:sz="4" w:space="0"/>
            </w:tcBorders>
            <w:vAlign w:val="center"/>
          </w:tcPr>
          <w:p w14:paraId="0543AD5B">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2000≤Y＜30000</w:t>
            </w:r>
          </w:p>
        </w:tc>
        <w:tc>
          <w:tcPr>
            <w:tcW w:w="902" w:type="pct"/>
            <w:tcBorders>
              <w:top w:val="nil"/>
              <w:left w:val="nil"/>
              <w:bottom w:val="single" w:color="auto" w:sz="4" w:space="0"/>
              <w:right w:val="single" w:color="auto" w:sz="4" w:space="0"/>
            </w:tcBorders>
            <w:vAlign w:val="center"/>
          </w:tcPr>
          <w:p w14:paraId="098DB1EC">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100≤Y＜2000</w:t>
            </w:r>
          </w:p>
        </w:tc>
        <w:tc>
          <w:tcPr>
            <w:tcW w:w="579" w:type="pct"/>
            <w:tcBorders>
              <w:top w:val="nil"/>
              <w:left w:val="nil"/>
              <w:bottom w:val="single" w:color="auto" w:sz="4" w:space="0"/>
              <w:right w:val="single" w:color="auto" w:sz="4" w:space="0"/>
            </w:tcBorders>
            <w:vAlign w:val="center"/>
          </w:tcPr>
          <w:p w14:paraId="5A77944D">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Y＜100</w:t>
            </w:r>
          </w:p>
        </w:tc>
      </w:tr>
      <w:tr w14:paraId="4CE65237">
        <w:tblPrEx>
          <w:tblCellMar>
            <w:top w:w="0" w:type="dxa"/>
            <w:left w:w="108" w:type="dxa"/>
            <w:bottom w:w="0" w:type="dxa"/>
            <w:right w:w="108" w:type="dxa"/>
          </w:tblCellMar>
        </w:tblPrEx>
        <w:trPr>
          <w:trHeight w:val="225" w:hRule="atLeast"/>
        </w:trPr>
        <w:tc>
          <w:tcPr>
            <w:tcW w:w="978" w:type="pct"/>
            <w:vMerge w:val="restart"/>
            <w:tcBorders>
              <w:top w:val="nil"/>
              <w:left w:val="single" w:color="auto" w:sz="4" w:space="0"/>
              <w:bottom w:val="single" w:color="auto" w:sz="4" w:space="0"/>
              <w:right w:val="single" w:color="auto" w:sz="4" w:space="0"/>
            </w:tcBorders>
            <w:vAlign w:val="bottom"/>
          </w:tcPr>
          <w:p w14:paraId="375ADF52">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住宿业</w:t>
            </w:r>
          </w:p>
        </w:tc>
        <w:tc>
          <w:tcPr>
            <w:tcW w:w="831" w:type="pct"/>
            <w:tcBorders>
              <w:top w:val="nil"/>
              <w:left w:val="nil"/>
              <w:bottom w:val="single" w:color="auto" w:sz="4" w:space="0"/>
              <w:right w:val="single" w:color="auto" w:sz="4" w:space="0"/>
            </w:tcBorders>
            <w:vAlign w:val="center"/>
          </w:tcPr>
          <w:p w14:paraId="3E076C04">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748" w:type="pct"/>
            <w:tcBorders>
              <w:top w:val="nil"/>
              <w:left w:val="nil"/>
              <w:bottom w:val="single" w:color="auto" w:sz="4" w:space="0"/>
              <w:right w:val="single" w:color="auto" w:sz="4" w:space="0"/>
            </w:tcBorders>
            <w:vAlign w:val="center"/>
          </w:tcPr>
          <w:p w14:paraId="6670A2EB">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962" w:type="pct"/>
            <w:tcBorders>
              <w:top w:val="nil"/>
              <w:left w:val="nil"/>
              <w:bottom w:val="single" w:color="auto" w:sz="4" w:space="0"/>
              <w:right w:val="single" w:color="auto" w:sz="4" w:space="0"/>
            </w:tcBorders>
            <w:vAlign w:val="center"/>
          </w:tcPr>
          <w:p w14:paraId="5C119BFD">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100≤X＜300</w:t>
            </w:r>
          </w:p>
        </w:tc>
        <w:tc>
          <w:tcPr>
            <w:tcW w:w="902" w:type="pct"/>
            <w:tcBorders>
              <w:top w:val="nil"/>
              <w:left w:val="nil"/>
              <w:bottom w:val="single" w:color="auto" w:sz="4" w:space="0"/>
              <w:right w:val="single" w:color="auto" w:sz="4" w:space="0"/>
            </w:tcBorders>
            <w:vAlign w:val="center"/>
          </w:tcPr>
          <w:p w14:paraId="453858D3">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10≤X＜100</w:t>
            </w:r>
          </w:p>
        </w:tc>
        <w:tc>
          <w:tcPr>
            <w:tcW w:w="579" w:type="pct"/>
            <w:tcBorders>
              <w:top w:val="nil"/>
              <w:left w:val="nil"/>
              <w:bottom w:val="single" w:color="auto" w:sz="4" w:space="0"/>
              <w:right w:val="single" w:color="auto" w:sz="4" w:space="0"/>
            </w:tcBorders>
            <w:vAlign w:val="center"/>
          </w:tcPr>
          <w:p w14:paraId="75F54D6E">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X＜10</w:t>
            </w:r>
          </w:p>
        </w:tc>
      </w:tr>
      <w:tr w14:paraId="0A436561">
        <w:tblPrEx>
          <w:tblCellMar>
            <w:top w:w="0" w:type="dxa"/>
            <w:left w:w="108" w:type="dxa"/>
            <w:bottom w:w="0" w:type="dxa"/>
            <w:right w:w="108" w:type="dxa"/>
          </w:tblCellMar>
        </w:tblPrEx>
        <w:trPr>
          <w:trHeight w:val="225" w:hRule="atLeast"/>
        </w:trPr>
        <w:tc>
          <w:tcPr>
            <w:tcW w:w="978" w:type="pct"/>
            <w:vMerge w:val="continue"/>
            <w:tcBorders>
              <w:top w:val="nil"/>
              <w:left w:val="single" w:color="auto" w:sz="4" w:space="0"/>
              <w:bottom w:val="single" w:color="auto" w:sz="4" w:space="0"/>
              <w:right w:val="single" w:color="auto" w:sz="4" w:space="0"/>
            </w:tcBorders>
            <w:vAlign w:val="center"/>
          </w:tcPr>
          <w:p w14:paraId="42628E5E">
            <w:pPr>
              <w:widowControl/>
              <w:jc w:val="left"/>
              <w:rPr>
                <w:rFonts w:ascii="宋体" w:hAnsi="宋体" w:cs="宋体"/>
                <w:b/>
                <w:bCs/>
                <w:color w:val="auto"/>
                <w:kern w:val="0"/>
                <w:szCs w:val="21"/>
                <w:highlight w:val="none"/>
              </w:rPr>
            </w:pPr>
          </w:p>
        </w:tc>
        <w:tc>
          <w:tcPr>
            <w:tcW w:w="831" w:type="pct"/>
            <w:tcBorders>
              <w:top w:val="nil"/>
              <w:left w:val="nil"/>
              <w:bottom w:val="single" w:color="auto" w:sz="4" w:space="0"/>
              <w:right w:val="single" w:color="auto" w:sz="4" w:space="0"/>
            </w:tcBorders>
            <w:vAlign w:val="center"/>
          </w:tcPr>
          <w:p w14:paraId="5BDB095E">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748" w:type="pct"/>
            <w:tcBorders>
              <w:top w:val="nil"/>
              <w:left w:val="nil"/>
              <w:bottom w:val="single" w:color="auto" w:sz="4" w:space="0"/>
              <w:right w:val="single" w:color="auto" w:sz="4" w:space="0"/>
            </w:tcBorders>
            <w:vAlign w:val="center"/>
          </w:tcPr>
          <w:p w14:paraId="0D90A7B4">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962" w:type="pct"/>
            <w:tcBorders>
              <w:top w:val="nil"/>
              <w:left w:val="nil"/>
              <w:bottom w:val="single" w:color="auto" w:sz="4" w:space="0"/>
              <w:right w:val="single" w:color="auto" w:sz="4" w:space="0"/>
            </w:tcBorders>
            <w:vAlign w:val="center"/>
          </w:tcPr>
          <w:p w14:paraId="366C9AA0">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2000≤Y＜10000</w:t>
            </w:r>
          </w:p>
        </w:tc>
        <w:tc>
          <w:tcPr>
            <w:tcW w:w="902" w:type="pct"/>
            <w:tcBorders>
              <w:top w:val="nil"/>
              <w:left w:val="nil"/>
              <w:bottom w:val="single" w:color="auto" w:sz="4" w:space="0"/>
              <w:right w:val="single" w:color="auto" w:sz="4" w:space="0"/>
            </w:tcBorders>
            <w:vAlign w:val="center"/>
          </w:tcPr>
          <w:p w14:paraId="3142D6CB">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100≤Y＜2000</w:t>
            </w:r>
          </w:p>
        </w:tc>
        <w:tc>
          <w:tcPr>
            <w:tcW w:w="579" w:type="pct"/>
            <w:tcBorders>
              <w:top w:val="nil"/>
              <w:left w:val="nil"/>
              <w:bottom w:val="single" w:color="auto" w:sz="4" w:space="0"/>
              <w:right w:val="single" w:color="auto" w:sz="4" w:space="0"/>
            </w:tcBorders>
            <w:vAlign w:val="center"/>
          </w:tcPr>
          <w:p w14:paraId="2CC4C201">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Y＜100</w:t>
            </w:r>
          </w:p>
        </w:tc>
      </w:tr>
      <w:tr w14:paraId="4C85C175">
        <w:tblPrEx>
          <w:tblCellMar>
            <w:top w:w="0" w:type="dxa"/>
            <w:left w:w="108" w:type="dxa"/>
            <w:bottom w:w="0" w:type="dxa"/>
            <w:right w:w="108" w:type="dxa"/>
          </w:tblCellMar>
        </w:tblPrEx>
        <w:trPr>
          <w:trHeight w:val="225" w:hRule="atLeast"/>
        </w:trPr>
        <w:tc>
          <w:tcPr>
            <w:tcW w:w="978" w:type="pct"/>
            <w:vMerge w:val="restart"/>
            <w:tcBorders>
              <w:top w:val="nil"/>
              <w:left w:val="single" w:color="auto" w:sz="4" w:space="0"/>
              <w:bottom w:val="single" w:color="auto" w:sz="4" w:space="0"/>
              <w:right w:val="single" w:color="auto" w:sz="4" w:space="0"/>
            </w:tcBorders>
            <w:vAlign w:val="bottom"/>
          </w:tcPr>
          <w:p w14:paraId="66DFE87D">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餐饮业</w:t>
            </w:r>
          </w:p>
        </w:tc>
        <w:tc>
          <w:tcPr>
            <w:tcW w:w="831" w:type="pct"/>
            <w:tcBorders>
              <w:top w:val="nil"/>
              <w:left w:val="nil"/>
              <w:bottom w:val="single" w:color="auto" w:sz="4" w:space="0"/>
              <w:right w:val="single" w:color="auto" w:sz="4" w:space="0"/>
            </w:tcBorders>
            <w:vAlign w:val="center"/>
          </w:tcPr>
          <w:p w14:paraId="702D4DD2">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748" w:type="pct"/>
            <w:tcBorders>
              <w:top w:val="nil"/>
              <w:left w:val="nil"/>
              <w:bottom w:val="single" w:color="auto" w:sz="4" w:space="0"/>
              <w:right w:val="single" w:color="auto" w:sz="4" w:space="0"/>
            </w:tcBorders>
            <w:vAlign w:val="center"/>
          </w:tcPr>
          <w:p w14:paraId="1293B02B">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962" w:type="pct"/>
            <w:tcBorders>
              <w:top w:val="nil"/>
              <w:left w:val="nil"/>
              <w:bottom w:val="single" w:color="auto" w:sz="4" w:space="0"/>
              <w:right w:val="single" w:color="auto" w:sz="4" w:space="0"/>
            </w:tcBorders>
            <w:vAlign w:val="center"/>
          </w:tcPr>
          <w:p w14:paraId="30605CB7">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100≤X＜300</w:t>
            </w:r>
          </w:p>
        </w:tc>
        <w:tc>
          <w:tcPr>
            <w:tcW w:w="902" w:type="pct"/>
            <w:tcBorders>
              <w:top w:val="nil"/>
              <w:left w:val="nil"/>
              <w:bottom w:val="single" w:color="auto" w:sz="4" w:space="0"/>
              <w:right w:val="single" w:color="auto" w:sz="4" w:space="0"/>
            </w:tcBorders>
            <w:vAlign w:val="center"/>
          </w:tcPr>
          <w:p w14:paraId="45E6B239">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10≤X＜100</w:t>
            </w:r>
          </w:p>
        </w:tc>
        <w:tc>
          <w:tcPr>
            <w:tcW w:w="579" w:type="pct"/>
            <w:tcBorders>
              <w:top w:val="nil"/>
              <w:left w:val="nil"/>
              <w:bottom w:val="single" w:color="auto" w:sz="4" w:space="0"/>
              <w:right w:val="single" w:color="auto" w:sz="4" w:space="0"/>
            </w:tcBorders>
            <w:vAlign w:val="center"/>
          </w:tcPr>
          <w:p w14:paraId="1C4BB180">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X＜10</w:t>
            </w:r>
          </w:p>
        </w:tc>
      </w:tr>
      <w:tr w14:paraId="25062A6D">
        <w:tblPrEx>
          <w:tblCellMar>
            <w:top w:w="0" w:type="dxa"/>
            <w:left w:w="108" w:type="dxa"/>
            <w:bottom w:w="0" w:type="dxa"/>
            <w:right w:w="108" w:type="dxa"/>
          </w:tblCellMar>
        </w:tblPrEx>
        <w:trPr>
          <w:trHeight w:val="225" w:hRule="atLeast"/>
        </w:trPr>
        <w:tc>
          <w:tcPr>
            <w:tcW w:w="978" w:type="pct"/>
            <w:vMerge w:val="continue"/>
            <w:tcBorders>
              <w:top w:val="nil"/>
              <w:left w:val="single" w:color="auto" w:sz="4" w:space="0"/>
              <w:bottom w:val="single" w:color="auto" w:sz="4" w:space="0"/>
              <w:right w:val="single" w:color="auto" w:sz="4" w:space="0"/>
            </w:tcBorders>
            <w:vAlign w:val="center"/>
          </w:tcPr>
          <w:p w14:paraId="6EF5C15B">
            <w:pPr>
              <w:widowControl/>
              <w:jc w:val="left"/>
              <w:rPr>
                <w:rFonts w:ascii="宋体" w:hAnsi="宋体" w:cs="宋体"/>
                <w:b/>
                <w:bCs/>
                <w:color w:val="auto"/>
                <w:kern w:val="0"/>
                <w:szCs w:val="21"/>
                <w:highlight w:val="none"/>
              </w:rPr>
            </w:pPr>
          </w:p>
        </w:tc>
        <w:tc>
          <w:tcPr>
            <w:tcW w:w="831" w:type="pct"/>
            <w:tcBorders>
              <w:top w:val="nil"/>
              <w:left w:val="nil"/>
              <w:bottom w:val="single" w:color="auto" w:sz="4" w:space="0"/>
              <w:right w:val="single" w:color="auto" w:sz="4" w:space="0"/>
            </w:tcBorders>
            <w:vAlign w:val="center"/>
          </w:tcPr>
          <w:p w14:paraId="6586B579">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748" w:type="pct"/>
            <w:tcBorders>
              <w:top w:val="nil"/>
              <w:left w:val="nil"/>
              <w:bottom w:val="single" w:color="auto" w:sz="4" w:space="0"/>
              <w:right w:val="single" w:color="auto" w:sz="4" w:space="0"/>
            </w:tcBorders>
            <w:vAlign w:val="center"/>
          </w:tcPr>
          <w:p w14:paraId="4098B336">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962" w:type="pct"/>
            <w:tcBorders>
              <w:top w:val="nil"/>
              <w:left w:val="nil"/>
              <w:bottom w:val="single" w:color="auto" w:sz="4" w:space="0"/>
              <w:right w:val="single" w:color="auto" w:sz="4" w:space="0"/>
            </w:tcBorders>
            <w:vAlign w:val="center"/>
          </w:tcPr>
          <w:p w14:paraId="44D61AE1">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2000≤Y＜10000</w:t>
            </w:r>
          </w:p>
        </w:tc>
        <w:tc>
          <w:tcPr>
            <w:tcW w:w="902" w:type="pct"/>
            <w:tcBorders>
              <w:top w:val="nil"/>
              <w:left w:val="nil"/>
              <w:bottom w:val="single" w:color="auto" w:sz="4" w:space="0"/>
              <w:right w:val="single" w:color="auto" w:sz="4" w:space="0"/>
            </w:tcBorders>
            <w:vAlign w:val="center"/>
          </w:tcPr>
          <w:p w14:paraId="628CB41A">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100≤Y＜2000</w:t>
            </w:r>
          </w:p>
        </w:tc>
        <w:tc>
          <w:tcPr>
            <w:tcW w:w="579" w:type="pct"/>
            <w:tcBorders>
              <w:top w:val="nil"/>
              <w:left w:val="nil"/>
              <w:bottom w:val="single" w:color="auto" w:sz="4" w:space="0"/>
              <w:right w:val="single" w:color="auto" w:sz="4" w:space="0"/>
            </w:tcBorders>
            <w:vAlign w:val="center"/>
          </w:tcPr>
          <w:p w14:paraId="13BC0B86">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Y＜100</w:t>
            </w:r>
          </w:p>
        </w:tc>
      </w:tr>
      <w:tr w14:paraId="609C82A9">
        <w:tblPrEx>
          <w:tblCellMar>
            <w:top w:w="0" w:type="dxa"/>
            <w:left w:w="108" w:type="dxa"/>
            <w:bottom w:w="0" w:type="dxa"/>
            <w:right w:w="108" w:type="dxa"/>
          </w:tblCellMar>
        </w:tblPrEx>
        <w:trPr>
          <w:trHeight w:val="225" w:hRule="atLeast"/>
        </w:trPr>
        <w:tc>
          <w:tcPr>
            <w:tcW w:w="978" w:type="pct"/>
            <w:vMerge w:val="restart"/>
            <w:tcBorders>
              <w:top w:val="nil"/>
              <w:left w:val="single" w:color="auto" w:sz="4" w:space="0"/>
              <w:bottom w:val="single" w:color="auto" w:sz="4" w:space="0"/>
              <w:right w:val="single" w:color="auto" w:sz="4" w:space="0"/>
            </w:tcBorders>
            <w:vAlign w:val="bottom"/>
          </w:tcPr>
          <w:p w14:paraId="00120B1F">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信息传输业</w:t>
            </w:r>
          </w:p>
        </w:tc>
        <w:tc>
          <w:tcPr>
            <w:tcW w:w="831" w:type="pct"/>
            <w:tcBorders>
              <w:top w:val="nil"/>
              <w:left w:val="nil"/>
              <w:bottom w:val="single" w:color="auto" w:sz="4" w:space="0"/>
              <w:right w:val="single" w:color="auto" w:sz="4" w:space="0"/>
            </w:tcBorders>
            <w:vAlign w:val="center"/>
          </w:tcPr>
          <w:p w14:paraId="6B29558C">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748" w:type="pct"/>
            <w:tcBorders>
              <w:top w:val="nil"/>
              <w:left w:val="nil"/>
              <w:bottom w:val="single" w:color="auto" w:sz="4" w:space="0"/>
              <w:right w:val="single" w:color="auto" w:sz="4" w:space="0"/>
            </w:tcBorders>
            <w:vAlign w:val="center"/>
          </w:tcPr>
          <w:p w14:paraId="5A5D4F3F">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962" w:type="pct"/>
            <w:tcBorders>
              <w:top w:val="nil"/>
              <w:left w:val="nil"/>
              <w:bottom w:val="single" w:color="auto" w:sz="4" w:space="0"/>
              <w:right w:val="single" w:color="auto" w:sz="4" w:space="0"/>
            </w:tcBorders>
            <w:vAlign w:val="center"/>
          </w:tcPr>
          <w:p w14:paraId="5C1E2DDB">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100≤X＜2000</w:t>
            </w:r>
          </w:p>
        </w:tc>
        <w:tc>
          <w:tcPr>
            <w:tcW w:w="902" w:type="pct"/>
            <w:tcBorders>
              <w:top w:val="nil"/>
              <w:left w:val="nil"/>
              <w:bottom w:val="single" w:color="auto" w:sz="4" w:space="0"/>
              <w:right w:val="single" w:color="auto" w:sz="4" w:space="0"/>
            </w:tcBorders>
            <w:vAlign w:val="center"/>
          </w:tcPr>
          <w:p w14:paraId="520DDEF7">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10≤X＜100</w:t>
            </w:r>
          </w:p>
        </w:tc>
        <w:tc>
          <w:tcPr>
            <w:tcW w:w="579" w:type="pct"/>
            <w:tcBorders>
              <w:top w:val="nil"/>
              <w:left w:val="nil"/>
              <w:bottom w:val="single" w:color="auto" w:sz="4" w:space="0"/>
              <w:right w:val="single" w:color="auto" w:sz="4" w:space="0"/>
            </w:tcBorders>
            <w:vAlign w:val="center"/>
          </w:tcPr>
          <w:p w14:paraId="486DA799">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X＜10</w:t>
            </w:r>
          </w:p>
        </w:tc>
      </w:tr>
      <w:tr w14:paraId="743C71B8">
        <w:tblPrEx>
          <w:tblCellMar>
            <w:top w:w="0" w:type="dxa"/>
            <w:left w:w="108" w:type="dxa"/>
            <w:bottom w:w="0" w:type="dxa"/>
            <w:right w:w="108" w:type="dxa"/>
          </w:tblCellMar>
        </w:tblPrEx>
        <w:trPr>
          <w:trHeight w:val="225" w:hRule="atLeast"/>
        </w:trPr>
        <w:tc>
          <w:tcPr>
            <w:tcW w:w="978" w:type="pct"/>
            <w:vMerge w:val="continue"/>
            <w:tcBorders>
              <w:top w:val="nil"/>
              <w:left w:val="single" w:color="auto" w:sz="4" w:space="0"/>
              <w:bottom w:val="single" w:color="auto" w:sz="4" w:space="0"/>
              <w:right w:val="single" w:color="auto" w:sz="4" w:space="0"/>
            </w:tcBorders>
            <w:vAlign w:val="center"/>
          </w:tcPr>
          <w:p w14:paraId="6ECEAF19">
            <w:pPr>
              <w:widowControl/>
              <w:jc w:val="left"/>
              <w:rPr>
                <w:rFonts w:ascii="宋体" w:hAnsi="宋体" w:cs="宋体"/>
                <w:b/>
                <w:bCs/>
                <w:color w:val="auto"/>
                <w:kern w:val="0"/>
                <w:szCs w:val="21"/>
                <w:highlight w:val="none"/>
              </w:rPr>
            </w:pPr>
          </w:p>
        </w:tc>
        <w:tc>
          <w:tcPr>
            <w:tcW w:w="831" w:type="pct"/>
            <w:tcBorders>
              <w:top w:val="nil"/>
              <w:left w:val="nil"/>
              <w:bottom w:val="single" w:color="auto" w:sz="4" w:space="0"/>
              <w:right w:val="single" w:color="auto" w:sz="4" w:space="0"/>
            </w:tcBorders>
            <w:vAlign w:val="center"/>
          </w:tcPr>
          <w:p w14:paraId="76A7A17C">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748" w:type="pct"/>
            <w:tcBorders>
              <w:top w:val="nil"/>
              <w:left w:val="nil"/>
              <w:bottom w:val="single" w:color="auto" w:sz="4" w:space="0"/>
              <w:right w:val="single" w:color="auto" w:sz="4" w:space="0"/>
            </w:tcBorders>
            <w:vAlign w:val="center"/>
          </w:tcPr>
          <w:p w14:paraId="6C8A4B4E">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962" w:type="pct"/>
            <w:tcBorders>
              <w:top w:val="nil"/>
              <w:left w:val="nil"/>
              <w:bottom w:val="single" w:color="auto" w:sz="4" w:space="0"/>
              <w:right w:val="single" w:color="auto" w:sz="4" w:space="0"/>
            </w:tcBorders>
            <w:vAlign w:val="center"/>
          </w:tcPr>
          <w:p w14:paraId="0E38DF6A">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1000≤Y＜100000</w:t>
            </w:r>
          </w:p>
        </w:tc>
        <w:tc>
          <w:tcPr>
            <w:tcW w:w="902" w:type="pct"/>
            <w:tcBorders>
              <w:top w:val="nil"/>
              <w:left w:val="nil"/>
              <w:bottom w:val="single" w:color="auto" w:sz="4" w:space="0"/>
              <w:right w:val="single" w:color="auto" w:sz="4" w:space="0"/>
            </w:tcBorders>
            <w:vAlign w:val="center"/>
          </w:tcPr>
          <w:p w14:paraId="63065741">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100≤Y＜1000</w:t>
            </w:r>
          </w:p>
        </w:tc>
        <w:tc>
          <w:tcPr>
            <w:tcW w:w="579" w:type="pct"/>
            <w:tcBorders>
              <w:top w:val="nil"/>
              <w:left w:val="nil"/>
              <w:bottom w:val="single" w:color="auto" w:sz="4" w:space="0"/>
              <w:right w:val="single" w:color="auto" w:sz="4" w:space="0"/>
            </w:tcBorders>
            <w:vAlign w:val="center"/>
          </w:tcPr>
          <w:p w14:paraId="0BA5288F">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Y＜100</w:t>
            </w:r>
          </w:p>
        </w:tc>
      </w:tr>
      <w:tr w14:paraId="1C374C9A">
        <w:tblPrEx>
          <w:tblCellMar>
            <w:top w:w="0" w:type="dxa"/>
            <w:left w:w="108" w:type="dxa"/>
            <w:bottom w:w="0" w:type="dxa"/>
            <w:right w:w="108" w:type="dxa"/>
          </w:tblCellMar>
        </w:tblPrEx>
        <w:trPr>
          <w:trHeight w:val="225" w:hRule="atLeast"/>
        </w:trPr>
        <w:tc>
          <w:tcPr>
            <w:tcW w:w="978" w:type="pct"/>
            <w:vMerge w:val="restart"/>
            <w:tcBorders>
              <w:top w:val="nil"/>
              <w:left w:val="single" w:color="auto" w:sz="4" w:space="0"/>
              <w:bottom w:val="single" w:color="auto" w:sz="4" w:space="0"/>
              <w:right w:val="single" w:color="auto" w:sz="4" w:space="0"/>
            </w:tcBorders>
            <w:vAlign w:val="bottom"/>
          </w:tcPr>
          <w:p w14:paraId="04F17301">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软件和信息技术服务业</w:t>
            </w:r>
          </w:p>
        </w:tc>
        <w:tc>
          <w:tcPr>
            <w:tcW w:w="831" w:type="pct"/>
            <w:tcBorders>
              <w:top w:val="nil"/>
              <w:left w:val="nil"/>
              <w:bottom w:val="single" w:color="auto" w:sz="4" w:space="0"/>
              <w:right w:val="single" w:color="auto" w:sz="4" w:space="0"/>
            </w:tcBorders>
            <w:vAlign w:val="center"/>
          </w:tcPr>
          <w:p w14:paraId="1E7F0FFF">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748" w:type="pct"/>
            <w:tcBorders>
              <w:top w:val="nil"/>
              <w:left w:val="nil"/>
              <w:bottom w:val="single" w:color="auto" w:sz="4" w:space="0"/>
              <w:right w:val="single" w:color="auto" w:sz="4" w:space="0"/>
            </w:tcBorders>
            <w:vAlign w:val="center"/>
          </w:tcPr>
          <w:p w14:paraId="45FFE4D7">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962" w:type="pct"/>
            <w:tcBorders>
              <w:top w:val="nil"/>
              <w:left w:val="nil"/>
              <w:bottom w:val="single" w:color="auto" w:sz="4" w:space="0"/>
              <w:right w:val="single" w:color="auto" w:sz="4" w:space="0"/>
            </w:tcBorders>
            <w:vAlign w:val="center"/>
          </w:tcPr>
          <w:p w14:paraId="58D890C7">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100≤X＜300</w:t>
            </w:r>
          </w:p>
        </w:tc>
        <w:tc>
          <w:tcPr>
            <w:tcW w:w="902" w:type="pct"/>
            <w:tcBorders>
              <w:top w:val="nil"/>
              <w:left w:val="nil"/>
              <w:bottom w:val="single" w:color="auto" w:sz="4" w:space="0"/>
              <w:right w:val="single" w:color="auto" w:sz="4" w:space="0"/>
            </w:tcBorders>
            <w:vAlign w:val="center"/>
          </w:tcPr>
          <w:p w14:paraId="6B4D83CC">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10≤X＜100</w:t>
            </w:r>
          </w:p>
        </w:tc>
        <w:tc>
          <w:tcPr>
            <w:tcW w:w="579" w:type="pct"/>
            <w:tcBorders>
              <w:top w:val="nil"/>
              <w:left w:val="nil"/>
              <w:bottom w:val="single" w:color="auto" w:sz="4" w:space="0"/>
              <w:right w:val="single" w:color="auto" w:sz="4" w:space="0"/>
            </w:tcBorders>
            <w:vAlign w:val="center"/>
          </w:tcPr>
          <w:p w14:paraId="02D84250">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X＜10</w:t>
            </w:r>
          </w:p>
        </w:tc>
      </w:tr>
      <w:tr w14:paraId="34B083BE">
        <w:tblPrEx>
          <w:tblCellMar>
            <w:top w:w="0" w:type="dxa"/>
            <w:left w:w="108" w:type="dxa"/>
            <w:bottom w:w="0" w:type="dxa"/>
            <w:right w:w="108" w:type="dxa"/>
          </w:tblCellMar>
        </w:tblPrEx>
        <w:trPr>
          <w:trHeight w:val="225" w:hRule="atLeast"/>
        </w:trPr>
        <w:tc>
          <w:tcPr>
            <w:tcW w:w="978" w:type="pct"/>
            <w:vMerge w:val="continue"/>
            <w:tcBorders>
              <w:top w:val="nil"/>
              <w:left w:val="single" w:color="auto" w:sz="4" w:space="0"/>
              <w:bottom w:val="single" w:color="auto" w:sz="4" w:space="0"/>
              <w:right w:val="single" w:color="auto" w:sz="4" w:space="0"/>
            </w:tcBorders>
            <w:vAlign w:val="center"/>
          </w:tcPr>
          <w:p w14:paraId="304D0036">
            <w:pPr>
              <w:widowControl/>
              <w:jc w:val="left"/>
              <w:rPr>
                <w:rFonts w:ascii="宋体" w:hAnsi="宋体" w:cs="宋体"/>
                <w:b/>
                <w:bCs/>
                <w:color w:val="auto"/>
                <w:kern w:val="0"/>
                <w:szCs w:val="21"/>
                <w:highlight w:val="none"/>
              </w:rPr>
            </w:pPr>
          </w:p>
        </w:tc>
        <w:tc>
          <w:tcPr>
            <w:tcW w:w="831" w:type="pct"/>
            <w:tcBorders>
              <w:top w:val="nil"/>
              <w:left w:val="nil"/>
              <w:bottom w:val="single" w:color="auto" w:sz="4" w:space="0"/>
              <w:right w:val="single" w:color="auto" w:sz="4" w:space="0"/>
            </w:tcBorders>
            <w:vAlign w:val="center"/>
          </w:tcPr>
          <w:p w14:paraId="7ABFFA44">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748" w:type="pct"/>
            <w:tcBorders>
              <w:top w:val="nil"/>
              <w:left w:val="nil"/>
              <w:bottom w:val="single" w:color="auto" w:sz="4" w:space="0"/>
              <w:right w:val="single" w:color="auto" w:sz="4" w:space="0"/>
            </w:tcBorders>
            <w:vAlign w:val="center"/>
          </w:tcPr>
          <w:p w14:paraId="4CDE823A">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962" w:type="pct"/>
            <w:tcBorders>
              <w:top w:val="nil"/>
              <w:left w:val="nil"/>
              <w:bottom w:val="single" w:color="auto" w:sz="4" w:space="0"/>
              <w:right w:val="single" w:color="auto" w:sz="4" w:space="0"/>
            </w:tcBorders>
            <w:vAlign w:val="center"/>
          </w:tcPr>
          <w:p w14:paraId="53207730">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1000≤Y＜10000</w:t>
            </w:r>
          </w:p>
        </w:tc>
        <w:tc>
          <w:tcPr>
            <w:tcW w:w="902" w:type="pct"/>
            <w:tcBorders>
              <w:top w:val="nil"/>
              <w:left w:val="nil"/>
              <w:bottom w:val="single" w:color="auto" w:sz="4" w:space="0"/>
              <w:right w:val="single" w:color="auto" w:sz="4" w:space="0"/>
            </w:tcBorders>
            <w:vAlign w:val="center"/>
          </w:tcPr>
          <w:p w14:paraId="693C4AC8">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50≤Y＜1000</w:t>
            </w:r>
          </w:p>
        </w:tc>
        <w:tc>
          <w:tcPr>
            <w:tcW w:w="579" w:type="pct"/>
            <w:tcBorders>
              <w:top w:val="nil"/>
              <w:left w:val="nil"/>
              <w:bottom w:val="single" w:color="auto" w:sz="4" w:space="0"/>
              <w:right w:val="single" w:color="auto" w:sz="4" w:space="0"/>
            </w:tcBorders>
            <w:vAlign w:val="center"/>
          </w:tcPr>
          <w:p w14:paraId="3B929E0A">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Y＜50</w:t>
            </w:r>
          </w:p>
        </w:tc>
      </w:tr>
      <w:tr w14:paraId="0D25E50B">
        <w:tblPrEx>
          <w:tblCellMar>
            <w:top w:w="0" w:type="dxa"/>
            <w:left w:w="108" w:type="dxa"/>
            <w:bottom w:w="0" w:type="dxa"/>
            <w:right w:w="108" w:type="dxa"/>
          </w:tblCellMar>
        </w:tblPrEx>
        <w:trPr>
          <w:trHeight w:val="225" w:hRule="atLeast"/>
        </w:trPr>
        <w:tc>
          <w:tcPr>
            <w:tcW w:w="978" w:type="pct"/>
            <w:vMerge w:val="restart"/>
            <w:tcBorders>
              <w:top w:val="nil"/>
              <w:left w:val="single" w:color="auto" w:sz="4" w:space="0"/>
              <w:bottom w:val="single" w:color="auto" w:sz="4" w:space="0"/>
              <w:right w:val="single" w:color="auto" w:sz="4" w:space="0"/>
            </w:tcBorders>
            <w:vAlign w:val="bottom"/>
          </w:tcPr>
          <w:p w14:paraId="305FFD68">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房地产开发经营</w:t>
            </w:r>
          </w:p>
        </w:tc>
        <w:tc>
          <w:tcPr>
            <w:tcW w:w="831" w:type="pct"/>
            <w:tcBorders>
              <w:top w:val="nil"/>
              <w:left w:val="nil"/>
              <w:bottom w:val="single" w:color="auto" w:sz="4" w:space="0"/>
              <w:right w:val="single" w:color="auto" w:sz="4" w:space="0"/>
            </w:tcBorders>
            <w:vAlign w:val="center"/>
          </w:tcPr>
          <w:p w14:paraId="740E06C7">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748" w:type="pct"/>
            <w:tcBorders>
              <w:top w:val="nil"/>
              <w:left w:val="nil"/>
              <w:bottom w:val="single" w:color="auto" w:sz="4" w:space="0"/>
              <w:right w:val="single" w:color="auto" w:sz="4" w:space="0"/>
            </w:tcBorders>
            <w:vAlign w:val="center"/>
          </w:tcPr>
          <w:p w14:paraId="44E8173C">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962" w:type="pct"/>
            <w:tcBorders>
              <w:top w:val="nil"/>
              <w:left w:val="nil"/>
              <w:bottom w:val="single" w:color="auto" w:sz="4" w:space="0"/>
              <w:right w:val="single" w:color="auto" w:sz="4" w:space="0"/>
            </w:tcBorders>
            <w:vAlign w:val="center"/>
          </w:tcPr>
          <w:p w14:paraId="066CF4A5">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1000≤Y＜200000</w:t>
            </w:r>
          </w:p>
        </w:tc>
        <w:tc>
          <w:tcPr>
            <w:tcW w:w="902" w:type="pct"/>
            <w:tcBorders>
              <w:top w:val="nil"/>
              <w:left w:val="nil"/>
              <w:bottom w:val="single" w:color="auto" w:sz="4" w:space="0"/>
              <w:right w:val="single" w:color="auto" w:sz="4" w:space="0"/>
            </w:tcBorders>
            <w:vAlign w:val="center"/>
          </w:tcPr>
          <w:p w14:paraId="7E6365D9">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100≤X＜1000</w:t>
            </w:r>
          </w:p>
        </w:tc>
        <w:tc>
          <w:tcPr>
            <w:tcW w:w="579" w:type="pct"/>
            <w:tcBorders>
              <w:top w:val="nil"/>
              <w:left w:val="nil"/>
              <w:bottom w:val="single" w:color="auto" w:sz="4" w:space="0"/>
              <w:right w:val="single" w:color="auto" w:sz="4" w:space="0"/>
            </w:tcBorders>
            <w:vAlign w:val="center"/>
          </w:tcPr>
          <w:p w14:paraId="421C60E7">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X＜100</w:t>
            </w:r>
          </w:p>
        </w:tc>
      </w:tr>
      <w:tr w14:paraId="2BA2AE9C">
        <w:tblPrEx>
          <w:tblCellMar>
            <w:top w:w="0" w:type="dxa"/>
            <w:left w:w="108" w:type="dxa"/>
            <w:bottom w:w="0" w:type="dxa"/>
            <w:right w:w="108" w:type="dxa"/>
          </w:tblCellMar>
        </w:tblPrEx>
        <w:trPr>
          <w:trHeight w:val="225" w:hRule="atLeast"/>
        </w:trPr>
        <w:tc>
          <w:tcPr>
            <w:tcW w:w="978" w:type="pct"/>
            <w:vMerge w:val="continue"/>
            <w:tcBorders>
              <w:top w:val="nil"/>
              <w:left w:val="single" w:color="auto" w:sz="4" w:space="0"/>
              <w:bottom w:val="single" w:color="auto" w:sz="4" w:space="0"/>
              <w:right w:val="single" w:color="auto" w:sz="4" w:space="0"/>
            </w:tcBorders>
            <w:vAlign w:val="center"/>
          </w:tcPr>
          <w:p w14:paraId="1CBAEF6D">
            <w:pPr>
              <w:widowControl/>
              <w:jc w:val="left"/>
              <w:rPr>
                <w:rFonts w:ascii="宋体" w:hAnsi="宋体" w:cs="宋体"/>
                <w:b/>
                <w:bCs/>
                <w:color w:val="auto"/>
                <w:kern w:val="0"/>
                <w:szCs w:val="21"/>
                <w:highlight w:val="none"/>
              </w:rPr>
            </w:pPr>
          </w:p>
        </w:tc>
        <w:tc>
          <w:tcPr>
            <w:tcW w:w="831" w:type="pct"/>
            <w:tcBorders>
              <w:top w:val="nil"/>
              <w:left w:val="nil"/>
              <w:bottom w:val="single" w:color="auto" w:sz="4" w:space="0"/>
              <w:right w:val="single" w:color="auto" w:sz="4" w:space="0"/>
            </w:tcBorders>
            <w:vAlign w:val="center"/>
          </w:tcPr>
          <w:p w14:paraId="6FFE3EED">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资产总额（Z）</w:t>
            </w:r>
          </w:p>
        </w:tc>
        <w:tc>
          <w:tcPr>
            <w:tcW w:w="748" w:type="pct"/>
            <w:tcBorders>
              <w:top w:val="nil"/>
              <w:left w:val="nil"/>
              <w:bottom w:val="single" w:color="auto" w:sz="4" w:space="0"/>
              <w:right w:val="single" w:color="auto" w:sz="4" w:space="0"/>
            </w:tcBorders>
            <w:vAlign w:val="center"/>
          </w:tcPr>
          <w:p w14:paraId="7D55EEFD">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962" w:type="pct"/>
            <w:tcBorders>
              <w:top w:val="nil"/>
              <w:left w:val="nil"/>
              <w:bottom w:val="single" w:color="auto" w:sz="4" w:space="0"/>
              <w:right w:val="single" w:color="auto" w:sz="4" w:space="0"/>
            </w:tcBorders>
            <w:vAlign w:val="center"/>
          </w:tcPr>
          <w:p w14:paraId="5F72277A">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5000≤Z＜10000</w:t>
            </w:r>
          </w:p>
        </w:tc>
        <w:tc>
          <w:tcPr>
            <w:tcW w:w="902" w:type="pct"/>
            <w:tcBorders>
              <w:top w:val="nil"/>
              <w:left w:val="nil"/>
              <w:bottom w:val="single" w:color="auto" w:sz="4" w:space="0"/>
              <w:right w:val="single" w:color="auto" w:sz="4" w:space="0"/>
            </w:tcBorders>
            <w:vAlign w:val="center"/>
          </w:tcPr>
          <w:p w14:paraId="4382C41D">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2000≤Y＜5000</w:t>
            </w:r>
          </w:p>
        </w:tc>
        <w:tc>
          <w:tcPr>
            <w:tcW w:w="579" w:type="pct"/>
            <w:tcBorders>
              <w:top w:val="nil"/>
              <w:left w:val="nil"/>
              <w:bottom w:val="single" w:color="auto" w:sz="4" w:space="0"/>
              <w:right w:val="single" w:color="auto" w:sz="4" w:space="0"/>
            </w:tcBorders>
            <w:vAlign w:val="center"/>
          </w:tcPr>
          <w:p w14:paraId="65C6A4F5">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Y＜2000</w:t>
            </w:r>
          </w:p>
        </w:tc>
      </w:tr>
      <w:tr w14:paraId="4C46C82E">
        <w:tblPrEx>
          <w:tblCellMar>
            <w:top w:w="0" w:type="dxa"/>
            <w:left w:w="108" w:type="dxa"/>
            <w:bottom w:w="0" w:type="dxa"/>
            <w:right w:w="108" w:type="dxa"/>
          </w:tblCellMar>
        </w:tblPrEx>
        <w:trPr>
          <w:trHeight w:val="225" w:hRule="atLeast"/>
        </w:trPr>
        <w:tc>
          <w:tcPr>
            <w:tcW w:w="978" w:type="pct"/>
            <w:vMerge w:val="restart"/>
            <w:tcBorders>
              <w:top w:val="nil"/>
              <w:left w:val="single" w:color="auto" w:sz="4" w:space="0"/>
              <w:bottom w:val="single" w:color="auto" w:sz="4" w:space="0"/>
              <w:right w:val="single" w:color="auto" w:sz="4" w:space="0"/>
            </w:tcBorders>
            <w:vAlign w:val="bottom"/>
          </w:tcPr>
          <w:p w14:paraId="197AFAAD">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物业管理</w:t>
            </w:r>
          </w:p>
        </w:tc>
        <w:tc>
          <w:tcPr>
            <w:tcW w:w="831" w:type="pct"/>
            <w:tcBorders>
              <w:top w:val="nil"/>
              <w:left w:val="nil"/>
              <w:bottom w:val="single" w:color="auto" w:sz="4" w:space="0"/>
              <w:right w:val="single" w:color="auto" w:sz="4" w:space="0"/>
            </w:tcBorders>
            <w:vAlign w:val="center"/>
          </w:tcPr>
          <w:p w14:paraId="464C2FF2">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748" w:type="pct"/>
            <w:tcBorders>
              <w:top w:val="nil"/>
              <w:left w:val="nil"/>
              <w:bottom w:val="single" w:color="auto" w:sz="4" w:space="0"/>
              <w:right w:val="single" w:color="auto" w:sz="4" w:space="0"/>
            </w:tcBorders>
            <w:vAlign w:val="center"/>
          </w:tcPr>
          <w:p w14:paraId="620FAFF4">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962" w:type="pct"/>
            <w:tcBorders>
              <w:top w:val="nil"/>
              <w:left w:val="nil"/>
              <w:bottom w:val="single" w:color="auto" w:sz="4" w:space="0"/>
              <w:right w:val="single" w:color="auto" w:sz="4" w:space="0"/>
            </w:tcBorders>
            <w:vAlign w:val="center"/>
          </w:tcPr>
          <w:p w14:paraId="476061D0">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300≤X＜1000</w:t>
            </w:r>
          </w:p>
        </w:tc>
        <w:tc>
          <w:tcPr>
            <w:tcW w:w="902" w:type="pct"/>
            <w:tcBorders>
              <w:top w:val="nil"/>
              <w:left w:val="nil"/>
              <w:bottom w:val="single" w:color="auto" w:sz="4" w:space="0"/>
              <w:right w:val="single" w:color="auto" w:sz="4" w:space="0"/>
            </w:tcBorders>
            <w:vAlign w:val="center"/>
          </w:tcPr>
          <w:p w14:paraId="23F498D8">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100≤X＜300</w:t>
            </w:r>
          </w:p>
        </w:tc>
        <w:tc>
          <w:tcPr>
            <w:tcW w:w="579" w:type="pct"/>
            <w:tcBorders>
              <w:top w:val="nil"/>
              <w:left w:val="nil"/>
              <w:bottom w:val="single" w:color="auto" w:sz="4" w:space="0"/>
              <w:right w:val="single" w:color="auto" w:sz="4" w:space="0"/>
            </w:tcBorders>
            <w:vAlign w:val="center"/>
          </w:tcPr>
          <w:p w14:paraId="7E09347F">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X＜100</w:t>
            </w:r>
          </w:p>
        </w:tc>
      </w:tr>
      <w:tr w14:paraId="4D6B0D9F">
        <w:tblPrEx>
          <w:tblCellMar>
            <w:top w:w="0" w:type="dxa"/>
            <w:left w:w="108" w:type="dxa"/>
            <w:bottom w:w="0" w:type="dxa"/>
            <w:right w:w="108" w:type="dxa"/>
          </w:tblCellMar>
        </w:tblPrEx>
        <w:trPr>
          <w:trHeight w:val="225" w:hRule="atLeast"/>
        </w:trPr>
        <w:tc>
          <w:tcPr>
            <w:tcW w:w="978" w:type="pct"/>
            <w:vMerge w:val="continue"/>
            <w:tcBorders>
              <w:top w:val="nil"/>
              <w:left w:val="single" w:color="auto" w:sz="4" w:space="0"/>
              <w:bottom w:val="single" w:color="auto" w:sz="4" w:space="0"/>
              <w:right w:val="single" w:color="auto" w:sz="4" w:space="0"/>
            </w:tcBorders>
            <w:vAlign w:val="center"/>
          </w:tcPr>
          <w:p w14:paraId="7830A224">
            <w:pPr>
              <w:widowControl/>
              <w:jc w:val="left"/>
              <w:rPr>
                <w:rFonts w:ascii="宋体" w:hAnsi="宋体" w:cs="宋体"/>
                <w:b/>
                <w:bCs/>
                <w:color w:val="auto"/>
                <w:kern w:val="0"/>
                <w:szCs w:val="21"/>
                <w:highlight w:val="none"/>
              </w:rPr>
            </w:pPr>
          </w:p>
        </w:tc>
        <w:tc>
          <w:tcPr>
            <w:tcW w:w="831" w:type="pct"/>
            <w:tcBorders>
              <w:top w:val="nil"/>
              <w:left w:val="nil"/>
              <w:bottom w:val="single" w:color="auto" w:sz="4" w:space="0"/>
              <w:right w:val="single" w:color="auto" w:sz="4" w:space="0"/>
            </w:tcBorders>
            <w:vAlign w:val="center"/>
          </w:tcPr>
          <w:p w14:paraId="3B87ED15">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748" w:type="pct"/>
            <w:tcBorders>
              <w:top w:val="nil"/>
              <w:left w:val="nil"/>
              <w:bottom w:val="single" w:color="auto" w:sz="4" w:space="0"/>
              <w:right w:val="single" w:color="auto" w:sz="4" w:space="0"/>
            </w:tcBorders>
            <w:vAlign w:val="center"/>
          </w:tcPr>
          <w:p w14:paraId="02FBBA9E">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962" w:type="pct"/>
            <w:tcBorders>
              <w:top w:val="nil"/>
              <w:left w:val="nil"/>
              <w:bottom w:val="single" w:color="auto" w:sz="4" w:space="0"/>
              <w:right w:val="single" w:color="auto" w:sz="4" w:space="0"/>
            </w:tcBorders>
            <w:vAlign w:val="center"/>
          </w:tcPr>
          <w:p w14:paraId="07FD003B">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1000≤Y＜5000</w:t>
            </w:r>
          </w:p>
        </w:tc>
        <w:tc>
          <w:tcPr>
            <w:tcW w:w="902" w:type="pct"/>
            <w:tcBorders>
              <w:top w:val="nil"/>
              <w:left w:val="nil"/>
              <w:bottom w:val="single" w:color="auto" w:sz="4" w:space="0"/>
              <w:right w:val="single" w:color="auto" w:sz="4" w:space="0"/>
            </w:tcBorders>
            <w:vAlign w:val="center"/>
          </w:tcPr>
          <w:p w14:paraId="0E4310EF">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500≤Y＜1000</w:t>
            </w:r>
          </w:p>
        </w:tc>
        <w:tc>
          <w:tcPr>
            <w:tcW w:w="579" w:type="pct"/>
            <w:tcBorders>
              <w:top w:val="nil"/>
              <w:left w:val="nil"/>
              <w:bottom w:val="single" w:color="auto" w:sz="4" w:space="0"/>
              <w:right w:val="single" w:color="auto" w:sz="4" w:space="0"/>
            </w:tcBorders>
            <w:vAlign w:val="center"/>
          </w:tcPr>
          <w:p w14:paraId="47A55070">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Y＜500</w:t>
            </w:r>
          </w:p>
        </w:tc>
      </w:tr>
      <w:tr w14:paraId="6F7A7924">
        <w:tblPrEx>
          <w:tblCellMar>
            <w:top w:w="0" w:type="dxa"/>
            <w:left w:w="108" w:type="dxa"/>
            <w:bottom w:w="0" w:type="dxa"/>
            <w:right w:w="108" w:type="dxa"/>
          </w:tblCellMar>
        </w:tblPrEx>
        <w:trPr>
          <w:trHeight w:val="225" w:hRule="atLeast"/>
        </w:trPr>
        <w:tc>
          <w:tcPr>
            <w:tcW w:w="978" w:type="pct"/>
            <w:vMerge w:val="restart"/>
            <w:tcBorders>
              <w:top w:val="nil"/>
              <w:left w:val="single" w:color="auto" w:sz="4" w:space="0"/>
              <w:bottom w:val="single" w:color="auto" w:sz="4" w:space="0"/>
              <w:right w:val="single" w:color="auto" w:sz="4" w:space="0"/>
            </w:tcBorders>
            <w:vAlign w:val="bottom"/>
          </w:tcPr>
          <w:p w14:paraId="148490DD">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租赁和商务服务业</w:t>
            </w:r>
          </w:p>
        </w:tc>
        <w:tc>
          <w:tcPr>
            <w:tcW w:w="831" w:type="pct"/>
            <w:tcBorders>
              <w:top w:val="nil"/>
              <w:left w:val="nil"/>
              <w:bottom w:val="single" w:color="auto" w:sz="4" w:space="0"/>
              <w:right w:val="single" w:color="auto" w:sz="4" w:space="0"/>
            </w:tcBorders>
            <w:vAlign w:val="center"/>
          </w:tcPr>
          <w:p w14:paraId="503E05BB">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748" w:type="pct"/>
            <w:tcBorders>
              <w:top w:val="nil"/>
              <w:left w:val="nil"/>
              <w:bottom w:val="single" w:color="auto" w:sz="4" w:space="0"/>
              <w:right w:val="single" w:color="auto" w:sz="4" w:space="0"/>
            </w:tcBorders>
            <w:vAlign w:val="center"/>
          </w:tcPr>
          <w:p w14:paraId="5CBE7F8D">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962" w:type="pct"/>
            <w:tcBorders>
              <w:top w:val="nil"/>
              <w:left w:val="nil"/>
              <w:bottom w:val="single" w:color="auto" w:sz="4" w:space="0"/>
              <w:right w:val="single" w:color="auto" w:sz="4" w:space="0"/>
            </w:tcBorders>
            <w:vAlign w:val="center"/>
          </w:tcPr>
          <w:p w14:paraId="69C3923B">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100≤X＜300</w:t>
            </w:r>
          </w:p>
        </w:tc>
        <w:tc>
          <w:tcPr>
            <w:tcW w:w="902" w:type="pct"/>
            <w:tcBorders>
              <w:top w:val="nil"/>
              <w:left w:val="nil"/>
              <w:bottom w:val="single" w:color="auto" w:sz="4" w:space="0"/>
              <w:right w:val="single" w:color="auto" w:sz="4" w:space="0"/>
            </w:tcBorders>
            <w:vAlign w:val="center"/>
          </w:tcPr>
          <w:p w14:paraId="1E3F7C48">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10≤X＜100</w:t>
            </w:r>
          </w:p>
        </w:tc>
        <w:tc>
          <w:tcPr>
            <w:tcW w:w="579" w:type="pct"/>
            <w:tcBorders>
              <w:top w:val="nil"/>
              <w:left w:val="nil"/>
              <w:bottom w:val="single" w:color="auto" w:sz="4" w:space="0"/>
              <w:right w:val="single" w:color="auto" w:sz="4" w:space="0"/>
            </w:tcBorders>
            <w:vAlign w:val="center"/>
          </w:tcPr>
          <w:p w14:paraId="1A5E6DF4">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X＜10</w:t>
            </w:r>
          </w:p>
        </w:tc>
      </w:tr>
      <w:tr w14:paraId="485F9FD1">
        <w:tblPrEx>
          <w:tblCellMar>
            <w:top w:w="0" w:type="dxa"/>
            <w:left w:w="108" w:type="dxa"/>
            <w:bottom w:w="0" w:type="dxa"/>
            <w:right w:w="108" w:type="dxa"/>
          </w:tblCellMar>
        </w:tblPrEx>
        <w:trPr>
          <w:trHeight w:val="225" w:hRule="atLeast"/>
        </w:trPr>
        <w:tc>
          <w:tcPr>
            <w:tcW w:w="978" w:type="pct"/>
            <w:vMerge w:val="continue"/>
            <w:tcBorders>
              <w:top w:val="nil"/>
              <w:left w:val="single" w:color="auto" w:sz="4" w:space="0"/>
              <w:bottom w:val="single" w:color="auto" w:sz="4" w:space="0"/>
              <w:right w:val="single" w:color="auto" w:sz="4" w:space="0"/>
            </w:tcBorders>
            <w:vAlign w:val="center"/>
          </w:tcPr>
          <w:p w14:paraId="1DFDD4B9">
            <w:pPr>
              <w:widowControl/>
              <w:jc w:val="left"/>
              <w:rPr>
                <w:rFonts w:ascii="宋体" w:hAnsi="宋体" w:cs="宋体"/>
                <w:b/>
                <w:bCs/>
                <w:color w:val="auto"/>
                <w:kern w:val="0"/>
                <w:szCs w:val="21"/>
                <w:highlight w:val="none"/>
              </w:rPr>
            </w:pPr>
          </w:p>
        </w:tc>
        <w:tc>
          <w:tcPr>
            <w:tcW w:w="831" w:type="pct"/>
            <w:tcBorders>
              <w:top w:val="nil"/>
              <w:left w:val="nil"/>
              <w:bottom w:val="single" w:color="auto" w:sz="4" w:space="0"/>
              <w:right w:val="single" w:color="auto" w:sz="4" w:space="0"/>
            </w:tcBorders>
            <w:vAlign w:val="center"/>
          </w:tcPr>
          <w:p w14:paraId="5442137A">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资产总额（Z）</w:t>
            </w:r>
          </w:p>
        </w:tc>
        <w:tc>
          <w:tcPr>
            <w:tcW w:w="748" w:type="pct"/>
            <w:tcBorders>
              <w:top w:val="nil"/>
              <w:left w:val="nil"/>
              <w:bottom w:val="single" w:color="auto" w:sz="4" w:space="0"/>
              <w:right w:val="single" w:color="auto" w:sz="4" w:space="0"/>
            </w:tcBorders>
            <w:vAlign w:val="center"/>
          </w:tcPr>
          <w:p w14:paraId="643AAC89">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962" w:type="pct"/>
            <w:tcBorders>
              <w:top w:val="nil"/>
              <w:left w:val="nil"/>
              <w:bottom w:val="single" w:color="auto" w:sz="4" w:space="0"/>
              <w:right w:val="single" w:color="auto" w:sz="4" w:space="0"/>
            </w:tcBorders>
            <w:vAlign w:val="center"/>
          </w:tcPr>
          <w:p w14:paraId="36C30A0C">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8000≤Z＜120000</w:t>
            </w:r>
          </w:p>
        </w:tc>
        <w:tc>
          <w:tcPr>
            <w:tcW w:w="902" w:type="pct"/>
            <w:tcBorders>
              <w:top w:val="nil"/>
              <w:left w:val="nil"/>
              <w:bottom w:val="single" w:color="auto" w:sz="4" w:space="0"/>
              <w:right w:val="single" w:color="auto" w:sz="4" w:space="0"/>
            </w:tcBorders>
            <w:vAlign w:val="center"/>
          </w:tcPr>
          <w:p w14:paraId="39A6487E">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100≤Z＜8000</w:t>
            </w:r>
          </w:p>
        </w:tc>
        <w:tc>
          <w:tcPr>
            <w:tcW w:w="579" w:type="pct"/>
            <w:tcBorders>
              <w:top w:val="nil"/>
              <w:left w:val="nil"/>
              <w:bottom w:val="single" w:color="auto" w:sz="4" w:space="0"/>
              <w:right w:val="single" w:color="auto" w:sz="4" w:space="0"/>
            </w:tcBorders>
            <w:vAlign w:val="center"/>
          </w:tcPr>
          <w:p w14:paraId="3EC7617E">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Y＜100</w:t>
            </w:r>
          </w:p>
        </w:tc>
      </w:tr>
      <w:tr w14:paraId="7648C4F9">
        <w:tblPrEx>
          <w:tblCellMar>
            <w:top w:w="0" w:type="dxa"/>
            <w:left w:w="108" w:type="dxa"/>
            <w:bottom w:w="0" w:type="dxa"/>
            <w:right w:w="108" w:type="dxa"/>
          </w:tblCellMar>
        </w:tblPrEx>
        <w:trPr>
          <w:trHeight w:val="225" w:hRule="atLeast"/>
        </w:trPr>
        <w:tc>
          <w:tcPr>
            <w:tcW w:w="978" w:type="pct"/>
            <w:tcBorders>
              <w:top w:val="nil"/>
              <w:left w:val="single" w:color="auto" w:sz="4" w:space="0"/>
              <w:bottom w:val="single" w:color="auto" w:sz="4" w:space="0"/>
              <w:right w:val="single" w:color="auto" w:sz="4" w:space="0"/>
            </w:tcBorders>
            <w:vAlign w:val="bottom"/>
          </w:tcPr>
          <w:p w14:paraId="6CF1A264">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其他未列明行业</w:t>
            </w:r>
          </w:p>
        </w:tc>
        <w:tc>
          <w:tcPr>
            <w:tcW w:w="831" w:type="pct"/>
            <w:tcBorders>
              <w:top w:val="nil"/>
              <w:left w:val="nil"/>
              <w:bottom w:val="single" w:color="auto" w:sz="4" w:space="0"/>
              <w:right w:val="single" w:color="auto" w:sz="4" w:space="0"/>
            </w:tcBorders>
            <w:vAlign w:val="center"/>
          </w:tcPr>
          <w:p w14:paraId="7CCDBE2D">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748" w:type="pct"/>
            <w:tcBorders>
              <w:top w:val="nil"/>
              <w:left w:val="nil"/>
              <w:bottom w:val="single" w:color="auto" w:sz="4" w:space="0"/>
              <w:right w:val="single" w:color="auto" w:sz="4" w:space="0"/>
            </w:tcBorders>
            <w:vAlign w:val="center"/>
          </w:tcPr>
          <w:p w14:paraId="0A219A82">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962" w:type="pct"/>
            <w:tcBorders>
              <w:top w:val="nil"/>
              <w:left w:val="nil"/>
              <w:bottom w:val="single" w:color="auto" w:sz="4" w:space="0"/>
              <w:right w:val="single" w:color="auto" w:sz="4" w:space="0"/>
            </w:tcBorders>
            <w:vAlign w:val="center"/>
          </w:tcPr>
          <w:p w14:paraId="4BA54786">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100≤X＜300</w:t>
            </w:r>
          </w:p>
        </w:tc>
        <w:tc>
          <w:tcPr>
            <w:tcW w:w="902" w:type="pct"/>
            <w:tcBorders>
              <w:top w:val="nil"/>
              <w:left w:val="nil"/>
              <w:bottom w:val="single" w:color="auto" w:sz="4" w:space="0"/>
              <w:right w:val="single" w:color="auto" w:sz="4" w:space="0"/>
            </w:tcBorders>
            <w:vAlign w:val="center"/>
          </w:tcPr>
          <w:p w14:paraId="31BE46D3">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10≤X＜100</w:t>
            </w:r>
          </w:p>
        </w:tc>
        <w:tc>
          <w:tcPr>
            <w:tcW w:w="579" w:type="pct"/>
            <w:tcBorders>
              <w:top w:val="nil"/>
              <w:left w:val="nil"/>
              <w:bottom w:val="single" w:color="auto" w:sz="4" w:space="0"/>
              <w:right w:val="single" w:color="auto" w:sz="4" w:space="0"/>
            </w:tcBorders>
            <w:vAlign w:val="center"/>
          </w:tcPr>
          <w:p w14:paraId="1E159097">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X＜10</w:t>
            </w:r>
          </w:p>
        </w:tc>
      </w:tr>
    </w:tbl>
    <w:p w14:paraId="6AC7028B">
      <w:pPr>
        <w:rPr>
          <w:color w:val="auto"/>
          <w:szCs w:val="21"/>
          <w:highlight w:val="none"/>
        </w:rPr>
      </w:pPr>
      <w:r>
        <w:rPr>
          <w:rFonts w:hint="eastAsia" w:ascii="宋体" w:hAnsi="宋体"/>
          <w:color w:val="auto"/>
          <w:spacing w:val="10"/>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bookmarkStart w:id="54" w:name="_Toc25688"/>
    </w:p>
    <w:p w14:paraId="12FB930A">
      <w:pPr>
        <w:rPr>
          <w:rFonts w:ascii="宋体" w:hAnsi="宋体" w:cs="宋体"/>
          <w:color w:val="auto"/>
          <w:szCs w:val="21"/>
          <w:highlight w:val="none"/>
        </w:rPr>
      </w:pPr>
    </w:p>
    <w:p w14:paraId="6D4FD2E7">
      <w:pPr>
        <w:spacing w:before="3"/>
        <w:rPr>
          <w:rFonts w:ascii="宋体" w:hAnsi="宋体" w:cs="宋体"/>
          <w:color w:val="auto"/>
          <w:szCs w:val="21"/>
          <w:highlight w:val="none"/>
        </w:rPr>
      </w:pPr>
    </w:p>
    <w:p w14:paraId="675C6662">
      <w:pPr>
        <w:widowControl/>
        <w:rPr>
          <w:rFonts w:ascii="宋体" w:hAnsi="宋体" w:cs="宋体"/>
          <w:color w:val="auto"/>
          <w:szCs w:val="21"/>
          <w:highlight w:val="none"/>
        </w:rPr>
        <w:sectPr>
          <w:headerReference r:id="rId3" w:type="first"/>
          <w:footerReference r:id="rId5" w:type="first"/>
          <w:footerReference r:id="rId4" w:type="default"/>
          <w:pgSz w:w="11910" w:h="16840"/>
          <w:pgMar w:top="1520" w:right="1500" w:bottom="280" w:left="1680" w:header="720" w:footer="720" w:gutter="0"/>
          <w:pgNumType w:start="27"/>
          <w:cols w:space="720" w:num="1"/>
          <w:titlePg/>
          <w:docGrid w:linePitch="286" w:charSpace="0"/>
        </w:sectPr>
      </w:pPr>
    </w:p>
    <w:p w14:paraId="666909B1">
      <w:pPr>
        <w:pStyle w:val="2"/>
        <w:keepNext w:val="0"/>
        <w:keepLines w:val="0"/>
        <w:tabs>
          <w:tab w:val="left" w:pos="0"/>
          <w:tab w:val="left" w:pos="3165"/>
          <w:tab w:val="center" w:pos="4153"/>
        </w:tabs>
        <w:autoSpaceDE w:val="0"/>
        <w:autoSpaceDN w:val="0"/>
        <w:adjustRightInd w:val="0"/>
        <w:spacing w:before="0" w:after="0" w:line="360" w:lineRule="auto"/>
        <w:jc w:val="center"/>
        <w:rPr>
          <w:color w:val="auto"/>
          <w:highlight w:val="none"/>
        </w:rPr>
      </w:pPr>
      <w:r>
        <w:rPr>
          <w:rFonts w:hint="eastAsia"/>
          <w:color w:val="auto"/>
          <w:highlight w:val="none"/>
        </w:rPr>
        <w:t>第三章  投标人须知</w:t>
      </w:r>
      <w:bookmarkEnd w:id="54"/>
    </w:p>
    <w:p w14:paraId="27C33D1A">
      <w:pPr>
        <w:jc w:val="center"/>
        <w:rPr>
          <w:color w:val="auto"/>
          <w:sz w:val="36"/>
          <w:szCs w:val="36"/>
          <w:highlight w:val="none"/>
        </w:rPr>
      </w:pPr>
      <w:bookmarkStart w:id="55" w:name="_Toc254970526"/>
      <w:bookmarkStart w:id="56" w:name="_Toc254970667"/>
      <w:r>
        <w:rPr>
          <w:rFonts w:hint="eastAsia"/>
          <w:color w:val="auto"/>
          <w:sz w:val="36"/>
          <w:szCs w:val="36"/>
          <w:highlight w:val="none"/>
        </w:rPr>
        <w:t>投标人须知前附表</w:t>
      </w:r>
      <w:bookmarkEnd w:id="55"/>
      <w:bookmarkEnd w:id="56"/>
    </w:p>
    <w:tbl>
      <w:tblPr>
        <w:tblStyle w:val="47"/>
        <w:tblW w:w="915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78"/>
        <w:gridCol w:w="8175"/>
      </w:tblGrid>
      <w:tr w14:paraId="5DB89E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5AC0614E">
            <w:pPr>
              <w:snapToGrid w:val="0"/>
              <w:spacing w:line="360" w:lineRule="auto"/>
              <w:jc w:val="left"/>
              <w:rPr>
                <w:rFonts w:ascii="宋体" w:hAnsi="宋体"/>
                <w:color w:val="auto"/>
                <w:szCs w:val="21"/>
                <w:highlight w:val="none"/>
              </w:rPr>
            </w:pPr>
            <w:r>
              <w:rPr>
                <w:rFonts w:hint="eastAsia" w:ascii="宋体" w:hAnsi="宋体"/>
                <w:color w:val="auto"/>
                <w:szCs w:val="21"/>
                <w:highlight w:val="none"/>
              </w:rPr>
              <w:t>条款号</w:t>
            </w:r>
          </w:p>
        </w:tc>
        <w:tc>
          <w:tcPr>
            <w:tcW w:w="8175" w:type="dxa"/>
            <w:tcBorders>
              <w:top w:val="single" w:color="auto" w:sz="4" w:space="0"/>
              <w:left w:val="single" w:color="auto" w:sz="4" w:space="0"/>
              <w:bottom w:val="single" w:color="auto" w:sz="4" w:space="0"/>
              <w:right w:val="single" w:color="auto" w:sz="4" w:space="0"/>
            </w:tcBorders>
            <w:vAlign w:val="center"/>
          </w:tcPr>
          <w:p w14:paraId="7074B85C">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编列内容</w:t>
            </w:r>
          </w:p>
        </w:tc>
      </w:tr>
      <w:tr w14:paraId="6B410F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45D5537B">
            <w:pPr>
              <w:spacing w:line="360" w:lineRule="auto"/>
              <w:jc w:val="center"/>
              <w:rPr>
                <w:rFonts w:ascii="宋体" w:hAnsi="宋体"/>
                <w:color w:val="auto"/>
                <w:szCs w:val="21"/>
                <w:highlight w:val="none"/>
              </w:rPr>
            </w:pPr>
            <w:r>
              <w:rPr>
                <w:rFonts w:hint="eastAsia" w:ascii="宋体" w:hAnsi="宋体"/>
                <w:color w:val="auto"/>
                <w:szCs w:val="21"/>
                <w:highlight w:val="none"/>
              </w:rPr>
              <w:t>3</w:t>
            </w:r>
          </w:p>
        </w:tc>
        <w:tc>
          <w:tcPr>
            <w:tcW w:w="8175" w:type="dxa"/>
            <w:tcBorders>
              <w:top w:val="single" w:color="auto" w:sz="4" w:space="0"/>
              <w:left w:val="single" w:color="auto" w:sz="4" w:space="0"/>
              <w:bottom w:val="single" w:color="auto" w:sz="4" w:space="0"/>
              <w:right w:val="single" w:color="auto" w:sz="4" w:space="0"/>
            </w:tcBorders>
            <w:vAlign w:val="center"/>
          </w:tcPr>
          <w:p w14:paraId="648AB0FB">
            <w:pPr>
              <w:snapToGrid w:val="0"/>
              <w:spacing w:line="360" w:lineRule="auto"/>
              <w:jc w:val="left"/>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rPr>
              <w:t>投标人的资格要求详见招标公告。</w:t>
            </w:r>
          </w:p>
          <w:p w14:paraId="380725CA">
            <w:pPr>
              <w:snapToGrid w:val="0"/>
              <w:spacing w:line="360" w:lineRule="auto"/>
              <w:jc w:val="left"/>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rPr>
              <w:t>投标人出现下列情形之一的，不得参加政府采购活动：</w:t>
            </w:r>
          </w:p>
          <w:p w14:paraId="7D43CB3C">
            <w:pPr>
              <w:snapToGrid w:val="0"/>
              <w:spacing w:line="360" w:lineRule="auto"/>
              <w:jc w:val="left"/>
              <w:rPr>
                <w:rFonts w:ascii="宋体" w:hAnsi="宋体"/>
                <w:color w:val="auto"/>
                <w:szCs w:val="21"/>
                <w:highlight w:val="none"/>
              </w:rPr>
            </w:pPr>
            <w:r>
              <w:rPr>
                <w:rFonts w:ascii="宋体" w:hAnsi="宋体"/>
                <w:color w:val="auto"/>
                <w:szCs w:val="21"/>
                <w:highlight w:val="none"/>
              </w:rPr>
              <w:t>2.1</w:t>
            </w:r>
            <w:r>
              <w:rPr>
                <w:rFonts w:hint="eastAsia" w:ascii="宋体" w:hAnsi="宋体"/>
                <w:color w:val="auto"/>
                <w:szCs w:val="21"/>
                <w:highlight w:val="none"/>
              </w:rPr>
              <w:t>单位负责人为同一人或者存在直接控股、管理关系的不同供应商，不得参加同一合同项下的政府采购活动。</w:t>
            </w:r>
          </w:p>
          <w:p w14:paraId="4E2EA3AB">
            <w:pPr>
              <w:snapToGrid w:val="0"/>
              <w:spacing w:line="360" w:lineRule="auto"/>
              <w:jc w:val="left"/>
              <w:rPr>
                <w:rFonts w:ascii="宋体" w:hAnsi="宋体"/>
                <w:color w:val="auto"/>
                <w:szCs w:val="21"/>
                <w:highlight w:val="none"/>
              </w:rPr>
            </w:pPr>
            <w:r>
              <w:rPr>
                <w:rFonts w:ascii="宋体" w:hAnsi="宋体"/>
                <w:color w:val="auto"/>
                <w:szCs w:val="21"/>
                <w:highlight w:val="none"/>
              </w:rPr>
              <w:t>2.2</w:t>
            </w:r>
            <w:r>
              <w:rPr>
                <w:rFonts w:hint="eastAsia" w:ascii="宋体" w:hAnsi="宋体"/>
                <w:color w:val="auto"/>
                <w:szCs w:val="21"/>
                <w:highlight w:val="none"/>
              </w:rPr>
              <w:t>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14:paraId="42334B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23B1F794">
            <w:pPr>
              <w:spacing w:line="360" w:lineRule="auto"/>
              <w:jc w:val="center"/>
              <w:rPr>
                <w:rFonts w:ascii="宋体" w:hAnsi="宋体"/>
                <w:color w:val="auto"/>
                <w:szCs w:val="21"/>
                <w:highlight w:val="none"/>
              </w:rPr>
            </w:pPr>
            <w:bookmarkStart w:id="57" w:name="_8.1"/>
            <w:bookmarkEnd w:id="57"/>
            <w:bookmarkStart w:id="58" w:name="_9.2"/>
            <w:bookmarkEnd w:id="58"/>
            <w:bookmarkStart w:id="59" w:name="_5"/>
            <w:bookmarkEnd w:id="59"/>
            <w:r>
              <w:rPr>
                <w:rFonts w:hint="eastAsia" w:ascii="宋体" w:hAnsi="宋体"/>
                <w:color w:val="auto"/>
                <w:szCs w:val="21"/>
                <w:highlight w:val="none"/>
              </w:rPr>
              <w:t>6.1</w:t>
            </w:r>
          </w:p>
        </w:tc>
        <w:tc>
          <w:tcPr>
            <w:tcW w:w="8175" w:type="dxa"/>
            <w:tcBorders>
              <w:top w:val="single" w:color="auto" w:sz="4" w:space="0"/>
              <w:left w:val="single" w:color="auto" w:sz="4" w:space="0"/>
              <w:bottom w:val="single" w:color="auto" w:sz="4" w:space="0"/>
              <w:right w:val="single" w:color="auto" w:sz="4" w:space="0"/>
            </w:tcBorders>
            <w:vAlign w:val="center"/>
          </w:tcPr>
          <w:p w14:paraId="3852980E">
            <w:pPr>
              <w:pStyle w:val="15"/>
              <w:spacing w:line="360" w:lineRule="auto"/>
              <w:rPr>
                <w:rFonts w:ascii="宋体" w:hAnsi="宋体"/>
                <w:color w:val="auto"/>
                <w:szCs w:val="21"/>
                <w:highlight w:val="none"/>
              </w:rPr>
            </w:pPr>
            <w:r>
              <w:rPr>
                <w:rFonts w:hint="eastAsia" w:ascii="宋体" w:hAnsi="宋体"/>
                <w:color w:val="auto"/>
                <w:szCs w:val="21"/>
                <w:highlight w:val="none"/>
              </w:rPr>
              <w:t>本项目是否接受联合体投标：详见招标公告。</w:t>
            </w:r>
          </w:p>
        </w:tc>
      </w:tr>
      <w:tr w14:paraId="436D13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750FD9EE">
            <w:pPr>
              <w:spacing w:line="360" w:lineRule="auto"/>
              <w:jc w:val="center"/>
              <w:rPr>
                <w:rFonts w:ascii="宋体" w:hAnsi="宋体"/>
                <w:color w:val="auto"/>
                <w:szCs w:val="21"/>
                <w:highlight w:val="none"/>
              </w:rPr>
            </w:pPr>
            <w:r>
              <w:rPr>
                <w:rFonts w:ascii="宋体" w:hAnsi="宋体"/>
                <w:color w:val="auto"/>
                <w:szCs w:val="21"/>
                <w:highlight w:val="none"/>
              </w:rPr>
              <w:t>6.2</w:t>
            </w:r>
          </w:p>
        </w:tc>
        <w:tc>
          <w:tcPr>
            <w:tcW w:w="8175" w:type="dxa"/>
            <w:tcBorders>
              <w:top w:val="single" w:color="auto" w:sz="4" w:space="0"/>
              <w:left w:val="single" w:color="auto" w:sz="4" w:space="0"/>
              <w:bottom w:val="single" w:color="auto" w:sz="4" w:space="0"/>
              <w:right w:val="single" w:color="auto" w:sz="4" w:space="0"/>
            </w:tcBorders>
            <w:vAlign w:val="center"/>
          </w:tcPr>
          <w:p w14:paraId="517FFD3C">
            <w:pPr>
              <w:pStyle w:val="15"/>
              <w:spacing w:line="360" w:lineRule="auto"/>
              <w:rPr>
                <w:rFonts w:ascii="宋体" w:hAnsi="宋体"/>
                <w:color w:val="auto"/>
                <w:szCs w:val="21"/>
                <w:highlight w:val="none"/>
              </w:rPr>
            </w:pPr>
            <w:bookmarkStart w:id="60" w:name="_Hlk54105293"/>
            <w:r>
              <w:rPr>
                <w:rFonts w:hint="eastAsia" w:ascii="宋体" w:hAnsi="宋体"/>
                <w:color w:val="auto"/>
                <w:szCs w:val="21"/>
                <w:highlight w:val="none"/>
              </w:rPr>
              <w:t>如接受联合体投标，</w:t>
            </w:r>
            <w:bookmarkEnd w:id="60"/>
            <w:r>
              <w:rPr>
                <w:rFonts w:hint="eastAsia" w:ascii="宋体" w:hAnsi="宋体"/>
                <w:color w:val="auto"/>
                <w:szCs w:val="21"/>
                <w:highlight w:val="none"/>
              </w:rPr>
              <w:t>联合体投标要求如下：无</w:t>
            </w:r>
          </w:p>
        </w:tc>
      </w:tr>
      <w:tr w14:paraId="7E4AF4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276D8A5D">
            <w:pPr>
              <w:spacing w:line="360" w:lineRule="auto"/>
              <w:jc w:val="center"/>
              <w:rPr>
                <w:rFonts w:ascii="宋体" w:hAnsi="宋体"/>
                <w:color w:val="auto"/>
                <w:szCs w:val="21"/>
                <w:highlight w:val="none"/>
              </w:rPr>
            </w:pPr>
            <w:r>
              <w:rPr>
                <w:rFonts w:hint="eastAsia" w:ascii="宋体" w:hAnsi="宋体"/>
                <w:color w:val="auto"/>
                <w:szCs w:val="21"/>
                <w:highlight w:val="none"/>
              </w:rPr>
              <w:t>7.2</w:t>
            </w:r>
          </w:p>
        </w:tc>
        <w:tc>
          <w:tcPr>
            <w:tcW w:w="8175" w:type="dxa"/>
            <w:tcBorders>
              <w:top w:val="single" w:color="auto" w:sz="4" w:space="0"/>
              <w:left w:val="single" w:color="auto" w:sz="4" w:space="0"/>
              <w:bottom w:val="single" w:color="auto" w:sz="4" w:space="0"/>
              <w:right w:val="single" w:color="auto" w:sz="4" w:space="0"/>
            </w:tcBorders>
            <w:vAlign w:val="center"/>
          </w:tcPr>
          <w:p w14:paraId="1FFDBE59">
            <w:pPr>
              <w:pStyle w:val="15"/>
              <w:spacing w:line="360" w:lineRule="auto"/>
              <w:rPr>
                <w:rFonts w:ascii="宋体" w:hAnsi="宋体"/>
                <w:color w:val="auto"/>
                <w:szCs w:val="21"/>
                <w:highlight w:val="none"/>
              </w:rPr>
            </w:pPr>
            <w:r>
              <w:rPr>
                <w:rFonts w:hint="eastAsia" w:ascii="宋体" w:hAnsi="宋体"/>
                <w:color w:val="auto"/>
                <w:szCs w:val="21"/>
                <w:highlight w:val="none"/>
              </w:rPr>
              <w:t>1-7分标不允许分包</w:t>
            </w:r>
          </w:p>
          <w:p w14:paraId="55DAB8E2">
            <w:pPr>
              <w:pStyle w:val="15"/>
              <w:spacing w:line="360" w:lineRule="auto"/>
              <w:rPr>
                <w:rFonts w:ascii="宋体" w:hAnsi="宋体"/>
                <w:color w:val="auto"/>
                <w:szCs w:val="21"/>
                <w:highlight w:val="none"/>
              </w:rPr>
            </w:pPr>
            <w:r>
              <w:rPr>
                <w:rFonts w:hint="eastAsia" w:ascii="宋体" w:hAnsi="宋体"/>
                <w:color w:val="auto"/>
                <w:szCs w:val="21"/>
                <w:highlight w:val="none"/>
              </w:rPr>
              <w:t>8分标允许分包：</w:t>
            </w:r>
          </w:p>
          <w:p w14:paraId="2CE0F54A">
            <w:pPr>
              <w:pStyle w:val="15"/>
              <w:spacing w:line="360" w:lineRule="auto"/>
              <w:rPr>
                <w:rFonts w:ascii="宋体" w:hAnsi="宋体"/>
                <w:color w:val="auto"/>
                <w:szCs w:val="21"/>
                <w:highlight w:val="none"/>
                <w:u w:val="single"/>
              </w:rPr>
            </w:pPr>
            <w:r>
              <w:rPr>
                <w:rFonts w:hint="eastAsia" w:ascii="宋体" w:hAnsi="宋体"/>
                <w:color w:val="auto"/>
                <w:szCs w:val="21"/>
                <w:highlight w:val="none"/>
              </w:rPr>
              <w:t>分包内容：</w:t>
            </w:r>
            <w:r>
              <w:rPr>
                <w:rFonts w:hint="eastAsia" w:ascii="宋体" w:hAnsi="宋体"/>
                <w:color w:val="auto"/>
                <w:szCs w:val="21"/>
                <w:highlight w:val="none"/>
                <w:u w:val="single"/>
              </w:rPr>
              <w:t xml:space="preserve"> 允许对系统等保测评服务、商用密码安全性评估进行分包，供应商应委托具备相应资质的第三方机构按项目要求开展工作。</w:t>
            </w:r>
            <w:bookmarkStart w:id="164" w:name="_GoBack"/>
            <w:bookmarkEnd w:id="164"/>
          </w:p>
          <w:p w14:paraId="3C25E98E">
            <w:pPr>
              <w:pStyle w:val="15"/>
              <w:spacing w:line="360" w:lineRule="auto"/>
              <w:jc w:val="both"/>
              <w:rPr>
                <w:rFonts w:ascii="宋体" w:hAnsi="宋体"/>
                <w:color w:val="auto"/>
                <w:szCs w:val="21"/>
                <w:highlight w:val="none"/>
                <w:u w:val="single"/>
              </w:rPr>
            </w:pPr>
            <w:r>
              <w:rPr>
                <w:rFonts w:hint="eastAsia" w:ascii="宋体" w:hAnsi="宋体"/>
                <w:color w:val="auto"/>
                <w:szCs w:val="21"/>
                <w:highlight w:val="none"/>
              </w:rPr>
              <w:t>分包金额或者比例：</w:t>
            </w:r>
            <w:r>
              <w:rPr>
                <w:rFonts w:hint="eastAsia" w:ascii="宋体" w:hAnsi="宋体"/>
                <w:color w:val="auto"/>
                <w:szCs w:val="21"/>
                <w:highlight w:val="none"/>
                <w:u w:val="single"/>
              </w:rPr>
              <w:t xml:space="preserve">   按实际发生金额，由供应商进行支付。</w:t>
            </w:r>
          </w:p>
        </w:tc>
      </w:tr>
      <w:tr w14:paraId="7065EA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66" w:hRule="atLeast"/>
        </w:trPr>
        <w:tc>
          <w:tcPr>
            <w:tcW w:w="978" w:type="dxa"/>
            <w:vMerge w:val="restart"/>
            <w:tcBorders>
              <w:top w:val="single" w:color="auto" w:sz="4" w:space="0"/>
              <w:left w:val="single" w:color="auto" w:sz="4" w:space="0"/>
              <w:right w:val="single" w:color="auto" w:sz="4" w:space="0"/>
            </w:tcBorders>
            <w:vAlign w:val="center"/>
          </w:tcPr>
          <w:p w14:paraId="3015140C">
            <w:pPr>
              <w:spacing w:line="360" w:lineRule="auto"/>
              <w:jc w:val="center"/>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1.2</w:t>
            </w:r>
          </w:p>
        </w:tc>
        <w:tc>
          <w:tcPr>
            <w:tcW w:w="8175" w:type="dxa"/>
            <w:tcBorders>
              <w:top w:val="single" w:color="auto" w:sz="4" w:space="0"/>
              <w:left w:val="single" w:color="auto" w:sz="4" w:space="0"/>
              <w:bottom w:val="single" w:color="auto" w:sz="4" w:space="0"/>
              <w:right w:val="single" w:color="auto" w:sz="4" w:space="0"/>
            </w:tcBorders>
            <w:vAlign w:val="center"/>
          </w:tcPr>
          <w:p w14:paraId="1729F082">
            <w:pPr>
              <w:snapToGrid w:val="0"/>
              <w:spacing w:line="360" w:lineRule="auto"/>
              <w:rPr>
                <w:rFonts w:ascii="宋体" w:hAnsi="宋体"/>
                <w:color w:val="auto"/>
                <w:szCs w:val="21"/>
                <w:highlight w:val="none"/>
              </w:rPr>
            </w:pPr>
            <w:r>
              <w:rPr>
                <w:rFonts w:hint="eastAsia" w:ascii="宋体" w:hAnsi="宋体"/>
                <w:color w:val="auto"/>
                <w:szCs w:val="21"/>
                <w:highlight w:val="none"/>
              </w:rPr>
              <w:t>☑不组织现场考察</w:t>
            </w:r>
          </w:p>
          <w:p w14:paraId="2B5A736B">
            <w:pPr>
              <w:snapToGrid w:val="0"/>
              <w:spacing w:line="360" w:lineRule="auto"/>
              <w:rPr>
                <w:rFonts w:ascii="宋体" w:hAnsi="宋体"/>
                <w:color w:val="auto"/>
                <w:szCs w:val="21"/>
                <w:highlight w:val="none"/>
              </w:rPr>
            </w:pPr>
            <w:r>
              <w:rPr>
                <w:rFonts w:hint="eastAsia" w:ascii="宋体" w:hAnsi="宋体"/>
                <w:color w:val="auto"/>
                <w:szCs w:val="21"/>
                <w:highlight w:val="none"/>
              </w:rPr>
              <w:t>□组织现场考察：</w:t>
            </w:r>
          </w:p>
          <w:p w14:paraId="3147B5DB">
            <w:pPr>
              <w:snapToGrid w:val="0"/>
              <w:spacing w:line="360" w:lineRule="auto"/>
              <w:rPr>
                <w:rFonts w:ascii="宋体" w:hAnsi="宋体"/>
                <w:color w:val="auto"/>
                <w:szCs w:val="21"/>
                <w:highlight w:val="none"/>
                <w:u w:val="single"/>
              </w:rPr>
            </w:pPr>
            <w:r>
              <w:rPr>
                <w:rFonts w:hint="eastAsia" w:ascii="宋体" w:hAnsi="宋体"/>
                <w:color w:val="auto"/>
                <w:szCs w:val="21"/>
                <w:highlight w:val="none"/>
              </w:rPr>
              <w:t>集中时间：</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日 </w:t>
            </w:r>
            <w:r>
              <w:rPr>
                <w:rFonts w:hint="eastAsia" w:ascii="宋体" w:hAnsi="宋体"/>
                <w:color w:val="auto"/>
                <w:szCs w:val="21"/>
                <w:highlight w:val="none"/>
                <w:u w:val="single"/>
              </w:rPr>
              <w:t xml:space="preserve">  </w:t>
            </w:r>
            <w:r>
              <w:rPr>
                <w:rFonts w:hint="eastAsia" w:ascii="宋体" w:hAnsi="宋体"/>
                <w:color w:val="auto"/>
                <w:szCs w:val="21"/>
                <w:highlight w:val="none"/>
              </w:rPr>
              <w:t>时</w:t>
            </w:r>
            <w:r>
              <w:rPr>
                <w:rFonts w:hint="eastAsia" w:ascii="宋体" w:hAnsi="宋体"/>
                <w:color w:val="auto"/>
                <w:szCs w:val="21"/>
                <w:highlight w:val="none"/>
                <w:u w:val="single"/>
              </w:rPr>
              <w:t xml:space="preserve">  分</w:t>
            </w:r>
            <w:r>
              <w:rPr>
                <w:rFonts w:hint="eastAsia" w:ascii="宋体" w:hAnsi="宋体"/>
                <w:color w:val="auto"/>
                <w:szCs w:val="21"/>
                <w:highlight w:val="none"/>
              </w:rPr>
              <w:t>，逾期后果自负。集中地点：</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p>
          <w:p w14:paraId="20607179">
            <w:pPr>
              <w:snapToGrid w:val="0"/>
              <w:spacing w:line="360" w:lineRule="auto"/>
              <w:rPr>
                <w:rFonts w:ascii="宋体" w:hAnsi="宋体"/>
                <w:color w:val="auto"/>
                <w:szCs w:val="21"/>
                <w:highlight w:val="none"/>
              </w:rPr>
            </w:pPr>
            <w:r>
              <w:rPr>
                <w:rFonts w:hint="eastAsia" w:ascii="宋体" w:hAnsi="宋体"/>
                <w:color w:val="auto"/>
                <w:szCs w:val="21"/>
                <w:highlight w:val="none"/>
              </w:rPr>
              <w:t>联系人：</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；联系电话：</w:t>
            </w:r>
            <w:r>
              <w:rPr>
                <w:rFonts w:ascii="宋体" w:hAnsi="宋体"/>
                <w:color w:val="auto"/>
                <w:szCs w:val="21"/>
                <w:highlight w:val="none"/>
                <w:u w:val="single"/>
              </w:rPr>
              <w:t xml:space="preserve">                </w:t>
            </w:r>
          </w:p>
        </w:tc>
      </w:tr>
      <w:tr w14:paraId="30BFFB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03" w:hRule="atLeast"/>
        </w:trPr>
        <w:tc>
          <w:tcPr>
            <w:tcW w:w="978" w:type="dxa"/>
            <w:vMerge w:val="continue"/>
            <w:tcBorders>
              <w:left w:val="single" w:color="auto" w:sz="4" w:space="0"/>
              <w:bottom w:val="single" w:color="auto" w:sz="4" w:space="0"/>
              <w:right w:val="single" w:color="auto" w:sz="4" w:space="0"/>
            </w:tcBorders>
            <w:vAlign w:val="center"/>
          </w:tcPr>
          <w:p w14:paraId="00D19244">
            <w:pPr>
              <w:spacing w:line="360" w:lineRule="auto"/>
              <w:jc w:val="center"/>
              <w:rPr>
                <w:rFonts w:ascii="宋体" w:hAnsi="宋体"/>
                <w:color w:val="auto"/>
                <w:szCs w:val="21"/>
                <w:highlight w:val="none"/>
              </w:rPr>
            </w:pPr>
          </w:p>
        </w:tc>
        <w:tc>
          <w:tcPr>
            <w:tcW w:w="8175" w:type="dxa"/>
            <w:tcBorders>
              <w:top w:val="single" w:color="auto" w:sz="4" w:space="0"/>
              <w:left w:val="single" w:color="auto" w:sz="4" w:space="0"/>
              <w:bottom w:val="single" w:color="auto" w:sz="4" w:space="0"/>
              <w:right w:val="single" w:color="auto" w:sz="4" w:space="0"/>
            </w:tcBorders>
            <w:vAlign w:val="center"/>
          </w:tcPr>
          <w:p w14:paraId="7C5302E6">
            <w:pPr>
              <w:snapToGrid w:val="0"/>
              <w:spacing w:line="360" w:lineRule="auto"/>
              <w:rPr>
                <w:rFonts w:ascii="宋体" w:hAnsi="宋体"/>
                <w:color w:val="auto"/>
                <w:szCs w:val="21"/>
                <w:highlight w:val="none"/>
              </w:rPr>
            </w:pPr>
            <w:r>
              <w:rPr>
                <w:rFonts w:hint="eastAsia" w:ascii="宋体" w:hAnsi="宋体"/>
                <w:color w:val="auto"/>
                <w:szCs w:val="21"/>
                <w:highlight w:val="none"/>
              </w:rPr>
              <w:t>☑不组织召开开标前答疑会</w:t>
            </w:r>
          </w:p>
          <w:p w14:paraId="2334CC89">
            <w:pPr>
              <w:snapToGrid w:val="0"/>
              <w:spacing w:line="360" w:lineRule="auto"/>
              <w:rPr>
                <w:rFonts w:ascii="宋体" w:hAnsi="宋体"/>
                <w:color w:val="auto"/>
                <w:szCs w:val="21"/>
                <w:highlight w:val="none"/>
              </w:rPr>
            </w:pPr>
            <w:r>
              <w:rPr>
                <w:rFonts w:hint="eastAsia" w:ascii="宋体" w:hAnsi="宋体"/>
                <w:color w:val="auto"/>
                <w:szCs w:val="21"/>
                <w:highlight w:val="none"/>
              </w:rPr>
              <w:t>□组织召开开标前答疑会</w:t>
            </w:r>
          </w:p>
          <w:p w14:paraId="4EC0E6AA">
            <w:pPr>
              <w:snapToGrid w:val="0"/>
              <w:spacing w:line="360" w:lineRule="auto"/>
              <w:rPr>
                <w:rFonts w:ascii="宋体" w:hAnsi="宋体"/>
                <w:color w:val="auto"/>
                <w:szCs w:val="21"/>
                <w:highlight w:val="none"/>
              </w:rPr>
            </w:pPr>
            <w:r>
              <w:rPr>
                <w:rFonts w:hint="eastAsia" w:ascii="宋体" w:hAnsi="宋体"/>
                <w:color w:val="auto"/>
                <w:szCs w:val="21"/>
                <w:highlight w:val="none"/>
              </w:rPr>
              <w:t>会议开始时间：</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日 </w:t>
            </w:r>
            <w:r>
              <w:rPr>
                <w:rFonts w:hint="eastAsia" w:ascii="宋体" w:hAnsi="宋体"/>
                <w:color w:val="auto"/>
                <w:szCs w:val="21"/>
                <w:highlight w:val="none"/>
                <w:u w:val="single"/>
              </w:rPr>
              <w:t xml:space="preserve">  </w:t>
            </w:r>
            <w:r>
              <w:rPr>
                <w:rFonts w:hint="eastAsia" w:ascii="宋体" w:hAnsi="宋体"/>
                <w:color w:val="auto"/>
                <w:szCs w:val="21"/>
                <w:highlight w:val="none"/>
              </w:rPr>
              <w:t>时</w:t>
            </w:r>
            <w:r>
              <w:rPr>
                <w:rFonts w:hint="eastAsia" w:ascii="宋体" w:hAnsi="宋体"/>
                <w:color w:val="auto"/>
                <w:szCs w:val="21"/>
                <w:highlight w:val="none"/>
                <w:u w:val="single"/>
              </w:rPr>
              <w:t xml:space="preserve">  分</w:t>
            </w:r>
            <w:r>
              <w:rPr>
                <w:rFonts w:hint="eastAsia" w:ascii="宋体" w:hAnsi="宋体"/>
                <w:color w:val="auto"/>
                <w:szCs w:val="21"/>
                <w:highlight w:val="none"/>
              </w:rPr>
              <w:t>，逾期后果自负。会议地点：</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p>
        </w:tc>
      </w:tr>
      <w:tr w14:paraId="480A14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vMerge w:val="restart"/>
            <w:tcBorders>
              <w:top w:val="single" w:color="auto" w:sz="4" w:space="0"/>
              <w:left w:val="single" w:color="auto" w:sz="4" w:space="0"/>
              <w:right w:val="single" w:color="auto" w:sz="4" w:space="0"/>
            </w:tcBorders>
            <w:vAlign w:val="center"/>
          </w:tcPr>
          <w:p w14:paraId="03F4DC0A">
            <w:pPr>
              <w:spacing w:line="360" w:lineRule="auto"/>
              <w:rPr>
                <w:rFonts w:ascii="宋体" w:hAnsi="宋体"/>
                <w:color w:val="auto"/>
                <w:szCs w:val="21"/>
                <w:highlight w:val="none"/>
              </w:rPr>
            </w:pPr>
            <w:bookmarkStart w:id="61" w:name="_13.1"/>
            <w:bookmarkEnd w:id="61"/>
            <w:r>
              <w:rPr>
                <w:rFonts w:hint="eastAsia" w:ascii="宋体" w:hAnsi="宋体"/>
                <w:color w:val="auto"/>
                <w:szCs w:val="21"/>
                <w:highlight w:val="none"/>
              </w:rPr>
              <w:t>13</w:t>
            </w:r>
          </w:p>
        </w:tc>
        <w:tc>
          <w:tcPr>
            <w:tcW w:w="8175" w:type="dxa"/>
            <w:tcBorders>
              <w:top w:val="single" w:color="auto" w:sz="4" w:space="0"/>
              <w:left w:val="single" w:color="auto" w:sz="4" w:space="0"/>
              <w:bottom w:val="single" w:color="auto" w:sz="4" w:space="0"/>
              <w:right w:val="single" w:color="auto" w:sz="4" w:space="0"/>
            </w:tcBorders>
            <w:vAlign w:val="center"/>
          </w:tcPr>
          <w:p w14:paraId="139BC1FB">
            <w:pPr>
              <w:snapToGrid w:val="0"/>
              <w:spacing w:line="360" w:lineRule="auto"/>
              <w:jc w:val="left"/>
              <w:rPr>
                <w:rFonts w:ascii="宋体" w:hAnsi="宋体" w:cs="Courier New"/>
                <w:b/>
                <w:color w:val="auto"/>
                <w:szCs w:val="21"/>
                <w:highlight w:val="none"/>
              </w:rPr>
            </w:pPr>
            <w:r>
              <w:rPr>
                <w:rFonts w:hint="eastAsia" w:ascii="宋体" w:hAnsi="宋体" w:cs="Courier New"/>
                <w:b/>
                <w:color w:val="auto"/>
                <w:szCs w:val="21"/>
                <w:highlight w:val="none"/>
              </w:rPr>
              <w:t>报价文件：</w:t>
            </w:r>
          </w:p>
          <w:p w14:paraId="71D511E5">
            <w:pPr>
              <w:tabs>
                <w:tab w:val="left" w:pos="459"/>
              </w:tabs>
              <w:snapToGrid w:val="0"/>
              <w:spacing w:line="360" w:lineRule="auto"/>
              <w:ind w:left="420"/>
              <w:jc w:val="left"/>
              <w:rPr>
                <w:rFonts w:ascii="宋体" w:hAnsi="宋体"/>
                <w:color w:val="auto"/>
                <w:szCs w:val="21"/>
                <w:highlight w:val="none"/>
              </w:rPr>
            </w:pPr>
            <w:r>
              <w:rPr>
                <w:rFonts w:hint="eastAsia" w:ascii="宋体" w:hAnsi="宋体"/>
                <w:color w:val="auto"/>
                <w:szCs w:val="21"/>
                <w:highlight w:val="none"/>
              </w:rPr>
              <w:t>1.投标函（格式后附）；</w:t>
            </w:r>
            <w:r>
              <w:rPr>
                <w:rFonts w:hint="eastAsia" w:ascii="宋体" w:hAnsi="宋体"/>
                <w:b/>
                <w:color w:val="auto"/>
                <w:szCs w:val="21"/>
                <w:highlight w:val="none"/>
              </w:rPr>
              <w:t>（必须提供，否则按无效投标处理）</w:t>
            </w:r>
          </w:p>
          <w:p w14:paraId="101AFEF2">
            <w:pPr>
              <w:tabs>
                <w:tab w:val="left" w:pos="459"/>
              </w:tabs>
              <w:snapToGrid w:val="0"/>
              <w:spacing w:line="360" w:lineRule="auto"/>
              <w:ind w:left="420"/>
              <w:jc w:val="left"/>
              <w:rPr>
                <w:rFonts w:ascii="宋体" w:hAnsi="宋体"/>
                <w:color w:val="auto"/>
                <w:szCs w:val="21"/>
                <w:highlight w:val="none"/>
              </w:rPr>
            </w:pPr>
            <w:r>
              <w:rPr>
                <w:rFonts w:hint="eastAsia" w:ascii="宋体" w:hAnsi="宋体"/>
                <w:color w:val="auto"/>
                <w:szCs w:val="21"/>
                <w:highlight w:val="none"/>
              </w:rPr>
              <w:t>2.开标一览表（格式后附）； （</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3945BCD4">
            <w:pPr>
              <w:tabs>
                <w:tab w:val="left" w:pos="459"/>
              </w:tabs>
              <w:snapToGrid w:val="0"/>
              <w:spacing w:line="360" w:lineRule="auto"/>
              <w:ind w:left="420"/>
              <w:jc w:val="left"/>
              <w:rPr>
                <w:rFonts w:ascii="宋体" w:hAnsi="宋体"/>
                <w:color w:val="auto"/>
                <w:szCs w:val="21"/>
                <w:highlight w:val="none"/>
              </w:rPr>
            </w:pPr>
            <w:r>
              <w:rPr>
                <w:rFonts w:hint="eastAsia" w:ascii="宋体" w:hAnsi="宋体"/>
                <w:color w:val="auto"/>
                <w:szCs w:val="21"/>
                <w:highlight w:val="none"/>
              </w:rPr>
              <w:t>3.投标人针对报价需要说明的其他文件和说明（格式自拟）。</w:t>
            </w:r>
            <w:r>
              <w:rPr>
                <w:rFonts w:hint="eastAsia" w:ascii="宋体" w:hAnsi="宋体"/>
                <w:iCs/>
                <w:color w:val="auto"/>
                <w:szCs w:val="21"/>
                <w:highlight w:val="none"/>
              </w:rPr>
              <w:t>（如有则提供）</w:t>
            </w:r>
          </w:p>
          <w:p w14:paraId="0CA4E44F">
            <w:pPr>
              <w:tabs>
                <w:tab w:val="left" w:pos="459"/>
              </w:tabs>
              <w:snapToGrid w:val="0"/>
              <w:spacing w:line="360" w:lineRule="auto"/>
              <w:ind w:left="420"/>
              <w:jc w:val="left"/>
              <w:rPr>
                <w:rFonts w:ascii="宋体" w:hAnsi="宋体"/>
                <w:color w:val="auto"/>
                <w:szCs w:val="21"/>
                <w:highlight w:val="none"/>
              </w:rPr>
            </w:pPr>
            <w:r>
              <w:rPr>
                <w:rFonts w:hint="eastAsia" w:ascii="宋体" w:hAnsi="宋体" w:cs="宋体"/>
                <w:b/>
                <w:color w:val="auto"/>
                <w:szCs w:val="21"/>
                <w:highlight w:val="none"/>
              </w:rPr>
              <w:t>注：以上标明“必须提供”的材料，格式中有要求法定代表人或者委托代理人签字的，必须按要求签字并加盖投标人电子签章，否则按无效投标处理。</w:t>
            </w:r>
          </w:p>
        </w:tc>
      </w:tr>
      <w:tr w14:paraId="386BBD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vMerge w:val="continue"/>
            <w:tcBorders>
              <w:left w:val="single" w:color="auto" w:sz="4" w:space="0"/>
              <w:right w:val="single" w:color="auto" w:sz="4" w:space="0"/>
            </w:tcBorders>
            <w:vAlign w:val="center"/>
          </w:tcPr>
          <w:p w14:paraId="1C719F60">
            <w:pPr>
              <w:spacing w:line="360" w:lineRule="auto"/>
              <w:rPr>
                <w:rFonts w:ascii="宋体" w:hAnsi="宋体"/>
                <w:color w:val="auto"/>
                <w:szCs w:val="21"/>
                <w:highlight w:val="none"/>
              </w:rPr>
            </w:pPr>
            <w:bookmarkStart w:id="62" w:name="_13.2"/>
            <w:bookmarkEnd w:id="62"/>
          </w:p>
        </w:tc>
        <w:tc>
          <w:tcPr>
            <w:tcW w:w="8175" w:type="dxa"/>
            <w:tcBorders>
              <w:top w:val="single" w:color="auto" w:sz="4" w:space="0"/>
              <w:left w:val="single" w:color="auto" w:sz="4" w:space="0"/>
              <w:bottom w:val="single" w:color="auto" w:sz="4" w:space="0"/>
              <w:right w:val="single" w:color="auto" w:sz="4" w:space="0"/>
            </w:tcBorders>
            <w:vAlign w:val="center"/>
          </w:tcPr>
          <w:p w14:paraId="25C4531F">
            <w:pPr>
              <w:snapToGrid w:val="0"/>
              <w:spacing w:line="360" w:lineRule="auto"/>
              <w:jc w:val="left"/>
              <w:rPr>
                <w:rFonts w:ascii="宋体" w:hAnsi="宋体" w:cs="Courier New"/>
                <w:b/>
                <w:color w:val="auto"/>
                <w:szCs w:val="21"/>
                <w:highlight w:val="none"/>
              </w:rPr>
            </w:pPr>
            <w:r>
              <w:rPr>
                <w:rFonts w:hint="eastAsia" w:ascii="宋体" w:hAnsi="宋体" w:cs="Courier New"/>
                <w:b/>
                <w:color w:val="auto"/>
                <w:szCs w:val="21"/>
                <w:highlight w:val="none"/>
              </w:rPr>
              <w:t>资格证明文件</w:t>
            </w:r>
          </w:p>
          <w:p w14:paraId="2944B7B6">
            <w:pPr>
              <w:snapToGrid w:val="0"/>
              <w:spacing w:line="360" w:lineRule="auto"/>
              <w:ind w:firstLine="398" w:firstLineChars="200"/>
              <w:jc w:val="left"/>
              <w:rPr>
                <w:rFonts w:ascii="宋体" w:hAnsi="宋体" w:cs="Courier New"/>
                <w:b/>
                <w:color w:val="auto"/>
                <w:szCs w:val="21"/>
                <w:highlight w:val="none"/>
              </w:rPr>
            </w:pPr>
            <w:r>
              <w:rPr>
                <w:rFonts w:hint="eastAsia" w:ascii="宋体" w:hAnsi="宋体"/>
                <w:color w:val="auto"/>
                <w:szCs w:val="21"/>
                <w:highlight w:val="none"/>
              </w:rPr>
              <w:t>1.投标人为法人或者其他组织的，提供营业执照等证明文件</w:t>
            </w:r>
            <w:r>
              <w:rPr>
                <w:rFonts w:hint="eastAsia" w:ascii="宋体" w:hAnsi="宋体" w:cs="宋体"/>
                <w:color w:val="auto"/>
                <w:szCs w:val="21"/>
                <w:highlight w:val="none"/>
              </w:rPr>
              <w:t>（如营业执照或者事业单位法人证书或者</w:t>
            </w:r>
            <w:r>
              <w:rPr>
                <w:rStyle w:val="88"/>
                <w:color w:val="auto"/>
                <w:sz w:val="21"/>
                <w:szCs w:val="21"/>
                <w:highlight w:val="none"/>
              </w:rPr>
              <w:t>执业许可证</w:t>
            </w:r>
            <w:r>
              <w:rPr>
                <w:rFonts w:hint="eastAsia" w:ascii="宋体" w:hAnsi="宋体" w:cs="宋体"/>
                <w:color w:val="auto"/>
                <w:szCs w:val="21"/>
                <w:highlight w:val="none"/>
              </w:rPr>
              <w:t>或者登记证书等</w:t>
            </w:r>
            <w:r>
              <w:rPr>
                <w:rFonts w:hint="eastAsia" w:ascii="宋体" w:hAnsi="宋体"/>
                <w:color w:val="auto"/>
                <w:szCs w:val="21"/>
                <w:highlight w:val="none"/>
              </w:rPr>
              <w:t>复印件，需加盖公章</w:t>
            </w:r>
            <w:r>
              <w:rPr>
                <w:rFonts w:hint="eastAsia" w:ascii="宋体" w:hAnsi="宋体" w:cs="宋体"/>
                <w:color w:val="auto"/>
                <w:szCs w:val="21"/>
                <w:highlight w:val="none"/>
              </w:rPr>
              <w:t>）</w:t>
            </w:r>
            <w:r>
              <w:rPr>
                <w:rFonts w:hint="eastAsia" w:ascii="宋体" w:hAnsi="宋体"/>
                <w:color w:val="auto"/>
                <w:szCs w:val="21"/>
                <w:highlight w:val="none"/>
              </w:rPr>
              <w:t>，投标人为自然人的，提供身份证</w:t>
            </w:r>
            <w:r>
              <w:rPr>
                <w:rFonts w:hint="eastAsia" w:ascii="宋体" w:hAnsi="宋体" w:cs="宋体"/>
                <w:color w:val="auto"/>
                <w:szCs w:val="21"/>
                <w:highlight w:val="none"/>
              </w:rPr>
              <w:t>复印件</w:t>
            </w:r>
            <w:r>
              <w:rPr>
                <w:rFonts w:hint="eastAsia" w:ascii="宋体" w:hAnsi="宋体"/>
                <w:color w:val="auto"/>
                <w:szCs w:val="21"/>
                <w:highlight w:val="none"/>
              </w:rPr>
              <w:t>；（</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5A199773">
            <w:pPr>
              <w:snapToGrid w:val="0"/>
              <w:spacing w:line="360" w:lineRule="auto"/>
              <w:ind w:firstLine="398" w:firstLineChars="200"/>
              <w:jc w:val="left"/>
              <w:rPr>
                <w:rFonts w:ascii="宋体" w:hAnsi="宋体" w:cs="Courier New"/>
                <w:b/>
                <w:color w:val="auto"/>
                <w:szCs w:val="21"/>
                <w:highlight w:val="none"/>
              </w:rPr>
            </w:pPr>
            <w:r>
              <w:rPr>
                <w:rFonts w:hint="eastAsia" w:ascii="宋体" w:hAnsi="宋体" w:cs="宋体"/>
                <w:color w:val="auto"/>
                <w:szCs w:val="21"/>
                <w:highlight w:val="none"/>
              </w:rPr>
              <w:t>2. 投标人依法缴纳税收的相关材料（</w:t>
            </w:r>
            <w:r>
              <w:rPr>
                <w:rFonts w:hint="eastAsia" w:ascii="宋体" w:hAnsi="宋体" w:cs="宋体"/>
                <w:color w:val="auto"/>
                <w:szCs w:val="21"/>
                <w:highlight w:val="none"/>
                <w:u w:val="single"/>
              </w:rPr>
              <w:t>2025</w:t>
            </w:r>
            <w:r>
              <w:rPr>
                <w:rFonts w:hint="eastAsia" w:ascii="宋体" w:hAnsi="宋体" w:cs="宋体"/>
                <w:color w:val="auto"/>
                <w:szCs w:val="21"/>
                <w:highlight w:val="none"/>
              </w:rPr>
              <w:t>年</w:t>
            </w:r>
            <w:r>
              <w:rPr>
                <w:rFonts w:hint="eastAsia" w:ascii="宋体" w:hAnsi="宋体" w:cs="宋体"/>
                <w:color w:val="auto"/>
                <w:szCs w:val="21"/>
                <w:highlight w:val="none"/>
                <w:u w:val="single"/>
              </w:rPr>
              <w:t>10</w:t>
            </w:r>
            <w:r>
              <w:rPr>
                <w:rFonts w:hint="eastAsia" w:ascii="宋体" w:hAnsi="宋体" w:cs="宋体"/>
                <w:color w:val="auto"/>
                <w:szCs w:val="21"/>
                <w:highlight w:val="none"/>
              </w:rPr>
              <w:t>月至</w:t>
            </w:r>
            <w:r>
              <w:rPr>
                <w:rFonts w:hint="eastAsia" w:ascii="宋体" w:hAnsi="宋体" w:cs="宋体"/>
                <w:color w:val="auto"/>
                <w:szCs w:val="21"/>
                <w:highlight w:val="none"/>
                <w:u w:val="single"/>
              </w:rPr>
              <w:t>提交投标文件截止之日</w:t>
            </w:r>
            <w:r>
              <w:rPr>
                <w:rFonts w:hint="eastAsia" w:ascii="宋体" w:hAnsi="宋体" w:cs="宋体"/>
                <w:color w:val="auto"/>
                <w:szCs w:val="21"/>
                <w:highlight w:val="none"/>
              </w:rPr>
              <w:t>内连续</w:t>
            </w:r>
            <w:r>
              <w:rPr>
                <w:rFonts w:hint="eastAsia" w:ascii="宋体" w:hAnsi="宋体" w:cs="宋体"/>
                <w:color w:val="auto"/>
                <w:szCs w:val="21"/>
                <w:highlight w:val="none"/>
                <w:u w:val="single"/>
              </w:rPr>
              <w:t xml:space="preserve"> 3 </w:t>
            </w:r>
            <w:r>
              <w:rPr>
                <w:rFonts w:hint="eastAsia" w:ascii="宋体" w:hAnsi="宋体" w:cs="宋体"/>
                <w:color w:val="auto"/>
                <w:szCs w:val="21"/>
                <w:highlight w:val="none"/>
              </w:rPr>
              <w:t>个月的依法缴纳税收的</w:t>
            </w:r>
            <w:r>
              <w:rPr>
                <w:rFonts w:hint="eastAsia"/>
                <w:color w:val="auto"/>
                <w:highlight w:val="none"/>
              </w:rPr>
              <w:t>证明材料</w:t>
            </w:r>
            <w:r>
              <w:rPr>
                <w:rFonts w:hint="eastAsia" w:ascii="宋体" w:hAnsi="宋体" w:cs="宋体"/>
                <w:color w:val="auto"/>
                <w:szCs w:val="21"/>
                <w:highlight w:val="none"/>
              </w:rPr>
              <w:t>复印件；</w:t>
            </w:r>
            <w:r>
              <w:rPr>
                <w:rFonts w:hint="eastAsia" w:ascii="宋体" w:hAnsi="宋体"/>
                <w:color w:val="auto"/>
                <w:szCs w:val="21"/>
                <w:highlight w:val="none"/>
              </w:rPr>
              <w:t>依法免税的供应商，</w:t>
            </w:r>
            <w:r>
              <w:rPr>
                <w:rFonts w:hint="eastAsia"/>
                <w:color w:val="auto"/>
                <w:highlight w:val="none"/>
              </w:rPr>
              <w:t>必须提供符合免税条件的证明材料</w:t>
            </w:r>
            <w:r>
              <w:rPr>
                <w:rFonts w:hint="eastAsia" w:ascii="宋体" w:hAnsi="宋体"/>
                <w:color w:val="auto"/>
                <w:szCs w:val="21"/>
                <w:highlight w:val="none"/>
              </w:rPr>
              <w:t>。</w:t>
            </w:r>
            <w:r>
              <w:rPr>
                <w:rFonts w:hint="eastAsia" w:ascii="宋体" w:hAnsi="宋体" w:cs="宋体"/>
                <w:color w:val="auto"/>
                <w:szCs w:val="21"/>
                <w:highlight w:val="none"/>
              </w:rPr>
              <w:t>从</w:t>
            </w:r>
            <w:r>
              <w:rPr>
                <w:rFonts w:hint="eastAsia"/>
                <w:color w:val="auto"/>
                <w:szCs w:val="21"/>
                <w:highlight w:val="none"/>
              </w:rPr>
              <w:t>成立之日</w:t>
            </w:r>
            <w:r>
              <w:rPr>
                <w:rFonts w:hint="eastAsia" w:ascii="宋体" w:hAnsi="宋体" w:cs="宋体"/>
                <w:color w:val="auto"/>
                <w:szCs w:val="21"/>
                <w:highlight w:val="none"/>
              </w:rPr>
              <w:t>起到投标文件提交截止时间止不足要求月数的，只需提供从</w:t>
            </w:r>
            <w:r>
              <w:rPr>
                <w:rFonts w:hint="eastAsia"/>
                <w:color w:val="auto"/>
                <w:szCs w:val="21"/>
                <w:highlight w:val="none"/>
              </w:rPr>
              <w:t>成立之日起</w:t>
            </w:r>
            <w:r>
              <w:rPr>
                <w:rFonts w:hint="eastAsia" w:ascii="宋体" w:hAnsi="宋体" w:cs="宋体"/>
                <w:color w:val="auto"/>
                <w:szCs w:val="21"/>
                <w:highlight w:val="none"/>
              </w:rPr>
              <w:t>的依法缴纳税收</w:t>
            </w:r>
            <w:r>
              <w:rPr>
                <w:rFonts w:hint="eastAsia" w:ascii="宋体" w:hAnsi="宋体"/>
                <w:color w:val="auto"/>
                <w:szCs w:val="21"/>
                <w:highlight w:val="none"/>
              </w:rPr>
              <w:t>相应证明文件</w:t>
            </w:r>
            <w:r>
              <w:rPr>
                <w:rFonts w:hint="eastAsia" w:ascii="宋体" w:hAnsi="宋体" w:cs="宋体"/>
                <w:color w:val="auto"/>
                <w:szCs w:val="21"/>
                <w:highlight w:val="none"/>
              </w:rPr>
              <w:t>）</w:t>
            </w:r>
            <w:r>
              <w:rPr>
                <w:rFonts w:hint="eastAsia" w:ascii="宋体" w:hAnsi="宋体"/>
                <w:color w:val="auto"/>
                <w:szCs w:val="21"/>
                <w:highlight w:val="none"/>
              </w:rPr>
              <w:t>；（</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03AF61BC">
            <w:pPr>
              <w:snapToGrid w:val="0"/>
              <w:spacing w:line="360" w:lineRule="auto"/>
              <w:ind w:firstLine="398" w:firstLineChars="200"/>
              <w:jc w:val="left"/>
              <w:rPr>
                <w:rFonts w:ascii="宋体" w:hAnsi="宋体" w:cs="Courier New"/>
                <w:b/>
                <w:color w:val="auto"/>
                <w:szCs w:val="21"/>
                <w:highlight w:val="none"/>
              </w:rPr>
            </w:pPr>
            <w:r>
              <w:rPr>
                <w:rFonts w:hint="eastAsia" w:ascii="宋体" w:hAnsi="宋体" w:cs="宋体"/>
                <w:color w:val="auto"/>
                <w:szCs w:val="21"/>
                <w:highlight w:val="none"/>
              </w:rPr>
              <w:t>3. 投标人依法缴纳社会保障资金的相关材料[</w:t>
            </w:r>
            <w:r>
              <w:rPr>
                <w:rFonts w:hint="eastAsia" w:ascii="宋体" w:hAnsi="宋体" w:cs="宋体"/>
                <w:color w:val="auto"/>
                <w:szCs w:val="21"/>
                <w:highlight w:val="none"/>
                <w:u w:val="single"/>
              </w:rPr>
              <w:t>2025</w:t>
            </w:r>
            <w:r>
              <w:rPr>
                <w:rFonts w:hint="eastAsia" w:ascii="宋体" w:hAnsi="宋体" w:cs="宋体"/>
                <w:color w:val="auto"/>
                <w:szCs w:val="21"/>
                <w:highlight w:val="none"/>
              </w:rPr>
              <w:t>年</w:t>
            </w:r>
            <w:r>
              <w:rPr>
                <w:rFonts w:hint="eastAsia" w:ascii="宋体" w:hAnsi="宋体" w:cs="宋体"/>
                <w:color w:val="auto"/>
                <w:szCs w:val="21"/>
                <w:highlight w:val="none"/>
                <w:u w:val="single"/>
              </w:rPr>
              <w:t>10</w:t>
            </w:r>
            <w:r>
              <w:rPr>
                <w:rFonts w:hint="eastAsia" w:ascii="宋体" w:hAnsi="宋体" w:cs="宋体"/>
                <w:color w:val="auto"/>
                <w:szCs w:val="21"/>
                <w:highlight w:val="none"/>
              </w:rPr>
              <w:t>月至</w:t>
            </w:r>
            <w:r>
              <w:rPr>
                <w:rFonts w:hint="eastAsia" w:ascii="宋体" w:hAnsi="宋体" w:cs="宋体"/>
                <w:color w:val="auto"/>
                <w:szCs w:val="21"/>
                <w:highlight w:val="none"/>
                <w:u w:val="single"/>
              </w:rPr>
              <w:t>提交投标文件截止之日</w:t>
            </w:r>
            <w:r>
              <w:rPr>
                <w:rFonts w:hint="eastAsia" w:ascii="宋体" w:hAnsi="宋体" w:cs="宋体"/>
                <w:color w:val="auto"/>
                <w:szCs w:val="21"/>
                <w:highlight w:val="none"/>
              </w:rPr>
              <w:t>内连续</w:t>
            </w:r>
            <w:r>
              <w:rPr>
                <w:rFonts w:hint="eastAsia" w:ascii="宋体" w:hAnsi="宋体" w:cs="宋体"/>
                <w:color w:val="auto"/>
                <w:szCs w:val="21"/>
                <w:highlight w:val="none"/>
                <w:u w:val="single"/>
              </w:rPr>
              <w:t xml:space="preserve"> 3 </w:t>
            </w:r>
            <w:r>
              <w:rPr>
                <w:rFonts w:hint="eastAsia" w:ascii="宋体" w:hAnsi="宋体" w:cs="宋体"/>
                <w:color w:val="auto"/>
                <w:szCs w:val="21"/>
                <w:highlight w:val="none"/>
              </w:rPr>
              <w:t>个月的依法缴纳社会保障资金的缴费</w:t>
            </w:r>
            <w:r>
              <w:rPr>
                <w:rFonts w:hint="eastAsia"/>
                <w:color w:val="auto"/>
                <w:highlight w:val="none"/>
              </w:rPr>
              <w:t>证明材料</w:t>
            </w:r>
            <w:r>
              <w:rPr>
                <w:rFonts w:hint="eastAsia" w:ascii="宋体" w:hAnsi="宋体" w:cs="宋体"/>
                <w:color w:val="auto"/>
                <w:szCs w:val="21"/>
                <w:highlight w:val="none"/>
              </w:rPr>
              <w:t>（</w:t>
            </w:r>
            <w:r>
              <w:rPr>
                <w:rFonts w:hint="eastAsia"/>
                <w:color w:val="auto"/>
                <w:highlight w:val="none"/>
              </w:rPr>
              <w:t>如：</w:t>
            </w:r>
            <w:r>
              <w:rPr>
                <w:rFonts w:hint="eastAsia" w:ascii="宋体" w:hAnsi="宋体" w:cs="宋体"/>
                <w:color w:val="auto"/>
                <w:szCs w:val="21"/>
                <w:highlight w:val="none"/>
              </w:rPr>
              <w:t>专用收据、社会保险缴纳清单或者社保部门的证明）复印件；</w:t>
            </w:r>
            <w:r>
              <w:rPr>
                <w:rFonts w:hint="eastAsia" w:ascii="宋体" w:hAnsi="宋体"/>
                <w:color w:val="auto"/>
                <w:szCs w:val="21"/>
                <w:highlight w:val="none"/>
              </w:rPr>
              <w:t>依法不需要缴纳社会保障资金的供应商，必须提供相应文件证明不需要缴纳社会保障资金。</w:t>
            </w:r>
            <w:r>
              <w:rPr>
                <w:rFonts w:hint="eastAsia" w:ascii="宋体" w:hAnsi="宋体" w:cs="宋体"/>
                <w:color w:val="auto"/>
                <w:szCs w:val="21"/>
                <w:highlight w:val="none"/>
              </w:rPr>
              <w:t>从</w:t>
            </w:r>
            <w:r>
              <w:rPr>
                <w:rFonts w:hint="eastAsia"/>
                <w:color w:val="auto"/>
                <w:szCs w:val="21"/>
                <w:highlight w:val="none"/>
              </w:rPr>
              <w:t>成立之日起</w:t>
            </w:r>
            <w:r>
              <w:rPr>
                <w:rFonts w:hint="eastAsia" w:ascii="宋体" w:hAnsi="宋体" w:cs="宋体"/>
                <w:color w:val="auto"/>
                <w:szCs w:val="21"/>
                <w:highlight w:val="none"/>
              </w:rPr>
              <w:t>到投标文件提交截止时间止不足要求月数的只需提供从</w:t>
            </w:r>
            <w:r>
              <w:rPr>
                <w:rFonts w:hint="eastAsia"/>
                <w:color w:val="auto"/>
                <w:szCs w:val="21"/>
                <w:highlight w:val="none"/>
              </w:rPr>
              <w:t>成立之日起</w:t>
            </w:r>
            <w:r>
              <w:rPr>
                <w:rFonts w:hint="eastAsia" w:ascii="宋体" w:hAnsi="宋体" w:cs="宋体"/>
                <w:color w:val="auto"/>
                <w:szCs w:val="21"/>
                <w:highlight w:val="none"/>
              </w:rPr>
              <w:t>的依法缴纳社会保障资金的</w:t>
            </w:r>
            <w:r>
              <w:rPr>
                <w:rFonts w:hint="eastAsia" w:ascii="宋体" w:hAnsi="宋体"/>
                <w:color w:val="auto"/>
                <w:szCs w:val="21"/>
                <w:highlight w:val="none"/>
              </w:rPr>
              <w:t>相应证明文件</w:t>
            </w:r>
            <w:r>
              <w:rPr>
                <w:rFonts w:hint="eastAsia" w:ascii="宋体" w:hAnsi="宋体" w:cs="宋体"/>
                <w:color w:val="auto"/>
                <w:szCs w:val="21"/>
                <w:highlight w:val="none"/>
              </w:rPr>
              <w:t>]</w:t>
            </w:r>
            <w:r>
              <w:rPr>
                <w:rFonts w:hint="eastAsia" w:ascii="宋体" w:hAnsi="宋体"/>
                <w:color w:val="auto"/>
                <w:szCs w:val="21"/>
                <w:highlight w:val="none"/>
              </w:rPr>
              <w:t>；（</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02950276">
            <w:pPr>
              <w:snapToGrid w:val="0"/>
              <w:spacing w:line="360" w:lineRule="auto"/>
              <w:ind w:firstLine="398" w:firstLineChars="200"/>
              <w:jc w:val="left"/>
              <w:rPr>
                <w:rFonts w:ascii="宋体" w:hAnsi="宋体" w:cs="Courier New"/>
                <w:b/>
                <w:color w:val="auto"/>
                <w:szCs w:val="21"/>
                <w:highlight w:val="none"/>
              </w:rPr>
            </w:pPr>
            <w:r>
              <w:rPr>
                <w:rFonts w:hint="eastAsia" w:ascii="宋体" w:hAnsi="宋体" w:cs="宋体"/>
                <w:color w:val="auto"/>
                <w:szCs w:val="21"/>
                <w:highlight w:val="none"/>
              </w:rPr>
              <w:t>4.投标人</w:t>
            </w:r>
            <w:r>
              <w:rPr>
                <w:rFonts w:hint="eastAsia"/>
                <w:color w:val="auto"/>
                <w:szCs w:val="21"/>
                <w:highlight w:val="none"/>
              </w:rPr>
              <w:t>财务状况报告（</w:t>
            </w:r>
            <w:r>
              <w:rPr>
                <w:rFonts w:hint="eastAsia"/>
                <w:color w:val="auto"/>
                <w:szCs w:val="21"/>
                <w:highlight w:val="none"/>
                <w:u w:val="single"/>
              </w:rPr>
              <w:t>2024</w:t>
            </w:r>
            <w:r>
              <w:rPr>
                <w:color w:val="auto"/>
                <w:szCs w:val="21"/>
                <w:highlight w:val="none"/>
                <w:u w:val="single"/>
              </w:rPr>
              <w:t xml:space="preserve"> </w:t>
            </w:r>
            <w:r>
              <w:rPr>
                <w:rFonts w:hint="eastAsia"/>
                <w:color w:val="auto"/>
                <w:szCs w:val="21"/>
                <w:highlight w:val="none"/>
                <w:u w:val="single"/>
              </w:rPr>
              <w:t>年度</w:t>
            </w:r>
            <w:r>
              <w:rPr>
                <w:rFonts w:hint="eastAsia"/>
                <w:color w:val="auto"/>
                <w:szCs w:val="21"/>
                <w:highlight w:val="none"/>
              </w:rPr>
              <w:t>或</w:t>
            </w:r>
            <w:r>
              <w:rPr>
                <w:rFonts w:hint="eastAsia"/>
                <w:color w:val="auto"/>
                <w:szCs w:val="21"/>
                <w:highlight w:val="none"/>
                <w:u w:val="single"/>
              </w:rPr>
              <w:t>2025年度</w:t>
            </w:r>
            <w:r>
              <w:rPr>
                <w:rFonts w:hint="eastAsia"/>
                <w:color w:val="auto"/>
                <w:szCs w:val="21"/>
                <w:highlight w:val="none"/>
              </w:rPr>
              <w:t>财务报表复印件，或者银行出具的资信证明，或者中国人民银行征信中心出具的信用报告（企业投标的提供企业信用报告，自然人投标的提供个人信用报告</w:t>
            </w:r>
            <w:r>
              <w:rPr>
                <w:rFonts w:hint="eastAsia"/>
                <w:color w:val="auto"/>
                <w:highlight w:val="none"/>
              </w:rPr>
              <w:t>，</w:t>
            </w:r>
            <w:r>
              <w:rPr>
                <w:rFonts w:hint="eastAsia" w:ascii="宋体" w:hAnsi="宋体"/>
                <w:color w:val="auto"/>
                <w:highlight w:val="none"/>
              </w:rPr>
              <w:t>投标人属于成立时间在规定年度之后的法人或其他组织，</w:t>
            </w:r>
            <w:r>
              <w:rPr>
                <w:rFonts w:hint="eastAsia"/>
                <w:color w:val="auto"/>
                <w:highlight w:val="none"/>
              </w:rPr>
              <w:t>需提供成立之日起至投标截止时间前的月报表</w:t>
            </w:r>
            <w:r>
              <w:rPr>
                <w:rFonts w:hint="eastAsia"/>
                <w:color w:val="auto"/>
                <w:szCs w:val="21"/>
                <w:highlight w:val="none"/>
              </w:rPr>
              <w:t>或银行出具的资信证明或者中国人民银行征信中心出具的企业信用报告；资信证明应在有效期内，未注明有效期的，银行出具时间至投标截止时间不超过一年）；</w:t>
            </w:r>
            <w:r>
              <w:rPr>
                <w:rFonts w:hint="eastAsia" w:ascii="宋体" w:hAnsi="宋体"/>
                <w:color w:val="auto"/>
                <w:szCs w:val="21"/>
                <w:highlight w:val="none"/>
              </w:rPr>
              <w:t>（</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30AE8C93">
            <w:pPr>
              <w:snapToGrid w:val="0"/>
              <w:spacing w:line="360" w:lineRule="auto"/>
              <w:ind w:firstLine="398" w:firstLineChars="200"/>
              <w:jc w:val="left"/>
              <w:rPr>
                <w:rFonts w:ascii="宋体" w:hAnsi="宋体"/>
                <w:color w:val="auto"/>
                <w:szCs w:val="21"/>
                <w:highlight w:val="none"/>
              </w:rPr>
            </w:pPr>
            <w:r>
              <w:rPr>
                <w:rFonts w:hint="eastAsia" w:ascii="宋体" w:hAnsi="宋体"/>
                <w:color w:val="auto"/>
                <w:szCs w:val="21"/>
                <w:highlight w:val="none"/>
              </w:rPr>
              <w:t>5.投标人直接控股信息表（格式后附）；（</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7DCD204B">
            <w:pPr>
              <w:snapToGrid w:val="0"/>
              <w:spacing w:line="360" w:lineRule="auto"/>
              <w:ind w:firstLine="398" w:firstLineChars="200"/>
              <w:jc w:val="left"/>
              <w:rPr>
                <w:rFonts w:ascii="宋体" w:hAnsi="宋体"/>
                <w:color w:val="auto"/>
                <w:szCs w:val="21"/>
                <w:highlight w:val="none"/>
              </w:rPr>
            </w:pPr>
            <w:r>
              <w:rPr>
                <w:rFonts w:hint="eastAsia" w:ascii="宋体" w:hAnsi="宋体"/>
                <w:color w:val="auto"/>
                <w:szCs w:val="21"/>
                <w:highlight w:val="none"/>
              </w:rPr>
              <w:t>6.投标人直接管理关系信息表（格式后附）；（</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08A24F35">
            <w:pPr>
              <w:snapToGrid w:val="0"/>
              <w:spacing w:line="360" w:lineRule="auto"/>
              <w:ind w:firstLine="398" w:firstLineChars="200"/>
              <w:jc w:val="left"/>
              <w:rPr>
                <w:rFonts w:ascii="宋体" w:hAnsi="宋体"/>
                <w:color w:val="auto"/>
                <w:szCs w:val="21"/>
                <w:highlight w:val="none"/>
              </w:rPr>
            </w:pPr>
            <w:r>
              <w:rPr>
                <w:rFonts w:hint="eastAsia" w:ascii="宋体" w:hAnsi="宋体"/>
                <w:color w:val="auto"/>
                <w:szCs w:val="21"/>
                <w:highlight w:val="none"/>
              </w:rPr>
              <w:t>7.投标声明（格式后附）；（</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2882DD01">
            <w:pPr>
              <w:snapToGrid w:val="0"/>
              <w:spacing w:line="360" w:lineRule="auto"/>
              <w:ind w:firstLine="398" w:firstLineChars="200"/>
              <w:jc w:val="left"/>
              <w:rPr>
                <w:rFonts w:ascii="宋体" w:hAnsi="宋体" w:cs="Courier New"/>
                <w:b/>
                <w:color w:val="auto"/>
                <w:szCs w:val="21"/>
                <w:highlight w:val="none"/>
              </w:rPr>
            </w:pPr>
            <w:r>
              <w:rPr>
                <w:rFonts w:hint="eastAsia" w:ascii="宋体" w:hAnsi="宋体"/>
                <w:color w:val="auto"/>
                <w:szCs w:val="21"/>
                <w:highlight w:val="none"/>
              </w:rPr>
              <w:t>8.中小企业声明函或者残疾人福利性单位声明函（格式后附）或者供应商属于监狱企业的，提供由省级以上监狱管理局、戒毒管理局（含新疆生产建设兵团）出具的属于监狱企业的证明文件；（</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7EC165BF">
            <w:pPr>
              <w:snapToGrid w:val="0"/>
              <w:spacing w:line="360" w:lineRule="auto"/>
              <w:ind w:firstLine="398" w:firstLineChars="200"/>
              <w:jc w:val="left"/>
              <w:rPr>
                <w:rFonts w:ascii="宋体" w:hAnsi="宋体"/>
                <w:color w:val="auto"/>
                <w:szCs w:val="21"/>
                <w:highlight w:val="none"/>
              </w:rPr>
            </w:pPr>
            <w:r>
              <w:rPr>
                <w:rFonts w:hint="eastAsia" w:ascii="宋体" w:hAnsi="宋体"/>
                <w:color w:val="auto"/>
                <w:szCs w:val="21"/>
                <w:highlight w:val="none"/>
              </w:rPr>
              <w:t>9.除招标文件规定必须提供以外，投标人认为需要提供的其他证明材料。</w:t>
            </w:r>
            <w:r>
              <w:rPr>
                <w:rFonts w:hint="eastAsia" w:ascii="宋体" w:hAnsi="宋体"/>
                <w:iCs/>
                <w:color w:val="auto"/>
                <w:szCs w:val="21"/>
                <w:highlight w:val="none"/>
              </w:rPr>
              <w:t>（如有则提供）</w:t>
            </w:r>
          </w:p>
          <w:p w14:paraId="70D665DE">
            <w:pPr>
              <w:snapToGrid w:val="0"/>
              <w:spacing w:line="360" w:lineRule="auto"/>
              <w:ind w:firstLine="398" w:firstLineChars="200"/>
              <w:jc w:val="left"/>
              <w:rPr>
                <w:rFonts w:ascii="宋体" w:hAnsi="宋体"/>
                <w:b/>
                <w:bCs/>
                <w:color w:val="auto"/>
                <w:szCs w:val="21"/>
                <w:highlight w:val="none"/>
              </w:rPr>
            </w:pPr>
            <w:r>
              <w:rPr>
                <w:rFonts w:hint="eastAsia" w:ascii="宋体" w:hAnsi="宋体"/>
                <w:b/>
                <w:bCs/>
                <w:color w:val="auto"/>
                <w:szCs w:val="21"/>
                <w:highlight w:val="none"/>
              </w:rPr>
              <w:t>注：以上标明“必须提供”的材料，格式中有要求法定代表人或者委托代理人签字的，必须按要求签字并加盖投标人电子签章，否则按无效投标处理。</w:t>
            </w:r>
          </w:p>
        </w:tc>
      </w:tr>
      <w:tr w14:paraId="510109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vMerge w:val="continue"/>
            <w:tcBorders>
              <w:left w:val="single" w:color="auto" w:sz="4" w:space="0"/>
              <w:right w:val="single" w:color="auto" w:sz="4" w:space="0"/>
            </w:tcBorders>
            <w:vAlign w:val="center"/>
          </w:tcPr>
          <w:p w14:paraId="16B13AC4">
            <w:pPr>
              <w:spacing w:line="360" w:lineRule="auto"/>
              <w:rPr>
                <w:rFonts w:ascii="宋体" w:hAnsi="宋体"/>
                <w:color w:val="auto"/>
                <w:szCs w:val="21"/>
                <w:highlight w:val="none"/>
              </w:rPr>
            </w:pPr>
            <w:bookmarkStart w:id="63" w:name="_13.3"/>
            <w:bookmarkEnd w:id="63"/>
          </w:p>
        </w:tc>
        <w:tc>
          <w:tcPr>
            <w:tcW w:w="8175" w:type="dxa"/>
            <w:tcBorders>
              <w:top w:val="single" w:color="auto" w:sz="4" w:space="0"/>
              <w:left w:val="single" w:color="auto" w:sz="4" w:space="0"/>
              <w:bottom w:val="single" w:color="auto" w:sz="4" w:space="0"/>
              <w:right w:val="single" w:color="auto" w:sz="4" w:space="0"/>
            </w:tcBorders>
            <w:vAlign w:val="center"/>
          </w:tcPr>
          <w:p w14:paraId="7440BC24">
            <w:pPr>
              <w:snapToGrid w:val="0"/>
              <w:spacing w:line="360" w:lineRule="auto"/>
              <w:jc w:val="left"/>
              <w:rPr>
                <w:rFonts w:ascii="宋体" w:hAnsi="宋体" w:cs="Courier New"/>
                <w:b/>
                <w:color w:val="auto"/>
                <w:szCs w:val="21"/>
                <w:highlight w:val="none"/>
              </w:rPr>
            </w:pPr>
            <w:r>
              <w:rPr>
                <w:rFonts w:hint="eastAsia"/>
                <w:b/>
                <w:color w:val="auto"/>
                <w:kern w:val="0"/>
                <w:highlight w:val="none"/>
              </w:rPr>
              <w:t>商务及技术文件</w:t>
            </w:r>
            <w:r>
              <w:rPr>
                <w:rFonts w:hint="eastAsia" w:ascii="宋体" w:hAnsi="宋体" w:cs="Courier New"/>
                <w:b/>
                <w:color w:val="auto"/>
                <w:szCs w:val="21"/>
                <w:highlight w:val="none"/>
              </w:rPr>
              <w:t>：</w:t>
            </w:r>
          </w:p>
          <w:p w14:paraId="36161B2D">
            <w:pPr>
              <w:snapToGrid w:val="0"/>
              <w:spacing w:line="360" w:lineRule="auto"/>
              <w:ind w:left="413"/>
              <w:jc w:val="left"/>
              <w:rPr>
                <w:rFonts w:ascii="宋体" w:hAnsi="宋体"/>
                <w:color w:val="auto"/>
                <w:szCs w:val="21"/>
                <w:highlight w:val="none"/>
              </w:rPr>
            </w:pPr>
            <w:r>
              <w:rPr>
                <w:rFonts w:hint="eastAsia" w:ascii="宋体" w:hAnsi="宋体"/>
                <w:color w:val="auto"/>
                <w:szCs w:val="21"/>
                <w:highlight w:val="none"/>
              </w:rPr>
              <w:t>1.无串通投标行为的承诺函（格式后附）；（</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75DDB54E">
            <w:pPr>
              <w:snapToGrid w:val="0"/>
              <w:spacing w:line="360" w:lineRule="auto"/>
              <w:ind w:left="413"/>
              <w:jc w:val="left"/>
              <w:rPr>
                <w:rFonts w:ascii="宋体" w:hAnsi="宋体"/>
                <w:color w:val="auto"/>
                <w:szCs w:val="21"/>
                <w:highlight w:val="none"/>
              </w:rPr>
            </w:pPr>
            <w:r>
              <w:rPr>
                <w:rFonts w:hint="eastAsia" w:ascii="宋体" w:hAnsi="宋体"/>
                <w:color w:val="auto"/>
                <w:szCs w:val="21"/>
                <w:highlight w:val="none"/>
              </w:rPr>
              <w:t>2.投标保证金提交凭证；（</w:t>
            </w:r>
            <w:r>
              <w:rPr>
                <w:rFonts w:hint="eastAsia"/>
                <w:b/>
                <w:bCs/>
                <w:color w:val="auto"/>
                <w:highlight w:val="none"/>
              </w:rPr>
              <w:t>必须提供</w:t>
            </w:r>
            <w:r>
              <w:rPr>
                <w:rFonts w:hint="eastAsia" w:ascii="宋体" w:hAnsi="宋体"/>
                <w:b/>
                <w:color w:val="auto"/>
                <w:szCs w:val="21"/>
                <w:highlight w:val="none"/>
              </w:rPr>
              <w:t>，否则按无效投标处理</w:t>
            </w:r>
            <w:r>
              <w:rPr>
                <w:rFonts w:hint="eastAsia" w:ascii="宋体" w:hAnsi="宋体"/>
                <w:color w:val="auto"/>
                <w:szCs w:val="21"/>
                <w:highlight w:val="none"/>
              </w:rPr>
              <w:t>）</w:t>
            </w:r>
          </w:p>
          <w:p w14:paraId="65D95BEB">
            <w:pPr>
              <w:snapToGrid w:val="0"/>
              <w:spacing w:line="360" w:lineRule="auto"/>
              <w:ind w:left="413"/>
              <w:jc w:val="left"/>
              <w:rPr>
                <w:rFonts w:ascii="宋体" w:hAnsi="宋体"/>
                <w:color w:val="auto"/>
                <w:szCs w:val="21"/>
                <w:highlight w:val="none"/>
              </w:rPr>
            </w:pPr>
            <w:r>
              <w:rPr>
                <w:rFonts w:hint="eastAsia" w:ascii="宋体" w:hAnsi="宋体"/>
                <w:color w:val="auto"/>
                <w:szCs w:val="21"/>
                <w:highlight w:val="none"/>
              </w:rPr>
              <w:t>3.法定代表人身份证明及法定代表人有效身份证正反面复印件（格式后附）；（</w:t>
            </w:r>
            <w:r>
              <w:rPr>
                <w:rFonts w:hint="eastAsia" w:ascii="宋体" w:hAnsi="宋体" w:cs="宋体"/>
                <w:b/>
                <w:bCs/>
                <w:color w:val="auto"/>
                <w:szCs w:val="21"/>
                <w:highlight w:val="none"/>
              </w:rPr>
              <w:t>除自然人投标外</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4016F3E7">
            <w:pPr>
              <w:snapToGrid w:val="0"/>
              <w:spacing w:line="360" w:lineRule="auto"/>
              <w:ind w:left="413"/>
              <w:jc w:val="left"/>
              <w:rPr>
                <w:rFonts w:ascii="宋体" w:hAnsi="宋体"/>
                <w:color w:val="auto"/>
                <w:szCs w:val="21"/>
                <w:highlight w:val="none"/>
              </w:rPr>
            </w:pPr>
            <w:r>
              <w:rPr>
                <w:rFonts w:hint="eastAsia" w:ascii="宋体" w:hAnsi="宋体"/>
                <w:color w:val="auto"/>
                <w:szCs w:val="21"/>
                <w:highlight w:val="none"/>
              </w:rPr>
              <w:t>4.授权委托书及委托代理人有效身份证正反面复印件（格式后附）；（</w:t>
            </w:r>
            <w:r>
              <w:rPr>
                <w:rFonts w:hint="eastAsia" w:ascii="宋体" w:hAnsi="宋体"/>
                <w:b/>
                <w:color w:val="auto"/>
                <w:szCs w:val="21"/>
                <w:highlight w:val="none"/>
              </w:rPr>
              <w:t>委托时必须提供，否则按无效投标处理</w:t>
            </w:r>
            <w:r>
              <w:rPr>
                <w:rFonts w:hint="eastAsia" w:ascii="宋体" w:hAnsi="宋体"/>
                <w:color w:val="auto"/>
                <w:szCs w:val="21"/>
                <w:highlight w:val="none"/>
              </w:rPr>
              <w:t>）</w:t>
            </w:r>
          </w:p>
          <w:p w14:paraId="5E19DA2F">
            <w:pPr>
              <w:snapToGrid w:val="0"/>
              <w:spacing w:line="360" w:lineRule="auto"/>
              <w:ind w:left="413"/>
              <w:jc w:val="left"/>
              <w:rPr>
                <w:rFonts w:ascii="宋体" w:hAnsi="宋体"/>
                <w:color w:val="auto"/>
                <w:szCs w:val="21"/>
                <w:highlight w:val="none"/>
              </w:rPr>
            </w:pPr>
            <w:r>
              <w:rPr>
                <w:rFonts w:hint="eastAsia" w:ascii="宋体" w:hAnsi="宋体"/>
                <w:color w:val="auto"/>
                <w:szCs w:val="21"/>
                <w:highlight w:val="none"/>
              </w:rPr>
              <w:t>5</w:t>
            </w:r>
            <w:r>
              <w:rPr>
                <w:rFonts w:ascii="宋体" w:hAnsi="宋体"/>
                <w:color w:val="auto"/>
                <w:szCs w:val="21"/>
                <w:highlight w:val="none"/>
              </w:rPr>
              <w:t>.</w:t>
            </w:r>
            <w:r>
              <w:rPr>
                <w:rFonts w:hint="eastAsia" w:ascii="宋体" w:hAnsi="宋体"/>
                <w:color w:val="auto"/>
                <w:szCs w:val="21"/>
                <w:highlight w:val="none"/>
              </w:rPr>
              <w:t>商务要求偏离表（格式后附）；（</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19F65030">
            <w:pPr>
              <w:snapToGrid w:val="0"/>
              <w:spacing w:line="360" w:lineRule="auto"/>
              <w:ind w:left="420"/>
              <w:jc w:val="left"/>
              <w:rPr>
                <w:rFonts w:ascii="宋体" w:hAnsi="宋体"/>
                <w:color w:val="auto"/>
                <w:szCs w:val="21"/>
                <w:highlight w:val="none"/>
              </w:rPr>
            </w:pPr>
            <w:r>
              <w:rPr>
                <w:rFonts w:hint="eastAsia" w:ascii="宋体" w:hAnsi="宋体"/>
                <w:color w:val="auto"/>
                <w:szCs w:val="21"/>
                <w:highlight w:val="none"/>
              </w:rPr>
              <w:t>6.技术要求偏离表（格式后附）；（</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1FC84309">
            <w:pPr>
              <w:snapToGrid w:val="0"/>
              <w:spacing w:line="360" w:lineRule="auto"/>
              <w:ind w:left="420"/>
              <w:jc w:val="left"/>
              <w:rPr>
                <w:rFonts w:ascii="宋体" w:hAnsi="宋体"/>
                <w:color w:val="auto"/>
                <w:szCs w:val="21"/>
                <w:highlight w:val="none"/>
              </w:rPr>
            </w:pPr>
            <w:r>
              <w:rPr>
                <w:rFonts w:hint="eastAsia" w:ascii="宋体" w:hAnsi="宋体"/>
                <w:color w:val="auto"/>
                <w:szCs w:val="21"/>
                <w:highlight w:val="none"/>
              </w:rPr>
              <w:t>7.项目实施人员一览表（格式后附）；</w:t>
            </w:r>
            <w:r>
              <w:rPr>
                <w:rFonts w:hint="eastAsia" w:ascii="宋体" w:hAnsi="宋体"/>
                <w:iCs/>
                <w:color w:val="auto"/>
                <w:szCs w:val="21"/>
                <w:highlight w:val="none"/>
              </w:rPr>
              <w:t>（</w:t>
            </w:r>
            <w:r>
              <w:rPr>
                <w:rFonts w:hint="eastAsia" w:ascii="宋体" w:hAnsi="宋体"/>
                <w:b/>
                <w:iCs/>
                <w:color w:val="auto"/>
                <w:szCs w:val="21"/>
                <w:highlight w:val="none"/>
              </w:rPr>
              <w:t>必须提供，否则按无效投标处理</w:t>
            </w:r>
            <w:r>
              <w:rPr>
                <w:rFonts w:hint="eastAsia" w:ascii="宋体" w:hAnsi="宋体"/>
                <w:iCs/>
                <w:color w:val="auto"/>
                <w:szCs w:val="21"/>
                <w:highlight w:val="none"/>
              </w:rPr>
              <w:t>）</w:t>
            </w:r>
          </w:p>
          <w:p w14:paraId="02A51AB4">
            <w:pPr>
              <w:snapToGrid w:val="0"/>
              <w:spacing w:line="360" w:lineRule="auto"/>
              <w:ind w:left="420"/>
              <w:jc w:val="left"/>
              <w:rPr>
                <w:rFonts w:ascii="宋体" w:hAnsi="宋体"/>
                <w:color w:val="auto"/>
                <w:szCs w:val="21"/>
                <w:highlight w:val="none"/>
              </w:rPr>
            </w:pPr>
            <w:r>
              <w:rPr>
                <w:rFonts w:hint="eastAsia" w:ascii="宋体" w:hAnsi="宋体"/>
                <w:color w:val="auto"/>
                <w:szCs w:val="21"/>
                <w:highlight w:val="none"/>
              </w:rPr>
              <w:t>8.代理服务费承诺书（格式后附）；</w:t>
            </w:r>
          </w:p>
          <w:p w14:paraId="45D90A0E">
            <w:pPr>
              <w:snapToGrid w:val="0"/>
              <w:spacing w:line="360" w:lineRule="auto"/>
              <w:ind w:left="420"/>
              <w:jc w:val="left"/>
              <w:rPr>
                <w:rFonts w:ascii="宋体" w:hAnsi="宋体"/>
                <w:color w:val="auto"/>
                <w:szCs w:val="21"/>
                <w:highlight w:val="none"/>
              </w:rPr>
            </w:pPr>
            <w:r>
              <w:rPr>
                <w:rFonts w:hint="eastAsia" w:ascii="宋体" w:hAnsi="宋体"/>
                <w:color w:val="auto"/>
                <w:szCs w:val="21"/>
                <w:highlight w:val="none"/>
              </w:rPr>
              <w:t>9.投标人业绩证明材料（格式后附）</w:t>
            </w:r>
          </w:p>
          <w:p w14:paraId="45591F92">
            <w:pPr>
              <w:snapToGrid w:val="0"/>
              <w:spacing w:line="360" w:lineRule="auto"/>
              <w:ind w:left="420"/>
              <w:jc w:val="left"/>
              <w:rPr>
                <w:rFonts w:ascii="宋体" w:hAnsi="宋体"/>
                <w:color w:val="auto"/>
                <w:szCs w:val="21"/>
                <w:highlight w:val="none"/>
              </w:rPr>
            </w:pPr>
            <w:r>
              <w:rPr>
                <w:rFonts w:hint="eastAsia" w:ascii="宋体" w:hAnsi="宋体"/>
                <w:color w:val="auto"/>
                <w:szCs w:val="21"/>
                <w:highlight w:val="none"/>
              </w:rPr>
              <w:t>10.技术方案（1-7分标：包括项目需求理解、</w:t>
            </w:r>
            <w:r>
              <w:rPr>
                <w:rFonts w:hint="eastAsia" w:hAnsi="宋体" w:cs="宋体"/>
                <w:color w:val="auto"/>
                <w:szCs w:val="21"/>
                <w:highlight w:val="none"/>
              </w:rPr>
              <w:t>技术服务方案、运维售后服务方案；8分标：包括管理阶段方案、验收阶段服务方案、后续服务方案</w:t>
            </w:r>
            <w:r>
              <w:rPr>
                <w:rFonts w:hint="eastAsia" w:ascii="宋体" w:hAnsi="宋体"/>
                <w:color w:val="auto"/>
                <w:szCs w:val="21"/>
                <w:highlight w:val="none"/>
              </w:rPr>
              <w:t>）（格式自拟）；</w:t>
            </w:r>
          </w:p>
          <w:p w14:paraId="01EC66E6">
            <w:pPr>
              <w:snapToGrid w:val="0"/>
              <w:spacing w:line="360" w:lineRule="auto"/>
              <w:ind w:left="413"/>
              <w:jc w:val="left"/>
              <w:rPr>
                <w:rFonts w:ascii="宋体" w:hAnsi="宋体"/>
                <w:color w:val="auto"/>
                <w:szCs w:val="21"/>
                <w:highlight w:val="none"/>
              </w:rPr>
            </w:pPr>
            <w:r>
              <w:rPr>
                <w:rFonts w:hint="eastAsia" w:ascii="宋体" w:hAnsi="宋体"/>
                <w:color w:val="auto"/>
                <w:szCs w:val="21"/>
                <w:highlight w:val="none"/>
              </w:rPr>
              <w:t>11.分包工作情况表（8分标适用，格式后附，如有请提供）</w:t>
            </w:r>
          </w:p>
          <w:p w14:paraId="51DE83AF">
            <w:pPr>
              <w:snapToGrid w:val="0"/>
              <w:spacing w:line="360" w:lineRule="auto"/>
              <w:ind w:left="413"/>
              <w:jc w:val="left"/>
              <w:rPr>
                <w:rFonts w:ascii="宋体" w:hAnsi="宋体"/>
                <w:color w:val="auto"/>
                <w:szCs w:val="21"/>
                <w:highlight w:val="none"/>
              </w:rPr>
            </w:pPr>
            <w:r>
              <w:rPr>
                <w:rFonts w:hint="eastAsia" w:ascii="宋体" w:hAnsi="宋体"/>
                <w:color w:val="auto"/>
                <w:szCs w:val="21"/>
                <w:highlight w:val="none"/>
              </w:rPr>
              <w:t>12.除招标文件规定必须提供以外，投标人认为需要提供的其他证明材料（格式自拟）。（投标人根据“第二章 采购需求”及“第四章 评标方法及评标标准”提供有关证明材料）。</w:t>
            </w:r>
            <w:r>
              <w:rPr>
                <w:rFonts w:hint="eastAsia" w:ascii="宋体" w:hAnsi="宋体"/>
                <w:iCs/>
                <w:color w:val="auto"/>
                <w:szCs w:val="21"/>
                <w:highlight w:val="none"/>
              </w:rPr>
              <w:t>（如有则提供）</w:t>
            </w:r>
          </w:p>
          <w:p w14:paraId="595AA88E">
            <w:pPr>
              <w:snapToGrid w:val="0"/>
              <w:spacing w:line="360" w:lineRule="auto"/>
              <w:ind w:firstLine="398" w:firstLineChars="200"/>
              <w:jc w:val="left"/>
              <w:rPr>
                <w:rFonts w:ascii="宋体" w:hAnsi="宋体" w:cs="Courier New"/>
                <w:b/>
                <w:color w:val="auto"/>
                <w:szCs w:val="21"/>
                <w:highlight w:val="none"/>
              </w:rPr>
            </w:pPr>
            <w:r>
              <w:rPr>
                <w:rFonts w:hint="eastAsia" w:ascii="宋体" w:hAnsi="宋体"/>
                <w:b/>
                <w:bCs/>
                <w:color w:val="auto"/>
                <w:szCs w:val="21"/>
                <w:highlight w:val="none"/>
              </w:rPr>
              <w:t>注：以上标明“必须提供”的材料，格式中有要求法定代表人或者委托代理人签字的，必须按要求签字并加盖投标人电子签章，否则按无效投标处理。</w:t>
            </w:r>
          </w:p>
        </w:tc>
      </w:tr>
      <w:tr w14:paraId="1CB520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18ECA4B1">
            <w:pPr>
              <w:spacing w:line="360" w:lineRule="auto"/>
              <w:rPr>
                <w:rFonts w:ascii="宋体" w:hAnsi="宋体"/>
                <w:color w:val="auto"/>
                <w:szCs w:val="21"/>
                <w:highlight w:val="none"/>
              </w:rPr>
            </w:pPr>
            <w:bookmarkStart w:id="64" w:name="_16.2"/>
            <w:bookmarkEnd w:id="64"/>
            <w:bookmarkStart w:id="65" w:name="_13.4"/>
            <w:bookmarkEnd w:id="65"/>
            <w:bookmarkStart w:id="66" w:name="_13.5"/>
            <w:bookmarkEnd w:id="66"/>
            <w:r>
              <w:rPr>
                <w:rFonts w:hint="eastAsia" w:ascii="宋体" w:hAnsi="宋体"/>
                <w:color w:val="auto"/>
                <w:szCs w:val="21"/>
                <w:highlight w:val="none"/>
              </w:rPr>
              <w:t>16</w:t>
            </w:r>
            <w:bookmarkStart w:id="67" w:name="_Hlt19194066"/>
            <w:bookmarkStart w:id="68" w:name="_Hlt19693759"/>
            <w:bookmarkStart w:id="69" w:name="_Hlt19194067"/>
            <w:bookmarkStart w:id="70" w:name="_Hlt19693758"/>
            <w:r>
              <w:rPr>
                <w:rFonts w:hint="eastAsia" w:ascii="宋体" w:hAnsi="宋体"/>
                <w:color w:val="auto"/>
                <w:szCs w:val="21"/>
                <w:highlight w:val="none"/>
              </w:rPr>
              <w:t>.</w:t>
            </w:r>
            <w:bookmarkEnd w:id="67"/>
            <w:bookmarkEnd w:id="68"/>
            <w:bookmarkEnd w:id="69"/>
            <w:bookmarkEnd w:id="70"/>
            <w:r>
              <w:rPr>
                <w:rFonts w:hint="eastAsia" w:ascii="宋体" w:hAnsi="宋体"/>
                <w:color w:val="auto"/>
                <w:szCs w:val="21"/>
                <w:highlight w:val="none"/>
              </w:rPr>
              <w:t>2</w:t>
            </w:r>
          </w:p>
        </w:tc>
        <w:tc>
          <w:tcPr>
            <w:tcW w:w="8175" w:type="dxa"/>
            <w:tcBorders>
              <w:top w:val="single" w:color="auto" w:sz="4" w:space="0"/>
              <w:left w:val="single" w:color="auto" w:sz="4" w:space="0"/>
              <w:bottom w:val="single" w:color="auto" w:sz="4" w:space="0"/>
              <w:right w:val="single" w:color="auto" w:sz="4" w:space="0"/>
            </w:tcBorders>
            <w:vAlign w:val="center"/>
          </w:tcPr>
          <w:p w14:paraId="6BC7B0BB">
            <w:pPr>
              <w:snapToGrid w:val="0"/>
              <w:spacing w:line="360" w:lineRule="auto"/>
              <w:rPr>
                <w:rFonts w:ascii="宋体" w:hAnsi="宋体"/>
                <w:b/>
                <w:color w:val="auto"/>
                <w:szCs w:val="21"/>
                <w:highlight w:val="none"/>
              </w:rPr>
            </w:pPr>
            <w:r>
              <w:rPr>
                <w:rFonts w:hint="eastAsia" w:ascii="宋体" w:hAnsi="宋体"/>
                <w:color w:val="auto"/>
                <w:szCs w:val="21"/>
                <w:highlight w:val="none"/>
              </w:rPr>
              <w:t>投标报价是履行合同的最终价格，</w:t>
            </w:r>
            <w:r>
              <w:rPr>
                <w:rFonts w:hint="eastAsia" w:ascii="宋体" w:hAnsi="宋体" w:cs="宋体"/>
                <w:color w:val="auto"/>
                <w:szCs w:val="21"/>
                <w:highlight w:val="none"/>
              </w:rPr>
              <w:t>即满足全部采购需求所应提供的服务，以及伴随的货物和工程（如有）的价格；包括投标服务、货物、工程的成本、运输（含保险）、安装（如有）、调试、检验、技术服务、设备设施使用、培训、差旅、文印、税费等所有费用。</w:t>
            </w:r>
            <w:r>
              <w:rPr>
                <w:rFonts w:hint="eastAsia" w:ascii="宋体" w:hAnsi="宋体"/>
                <w:b/>
                <w:color w:val="auto"/>
                <w:szCs w:val="21"/>
                <w:highlight w:val="none"/>
              </w:rPr>
              <w:t>（采购需求另有约定的，从其约定）</w:t>
            </w:r>
          </w:p>
        </w:tc>
      </w:tr>
      <w:tr w14:paraId="06C0DD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4F93083A">
            <w:pPr>
              <w:spacing w:line="360" w:lineRule="auto"/>
              <w:rPr>
                <w:rFonts w:ascii="宋体" w:hAnsi="宋体"/>
                <w:color w:val="auto"/>
                <w:szCs w:val="21"/>
                <w:highlight w:val="none"/>
              </w:rPr>
            </w:pPr>
            <w:bookmarkStart w:id="71" w:name="_17.1"/>
            <w:bookmarkEnd w:id="71"/>
            <w:r>
              <w:rPr>
                <w:rFonts w:hint="eastAsia" w:ascii="宋体" w:hAnsi="宋体"/>
                <w:color w:val="auto"/>
                <w:szCs w:val="21"/>
                <w:highlight w:val="none"/>
              </w:rPr>
              <w:t>17.</w:t>
            </w:r>
            <w:r>
              <w:rPr>
                <w:rFonts w:ascii="宋体" w:hAnsi="宋体"/>
                <w:color w:val="auto"/>
                <w:szCs w:val="21"/>
                <w:highlight w:val="none"/>
              </w:rPr>
              <w:t>2</w:t>
            </w:r>
          </w:p>
        </w:tc>
        <w:tc>
          <w:tcPr>
            <w:tcW w:w="8175" w:type="dxa"/>
            <w:tcBorders>
              <w:top w:val="single" w:color="auto" w:sz="4" w:space="0"/>
              <w:left w:val="single" w:color="auto" w:sz="4" w:space="0"/>
              <w:bottom w:val="single" w:color="auto" w:sz="4" w:space="0"/>
              <w:right w:val="single" w:color="auto" w:sz="4" w:space="0"/>
            </w:tcBorders>
            <w:vAlign w:val="center"/>
          </w:tcPr>
          <w:p w14:paraId="0888F7FF">
            <w:pPr>
              <w:snapToGrid w:val="0"/>
              <w:spacing w:line="360" w:lineRule="auto"/>
              <w:rPr>
                <w:rFonts w:ascii="宋体" w:hAnsi="宋体"/>
                <w:color w:val="auto"/>
                <w:szCs w:val="21"/>
                <w:highlight w:val="none"/>
              </w:rPr>
            </w:pPr>
            <w:r>
              <w:rPr>
                <w:rFonts w:hint="eastAsia" w:ascii="宋体" w:hAnsi="宋体"/>
                <w:color w:val="auto"/>
                <w:szCs w:val="21"/>
                <w:highlight w:val="none"/>
              </w:rPr>
              <w:t>投标有效期：自投标截止之日起</w:t>
            </w:r>
            <w:r>
              <w:rPr>
                <w:rFonts w:hint="eastAsia" w:ascii="宋体" w:hAnsi="宋体"/>
                <w:color w:val="auto"/>
                <w:szCs w:val="21"/>
                <w:highlight w:val="none"/>
                <w:u w:val="single"/>
              </w:rPr>
              <w:t>90</w:t>
            </w:r>
            <w:r>
              <w:rPr>
                <w:rFonts w:hint="eastAsia" w:ascii="宋体" w:hAnsi="宋体"/>
                <w:color w:val="auto"/>
                <w:szCs w:val="21"/>
                <w:highlight w:val="none"/>
              </w:rPr>
              <w:t>日。</w:t>
            </w:r>
          </w:p>
        </w:tc>
      </w:tr>
      <w:tr w14:paraId="611516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32D3B61F">
            <w:pPr>
              <w:spacing w:line="360" w:lineRule="auto"/>
              <w:rPr>
                <w:rFonts w:ascii="宋体" w:hAnsi="宋体"/>
                <w:color w:val="auto"/>
                <w:szCs w:val="21"/>
                <w:highlight w:val="none"/>
              </w:rPr>
            </w:pPr>
            <w:bookmarkStart w:id="72" w:name="_18"/>
            <w:bookmarkEnd w:id="72"/>
            <w:r>
              <w:rPr>
                <w:rFonts w:hint="eastAsia" w:ascii="宋体" w:hAnsi="宋体"/>
                <w:color w:val="auto"/>
                <w:szCs w:val="21"/>
                <w:highlight w:val="none"/>
              </w:rPr>
              <w:t>18</w:t>
            </w:r>
            <w:r>
              <w:rPr>
                <w:rFonts w:ascii="宋体" w:hAnsi="宋体"/>
                <w:color w:val="auto"/>
                <w:szCs w:val="21"/>
                <w:highlight w:val="none"/>
              </w:rPr>
              <w:t>.1</w:t>
            </w:r>
          </w:p>
        </w:tc>
        <w:tc>
          <w:tcPr>
            <w:tcW w:w="8175" w:type="dxa"/>
            <w:tcBorders>
              <w:top w:val="single" w:color="auto" w:sz="4" w:space="0"/>
              <w:left w:val="single" w:color="auto" w:sz="4" w:space="0"/>
              <w:bottom w:val="single" w:color="auto" w:sz="4" w:space="0"/>
              <w:right w:val="single" w:color="auto" w:sz="4" w:space="0"/>
            </w:tcBorders>
            <w:vAlign w:val="center"/>
          </w:tcPr>
          <w:p w14:paraId="48CF359F">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rPr>
              <w:t>□本项目不收取投标保证金。</w:t>
            </w:r>
          </w:p>
          <w:p w14:paraId="3D64DE2A">
            <w:pPr>
              <w:snapToGrid w:val="0"/>
              <w:spacing w:line="360" w:lineRule="auto"/>
              <w:rPr>
                <w:rFonts w:ascii="宋体" w:hAnsi="宋体"/>
                <w:color w:val="auto"/>
                <w:szCs w:val="21"/>
                <w:highlight w:val="none"/>
              </w:rPr>
            </w:pPr>
            <w:r>
              <w:rPr>
                <w:rFonts w:hint="eastAsia" w:ascii="宋体" w:hAnsi="宋体"/>
                <w:color w:val="auto"/>
                <w:szCs w:val="21"/>
                <w:highlight w:val="none"/>
              </w:rPr>
              <w:t>☑本项目收取投标保证金，具体规定如下：</w:t>
            </w:r>
          </w:p>
          <w:p w14:paraId="09935DFD">
            <w:pPr>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u w:val="single"/>
              </w:rPr>
              <w:t>投标保证金金额：1分标：4500元；2分标：3500元；3分标：5500元；4分标：2000元；5分标：1000元；6分标：800元；7分标：7500元；8分标：6000元。</w:t>
            </w:r>
          </w:p>
          <w:p w14:paraId="433039CF">
            <w:pPr>
              <w:snapToGrid w:val="0"/>
              <w:spacing w:line="360" w:lineRule="auto"/>
              <w:rPr>
                <w:rFonts w:ascii="宋体" w:hAnsi="宋体"/>
                <w:color w:val="auto"/>
                <w:szCs w:val="21"/>
                <w:highlight w:val="none"/>
              </w:rPr>
            </w:pPr>
            <w:r>
              <w:rPr>
                <w:rFonts w:hint="eastAsia" w:ascii="宋体" w:hAnsi="宋体" w:cs="宋体"/>
                <w:color w:val="auto"/>
                <w:kern w:val="0"/>
                <w:szCs w:val="21"/>
                <w:highlight w:val="none"/>
              </w:rPr>
              <w:t>投标保证金的交纳方式：银行转账、支票、汇票、本票或者银行、保险机构出具的保函（包含电子保函），禁止采用现钞方式。采用银行转账方式的，在投标截止时间前</w:t>
            </w:r>
            <w:r>
              <w:rPr>
                <w:rFonts w:hint="eastAsia"/>
                <w:color w:val="auto"/>
                <w:highlight w:val="none"/>
              </w:rPr>
              <w:t>从投标人账户</w:t>
            </w:r>
            <w:r>
              <w:rPr>
                <w:rFonts w:hint="eastAsia" w:ascii="宋体" w:hAnsi="宋体" w:cs="宋体"/>
                <w:color w:val="auto"/>
                <w:kern w:val="0"/>
                <w:szCs w:val="21"/>
                <w:highlight w:val="none"/>
              </w:rPr>
              <w:t>交至指定账户并且到账（</w:t>
            </w:r>
            <w:r>
              <w:rPr>
                <w:rFonts w:hint="eastAsia" w:ascii="宋体" w:hAnsi="宋体" w:cs="宋体"/>
                <w:b/>
                <w:bCs/>
                <w:color w:val="auto"/>
                <w:kern w:val="0"/>
                <w:szCs w:val="21"/>
                <w:highlight w:val="none"/>
              </w:rPr>
              <w:t>开户名称：广西交投宏冠工程咨询有限公司、账号：2102174619300005231、开户行：工行南宁滨湖中支行</w:t>
            </w:r>
            <w:r>
              <w:rPr>
                <w:rFonts w:hint="eastAsia" w:ascii="宋体" w:hAnsi="宋体" w:cs="宋体"/>
                <w:color w:val="auto"/>
                <w:kern w:val="0"/>
                <w:szCs w:val="21"/>
                <w:highlight w:val="none"/>
              </w:rPr>
              <w:t>）；采用支票、汇票、本票或者保函等方式的，在投标截止时间前，投标人必须递交单独密封的支票、汇票、本票或者保函原件（电子保函复印件加盖公章）。否则视为无效投标保证金。</w:t>
            </w:r>
          </w:p>
          <w:p w14:paraId="72324C57">
            <w:pPr>
              <w:snapToGrid w:val="0"/>
              <w:spacing w:line="360" w:lineRule="auto"/>
              <w:rPr>
                <w:rFonts w:ascii="宋体" w:hAnsi="宋体"/>
                <w:color w:val="auto"/>
                <w:szCs w:val="21"/>
                <w:highlight w:val="none"/>
              </w:rPr>
            </w:pPr>
            <w:r>
              <w:rPr>
                <w:rFonts w:hint="eastAsia" w:ascii="宋体" w:hAnsi="宋体"/>
                <w:color w:val="auto"/>
                <w:szCs w:val="21"/>
                <w:highlight w:val="none"/>
              </w:rPr>
              <w:t>相关要求：</w:t>
            </w:r>
          </w:p>
          <w:p w14:paraId="63D63AFE">
            <w:pPr>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1.投标保证金采用银行转账交纳方式的，在投标截止时间前交至指定账户并且到账，投标人应将银行转账底单的复印件作为投标保证金提交凭证，放置于商务及技术文件中，否则投标无效。</w:t>
            </w:r>
          </w:p>
          <w:p w14:paraId="002A0DFF">
            <w:pPr>
              <w:snapToGrid w:val="0"/>
              <w:spacing w:line="360" w:lineRule="auto"/>
              <w:rPr>
                <w:rFonts w:ascii="宋体" w:hAnsi="宋体"/>
                <w:color w:val="auto"/>
                <w:szCs w:val="21"/>
                <w:highlight w:val="none"/>
              </w:rPr>
            </w:pPr>
            <w:r>
              <w:rPr>
                <w:rFonts w:hint="eastAsia" w:ascii="宋体" w:hAnsi="宋体" w:cs="宋体"/>
                <w:color w:val="auto"/>
                <w:kern w:val="0"/>
                <w:szCs w:val="21"/>
                <w:highlight w:val="none"/>
              </w:rPr>
              <w:t>2.投标保证金采用支票、汇票、本票或者银行、保险机构出具的保函（包含电子保函）交纳方式的，投标人应将支票、</w:t>
            </w:r>
            <w:r>
              <w:rPr>
                <w:rFonts w:hint="eastAsia" w:ascii="宋体" w:hAnsi="宋体"/>
                <w:color w:val="auto"/>
                <w:szCs w:val="21"/>
                <w:highlight w:val="none"/>
              </w:rPr>
              <w:t>汇票、本票或者银行、保险机构出具的保函（包含电子保函）的复印件作为投标保证金提交凭证，放置于商务及技术文件中，</w:t>
            </w:r>
            <w:r>
              <w:rPr>
                <w:rFonts w:hint="eastAsia" w:ascii="宋体" w:hAnsi="宋体"/>
                <w:b/>
                <w:color w:val="auto"/>
                <w:szCs w:val="21"/>
                <w:highlight w:val="none"/>
              </w:rPr>
              <w:t>否则投标无效</w:t>
            </w:r>
            <w:r>
              <w:rPr>
                <w:rFonts w:hint="eastAsia" w:ascii="宋体" w:hAnsi="宋体"/>
                <w:color w:val="auto"/>
                <w:szCs w:val="21"/>
                <w:highlight w:val="none"/>
              </w:rPr>
              <w:t>。投标人必须</w:t>
            </w:r>
            <w:r>
              <w:rPr>
                <w:rFonts w:hint="eastAsia"/>
                <w:color w:val="auto"/>
                <w:highlight w:val="none"/>
              </w:rPr>
              <w:t>在投标截止时间前采用现场或邮寄方式（现场提交地址：</w:t>
            </w:r>
            <w:r>
              <w:rPr>
                <w:rFonts w:hint="eastAsia"/>
                <w:b/>
                <w:bCs/>
                <w:color w:val="auto"/>
                <w:highlight w:val="none"/>
                <w:u w:val="single"/>
              </w:rPr>
              <w:t>广西壮族自治区公共资源交易中心</w:t>
            </w:r>
            <w:r>
              <w:rPr>
                <w:rFonts w:hint="eastAsia"/>
                <w:color w:val="auto"/>
                <w:highlight w:val="none"/>
              </w:rPr>
              <w:t>；邮寄地址：</w:t>
            </w:r>
            <w:r>
              <w:rPr>
                <w:rFonts w:hint="eastAsia" w:ascii="宋体" w:hAnsi="宋体"/>
                <w:b/>
                <w:color w:val="auto"/>
                <w:szCs w:val="21"/>
                <w:highlight w:val="none"/>
                <w:u w:val="single"/>
              </w:rPr>
              <w:t>广西南宁市青秀区合作路6号五洲国际D栋商铺3楼D312室</w:t>
            </w:r>
            <w:r>
              <w:rPr>
                <w:rFonts w:hint="eastAsia"/>
                <w:color w:val="auto"/>
                <w:highlight w:val="none"/>
              </w:rPr>
              <w:t>，收件人：</w:t>
            </w:r>
            <w:r>
              <w:rPr>
                <w:rFonts w:hint="eastAsia" w:ascii="宋体" w:hAnsi="宋体"/>
                <w:bCs/>
                <w:color w:val="auto"/>
                <w:szCs w:val="21"/>
                <w:highlight w:val="none"/>
                <w:u w:val="single"/>
              </w:rPr>
              <w:t>江泰彦、冼凌晨</w:t>
            </w:r>
            <w:r>
              <w:rPr>
                <w:rFonts w:hint="eastAsia"/>
                <w:color w:val="auto"/>
                <w:highlight w:val="none"/>
              </w:rPr>
              <w:t>，联系方式：</w:t>
            </w:r>
            <w:r>
              <w:rPr>
                <w:rFonts w:hint="eastAsia"/>
                <w:color w:val="auto"/>
                <w:highlight w:val="none"/>
                <w:u w:val="single"/>
              </w:rPr>
              <w:t>0771-4793126</w:t>
            </w:r>
            <w:r>
              <w:rPr>
                <w:rFonts w:hint="eastAsia"/>
                <w:color w:val="auto"/>
                <w:highlight w:val="none"/>
              </w:rPr>
              <w:t>）</w:t>
            </w:r>
            <w:r>
              <w:rPr>
                <w:rFonts w:hint="eastAsia" w:ascii="宋体" w:hAnsi="宋体"/>
                <w:color w:val="auto"/>
                <w:szCs w:val="21"/>
                <w:highlight w:val="none"/>
              </w:rPr>
              <w:t>将</w:t>
            </w:r>
            <w:r>
              <w:rPr>
                <w:rFonts w:hint="eastAsia" w:ascii="宋体" w:hAnsi="宋体" w:cs="宋体"/>
                <w:color w:val="auto"/>
                <w:kern w:val="0"/>
                <w:szCs w:val="21"/>
                <w:highlight w:val="none"/>
              </w:rPr>
              <w:t>单独密封的</w:t>
            </w:r>
            <w:r>
              <w:rPr>
                <w:rFonts w:hint="eastAsia" w:ascii="宋体" w:hAnsi="宋体"/>
                <w:color w:val="auto"/>
                <w:szCs w:val="21"/>
                <w:highlight w:val="none"/>
              </w:rPr>
              <w:t>支票、汇票、本票或者银行、保险机构出具的保函原件（电子保函复印件加盖公章）提交给采购人或者采购代理机构，未按时提交的</w:t>
            </w:r>
            <w:r>
              <w:rPr>
                <w:rFonts w:hint="eastAsia" w:ascii="宋体" w:hAnsi="宋体"/>
                <w:b/>
                <w:color w:val="auto"/>
                <w:szCs w:val="21"/>
                <w:highlight w:val="none"/>
              </w:rPr>
              <w:t>，投标无效</w:t>
            </w:r>
            <w:r>
              <w:rPr>
                <w:rFonts w:hint="eastAsia" w:ascii="宋体" w:hAnsi="宋体"/>
                <w:color w:val="auto"/>
                <w:szCs w:val="21"/>
                <w:highlight w:val="none"/>
              </w:rPr>
              <w:t>。</w:t>
            </w:r>
          </w:p>
          <w:p w14:paraId="2F1CCFAF">
            <w:pPr>
              <w:snapToGrid w:val="0"/>
              <w:spacing w:line="360" w:lineRule="auto"/>
              <w:rPr>
                <w:rFonts w:ascii="宋体" w:hAnsi="宋体"/>
                <w:color w:val="auto"/>
                <w:szCs w:val="21"/>
                <w:highlight w:val="none"/>
              </w:rPr>
            </w:pPr>
            <w:r>
              <w:rPr>
                <w:rFonts w:hint="eastAsia" w:ascii="宋体" w:hAnsi="宋体" w:cs="宋体"/>
                <w:color w:val="auto"/>
                <w:szCs w:val="21"/>
                <w:highlight w:val="none"/>
              </w:rPr>
              <w:t>3.投标人为联合体的，可以由联合体中的一方或者多方共同交纳投标保证金，其交纳的保证金对联合体各方均具有约束力。</w:t>
            </w:r>
          </w:p>
          <w:p w14:paraId="343BE316">
            <w:pPr>
              <w:snapToGrid w:val="0"/>
              <w:spacing w:line="360" w:lineRule="auto"/>
              <w:rPr>
                <w:rFonts w:ascii="宋体" w:hAnsi="宋体"/>
                <w:color w:val="auto"/>
                <w:szCs w:val="21"/>
                <w:highlight w:val="none"/>
              </w:rPr>
            </w:pPr>
            <w:r>
              <w:rPr>
                <w:rFonts w:hint="eastAsia" w:ascii="宋体" w:hAnsi="宋体" w:cs="宋体"/>
                <w:color w:val="auto"/>
                <w:szCs w:val="21"/>
                <w:highlight w:val="none"/>
              </w:rPr>
              <w:t>3.投标人为联合体的，可以由联合体中的一方或者多方共同交纳投标保证金，其交纳的保证金对联合体各方均具有约束力。</w:t>
            </w:r>
          </w:p>
          <w:p w14:paraId="11C28E31">
            <w:pPr>
              <w:snapToGrid w:val="0"/>
              <w:spacing w:line="360" w:lineRule="auto"/>
              <w:rPr>
                <w:rFonts w:ascii="宋体" w:hAnsi="宋体"/>
                <w:b/>
                <w:color w:val="auto"/>
                <w:szCs w:val="21"/>
                <w:highlight w:val="none"/>
              </w:rPr>
            </w:pPr>
            <w:r>
              <w:rPr>
                <w:rFonts w:hint="eastAsia" w:ascii="宋体" w:hAnsi="宋体"/>
                <w:b/>
                <w:color w:val="auto"/>
                <w:szCs w:val="21"/>
                <w:highlight w:val="none"/>
              </w:rPr>
              <w:t xml:space="preserve">备注： </w:t>
            </w:r>
          </w:p>
          <w:p w14:paraId="198B4FFA">
            <w:pPr>
              <w:snapToGrid w:val="0"/>
              <w:spacing w:line="360" w:lineRule="auto"/>
              <w:rPr>
                <w:rFonts w:ascii="宋体" w:hAnsi="宋体"/>
                <w:b/>
                <w:color w:val="auto"/>
                <w:szCs w:val="21"/>
                <w:highlight w:val="none"/>
              </w:rPr>
            </w:pPr>
            <w:r>
              <w:rPr>
                <w:rFonts w:hint="eastAsia" w:ascii="宋体" w:hAnsi="宋体"/>
                <w:b/>
                <w:color w:val="auto"/>
                <w:szCs w:val="21"/>
                <w:highlight w:val="none"/>
              </w:rPr>
              <w:t>1. 投标保证金在投标截止时间后提交的，或者不按规定交纳方式交纳的，或者未足额交纳的（包含保函额度不足的），视为无效投标保证金。</w:t>
            </w:r>
          </w:p>
          <w:p w14:paraId="23364070">
            <w:pPr>
              <w:snapToGrid w:val="0"/>
              <w:spacing w:line="360" w:lineRule="auto"/>
              <w:rPr>
                <w:rFonts w:ascii="宋体" w:hAnsi="宋体"/>
                <w:b/>
                <w:color w:val="auto"/>
                <w:szCs w:val="21"/>
                <w:highlight w:val="none"/>
              </w:rPr>
            </w:pPr>
            <w:r>
              <w:rPr>
                <w:rFonts w:hint="eastAsia" w:ascii="宋体" w:hAnsi="宋体"/>
                <w:b/>
                <w:color w:val="auto"/>
                <w:szCs w:val="21"/>
                <w:highlight w:val="none"/>
              </w:rPr>
              <w:t>2.投标人采用现钞方式或者从个人账户（自然人投标除外）转出的投标保证金，视为无效投标保证金。</w:t>
            </w:r>
          </w:p>
          <w:p w14:paraId="5CF3938D">
            <w:pPr>
              <w:snapToGrid w:val="0"/>
              <w:spacing w:line="360" w:lineRule="auto"/>
              <w:rPr>
                <w:rFonts w:ascii="宋体" w:hAnsi="宋体"/>
                <w:b/>
                <w:color w:val="auto"/>
                <w:szCs w:val="21"/>
                <w:highlight w:val="none"/>
              </w:rPr>
            </w:pPr>
            <w:r>
              <w:rPr>
                <w:rFonts w:hint="eastAsia" w:ascii="宋体" w:hAnsi="宋体"/>
                <w:b/>
                <w:color w:val="auto"/>
                <w:szCs w:val="21"/>
                <w:highlight w:val="none"/>
              </w:rPr>
              <w:t>3.支票、汇票或者本票出现无效或者背书情形的，视为无效投标保证金。</w:t>
            </w:r>
          </w:p>
          <w:p w14:paraId="5065939B">
            <w:pPr>
              <w:snapToGrid w:val="0"/>
              <w:spacing w:line="360" w:lineRule="auto"/>
              <w:rPr>
                <w:rFonts w:ascii="宋体" w:hAnsi="宋体"/>
                <w:b/>
                <w:color w:val="auto"/>
                <w:szCs w:val="21"/>
                <w:highlight w:val="none"/>
              </w:rPr>
            </w:pPr>
            <w:r>
              <w:rPr>
                <w:rFonts w:hint="eastAsia" w:ascii="宋体" w:hAnsi="宋体"/>
                <w:b/>
                <w:color w:val="auto"/>
                <w:szCs w:val="21"/>
                <w:highlight w:val="none"/>
              </w:rPr>
              <w:t>4.保函有效期低于投标有效期的，视为无效投标保证金。</w:t>
            </w:r>
          </w:p>
          <w:p w14:paraId="747E1030">
            <w:pPr>
              <w:snapToGrid w:val="0"/>
              <w:spacing w:line="360" w:lineRule="auto"/>
              <w:rPr>
                <w:rFonts w:ascii="宋体" w:hAnsi="宋体"/>
                <w:b/>
                <w:color w:val="auto"/>
                <w:szCs w:val="21"/>
                <w:highlight w:val="none"/>
              </w:rPr>
            </w:pPr>
            <w:r>
              <w:rPr>
                <w:rFonts w:hint="eastAsia" w:ascii="宋体" w:hAnsi="宋体"/>
                <w:b/>
                <w:color w:val="auto"/>
                <w:szCs w:val="21"/>
                <w:highlight w:val="none"/>
              </w:rPr>
              <w:t>5.采用银行、保险机构出具保函（包含电子保函）的，必须为无条件保函，否则视为无效投标保证金。</w:t>
            </w:r>
          </w:p>
        </w:tc>
      </w:tr>
      <w:tr w14:paraId="2FBF34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978" w:type="dxa"/>
            <w:tcBorders>
              <w:top w:val="single" w:color="auto" w:sz="4" w:space="0"/>
              <w:left w:val="single" w:color="auto" w:sz="4" w:space="0"/>
              <w:bottom w:val="single" w:color="auto" w:sz="4" w:space="0"/>
              <w:right w:val="single" w:color="auto" w:sz="4" w:space="0"/>
            </w:tcBorders>
            <w:vAlign w:val="center"/>
          </w:tcPr>
          <w:p w14:paraId="7EEA8DA9">
            <w:pPr>
              <w:spacing w:line="360" w:lineRule="auto"/>
              <w:jc w:val="center"/>
              <w:rPr>
                <w:rFonts w:ascii="宋体" w:hAnsi="宋体"/>
                <w:color w:val="auto"/>
                <w:szCs w:val="21"/>
                <w:highlight w:val="none"/>
              </w:rPr>
            </w:pPr>
            <w:bookmarkStart w:id="73" w:name="_21.1"/>
            <w:bookmarkEnd w:id="73"/>
            <w:bookmarkStart w:id="74" w:name="_19.2"/>
            <w:bookmarkEnd w:id="74"/>
            <w:r>
              <w:rPr>
                <w:rFonts w:hint="eastAsia" w:ascii="宋体" w:hAnsi="宋体"/>
                <w:color w:val="auto"/>
                <w:szCs w:val="21"/>
                <w:highlight w:val="none"/>
              </w:rPr>
              <w:t>20</w:t>
            </w:r>
          </w:p>
        </w:tc>
        <w:tc>
          <w:tcPr>
            <w:tcW w:w="8175" w:type="dxa"/>
            <w:tcBorders>
              <w:top w:val="single" w:color="auto" w:sz="4" w:space="0"/>
              <w:left w:val="single" w:color="auto" w:sz="4" w:space="0"/>
              <w:bottom w:val="single" w:color="auto" w:sz="4" w:space="0"/>
              <w:right w:val="single" w:color="auto" w:sz="4" w:space="0"/>
            </w:tcBorders>
            <w:vAlign w:val="center"/>
          </w:tcPr>
          <w:p w14:paraId="17195E77">
            <w:pPr>
              <w:autoSpaceDE w:val="0"/>
              <w:autoSpaceDN w:val="0"/>
              <w:adjustRightInd w:val="0"/>
              <w:spacing w:line="360" w:lineRule="auto"/>
              <w:textAlignment w:val="bottom"/>
              <w:rPr>
                <w:rFonts w:ascii="宋体" w:hAnsi="宋体"/>
                <w:color w:val="auto"/>
                <w:szCs w:val="21"/>
                <w:highlight w:val="none"/>
              </w:rPr>
            </w:pPr>
            <w:r>
              <w:rPr>
                <w:rFonts w:hint="eastAsia" w:ascii="宋体" w:hAnsi="宋体"/>
                <w:color w:val="auto"/>
                <w:szCs w:val="21"/>
                <w:highlight w:val="none"/>
              </w:rPr>
              <w:t>本项目不接受</w:t>
            </w:r>
            <w:r>
              <w:rPr>
                <w:rFonts w:hint="eastAsia"/>
                <w:color w:val="auto"/>
                <w:highlight w:val="none"/>
              </w:rPr>
              <w:t>电子</w:t>
            </w:r>
            <w:r>
              <w:rPr>
                <w:rFonts w:hint="eastAsia" w:ascii="宋体" w:hAnsi="宋体"/>
                <w:color w:val="auto"/>
                <w:szCs w:val="21"/>
                <w:highlight w:val="none"/>
              </w:rPr>
              <w:t>备份投标文件；</w:t>
            </w:r>
          </w:p>
        </w:tc>
      </w:tr>
      <w:tr w14:paraId="590F8A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978" w:type="dxa"/>
            <w:tcBorders>
              <w:top w:val="single" w:color="auto" w:sz="4" w:space="0"/>
              <w:left w:val="single" w:color="auto" w:sz="4" w:space="0"/>
              <w:bottom w:val="single" w:color="auto" w:sz="4" w:space="0"/>
              <w:right w:val="single" w:color="auto" w:sz="4" w:space="0"/>
            </w:tcBorders>
            <w:vAlign w:val="center"/>
          </w:tcPr>
          <w:p w14:paraId="342B75E7">
            <w:pPr>
              <w:spacing w:line="360" w:lineRule="auto"/>
              <w:jc w:val="center"/>
              <w:rPr>
                <w:rFonts w:ascii="宋体" w:hAnsi="宋体"/>
                <w:color w:val="auto"/>
                <w:szCs w:val="21"/>
                <w:highlight w:val="none"/>
              </w:rPr>
            </w:pPr>
            <w:r>
              <w:rPr>
                <w:rFonts w:hint="eastAsia" w:ascii="宋体" w:hAnsi="宋体"/>
                <w:color w:val="auto"/>
                <w:szCs w:val="21"/>
                <w:highlight w:val="none"/>
              </w:rPr>
              <w:t>21.1</w:t>
            </w:r>
          </w:p>
        </w:tc>
        <w:tc>
          <w:tcPr>
            <w:tcW w:w="8175" w:type="dxa"/>
            <w:tcBorders>
              <w:top w:val="single" w:color="auto" w:sz="4" w:space="0"/>
              <w:left w:val="single" w:color="auto" w:sz="4" w:space="0"/>
              <w:bottom w:val="single" w:color="auto" w:sz="4" w:space="0"/>
              <w:right w:val="single" w:color="auto" w:sz="4" w:space="0"/>
            </w:tcBorders>
            <w:vAlign w:val="center"/>
          </w:tcPr>
          <w:p w14:paraId="52DF2327">
            <w:pPr>
              <w:snapToGrid w:val="0"/>
              <w:spacing w:line="360" w:lineRule="auto"/>
              <w:rPr>
                <w:rFonts w:ascii="宋体" w:hAnsi="宋体"/>
                <w:color w:val="auto"/>
                <w:szCs w:val="21"/>
                <w:highlight w:val="none"/>
                <w:u w:val="single"/>
              </w:rPr>
            </w:pPr>
            <w:r>
              <w:rPr>
                <w:rFonts w:hint="eastAsia" w:ascii="宋体" w:hAnsi="宋体"/>
                <w:color w:val="auto"/>
                <w:szCs w:val="21"/>
                <w:highlight w:val="none"/>
              </w:rPr>
              <w:t>1.提交投标文件截止时间：详见招标公告</w:t>
            </w:r>
          </w:p>
          <w:p w14:paraId="3967A02C">
            <w:pPr>
              <w:snapToGrid w:val="0"/>
              <w:spacing w:line="360" w:lineRule="auto"/>
              <w:rPr>
                <w:rFonts w:ascii="宋体" w:hAnsi="宋体"/>
                <w:color w:val="auto"/>
                <w:szCs w:val="21"/>
                <w:highlight w:val="none"/>
              </w:rPr>
            </w:pPr>
            <w:r>
              <w:rPr>
                <w:rFonts w:hint="eastAsia" w:ascii="宋体" w:hAnsi="宋体"/>
                <w:color w:val="auto"/>
                <w:szCs w:val="21"/>
                <w:highlight w:val="none"/>
              </w:rPr>
              <w:t>2.投标地点：详见招标公告</w:t>
            </w:r>
          </w:p>
        </w:tc>
      </w:tr>
      <w:tr w14:paraId="19AFE2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792983E7">
            <w:pPr>
              <w:spacing w:line="360" w:lineRule="auto"/>
              <w:jc w:val="center"/>
              <w:rPr>
                <w:rFonts w:ascii="宋体" w:hAnsi="宋体"/>
                <w:color w:val="auto"/>
                <w:szCs w:val="21"/>
                <w:highlight w:val="none"/>
              </w:rPr>
            </w:pPr>
            <w:bookmarkStart w:id="75" w:name="_23"/>
            <w:bookmarkEnd w:id="75"/>
            <w:r>
              <w:rPr>
                <w:rFonts w:hint="eastAsia" w:ascii="宋体" w:hAnsi="宋体"/>
                <w:color w:val="auto"/>
                <w:szCs w:val="21"/>
                <w:highlight w:val="none"/>
              </w:rPr>
              <w:t>23</w:t>
            </w:r>
          </w:p>
        </w:tc>
        <w:tc>
          <w:tcPr>
            <w:tcW w:w="8175" w:type="dxa"/>
            <w:tcBorders>
              <w:top w:val="single" w:color="auto" w:sz="4" w:space="0"/>
              <w:left w:val="single" w:color="auto" w:sz="4" w:space="0"/>
              <w:bottom w:val="single" w:color="auto" w:sz="4" w:space="0"/>
              <w:right w:val="single" w:color="auto" w:sz="4" w:space="0"/>
            </w:tcBorders>
            <w:vAlign w:val="center"/>
          </w:tcPr>
          <w:p w14:paraId="79D48CA9">
            <w:pPr>
              <w:snapToGrid w:val="0"/>
              <w:spacing w:line="360" w:lineRule="auto"/>
              <w:rPr>
                <w:rFonts w:ascii="宋体" w:hAnsi="宋体"/>
                <w:color w:val="auto"/>
                <w:szCs w:val="21"/>
                <w:highlight w:val="none"/>
              </w:rPr>
            </w:pPr>
            <w:r>
              <w:rPr>
                <w:rFonts w:hint="eastAsia" w:ascii="宋体" w:hAnsi="宋体"/>
                <w:color w:val="auto"/>
                <w:szCs w:val="21"/>
                <w:highlight w:val="none"/>
              </w:rPr>
              <w:t>1.开标时间：详见招标公告</w:t>
            </w:r>
          </w:p>
          <w:p w14:paraId="57834901">
            <w:pPr>
              <w:snapToGrid w:val="0"/>
              <w:spacing w:line="360" w:lineRule="auto"/>
              <w:rPr>
                <w:rFonts w:ascii="宋体" w:hAnsi="宋体"/>
                <w:color w:val="auto"/>
                <w:szCs w:val="21"/>
                <w:highlight w:val="none"/>
              </w:rPr>
            </w:pPr>
            <w:r>
              <w:rPr>
                <w:rFonts w:hint="eastAsia" w:ascii="宋体" w:hAnsi="宋体"/>
                <w:color w:val="auto"/>
                <w:szCs w:val="21"/>
                <w:highlight w:val="none"/>
              </w:rPr>
              <w:t>2.开标地点：详见招标公告</w:t>
            </w:r>
          </w:p>
        </w:tc>
      </w:tr>
      <w:tr w14:paraId="41CFE3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1CE25E48">
            <w:pPr>
              <w:spacing w:line="360" w:lineRule="auto"/>
              <w:jc w:val="center"/>
              <w:rPr>
                <w:rFonts w:ascii="宋体" w:hAnsi="宋体"/>
                <w:color w:val="auto"/>
                <w:szCs w:val="21"/>
                <w:highlight w:val="none"/>
              </w:rPr>
            </w:pPr>
            <w:r>
              <w:rPr>
                <w:rFonts w:hint="eastAsia" w:ascii="宋体" w:hAnsi="宋体"/>
                <w:color w:val="auto"/>
                <w:szCs w:val="21"/>
                <w:highlight w:val="none"/>
              </w:rPr>
              <w:t>24.3（1）</w:t>
            </w:r>
          </w:p>
        </w:tc>
        <w:tc>
          <w:tcPr>
            <w:tcW w:w="8175" w:type="dxa"/>
            <w:tcBorders>
              <w:top w:val="single" w:color="auto" w:sz="4" w:space="0"/>
              <w:left w:val="single" w:color="auto" w:sz="4" w:space="0"/>
              <w:bottom w:val="single" w:color="auto" w:sz="4" w:space="0"/>
              <w:right w:val="single" w:color="auto" w:sz="4" w:space="0"/>
            </w:tcBorders>
            <w:vAlign w:val="center"/>
          </w:tcPr>
          <w:p w14:paraId="0D9E64E6">
            <w:pPr>
              <w:snapToGrid w:val="0"/>
              <w:spacing w:line="360" w:lineRule="auto"/>
              <w:rPr>
                <w:rFonts w:ascii="宋体" w:hAnsi="宋体"/>
                <w:color w:val="auto"/>
                <w:szCs w:val="21"/>
                <w:highlight w:val="none"/>
              </w:rPr>
            </w:pPr>
            <w:r>
              <w:rPr>
                <w:rFonts w:hint="eastAsia" w:hAnsi="宋体"/>
                <w:color w:val="auto"/>
                <w:highlight w:val="none"/>
              </w:rPr>
              <w:t>电子投标文件解密时间：</w:t>
            </w:r>
            <w:r>
              <w:rPr>
                <w:rFonts w:hint="eastAsia" w:hAnsi="宋体"/>
                <w:color w:val="auto"/>
                <w:highlight w:val="none"/>
                <w:u w:val="single"/>
              </w:rPr>
              <w:t xml:space="preserve"> 30  </w:t>
            </w:r>
            <w:r>
              <w:rPr>
                <w:rFonts w:hint="eastAsia" w:hAnsi="宋体"/>
                <w:color w:val="auto"/>
                <w:highlight w:val="none"/>
              </w:rPr>
              <w:t>分钟</w:t>
            </w:r>
          </w:p>
        </w:tc>
      </w:tr>
      <w:tr w14:paraId="508741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0F32F719">
            <w:pPr>
              <w:spacing w:line="360" w:lineRule="auto"/>
              <w:jc w:val="center"/>
              <w:rPr>
                <w:rFonts w:ascii="宋体" w:hAnsi="宋体"/>
                <w:color w:val="auto"/>
                <w:szCs w:val="21"/>
                <w:highlight w:val="none"/>
              </w:rPr>
            </w:pPr>
            <w:bookmarkStart w:id="76" w:name="_25.3"/>
            <w:bookmarkEnd w:id="76"/>
            <w:r>
              <w:rPr>
                <w:rFonts w:hint="eastAsia" w:ascii="宋体" w:hAnsi="宋体"/>
                <w:color w:val="auto"/>
                <w:szCs w:val="21"/>
                <w:highlight w:val="none"/>
              </w:rPr>
              <w:t>25.3（2）</w:t>
            </w:r>
          </w:p>
        </w:tc>
        <w:tc>
          <w:tcPr>
            <w:tcW w:w="8175" w:type="dxa"/>
            <w:tcBorders>
              <w:top w:val="single" w:color="auto" w:sz="4" w:space="0"/>
              <w:left w:val="single" w:color="auto" w:sz="4" w:space="0"/>
              <w:bottom w:val="single" w:color="auto" w:sz="4" w:space="0"/>
              <w:right w:val="single" w:color="auto" w:sz="4" w:space="0"/>
            </w:tcBorders>
            <w:vAlign w:val="center"/>
          </w:tcPr>
          <w:p w14:paraId="16F4FAB7">
            <w:pPr>
              <w:snapToGrid w:val="0"/>
              <w:spacing w:line="360" w:lineRule="auto"/>
              <w:rPr>
                <w:rFonts w:ascii="宋体" w:hAnsi="宋体"/>
                <w:color w:val="auto"/>
                <w:szCs w:val="21"/>
                <w:highlight w:val="none"/>
              </w:rPr>
            </w:pPr>
            <w:r>
              <w:rPr>
                <w:rFonts w:hint="eastAsia" w:ascii="宋体" w:hAnsi="宋体"/>
                <w:color w:val="auto"/>
                <w:szCs w:val="21"/>
                <w:highlight w:val="none"/>
              </w:rPr>
              <w:t>采购人或者采购代理机构在资格审查结束前，对投标人进行信用查询。</w:t>
            </w:r>
          </w:p>
          <w:p w14:paraId="2DDA102C">
            <w:pPr>
              <w:snapToGrid w:val="0"/>
              <w:spacing w:line="360" w:lineRule="auto"/>
              <w:rPr>
                <w:rFonts w:ascii="宋体" w:hAnsi="宋体"/>
                <w:color w:val="auto"/>
                <w:szCs w:val="21"/>
                <w:highlight w:val="none"/>
              </w:rPr>
            </w:pPr>
            <w:r>
              <w:rPr>
                <w:rFonts w:hint="eastAsia" w:ascii="宋体" w:hAnsi="宋体"/>
                <w:color w:val="auto"/>
                <w:szCs w:val="21"/>
                <w:highlight w:val="none"/>
              </w:rPr>
              <w:t>查询渠道：“信用中国”网站（www.creditchina.gov.cn）或“中国执行信息公开网”网站（https://zxgk.court.gov.cn/） 、中国政府采购网（www.ccgp.gov.cn）。</w:t>
            </w:r>
          </w:p>
          <w:p w14:paraId="75CBCD52">
            <w:pPr>
              <w:snapToGrid w:val="0"/>
              <w:spacing w:line="360" w:lineRule="auto"/>
              <w:rPr>
                <w:rFonts w:ascii="宋体" w:hAnsi="宋体"/>
                <w:color w:val="auto"/>
                <w:szCs w:val="21"/>
                <w:highlight w:val="none"/>
              </w:rPr>
            </w:pPr>
            <w:r>
              <w:rPr>
                <w:rFonts w:hint="eastAsia" w:ascii="宋体" w:hAnsi="宋体"/>
                <w:color w:val="auto"/>
                <w:szCs w:val="21"/>
                <w:highlight w:val="none"/>
              </w:rPr>
              <w:t>信用查询截止时点：资格审查结束前</w:t>
            </w:r>
          </w:p>
          <w:p w14:paraId="1EB14B1B">
            <w:pPr>
              <w:snapToGrid w:val="0"/>
              <w:spacing w:line="360" w:lineRule="auto"/>
              <w:rPr>
                <w:rFonts w:ascii="宋体" w:hAnsi="宋体"/>
                <w:color w:val="auto"/>
                <w:szCs w:val="21"/>
                <w:highlight w:val="none"/>
              </w:rPr>
            </w:pPr>
            <w:r>
              <w:rPr>
                <w:rFonts w:hint="eastAsia" w:ascii="宋体" w:hAnsi="宋体"/>
                <w:color w:val="auto"/>
                <w:szCs w:val="21"/>
                <w:highlight w:val="none"/>
              </w:rPr>
              <w:t>查询记录和证据留存方式：在查询网站中直接截图查询记录，截图作为在广西政府采购云平台作为附件上传保存。</w:t>
            </w:r>
          </w:p>
          <w:p w14:paraId="65E4514A">
            <w:pPr>
              <w:snapToGrid w:val="0"/>
              <w:spacing w:line="360" w:lineRule="auto"/>
              <w:rPr>
                <w:rFonts w:ascii="宋体" w:hAnsi="宋体"/>
                <w:b/>
                <w:color w:val="auto"/>
                <w:szCs w:val="21"/>
                <w:highlight w:val="none"/>
              </w:rPr>
            </w:pPr>
            <w:r>
              <w:rPr>
                <w:rFonts w:hint="eastAsia" w:ascii="宋体" w:hAnsi="宋体"/>
                <w:color w:val="auto"/>
                <w:szCs w:val="21"/>
                <w:highlight w:val="none"/>
              </w:rPr>
              <w:t>信用信息使用规则：对在“信用中国”网站（www.creditchina.gov.cn） 或“中国执行信息公开网”网站（https://zxgk.court.gov.cn/）、中国政府采购网（www.ccgp.gov.cn）被列入失信被执行人、重大税收违法失信主体、政府采购严重违法失信行为记录名单及其他不符合《中华人民共和国政府采购法》第二十二条规定条件的供应商，采购人或者采购代理机构拒绝其参与政府采购活动。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p>
        </w:tc>
      </w:tr>
      <w:tr w14:paraId="79C2B4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538DB213">
            <w:pPr>
              <w:spacing w:line="360" w:lineRule="auto"/>
              <w:jc w:val="center"/>
              <w:rPr>
                <w:rFonts w:ascii="宋体" w:hAnsi="宋体"/>
                <w:color w:val="auto"/>
                <w:szCs w:val="21"/>
                <w:highlight w:val="none"/>
              </w:rPr>
            </w:pPr>
            <w:bookmarkStart w:id="77" w:name="_26"/>
            <w:bookmarkEnd w:id="77"/>
            <w:r>
              <w:rPr>
                <w:rFonts w:hint="eastAsia" w:ascii="宋体" w:hAnsi="宋体"/>
                <w:color w:val="auto"/>
                <w:szCs w:val="21"/>
                <w:highlight w:val="none"/>
              </w:rPr>
              <w:t>26.1</w:t>
            </w:r>
          </w:p>
        </w:tc>
        <w:tc>
          <w:tcPr>
            <w:tcW w:w="8175" w:type="dxa"/>
            <w:tcBorders>
              <w:top w:val="single" w:color="auto" w:sz="4" w:space="0"/>
              <w:left w:val="single" w:color="auto" w:sz="4" w:space="0"/>
              <w:bottom w:val="single" w:color="auto" w:sz="4" w:space="0"/>
              <w:right w:val="single" w:color="auto" w:sz="4" w:space="0"/>
            </w:tcBorders>
            <w:vAlign w:val="center"/>
          </w:tcPr>
          <w:p w14:paraId="44E007AB">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rPr>
              <w:t>评标委员会的人数：</w:t>
            </w:r>
            <w:r>
              <w:rPr>
                <w:rFonts w:hint="eastAsia" w:ascii="宋体" w:hAnsi="宋体"/>
                <w:color w:val="auto"/>
                <w:szCs w:val="21"/>
                <w:highlight w:val="none"/>
                <w:u w:val="single"/>
              </w:rPr>
              <w:t>5</w:t>
            </w:r>
            <w:r>
              <w:rPr>
                <w:rFonts w:hint="eastAsia" w:ascii="宋体" w:hAnsi="宋体"/>
                <w:color w:val="auto"/>
                <w:szCs w:val="21"/>
                <w:highlight w:val="none"/>
              </w:rPr>
              <w:t>人</w:t>
            </w:r>
          </w:p>
        </w:tc>
      </w:tr>
      <w:tr w14:paraId="1EF32D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7ECFA0F7">
            <w:pPr>
              <w:spacing w:line="360" w:lineRule="auto"/>
              <w:jc w:val="center"/>
              <w:rPr>
                <w:rFonts w:ascii="宋体" w:hAnsi="宋体"/>
                <w:color w:val="auto"/>
                <w:szCs w:val="21"/>
                <w:highlight w:val="none"/>
              </w:rPr>
            </w:pPr>
            <w:bookmarkStart w:id="78" w:name="_28.3"/>
            <w:bookmarkEnd w:id="78"/>
            <w:r>
              <w:rPr>
                <w:rFonts w:ascii="宋体" w:hAnsi="宋体"/>
                <w:color w:val="auto"/>
                <w:szCs w:val="21"/>
                <w:highlight w:val="none"/>
              </w:rPr>
              <w:t>29.1</w:t>
            </w:r>
          </w:p>
        </w:tc>
        <w:tc>
          <w:tcPr>
            <w:tcW w:w="8175" w:type="dxa"/>
            <w:tcBorders>
              <w:top w:val="single" w:color="auto" w:sz="4" w:space="0"/>
              <w:left w:val="single" w:color="auto" w:sz="4" w:space="0"/>
              <w:bottom w:val="single" w:color="auto" w:sz="4" w:space="0"/>
              <w:right w:val="single" w:color="auto" w:sz="4" w:space="0"/>
            </w:tcBorders>
            <w:vAlign w:val="center"/>
          </w:tcPr>
          <w:p w14:paraId="33C402E5">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rPr>
              <w:t>评标方法：</w:t>
            </w:r>
          </w:p>
          <w:p w14:paraId="5638E02C">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rPr>
              <w:t>☑综合评分法</w:t>
            </w:r>
          </w:p>
          <w:p w14:paraId="4A03A582">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rPr>
              <w:t>□最低评标报法</w:t>
            </w:r>
          </w:p>
        </w:tc>
      </w:tr>
      <w:tr w14:paraId="192C61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978" w:type="dxa"/>
            <w:tcBorders>
              <w:top w:val="single" w:color="auto" w:sz="4" w:space="0"/>
              <w:left w:val="single" w:color="auto" w:sz="4" w:space="0"/>
              <w:bottom w:val="single" w:color="auto" w:sz="4" w:space="0"/>
              <w:right w:val="single" w:color="auto" w:sz="4" w:space="0"/>
            </w:tcBorders>
            <w:vAlign w:val="center"/>
          </w:tcPr>
          <w:p w14:paraId="26E94CB8">
            <w:pPr>
              <w:spacing w:line="360" w:lineRule="auto"/>
              <w:jc w:val="center"/>
              <w:rPr>
                <w:rFonts w:ascii="宋体" w:hAnsi="宋体"/>
                <w:color w:val="auto"/>
                <w:szCs w:val="21"/>
                <w:highlight w:val="none"/>
              </w:rPr>
            </w:pPr>
            <w:bookmarkStart w:id="79" w:name="_29.2.2（2）"/>
            <w:bookmarkEnd w:id="79"/>
            <w:r>
              <w:rPr>
                <w:rFonts w:hint="eastAsia" w:ascii="宋体" w:hAnsi="宋体"/>
                <w:color w:val="auto"/>
                <w:szCs w:val="21"/>
                <w:highlight w:val="none"/>
              </w:rPr>
              <w:t>29</w:t>
            </w:r>
            <w:r>
              <w:rPr>
                <w:rFonts w:ascii="宋体" w:hAnsi="宋体"/>
                <w:color w:val="auto"/>
                <w:szCs w:val="21"/>
                <w:highlight w:val="none"/>
              </w:rPr>
              <w:t>.2</w:t>
            </w:r>
          </w:p>
        </w:tc>
        <w:tc>
          <w:tcPr>
            <w:tcW w:w="8175" w:type="dxa"/>
            <w:tcBorders>
              <w:top w:val="single" w:color="auto" w:sz="4" w:space="0"/>
              <w:left w:val="single" w:color="auto" w:sz="4" w:space="0"/>
              <w:right w:val="single" w:color="auto" w:sz="4" w:space="0"/>
            </w:tcBorders>
            <w:vAlign w:val="center"/>
          </w:tcPr>
          <w:p w14:paraId="7DC8CA51">
            <w:pPr>
              <w:snapToGrid w:val="0"/>
              <w:spacing w:line="360" w:lineRule="auto"/>
              <w:rPr>
                <w:rFonts w:ascii="宋体" w:hAnsi="宋体"/>
                <w:color w:val="auto"/>
                <w:szCs w:val="21"/>
                <w:highlight w:val="none"/>
              </w:rPr>
            </w:pPr>
            <w:r>
              <w:rPr>
                <w:rFonts w:hint="eastAsia" w:ascii="宋体" w:hAnsi="宋体" w:cs="宋体"/>
                <w:color w:val="auto"/>
                <w:szCs w:val="21"/>
                <w:highlight w:val="none"/>
              </w:rPr>
              <w:t>商务要求</w:t>
            </w:r>
            <w:r>
              <w:rPr>
                <w:rFonts w:hint="eastAsia" w:ascii="宋体" w:hAnsi="宋体"/>
                <w:color w:val="auto"/>
                <w:szCs w:val="21"/>
                <w:highlight w:val="none"/>
              </w:rPr>
              <w:t>评审中允许负偏离的条款数为</w:t>
            </w:r>
            <w:r>
              <w:rPr>
                <w:rFonts w:hint="eastAsia" w:ascii="宋体" w:hAnsi="宋体"/>
                <w:color w:val="auto"/>
                <w:szCs w:val="21"/>
                <w:highlight w:val="none"/>
                <w:u w:val="single"/>
              </w:rPr>
              <w:t xml:space="preserve"> 0 </w:t>
            </w:r>
            <w:r>
              <w:rPr>
                <w:rFonts w:hint="eastAsia" w:ascii="宋体" w:hAnsi="宋体"/>
                <w:color w:val="auto"/>
                <w:szCs w:val="21"/>
                <w:highlight w:val="none"/>
              </w:rPr>
              <w:t>项。</w:t>
            </w:r>
          </w:p>
          <w:p w14:paraId="4E622160">
            <w:pPr>
              <w:snapToGrid w:val="0"/>
              <w:spacing w:line="360" w:lineRule="auto"/>
              <w:rPr>
                <w:rFonts w:ascii="宋体" w:hAnsi="宋体"/>
                <w:color w:val="auto"/>
                <w:szCs w:val="21"/>
                <w:highlight w:val="none"/>
              </w:rPr>
            </w:pPr>
            <w:r>
              <w:rPr>
                <w:rFonts w:hint="eastAsia" w:ascii="宋体" w:hAnsi="宋体" w:cs="宋体"/>
                <w:color w:val="auto"/>
                <w:szCs w:val="21"/>
                <w:highlight w:val="none"/>
              </w:rPr>
              <w:t>技术要求</w:t>
            </w:r>
            <w:r>
              <w:rPr>
                <w:rFonts w:hint="eastAsia" w:ascii="宋体" w:hAnsi="宋体"/>
                <w:color w:val="auto"/>
                <w:szCs w:val="21"/>
                <w:highlight w:val="none"/>
              </w:rPr>
              <w:t>评审中允许负偏离的条款数为</w:t>
            </w:r>
            <w:r>
              <w:rPr>
                <w:rFonts w:hint="eastAsia" w:ascii="宋体" w:hAnsi="宋体"/>
                <w:color w:val="auto"/>
                <w:szCs w:val="21"/>
                <w:highlight w:val="none"/>
                <w:u w:val="single"/>
              </w:rPr>
              <w:t xml:space="preserve"> 0 </w:t>
            </w:r>
            <w:r>
              <w:rPr>
                <w:rFonts w:hint="eastAsia" w:ascii="宋体" w:hAnsi="宋体"/>
                <w:color w:val="auto"/>
                <w:szCs w:val="21"/>
                <w:highlight w:val="none"/>
              </w:rPr>
              <w:t>项。</w:t>
            </w:r>
          </w:p>
        </w:tc>
      </w:tr>
      <w:tr w14:paraId="1DA9AE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978" w:type="dxa"/>
            <w:tcBorders>
              <w:top w:val="single" w:color="auto" w:sz="4" w:space="0"/>
              <w:left w:val="single" w:color="auto" w:sz="4" w:space="0"/>
              <w:right w:val="single" w:color="auto" w:sz="4" w:space="0"/>
            </w:tcBorders>
            <w:vAlign w:val="center"/>
          </w:tcPr>
          <w:p w14:paraId="6B2699D4">
            <w:pPr>
              <w:spacing w:line="360" w:lineRule="auto"/>
              <w:jc w:val="center"/>
              <w:rPr>
                <w:rFonts w:ascii="宋体" w:hAnsi="宋体"/>
                <w:color w:val="auto"/>
                <w:szCs w:val="21"/>
                <w:highlight w:val="none"/>
              </w:rPr>
            </w:pPr>
            <w:r>
              <w:rPr>
                <w:rFonts w:hint="eastAsia" w:ascii="宋体" w:hAnsi="宋体"/>
                <w:color w:val="auto"/>
                <w:szCs w:val="21"/>
                <w:highlight w:val="none"/>
              </w:rPr>
              <w:t>29.3</w:t>
            </w:r>
          </w:p>
        </w:tc>
        <w:tc>
          <w:tcPr>
            <w:tcW w:w="8175" w:type="dxa"/>
            <w:tcBorders>
              <w:top w:val="single" w:color="auto" w:sz="4" w:space="0"/>
              <w:left w:val="single" w:color="auto" w:sz="4" w:space="0"/>
              <w:right w:val="single" w:color="auto" w:sz="4" w:space="0"/>
            </w:tcBorders>
            <w:vAlign w:val="center"/>
          </w:tcPr>
          <w:p w14:paraId="123B4959">
            <w:pPr>
              <w:snapToGrid w:val="0"/>
              <w:spacing w:line="360" w:lineRule="auto"/>
              <w:rPr>
                <w:rFonts w:hAnsi="宋体"/>
                <w:color w:val="auto"/>
                <w:highlight w:val="none"/>
              </w:rPr>
            </w:pPr>
            <w:r>
              <w:rPr>
                <w:rFonts w:hAnsi="宋体"/>
                <w:color w:val="auto"/>
                <w:highlight w:val="none"/>
              </w:rPr>
              <w:t>中标候选人推荐数量</w:t>
            </w:r>
            <w:r>
              <w:rPr>
                <w:rFonts w:hint="eastAsia" w:hAnsi="宋体"/>
                <w:color w:val="auto"/>
                <w:highlight w:val="none"/>
              </w:rPr>
              <w:t>：</w:t>
            </w:r>
          </w:p>
          <w:p w14:paraId="05CA6955">
            <w:pPr>
              <w:snapToGrid w:val="0"/>
              <w:spacing w:line="360" w:lineRule="auto"/>
              <w:rPr>
                <w:rFonts w:hAnsi="宋体"/>
                <w:color w:val="auto"/>
                <w:highlight w:val="none"/>
              </w:rPr>
            </w:pPr>
            <w:r>
              <w:rPr>
                <w:rFonts w:hint="eastAsia" w:ascii="宋体" w:hAnsi="宋体"/>
                <w:color w:val="auto"/>
                <w:szCs w:val="21"/>
                <w:highlight w:val="none"/>
              </w:rPr>
              <w:t>□</w:t>
            </w:r>
            <w:r>
              <w:rPr>
                <w:rFonts w:hint="eastAsia" w:hAnsi="宋体"/>
                <w:color w:val="auto"/>
                <w:highlight w:val="none"/>
                <w:u w:val="single"/>
              </w:rPr>
              <w:t xml:space="preserve"> </w:t>
            </w:r>
            <w:r>
              <w:rPr>
                <w:rFonts w:hAnsi="宋体"/>
                <w:color w:val="auto"/>
                <w:highlight w:val="none"/>
                <w:u w:val="single"/>
              </w:rPr>
              <w:t xml:space="preserve">   </w:t>
            </w:r>
            <w:r>
              <w:rPr>
                <w:rFonts w:hAnsi="宋体"/>
                <w:color w:val="auto"/>
                <w:highlight w:val="none"/>
              </w:rPr>
              <w:t>名</w:t>
            </w:r>
          </w:p>
          <w:p w14:paraId="107139AA">
            <w:pPr>
              <w:snapToGrid w:val="0"/>
              <w:spacing w:line="360" w:lineRule="auto"/>
              <w:rPr>
                <w:rFonts w:ascii="宋体" w:hAnsi="宋体" w:cs="宋体"/>
                <w:color w:val="auto"/>
                <w:szCs w:val="21"/>
                <w:highlight w:val="none"/>
              </w:rPr>
            </w:pPr>
            <w:r>
              <w:rPr>
                <w:rFonts w:hint="eastAsia" w:ascii="宋体" w:hAnsi="宋体"/>
                <w:color w:val="auto"/>
                <w:szCs w:val="21"/>
                <w:highlight w:val="none"/>
              </w:rPr>
              <w:t>☑</w:t>
            </w:r>
            <w:r>
              <w:rPr>
                <w:rFonts w:hint="eastAsia" w:hAnsi="宋体"/>
                <w:color w:val="auto"/>
                <w:highlight w:val="none"/>
              </w:rPr>
              <w:t>根据总得分由高到低排列次序推荐3名中标候选人</w:t>
            </w:r>
          </w:p>
        </w:tc>
      </w:tr>
      <w:tr w14:paraId="26B4A9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6A6B438F">
            <w:pPr>
              <w:spacing w:line="360" w:lineRule="auto"/>
              <w:jc w:val="center"/>
              <w:rPr>
                <w:rFonts w:ascii="宋体" w:hAnsi="宋体"/>
                <w:color w:val="auto"/>
                <w:szCs w:val="21"/>
                <w:highlight w:val="none"/>
              </w:rPr>
            </w:pPr>
            <w:r>
              <w:rPr>
                <w:rFonts w:hint="eastAsia" w:ascii="宋体" w:hAnsi="宋体"/>
                <w:color w:val="auto"/>
                <w:szCs w:val="21"/>
                <w:highlight w:val="none"/>
              </w:rPr>
              <w:t>30</w:t>
            </w:r>
            <w:r>
              <w:rPr>
                <w:rFonts w:ascii="宋体" w:hAnsi="宋体"/>
                <w:color w:val="auto"/>
                <w:szCs w:val="21"/>
                <w:highlight w:val="none"/>
              </w:rPr>
              <w:t>.1</w:t>
            </w:r>
          </w:p>
        </w:tc>
        <w:tc>
          <w:tcPr>
            <w:tcW w:w="8175" w:type="dxa"/>
            <w:tcBorders>
              <w:top w:val="single" w:color="auto" w:sz="4" w:space="0"/>
              <w:left w:val="single" w:color="auto" w:sz="4" w:space="0"/>
              <w:bottom w:val="single" w:color="auto" w:sz="4" w:space="0"/>
              <w:right w:val="single" w:color="auto" w:sz="4" w:space="0"/>
            </w:tcBorders>
            <w:vAlign w:val="center"/>
          </w:tcPr>
          <w:p w14:paraId="3F062E96">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rPr>
              <w:t>采用综合评分法的采购项目，采购人确定中标人时，出现中标候选人并列的情形，采购人按以下的方式确定中标人：</w:t>
            </w:r>
          </w:p>
          <w:p w14:paraId="1F934EEA">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rPr>
              <w:t>☑依次按</w:t>
            </w:r>
            <w:r>
              <w:rPr>
                <w:rFonts w:hint="eastAsia" w:hAnsi="宋体"/>
                <w:color w:val="auto"/>
                <w:highlight w:val="none"/>
              </w:rPr>
              <w:t>（1）评分相等时，以投标报价低的优先；（2）投标报价也相等时，以技术评分较高的投标人优先。（3）技术评分也相等的，以技术负责人职称较高的优先；（4）技术负责人职称也相等的，以政采云平台系统显示的递交投标文件时间较前的投标人优先</w:t>
            </w:r>
            <w:r>
              <w:rPr>
                <w:rFonts w:hint="eastAsia" w:ascii="宋体" w:hAnsi="宋体"/>
                <w:color w:val="auto"/>
                <w:szCs w:val="21"/>
                <w:highlight w:val="none"/>
              </w:rPr>
              <w:t>；</w:t>
            </w:r>
          </w:p>
          <w:p w14:paraId="0519B677">
            <w:pPr>
              <w:autoSpaceDE w:val="0"/>
              <w:autoSpaceDN w:val="0"/>
              <w:snapToGrid w:val="0"/>
              <w:spacing w:line="360" w:lineRule="auto"/>
              <w:textAlignment w:val="bottom"/>
              <w:rPr>
                <w:rFonts w:ascii="宋体" w:hAnsi="宋体"/>
                <w:b/>
                <w:color w:val="auto"/>
                <w:szCs w:val="21"/>
                <w:highlight w:val="none"/>
              </w:rPr>
            </w:pPr>
            <w:r>
              <w:rPr>
                <w:rFonts w:hint="eastAsia" w:ascii="宋体" w:hAnsi="宋体"/>
                <w:color w:val="auto"/>
                <w:szCs w:val="21"/>
                <w:highlight w:val="none"/>
              </w:rPr>
              <w:t>□随机抽取；</w:t>
            </w:r>
          </w:p>
        </w:tc>
      </w:tr>
      <w:tr w14:paraId="40587A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78" w:type="dxa"/>
            <w:tcBorders>
              <w:top w:val="single" w:color="auto" w:sz="4" w:space="0"/>
              <w:left w:val="single" w:color="auto" w:sz="4" w:space="0"/>
              <w:bottom w:val="single" w:color="auto" w:sz="4" w:space="0"/>
              <w:right w:val="single" w:color="auto" w:sz="4" w:space="0"/>
            </w:tcBorders>
            <w:vAlign w:val="center"/>
          </w:tcPr>
          <w:p w14:paraId="66EC6E23">
            <w:pPr>
              <w:spacing w:line="360" w:lineRule="auto"/>
              <w:jc w:val="center"/>
              <w:rPr>
                <w:rFonts w:ascii="宋体" w:hAnsi="宋体"/>
                <w:color w:val="auto"/>
                <w:szCs w:val="21"/>
                <w:highlight w:val="none"/>
              </w:rPr>
            </w:pPr>
            <w:bookmarkStart w:id="80" w:name="_39.1"/>
            <w:bookmarkEnd w:id="80"/>
            <w:r>
              <w:rPr>
                <w:rFonts w:hint="eastAsia" w:ascii="宋体" w:hAnsi="宋体"/>
                <w:color w:val="auto"/>
                <w:szCs w:val="21"/>
                <w:highlight w:val="none"/>
              </w:rPr>
              <w:t>35</w:t>
            </w:r>
            <w:r>
              <w:rPr>
                <w:rFonts w:ascii="宋体" w:hAnsi="宋体"/>
                <w:color w:val="auto"/>
                <w:szCs w:val="21"/>
                <w:highlight w:val="none"/>
              </w:rPr>
              <w:t>.1</w:t>
            </w:r>
          </w:p>
        </w:tc>
        <w:tc>
          <w:tcPr>
            <w:tcW w:w="8175" w:type="dxa"/>
            <w:tcBorders>
              <w:top w:val="single" w:color="auto" w:sz="4" w:space="0"/>
              <w:left w:val="single" w:color="auto" w:sz="4" w:space="0"/>
              <w:bottom w:val="single" w:color="auto" w:sz="4" w:space="0"/>
              <w:right w:val="single" w:color="auto" w:sz="4" w:space="0"/>
            </w:tcBorders>
            <w:vAlign w:val="center"/>
          </w:tcPr>
          <w:p w14:paraId="51FAA7B1">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rPr>
              <w:t>□本项目不收取履约保证金。</w:t>
            </w:r>
          </w:p>
          <w:p w14:paraId="5031EA8F">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rPr>
              <w:t>☑本项目收取履约保证金，具体规定如下：</w:t>
            </w:r>
          </w:p>
          <w:p w14:paraId="2244292F">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rPr>
              <w:t>履约保证金金额：按合同金额的2%收取。</w:t>
            </w:r>
          </w:p>
          <w:p w14:paraId="0318A145">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rPr>
              <w:t>履约保证金递交方式：银行转账、支票、汇票、本票或者银行、保险机构出具的保函等非现金方式。</w:t>
            </w:r>
          </w:p>
          <w:p w14:paraId="3322E504">
            <w:pPr>
              <w:autoSpaceDE w:val="0"/>
              <w:autoSpaceDN w:val="0"/>
              <w:snapToGrid w:val="0"/>
              <w:spacing w:line="360" w:lineRule="auto"/>
              <w:textAlignment w:val="bottom"/>
              <w:rPr>
                <w:rFonts w:ascii="宋体" w:hAnsi="宋体"/>
                <w:iCs/>
                <w:color w:val="auto"/>
                <w:szCs w:val="21"/>
                <w:highlight w:val="none"/>
                <w:u w:val="single"/>
              </w:rPr>
            </w:pPr>
            <w:r>
              <w:rPr>
                <w:rFonts w:hint="eastAsia" w:ascii="宋体" w:hAnsi="宋体"/>
                <w:color w:val="auto"/>
                <w:szCs w:val="21"/>
                <w:highlight w:val="none"/>
              </w:rPr>
              <w:t>履约保证金缴纳期限:</w:t>
            </w:r>
            <w:r>
              <w:rPr>
                <w:color w:val="auto"/>
                <w:highlight w:val="none"/>
              </w:rPr>
              <w:t xml:space="preserve"> </w:t>
            </w:r>
            <w:r>
              <w:rPr>
                <w:rFonts w:hint="eastAsia" w:ascii="宋体" w:hAnsi="宋体"/>
                <w:iCs/>
                <w:color w:val="auto"/>
                <w:szCs w:val="21"/>
                <w:highlight w:val="none"/>
                <w:u w:val="single"/>
              </w:rPr>
              <w:t>签订合同前缴纳。</w:t>
            </w:r>
          </w:p>
          <w:p w14:paraId="3A822278">
            <w:pPr>
              <w:autoSpaceDE w:val="0"/>
              <w:autoSpaceDN w:val="0"/>
              <w:snapToGrid w:val="0"/>
              <w:spacing w:line="360" w:lineRule="auto"/>
              <w:textAlignment w:val="bottom"/>
              <w:rPr>
                <w:rFonts w:ascii="宋体" w:hAnsi="宋体"/>
                <w:color w:val="auto"/>
                <w:szCs w:val="21"/>
                <w:highlight w:val="none"/>
                <w:u w:val="single"/>
              </w:rPr>
            </w:pPr>
            <w:r>
              <w:rPr>
                <w:rFonts w:hint="eastAsia" w:ascii="宋体" w:hAnsi="宋体"/>
                <w:color w:val="auto"/>
                <w:szCs w:val="21"/>
                <w:highlight w:val="none"/>
              </w:rPr>
              <w:t>履约保证金退付方式、时间及条件：</w:t>
            </w:r>
            <w:r>
              <w:rPr>
                <w:rFonts w:hint="eastAsia" w:ascii="宋体" w:hAnsi="宋体"/>
                <w:color w:val="auto"/>
                <w:szCs w:val="21"/>
                <w:highlight w:val="none"/>
                <w:u w:val="single"/>
              </w:rPr>
              <w:t xml:space="preserve"> 由中标供应商向履约保证金收取单位提供《广西壮族自治区政府采购项目合同验收书》（详见桂财采〔2015〕22号），保证金收取单位在收到合格材料后5个工作日内办理退还手续（不计利息） 。</w:t>
            </w:r>
          </w:p>
          <w:p w14:paraId="2809788B">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rPr>
              <w:t>履约保证金指定账户：</w:t>
            </w:r>
          </w:p>
          <w:p w14:paraId="52768748">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rPr>
              <w:t>开户名称：广西壮族自治区道路运输发展中心</w:t>
            </w:r>
          </w:p>
          <w:p w14:paraId="3BA3284E">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rPr>
              <w:t>银行账户：2102101109221017081</w:t>
            </w:r>
          </w:p>
          <w:p w14:paraId="68E7328A">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rPr>
              <w:t>开户银行：工行南宁市公园支行</w:t>
            </w:r>
          </w:p>
          <w:p w14:paraId="65A5EBA9">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rPr>
              <w:t>行号：102611010117</w:t>
            </w:r>
          </w:p>
          <w:p w14:paraId="0BC89F5E">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rPr>
              <w:t>备注：</w:t>
            </w:r>
          </w:p>
          <w:p w14:paraId="60A4C28A">
            <w:pPr>
              <w:autoSpaceDE w:val="0"/>
              <w:autoSpaceDN w:val="0"/>
              <w:snapToGrid w:val="0"/>
              <w:spacing w:line="360" w:lineRule="auto"/>
              <w:textAlignment w:val="bottom"/>
              <w:rPr>
                <w:rFonts w:ascii="宋体" w:hAnsi="宋体"/>
                <w:color w:val="auto"/>
                <w:szCs w:val="21"/>
                <w:highlight w:val="none"/>
              </w:rPr>
            </w:pPr>
            <w:bookmarkStart w:id="81" w:name="_Hlk54170335"/>
            <w:r>
              <w:rPr>
                <w:rFonts w:hint="eastAsia" w:ascii="宋体" w:hAnsi="宋体"/>
                <w:color w:val="auto"/>
                <w:szCs w:val="21"/>
                <w:highlight w:val="none"/>
              </w:rPr>
              <w:t>1.根据</w:t>
            </w:r>
            <w:bookmarkEnd w:id="81"/>
            <w:r>
              <w:rPr>
                <w:rFonts w:hint="eastAsia" w:ascii="宋体" w:hAnsi="宋体"/>
                <w:color w:val="auto"/>
                <w:szCs w:val="21"/>
                <w:highlight w:val="none"/>
              </w:rPr>
              <w:t>《广西壮族自治区财政厅关于持续优化政府采购营商环境推动高质量发展的通知》（桂财采〔2024〕55号）规定，履约保证金数额不得超过政府采购合同金额的5%，对中小企业收取的履约保证金数额不得超过政府采购合同金额的2%。预算单位（采购人）可根据供应商的资信等情况减免履约保证金。</w:t>
            </w:r>
          </w:p>
          <w:p w14:paraId="4437618B">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rPr>
              <w:t>2. 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r>
              <w:rPr>
                <w:rFonts w:hint="eastAsia" w:ascii="宋体" w:hAnsi="宋体"/>
                <w:color w:val="auto"/>
                <w:szCs w:val="21"/>
                <w:highlight w:val="none"/>
              </w:rPr>
              <w:br w:type="textWrapping"/>
            </w:r>
            <w:r>
              <w:rPr>
                <w:rFonts w:hint="eastAsia" w:ascii="宋体" w:hAnsi="宋体"/>
                <w:color w:val="auto"/>
                <w:szCs w:val="21"/>
                <w:highlight w:val="none"/>
              </w:rPr>
              <w:t>3.采用银行、保险机构出具的保函的，必须为无条件保函，否则不予签订合同。</w:t>
            </w:r>
          </w:p>
          <w:p w14:paraId="7009FF47">
            <w:pPr>
              <w:autoSpaceDE w:val="0"/>
              <w:autoSpaceDN w:val="0"/>
              <w:snapToGrid w:val="0"/>
              <w:spacing w:line="360" w:lineRule="auto"/>
              <w:textAlignment w:val="bottom"/>
              <w:rPr>
                <w:rFonts w:ascii="宋体" w:hAnsi="宋体" w:cs="宋体"/>
                <w:color w:val="auto"/>
                <w:kern w:val="0"/>
                <w:szCs w:val="21"/>
                <w:highlight w:val="none"/>
              </w:rPr>
            </w:pPr>
            <w:r>
              <w:rPr>
                <w:rFonts w:hint="eastAsia" w:ascii="宋体" w:hAnsi="宋体"/>
                <w:color w:val="auto"/>
                <w:szCs w:val="21"/>
                <w:highlight w:val="none"/>
              </w:rPr>
              <w:t>4.投标人为联合体的，由联合体其中一方按规定提交的履约保证金，视为有效履约保证金。</w:t>
            </w:r>
          </w:p>
        </w:tc>
      </w:tr>
      <w:tr w14:paraId="25A560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59BC5A73">
            <w:pPr>
              <w:spacing w:line="360" w:lineRule="auto"/>
              <w:jc w:val="center"/>
              <w:rPr>
                <w:rFonts w:ascii="宋体" w:hAnsi="宋体"/>
                <w:color w:val="auto"/>
                <w:szCs w:val="21"/>
                <w:highlight w:val="none"/>
              </w:rPr>
            </w:pPr>
            <w:bookmarkStart w:id="82" w:name="_40.1"/>
            <w:bookmarkEnd w:id="82"/>
            <w:r>
              <w:rPr>
                <w:rFonts w:hint="eastAsia" w:ascii="宋体" w:hAnsi="宋体"/>
                <w:color w:val="auto"/>
                <w:szCs w:val="21"/>
                <w:highlight w:val="none"/>
              </w:rPr>
              <w:t>36.1</w:t>
            </w:r>
          </w:p>
        </w:tc>
        <w:tc>
          <w:tcPr>
            <w:tcW w:w="8175" w:type="dxa"/>
            <w:tcBorders>
              <w:top w:val="single" w:color="auto" w:sz="4" w:space="0"/>
              <w:left w:val="single" w:color="auto" w:sz="4" w:space="0"/>
              <w:bottom w:val="single" w:color="auto" w:sz="4" w:space="0"/>
              <w:right w:val="single" w:color="auto" w:sz="4" w:space="0"/>
            </w:tcBorders>
            <w:vAlign w:val="center"/>
          </w:tcPr>
          <w:p w14:paraId="29C449CB">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rPr>
              <w:t xml:space="preserve">签订合同携带的证明材料： </w:t>
            </w:r>
          </w:p>
          <w:p w14:paraId="39269666">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rPr>
              <w:t>委托代理人负责签订合同的，须携带授权委托书及委托代理人身份证原件等其他资格证件。</w:t>
            </w:r>
          </w:p>
          <w:p w14:paraId="5B261862">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rPr>
              <w:t>法定代表人负责签订合同的，须携带法定代表人</w:t>
            </w:r>
            <w:r>
              <w:rPr>
                <w:rFonts w:ascii="宋体" w:hAnsi="宋体"/>
                <w:color w:val="auto"/>
                <w:szCs w:val="21"/>
                <w:highlight w:val="none"/>
              </w:rPr>
              <w:t>身份证明原件</w:t>
            </w:r>
            <w:r>
              <w:rPr>
                <w:rFonts w:hint="eastAsia" w:ascii="宋体" w:hAnsi="宋体"/>
                <w:color w:val="auto"/>
                <w:szCs w:val="21"/>
                <w:highlight w:val="none"/>
              </w:rPr>
              <w:t>及</w:t>
            </w:r>
            <w:r>
              <w:rPr>
                <w:rFonts w:ascii="宋体" w:hAnsi="宋体"/>
                <w:color w:val="auto"/>
                <w:szCs w:val="21"/>
                <w:highlight w:val="none"/>
              </w:rPr>
              <w:t>身份证原件</w:t>
            </w:r>
            <w:r>
              <w:rPr>
                <w:rFonts w:hint="eastAsia" w:ascii="宋体" w:hAnsi="宋体"/>
                <w:color w:val="auto"/>
                <w:szCs w:val="21"/>
                <w:highlight w:val="none"/>
              </w:rPr>
              <w:t>等其他证明材料。</w:t>
            </w:r>
          </w:p>
        </w:tc>
      </w:tr>
      <w:tr w14:paraId="5B0E66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55AEDFD6">
            <w:pPr>
              <w:spacing w:line="360" w:lineRule="auto"/>
              <w:jc w:val="center"/>
              <w:rPr>
                <w:rFonts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8.2</w:t>
            </w:r>
          </w:p>
        </w:tc>
        <w:tc>
          <w:tcPr>
            <w:tcW w:w="8175" w:type="dxa"/>
            <w:tcBorders>
              <w:top w:val="single" w:color="auto" w:sz="4" w:space="0"/>
              <w:left w:val="single" w:color="auto" w:sz="4" w:space="0"/>
              <w:bottom w:val="single" w:color="auto" w:sz="4" w:space="0"/>
              <w:right w:val="single" w:color="auto" w:sz="4" w:space="0"/>
            </w:tcBorders>
            <w:vAlign w:val="center"/>
          </w:tcPr>
          <w:p w14:paraId="7F85CBEF">
            <w:pPr>
              <w:snapToGrid w:val="0"/>
              <w:spacing w:line="360" w:lineRule="auto"/>
              <w:rPr>
                <w:rFonts w:ascii="宋体" w:hAnsi="宋体"/>
                <w:color w:val="auto"/>
                <w:szCs w:val="21"/>
                <w:highlight w:val="none"/>
              </w:rPr>
            </w:pPr>
            <w:r>
              <w:rPr>
                <w:rFonts w:hint="eastAsia" w:ascii="宋体" w:hAnsi="宋体"/>
                <w:color w:val="auto"/>
                <w:szCs w:val="21"/>
                <w:highlight w:val="none"/>
              </w:rPr>
              <w:t>接收质疑函方式：以书面形式</w:t>
            </w:r>
          </w:p>
          <w:p w14:paraId="47AD9B3E">
            <w:pPr>
              <w:snapToGrid w:val="0"/>
              <w:spacing w:line="360" w:lineRule="auto"/>
              <w:rPr>
                <w:rFonts w:ascii="宋体" w:hAnsi="宋体"/>
                <w:color w:val="auto"/>
                <w:szCs w:val="21"/>
                <w:highlight w:val="none"/>
              </w:rPr>
            </w:pPr>
            <w:r>
              <w:rPr>
                <w:rFonts w:hint="eastAsia" w:ascii="宋体" w:hAnsi="宋体"/>
                <w:color w:val="auto"/>
                <w:szCs w:val="21"/>
                <w:highlight w:val="none"/>
              </w:rPr>
              <w:t>质疑联系部门及联系方式：</w:t>
            </w:r>
            <w:r>
              <w:rPr>
                <w:rFonts w:hint="eastAsia" w:ascii="宋体" w:hAnsi="宋体"/>
                <w:color w:val="auto"/>
                <w:szCs w:val="21"/>
                <w:highlight w:val="none"/>
                <w:u w:val="single"/>
              </w:rPr>
              <w:t>广西交投宏冠工程咨询有限公司，联系电话：0771-</w:t>
            </w:r>
            <w:r>
              <w:rPr>
                <w:rFonts w:hint="eastAsia" w:ascii="宋体" w:hAnsi="宋体"/>
                <w:color w:val="auto"/>
                <w:szCs w:val="21"/>
                <w:highlight w:val="none"/>
                <w:u w:val="single"/>
                <w:lang w:val="en-US" w:eastAsia="zh-CN"/>
              </w:rPr>
              <w:t>2115840</w:t>
            </w:r>
            <w:r>
              <w:rPr>
                <w:rFonts w:hint="eastAsia" w:ascii="宋体" w:hAnsi="宋体"/>
                <w:color w:val="auto"/>
                <w:szCs w:val="21"/>
                <w:highlight w:val="none"/>
                <w:u w:val="single"/>
              </w:rPr>
              <w:t>，通讯地址：（广西南宁市青秀区合作路6号五洲国际D栋商铺3楼D312室）</w:t>
            </w:r>
          </w:p>
          <w:p w14:paraId="79596800">
            <w:pPr>
              <w:autoSpaceDE w:val="0"/>
              <w:autoSpaceDN w:val="0"/>
              <w:snapToGrid w:val="0"/>
              <w:spacing w:line="360" w:lineRule="auto"/>
              <w:textAlignment w:val="bottom"/>
              <w:rPr>
                <w:rFonts w:ascii="宋体" w:hAnsi="宋体"/>
                <w:color w:val="auto"/>
                <w:szCs w:val="21"/>
                <w:highlight w:val="none"/>
              </w:rPr>
            </w:pPr>
            <w:r>
              <w:rPr>
                <w:rFonts w:hint="eastAsia" w:hAnsi="宋体" w:cs="宋体"/>
                <w:color w:val="auto"/>
                <w:highlight w:val="none"/>
              </w:rPr>
              <w:t>业务时间：工作日每天上午</w:t>
            </w:r>
            <w:r>
              <w:rPr>
                <w:rFonts w:hAnsi="宋体" w:cs="宋体"/>
                <w:color w:val="auto"/>
                <w:highlight w:val="none"/>
              </w:rPr>
              <w:t>8</w:t>
            </w:r>
            <w:r>
              <w:rPr>
                <w:rFonts w:hint="eastAsia" w:hAnsi="宋体" w:cs="宋体"/>
                <w:color w:val="auto"/>
                <w:highlight w:val="none"/>
              </w:rPr>
              <w:t>时</w:t>
            </w:r>
            <w:r>
              <w:rPr>
                <w:rFonts w:hAnsi="宋体" w:cs="宋体"/>
                <w:color w:val="auto"/>
                <w:highlight w:val="none"/>
              </w:rPr>
              <w:t>00</w:t>
            </w:r>
            <w:r>
              <w:rPr>
                <w:rFonts w:hint="eastAsia" w:hAnsi="宋体" w:cs="宋体"/>
                <w:color w:val="auto"/>
                <w:highlight w:val="none"/>
              </w:rPr>
              <w:t>分到</w:t>
            </w:r>
            <w:r>
              <w:rPr>
                <w:rFonts w:hAnsi="宋体" w:cs="宋体"/>
                <w:color w:val="auto"/>
                <w:highlight w:val="none"/>
              </w:rPr>
              <w:t>12</w:t>
            </w:r>
            <w:r>
              <w:rPr>
                <w:rFonts w:hint="eastAsia" w:hAnsi="宋体" w:cs="宋体"/>
                <w:color w:val="auto"/>
                <w:highlight w:val="none"/>
              </w:rPr>
              <w:t>时</w:t>
            </w:r>
            <w:r>
              <w:rPr>
                <w:rFonts w:hAnsi="宋体" w:cs="宋体"/>
                <w:color w:val="auto"/>
                <w:highlight w:val="none"/>
              </w:rPr>
              <w:t>00</w:t>
            </w:r>
            <w:r>
              <w:rPr>
                <w:rFonts w:hint="eastAsia" w:hAnsi="宋体" w:cs="宋体"/>
                <w:color w:val="auto"/>
                <w:highlight w:val="none"/>
              </w:rPr>
              <w:t>分，下午</w:t>
            </w:r>
            <w:r>
              <w:rPr>
                <w:rFonts w:hAnsi="宋体" w:cs="宋体"/>
                <w:color w:val="auto"/>
                <w:highlight w:val="none"/>
              </w:rPr>
              <w:t>3</w:t>
            </w:r>
            <w:r>
              <w:rPr>
                <w:rFonts w:hint="eastAsia" w:hAnsi="宋体" w:cs="宋体"/>
                <w:color w:val="auto"/>
                <w:highlight w:val="none"/>
              </w:rPr>
              <w:t>时</w:t>
            </w:r>
            <w:r>
              <w:rPr>
                <w:rFonts w:hAnsi="宋体" w:cs="宋体"/>
                <w:color w:val="auto"/>
                <w:highlight w:val="none"/>
              </w:rPr>
              <w:t>00</w:t>
            </w:r>
            <w:r>
              <w:rPr>
                <w:rFonts w:hint="eastAsia" w:hAnsi="宋体" w:cs="宋体"/>
                <w:color w:val="auto"/>
                <w:highlight w:val="none"/>
              </w:rPr>
              <w:t>分到</w:t>
            </w:r>
            <w:r>
              <w:rPr>
                <w:rFonts w:hAnsi="宋体" w:cs="宋体"/>
                <w:color w:val="auto"/>
                <w:highlight w:val="none"/>
              </w:rPr>
              <w:t>6</w:t>
            </w:r>
            <w:r>
              <w:rPr>
                <w:rFonts w:hint="eastAsia" w:hAnsi="宋体" w:cs="宋体"/>
                <w:color w:val="auto"/>
                <w:highlight w:val="none"/>
              </w:rPr>
              <w:t>时</w:t>
            </w:r>
            <w:r>
              <w:rPr>
                <w:rFonts w:hAnsi="宋体" w:cs="宋体"/>
                <w:color w:val="auto"/>
                <w:highlight w:val="none"/>
              </w:rPr>
              <w:t>00</w:t>
            </w:r>
            <w:r>
              <w:rPr>
                <w:rFonts w:hint="eastAsia" w:hAnsi="宋体" w:cs="宋体"/>
                <w:color w:val="auto"/>
                <w:highlight w:val="none"/>
              </w:rPr>
              <w:t>分。</w:t>
            </w:r>
          </w:p>
        </w:tc>
      </w:tr>
      <w:tr w14:paraId="104BC8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1AB9DBB2">
            <w:pPr>
              <w:spacing w:line="360" w:lineRule="auto"/>
              <w:jc w:val="center"/>
              <w:rPr>
                <w:rFonts w:ascii="宋体" w:hAnsi="宋体"/>
                <w:color w:val="auto"/>
                <w:szCs w:val="21"/>
                <w:highlight w:val="none"/>
              </w:rPr>
            </w:pPr>
            <w:bookmarkStart w:id="83" w:name="_42"/>
            <w:bookmarkEnd w:id="83"/>
            <w:bookmarkStart w:id="84" w:name="_41"/>
            <w:bookmarkEnd w:id="84"/>
            <w:bookmarkStart w:id="85" w:name="_Hlt17709148"/>
            <w:r>
              <w:rPr>
                <w:rFonts w:hint="eastAsia" w:ascii="宋体" w:hAnsi="宋体"/>
                <w:color w:val="auto"/>
                <w:szCs w:val="21"/>
                <w:highlight w:val="none"/>
              </w:rPr>
              <w:t>3</w:t>
            </w:r>
            <w:bookmarkEnd w:id="85"/>
            <w:r>
              <w:rPr>
                <w:rFonts w:ascii="宋体" w:hAnsi="宋体"/>
                <w:color w:val="auto"/>
                <w:szCs w:val="21"/>
                <w:highlight w:val="none"/>
              </w:rPr>
              <w:t>9.1</w:t>
            </w:r>
          </w:p>
        </w:tc>
        <w:tc>
          <w:tcPr>
            <w:tcW w:w="8175" w:type="dxa"/>
            <w:tcBorders>
              <w:top w:val="single" w:color="auto" w:sz="4" w:space="0"/>
              <w:left w:val="single" w:color="auto" w:sz="4" w:space="0"/>
              <w:bottom w:val="single" w:color="auto" w:sz="4" w:space="0"/>
              <w:right w:val="single" w:color="auto" w:sz="4" w:space="0"/>
            </w:tcBorders>
            <w:vAlign w:val="center"/>
          </w:tcPr>
          <w:p w14:paraId="17778419">
            <w:pPr>
              <w:pStyle w:val="23"/>
              <w:snapToGrid w:val="0"/>
              <w:spacing w:line="360" w:lineRule="auto"/>
              <w:rPr>
                <w:rFonts w:hAnsi="宋体" w:cs="宋体"/>
                <w:color w:val="auto"/>
                <w:sz w:val="21"/>
                <w:highlight w:val="none"/>
              </w:rPr>
            </w:pPr>
            <w:r>
              <w:rPr>
                <w:rFonts w:hint="eastAsia" w:hAnsi="宋体" w:cs="宋体"/>
                <w:color w:val="auto"/>
                <w:sz w:val="21"/>
                <w:highlight w:val="none"/>
              </w:rPr>
              <w:t>1.采购代理费支付方式：</w:t>
            </w:r>
          </w:p>
          <w:p w14:paraId="29A28C1E">
            <w:pPr>
              <w:pStyle w:val="23"/>
              <w:snapToGrid w:val="0"/>
              <w:spacing w:line="360" w:lineRule="auto"/>
              <w:rPr>
                <w:rFonts w:hAnsi="宋体" w:cs="宋体"/>
                <w:color w:val="auto"/>
                <w:sz w:val="21"/>
                <w:highlight w:val="none"/>
              </w:rPr>
            </w:pPr>
            <w:r>
              <w:rPr>
                <w:rFonts w:hint="eastAsia" w:hAnsi="宋体" w:cs="宋体"/>
                <w:color w:val="auto"/>
                <w:sz w:val="21"/>
                <w:highlight w:val="none"/>
              </w:rPr>
              <w:t>☑本项目代理服务费由</w:t>
            </w:r>
            <w:r>
              <w:rPr>
                <w:rFonts w:hint="eastAsia" w:hAnsi="宋体" w:cs="宋体"/>
                <w:color w:val="auto"/>
                <w:sz w:val="21"/>
                <w:highlight w:val="none"/>
                <w:u w:val="single"/>
              </w:rPr>
              <w:t>中标人</w:t>
            </w:r>
            <w:r>
              <w:rPr>
                <w:rFonts w:hint="eastAsia" w:hAnsi="宋体" w:cs="宋体"/>
                <w:color w:val="auto"/>
                <w:sz w:val="21"/>
                <w:highlight w:val="none"/>
              </w:rPr>
              <w:t>一次性向采购代理机构支付。</w:t>
            </w:r>
          </w:p>
          <w:p w14:paraId="71AF0764">
            <w:pPr>
              <w:pStyle w:val="23"/>
              <w:snapToGrid w:val="0"/>
              <w:spacing w:line="360" w:lineRule="auto"/>
              <w:rPr>
                <w:rFonts w:hAnsi="宋体" w:cs="宋体"/>
                <w:color w:val="auto"/>
                <w:sz w:val="21"/>
                <w:highlight w:val="none"/>
              </w:rPr>
            </w:pPr>
            <w:r>
              <w:rPr>
                <w:rFonts w:hint="eastAsia" w:hAnsi="宋体" w:cs="宋体"/>
                <w:color w:val="auto"/>
                <w:sz w:val="21"/>
                <w:highlight w:val="none"/>
              </w:rPr>
              <w:t>□采购人支付。</w:t>
            </w:r>
          </w:p>
          <w:p w14:paraId="3ABFA924">
            <w:pPr>
              <w:pStyle w:val="23"/>
              <w:snapToGrid w:val="0"/>
              <w:spacing w:line="360" w:lineRule="auto"/>
              <w:rPr>
                <w:rFonts w:hAnsi="宋体" w:cs="宋体"/>
                <w:color w:val="auto"/>
                <w:sz w:val="21"/>
                <w:highlight w:val="none"/>
              </w:rPr>
            </w:pPr>
            <w:r>
              <w:rPr>
                <w:rFonts w:hint="eastAsia" w:hAnsi="宋体" w:cs="宋体"/>
                <w:color w:val="auto"/>
                <w:sz w:val="21"/>
                <w:highlight w:val="none"/>
              </w:rPr>
              <w:t>2.采购代理费收取标准：</w:t>
            </w:r>
          </w:p>
          <w:p w14:paraId="34FB828A">
            <w:pPr>
              <w:snapToGrid w:val="0"/>
              <w:spacing w:line="360" w:lineRule="auto"/>
              <w:rPr>
                <w:rFonts w:ascii="宋体" w:hAnsi="宋体" w:cs="宋体"/>
                <w:color w:val="auto"/>
                <w:kern w:val="0"/>
                <w:szCs w:val="21"/>
                <w:highlight w:val="none"/>
              </w:rPr>
            </w:pPr>
            <w:r>
              <w:rPr>
                <w:rFonts w:hint="eastAsia" w:ascii="MS Mincho" w:hAnsi="MS Mincho" w:cs="MS Mincho"/>
                <w:color w:val="auto"/>
                <w:kern w:val="0"/>
                <w:sz w:val="20"/>
                <w:szCs w:val="21"/>
                <w:highlight w:val="none"/>
              </w:rPr>
              <w:t>☑</w:t>
            </w:r>
            <w:r>
              <w:rPr>
                <w:rFonts w:hint="eastAsia" w:ascii="宋体" w:hAnsi="宋体" w:cs="宋体"/>
                <w:color w:val="auto"/>
                <w:kern w:val="0"/>
                <w:szCs w:val="21"/>
                <w:highlight w:val="none"/>
              </w:rPr>
              <w:t>以分标（</w:t>
            </w:r>
            <w:r>
              <w:rPr>
                <w:rFonts w:hint="eastAsia" w:ascii="MS Mincho" w:hAnsi="MS Mincho" w:eastAsia="MS Mincho" w:cs="MS Mincho"/>
                <w:color w:val="auto"/>
                <w:kern w:val="0"/>
                <w:sz w:val="20"/>
                <w:szCs w:val="21"/>
                <w:highlight w:val="none"/>
              </w:rPr>
              <w:t>☑</w:t>
            </w:r>
            <w:r>
              <w:rPr>
                <w:rFonts w:hint="eastAsia" w:ascii="宋体" w:hAnsi="宋体" w:cs="宋体"/>
                <w:color w:val="auto"/>
                <w:kern w:val="0"/>
                <w:szCs w:val="21"/>
                <w:highlight w:val="none"/>
              </w:rPr>
              <w:t>中标金额/</w:t>
            </w:r>
            <w:r>
              <w:rPr>
                <w:rFonts w:hint="eastAsia" w:ascii="宋体" w:hAnsi="宋体"/>
                <w:color w:val="auto"/>
                <w:kern w:val="0"/>
                <w:sz w:val="20"/>
                <w:szCs w:val="21"/>
                <w:highlight w:val="none"/>
              </w:rPr>
              <w:t>□</w:t>
            </w:r>
            <w:r>
              <w:rPr>
                <w:rFonts w:hint="eastAsia" w:ascii="宋体" w:hAnsi="宋体" w:cs="宋体"/>
                <w:color w:val="auto"/>
                <w:kern w:val="0"/>
                <w:szCs w:val="21"/>
                <w:highlight w:val="none"/>
              </w:rPr>
              <w:t>采购预算/□暂定成交金额/□其他</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）为计费额，按本须知正文第32.1条规定的（□货物类/</w:t>
            </w:r>
            <w:r>
              <w:rPr>
                <w:rFonts w:hint="eastAsia" w:ascii="MS Mincho" w:hAnsi="MS Mincho" w:eastAsia="MS Mincho" w:cs="MS Mincho"/>
                <w:color w:val="auto"/>
                <w:kern w:val="0"/>
                <w:sz w:val="20"/>
                <w:szCs w:val="21"/>
                <w:highlight w:val="none"/>
              </w:rPr>
              <w:t>☑</w:t>
            </w:r>
            <w:r>
              <w:rPr>
                <w:rFonts w:hint="eastAsia" w:ascii="宋体" w:hAnsi="宋体" w:cs="宋体"/>
                <w:color w:val="auto"/>
                <w:kern w:val="0"/>
                <w:szCs w:val="21"/>
                <w:highlight w:val="none"/>
              </w:rPr>
              <w:t>服务类/□工程类）标准采用差额定率累进法计算出收费基准价格，采购代理收费以（</w:t>
            </w:r>
            <w:r>
              <w:rPr>
                <w:rFonts w:hint="eastAsia" w:ascii="MS Mincho" w:hAnsi="MS Mincho" w:eastAsia="MS Mincho" w:cs="MS Mincho"/>
                <w:color w:val="auto"/>
                <w:kern w:val="0"/>
                <w:szCs w:val="21"/>
                <w:highlight w:val="none"/>
              </w:rPr>
              <w:t>□</w:t>
            </w:r>
            <w:r>
              <w:rPr>
                <w:rFonts w:hint="eastAsia" w:ascii="宋体" w:hAnsi="宋体" w:cs="宋体"/>
                <w:color w:val="auto"/>
                <w:kern w:val="0"/>
                <w:szCs w:val="21"/>
                <w:highlight w:val="none"/>
              </w:rPr>
              <w:t>收费基准价格/☑收费基准价格下浮</w:t>
            </w:r>
            <w:r>
              <w:rPr>
                <w:rFonts w:hint="eastAsia" w:ascii="宋体" w:hAnsi="宋体" w:cs="宋体"/>
                <w:color w:val="auto"/>
                <w:kern w:val="0"/>
                <w:szCs w:val="21"/>
                <w:highlight w:val="none"/>
                <w:u w:val="single"/>
              </w:rPr>
              <w:t>20%</w:t>
            </w:r>
            <w:r>
              <w:rPr>
                <w:rFonts w:hint="eastAsia" w:ascii="宋体" w:hAnsi="宋体" w:cs="宋体"/>
                <w:color w:val="auto"/>
                <w:kern w:val="0"/>
                <w:szCs w:val="21"/>
                <w:highlight w:val="none"/>
              </w:rPr>
              <w:t>/□收费基准价格上浮</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）收取。</w:t>
            </w:r>
          </w:p>
          <w:p w14:paraId="55F3A71E">
            <w:pPr>
              <w:pStyle w:val="23"/>
              <w:snapToGrid w:val="0"/>
              <w:spacing w:line="360" w:lineRule="auto"/>
              <w:rPr>
                <w:rFonts w:hAnsi="宋体" w:cs="宋体"/>
                <w:color w:val="auto"/>
                <w:sz w:val="21"/>
                <w:highlight w:val="none"/>
                <w:u w:val="single"/>
              </w:rPr>
            </w:pPr>
            <w:r>
              <w:rPr>
                <w:rFonts w:hint="eastAsia" w:hAnsi="宋体" w:cs="宋体"/>
                <w:color w:val="auto"/>
                <w:sz w:val="21"/>
                <w:highlight w:val="none"/>
              </w:rPr>
              <w:t>□固定采购代理收费</w:t>
            </w:r>
            <w:r>
              <w:rPr>
                <w:rFonts w:hint="eastAsia" w:hAnsi="宋体" w:cs="宋体"/>
                <w:color w:val="auto"/>
                <w:sz w:val="21"/>
                <w:highlight w:val="none"/>
                <w:u w:val="single"/>
              </w:rPr>
              <w:t xml:space="preserve">                 </w:t>
            </w:r>
          </w:p>
          <w:p w14:paraId="7574FD7D">
            <w:pPr>
              <w:pStyle w:val="23"/>
              <w:snapToGrid w:val="0"/>
              <w:spacing w:line="360" w:lineRule="auto"/>
              <w:rPr>
                <w:rFonts w:hAnsi="宋体" w:cs="宋体"/>
                <w:color w:val="auto"/>
                <w:sz w:val="21"/>
                <w:highlight w:val="none"/>
              </w:rPr>
            </w:pPr>
            <w:r>
              <w:rPr>
                <w:rFonts w:hint="eastAsia" w:hAnsi="宋体" w:cs="宋体"/>
                <w:color w:val="auto"/>
                <w:sz w:val="21"/>
                <w:highlight w:val="none"/>
              </w:rPr>
              <w:t>3</w:t>
            </w:r>
            <w:r>
              <w:rPr>
                <w:rFonts w:hAnsi="宋体" w:cs="宋体"/>
                <w:color w:val="auto"/>
                <w:sz w:val="21"/>
                <w:highlight w:val="none"/>
              </w:rPr>
              <w:t>.</w:t>
            </w:r>
            <w:r>
              <w:rPr>
                <w:rFonts w:hint="eastAsia" w:hAnsi="宋体" w:cs="宋体"/>
                <w:color w:val="auto"/>
                <w:sz w:val="21"/>
                <w:highlight w:val="none"/>
              </w:rPr>
              <w:t>.账户名称：广西交投宏冠工程咨询有限公司</w:t>
            </w:r>
          </w:p>
          <w:p w14:paraId="6C433189">
            <w:pPr>
              <w:pStyle w:val="23"/>
              <w:snapToGrid w:val="0"/>
              <w:spacing w:line="360" w:lineRule="auto"/>
              <w:rPr>
                <w:rFonts w:hAnsi="宋体" w:cs="宋体"/>
                <w:color w:val="auto"/>
                <w:sz w:val="21"/>
                <w:highlight w:val="none"/>
              </w:rPr>
            </w:pPr>
            <w:r>
              <w:rPr>
                <w:rFonts w:hint="eastAsia" w:hAnsi="宋体" w:cs="宋体"/>
                <w:color w:val="auto"/>
                <w:sz w:val="21"/>
                <w:highlight w:val="none"/>
              </w:rPr>
              <w:t>开户银行：建行南宁朝阳支行营业部</w:t>
            </w:r>
          </w:p>
          <w:p w14:paraId="785AC674">
            <w:pPr>
              <w:pStyle w:val="23"/>
              <w:snapToGrid w:val="0"/>
              <w:spacing w:line="360" w:lineRule="auto"/>
              <w:rPr>
                <w:rFonts w:hAnsi="宋体" w:cs="宋体"/>
                <w:color w:val="auto"/>
                <w:sz w:val="21"/>
                <w:highlight w:val="none"/>
              </w:rPr>
            </w:pPr>
            <w:r>
              <w:rPr>
                <w:rFonts w:hint="eastAsia" w:hAnsi="宋体" w:cs="宋体"/>
                <w:color w:val="auto"/>
                <w:sz w:val="21"/>
                <w:highlight w:val="none"/>
              </w:rPr>
              <w:t>银行账号：4500 1604 4730 5070 8266</w:t>
            </w:r>
          </w:p>
        </w:tc>
      </w:tr>
      <w:tr w14:paraId="2643F2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2D1B2EE2">
            <w:pPr>
              <w:snapToGrid w:val="0"/>
              <w:spacing w:line="360" w:lineRule="auto"/>
              <w:jc w:val="center"/>
              <w:rPr>
                <w:rFonts w:ascii="宋体" w:hAnsi="宋体"/>
                <w:color w:val="auto"/>
                <w:szCs w:val="21"/>
                <w:highlight w:val="none"/>
              </w:rPr>
            </w:pPr>
            <w:r>
              <w:rPr>
                <w:rFonts w:ascii="宋体" w:hAnsi="宋体"/>
                <w:color w:val="auto"/>
                <w:szCs w:val="21"/>
                <w:highlight w:val="none"/>
              </w:rPr>
              <w:t>40.1</w:t>
            </w:r>
          </w:p>
        </w:tc>
        <w:tc>
          <w:tcPr>
            <w:tcW w:w="8175" w:type="dxa"/>
            <w:tcBorders>
              <w:top w:val="single" w:color="auto" w:sz="4" w:space="0"/>
              <w:left w:val="single" w:color="auto" w:sz="4" w:space="0"/>
              <w:bottom w:val="single" w:color="auto" w:sz="4" w:space="0"/>
              <w:right w:val="single" w:color="auto" w:sz="4" w:space="0"/>
            </w:tcBorders>
            <w:vAlign w:val="center"/>
          </w:tcPr>
          <w:p w14:paraId="01654F94">
            <w:pPr>
              <w:snapToGrid w:val="0"/>
              <w:spacing w:line="360" w:lineRule="auto"/>
              <w:rPr>
                <w:rFonts w:ascii="宋体" w:hAnsi="宋体"/>
                <w:color w:val="auto"/>
                <w:szCs w:val="21"/>
                <w:highlight w:val="none"/>
              </w:rPr>
            </w:pPr>
            <w:r>
              <w:rPr>
                <w:rFonts w:hint="eastAsia" w:ascii="宋体" w:hAnsi="宋体"/>
                <w:color w:val="auto"/>
                <w:szCs w:val="21"/>
                <w:highlight w:val="none"/>
              </w:rPr>
              <w:t>解释：</w:t>
            </w:r>
            <w:r>
              <w:rPr>
                <w:rFonts w:ascii="宋体" w:hAnsi="宋体"/>
                <w:color w:val="auto"/>
                <w:szCs w:val="21"/>
                <w:highlight w:val="none"/>
              </w:rPr>
              <w:t>构成本招标文件的各个组成文件应互为解释，互为说明；除招标文件中有特别规定外，仅适用于招标投标阶段的规定，按</w:t>
            </w:r>
            <w:r>
              <w:rPr>
                <w:rFonts w:hint="eastAsia" w:ascii="宋体" w:hAnsi="宋体"/>
                <w:color w:val="auto"/>
                <w:szCs w:val="21"/>
                <w:highlight w:val="none"/>
              </w:rPr>
              <w:t>更正公告（澄清公告）</w:t>
            </w:r>
            <w:r>
              <w:rPr>
                <w:rFonts w:ascii="宋体" w:hAnsi="宋体"/>
                <w:color w:val="auto"/>
                <w:szCs w:val="21"/>
                <w:highlight w:val="none"/>
              </w:rPr>
              <w:t>、招标公告、</w:t>
            </w:r>
            <w:r>
              <w:rPr>
                <w:rFonts w:hint="eastAsia" w:ascii="宋体" w:hAnsi="宋体"/>
                <w:color w:val="auto"/>
                <w:szCs w:val="21"/>
                <w:highlight w:val="none"/>
              </w:rPr>
              <w:t>采购需求、</w:t>
            </w:r>
            <w:r>
              <w:rPr>
                <w:rFonts w:ascii="宋体" w:hAnsi="宋体"/>
                <w:color w:val="auto"/>
                <w:szCs w:val="21"/>
                <w:highlight w:val="none"/>
              </w:rPr>
              <w:t>投标人须知、</w:t>
            </w:r>
            <w:r>
              <w:rPr>
                <w:rFonts w:hint="eastAsia" w:ascii="宋体" w:hAnsi="宋体"/>
                <w:color w:val="auto"/>
                <w:szCs w:val="21"/>
                <w:highlight w:val="none"/>
              </w:rPr>
              <w:t>评标方法及评标标准</w:t>
            </w:r>
            <w:r>
              <w:rPr>
                <w:rFonts w:ascii="宋体" w:hAnsi="宋体"/>
                <w:color w:val="auto"/>
                <w:szCs w:val="21"/>
                <w:highlight w:val="none"/>
              </w:rPr>
              <w:t>、</w:t>
            </w:r>
            <w:r>
              <w:rPr>
                <w:rFonts w:hint="eastAsia" w:ascii="宋体" w:hAnsi="宋体"/>
                <w:color w:val="auto"/>
                <w:szCs w:val="21"/>
                <w:highlight w:val="none"/>
              </w:rPr>
              <w:t>拟签订的合同文本、</w:t>
            </w:r>
            <w:r>
              <w:rPr>
                <w:rFonts w:ascii="宋体" w:hAnsi="宋体"/>
                <w:color w:val="auto"/>
                <w:szCs w:val="21"/>
                <w:highlight w:val="none"/>
              </w:rPr>
              <w:t>投标文件格式的先后顺序解释；同一组成文件中就同一事项的规定或者约定不一致的，以编排顺序在后者为准；同一组成文件不同版本之间有不一致的，以形成时间在后者为准；</w:t>
            </w:r>
            <w:r>
              <w:rPr>
                <w:rFonts w:hint="eastAsia" w:ascii="宋体" w:hAnsi="宋体"/>
                <w:color w:val="auto"/>
                <w:szCs w:val="21"/>
                <w:highlight w:val="none"/>
              </w:rPr>
              <w:t>更正公告（澄清公告）</w:t>
            </w:r>
            <w:r>
              <w:rPr>
                <w:rFonts w:ascii="宋体" w:hAnsi="宋体"/>
                <w:color w:val="auto"/>
                <w:szCs w:val="21"/>
                <w:highlight w:val="none"/>
              </w:rPr>
              <w:t>与同步更新的招标文件不一致时以</w:t>
            </w:r>
            <w:r>
              <w:rPr>
                <w:rFonts w:hint="eastAsia" w:ascii="宋体" w:hAnsi="宋体"/>
                <w:color w:val="auto"/>
                <w:szCs w:val="21"/>
                <w:highlight w:val="none"/>
              </w:rPr>
              <w:t>更正公告（澄清公告）</w:t>
            </w:r>
            <w:r>
              <w:rPr>
                <w:rFonts w:ascii="宋体" w:hAnsi="宋体"/>
                <w:color w:val="auto"/>
                <w:szCs w:val="21"/>
                <w:highlight w:val="none"/>
              </w:rPr>
              <w:t>为准。按本款前述规定仍不能形成结论的，由</w:t>
            </w:r>
            <w:r>
              <w:rPr>
                <w:rFonts w:hint="eastAsia" w:ascii="宋体" w:hAnsi="宋体"/>
                <w:color w:val="auto"/>
                <w:szCs w:val="21"/>
                <w:highlight w:val="none"/>
              </w:rPr>
              <w:t>采购</w:t>
            </w:r>
            <w:r>
              <w:rPr>
                <w:rFonts w:ascii="宋体" w:hAnsi="宋体"/>
                <w:color w:val="auto"/>
                <w:szCs w:val="21"/>
                <w:highlight w:val="none"/>
              </w:rPr>
              <w:t>人</w:t>
            </w:r>
            <w:r>
              <w:rPr>
                <w:rFonts w:hint="eastAsia" w:ascii="宋体" w:hAnsi="宋体"/>
                <w:color w:val="auto"/>
                <w:szCs w:val="21"/>
                <w:highlight w:val="none"/>
              </w:rPr>
              <w:t>或者采购代理机构</w:t>
            </w:r>
            <w:r>
              <w:rPr>
                <w:rFonts w:ascii="宋体" w:hAnsi="宋体"/>
                <w:color w:val="auto"/>
                <w:szCs w:val="21"/>
                <w:highlight w:val="none"/>
              </w:rPr>
              <w:t>负责解释。</w:t>
            </w:r>
          </w:p>
        </w:tc>
      </w:tr>
      <w:tr w14:paraId="316449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68AB172C">
            <w:pPr>
              <w:snapToGrid w:val="0"/>
              <w:spacing w:line="360" w:lineRule="auto"/>
              <w:jc w:val="center"/>
              <w:rPr>
                <w:rFonts w:ascii="宋体" w:hAnsi="宋体"/>
                <w:color w:val="auto"/>
                <w:szCs w:val="21"/>
                <w:highlight w:val="none"/>
              </w:rPr>
            </w:pPr>
            <w:r>
              <w:rPr>
                <w:rFonts w:ascii="宋体" w:hAnsi="宋体"/>
                <w:color w:val="auto"/>
                <w:szCs w:val="21"/>
                <w:highlight w:val="none"/>
              </w:rPr>
              <w:t>40.2</w:t>
            </w:r>
          </w:p>
        </w:tc>
        <w:tc>
          <w:tcPr>
            <w:tcW w:w="8175" w:type="dxa"/>
            <w:tcBorders>
              <w:top w:val="single" w:color="auto" w:sz="4" w:space="0"/>
              <w:left w:val="single" w:color="auto" w:sz="4" w:space="0"/>
              <w:bottom w:val="single" w:color="auto" w:sz="4" w:space="0"/>
              <w:right w:val="single" w:color="auto" w:sz="4" w:space="0"/>
            </w:tcBorders>
            <w:vAlign w:val="center"/>
          </w:tcPr>
          <w:p w14:paraId="0D3CE9E0">
            <w:pPr>
              <w:pStyle w:val="23"/>
              <w:snapToGrid w:val="0"/>
              <w:spacing w:line="360" w:lineRule="auto"/>
              <w:rPr>
                <w:rFonts w:hAnsi="宋体" w:cs="宋体"/>
                <w:bCs/>
                <w:color w:val="auto"/>
                <w:sz w:val="21"/>
                <w:highlight w:val="none"/>
              </w:rPr>
            </w:pPr>
            <w:r>
              <w:rPr>
                <w:rFonts w:hint="eastAsia" w:hAnsi="宋体" w:cs="宋体"/>
                <w:bCs/>
                <w:color w:val="auto"/>
                <w:sz w:val="21"/>
                <w:highlight w:val="none"/>
              </w:rPr>
              <w:t>1.本招标文件中描述投标人的“公章”是指根据我国对公章的管理规定，用投标人法定主体行为名称制作的印章，除本招标文件有特殊规定外，投标人的财务章、部门章、分公司章、工会章、合同章、投标专用章、业务专用章及银行的转账章、现金收讫章、现金付讫章等其他形式印章均不能代替公章。</w:t>
            </w:r>
          </w:p>
          <w:p w14:paraId="5B48B13E">
            <w:pPr>
              <w:pStyle w:val="23"/>
              <w:snapToGrid w:val="0"/>
              <w:spacing w:line="360" w:lineRule="auto"/>
              <w:rPr>
                <w:rFonts w:hAnsi="宋体" w:cs="宋体"/>
                <w:bCs/>
                <w:color w:val="auto"/>
                <w:sz w:val="21"/>
                <w:highlight w:val="none"/>
              </w:rPr>
            </w:pPr>
            <w:r>
              <w:rPr>
                <w:rFonts w:hint="eastAsia" w:hAnsi="宋体" w:cs="宋体"/>
                <w:bCs/>
                <w:color w:val="auto"/>
                <w:sz w:val="21"/>
                <w:highlight w:val="none"/>
              </w:rPr>
              <w:t>2.本招标文件所称的“</w:t>
            </w:r>
            <w:r>
              <w:rPr>
                <w:rFonts w:hint="eastAsia" w:hAnsi="宋体"/>
                <w:color w:val="auto"/>
                <w:sz w:val="21"/>
                <w:highlight w:val="none"/>
              </w:rPr>
              <w:t>电子签章</w:t>
            </w:r>
            <w:r>
              <w:rPr>
                <w:rFonts w:hint="eastAsia" w:hAnsi="宋体" w:cs="宋体"/>
                <w:bCs/>
                <w:color w:val="auto"/>
                <w:sz w:val="21"/>
                <w:highlight w:val="none"/>
              </w:rPr>
              <w:t>”、“电子签名”</w:t>
            </w:r>
            <w:r>
              <w:rPr>
                <w:rFonts w:hint="eastAsia" w:hAnsi="宋体"/>
                <w:color w:val="auto"/>
                <w:sz w:val="21"/>
                <w:highlight w:val="none"/>
              </w:rPr>
              <w:t>，是指经广西政府采购云平台认可的CA认证的电子签名数据为表现形式的印章，可用于签署电子投标文件，电子印章与实物印章具有同等法律效力，不因其采用电子化表现形式而否定其法律效力。</w:t>
            </w:r>
          </w:p>
          <w:p w14:paraId="501BD1DB">
            <w:pPr>
              <w:pStyle w:val="23"/>
              <w:snapToGrid w:val="0"/>
              <w:spacing w:line="360" w:lineRule="auto"/>
              <w:rPr>
                <w:rFonts w:hAnsi="宋体" w:cs="宋体"/>
                <w:bCs/>
                <w:color w:val="auto"/>
                <w:sz w:val="21"/>
                <w:highlight w:val="none"/>
              </w:rPr>
            </w:pPr>
            <w:r>
              <w:rPr>
                <w:rFonts w:hint="eastAsia" w:hAnsi="宋体" w:cs="宋体"/>
                <w:bCs/>
                <w:color w:val="auto"/>
                <w:sz w:val="21"/>
                <w:highlight w:val="none"/>
              </w:rPr>
              <w:t>3.投标人为其他组织或者自然人时，本招标文件规定的法定代表人指负责人或者自然人。本招标文件所称负责人是指参加投标的其他组织营业执照或者执业许可证等证照上的负责人，本招标文件所称自然人指参与投标的自然人本人，且应具备独立承担民事责任能力，自然人应当为年满18岁以上成年人（十六周岁以上的未成年人，以自己的劳动收入为主要生活来源的，视为完全民事行为能力人）。</w:t>
            </w:r>
          </w:p>
          <w:p w14:paraId="374FD754">
            <w:pPr>
              <w:pStyle w:val="23"/>
              <w:snapToGrid w:val="0"/>
              <w:spacing w:line="360" w:lineRule="auto"/>
              <w:rPr>
                <w:rFonts w:hAnsi="宋体" w:cs="宋体"/>
                <w:bCs/>
                <w:color w:val="auto"/>
                <w:sz w:val="21"/>
                <w:highlight w:val="none"/>
              </w:rPr>
            </w:pPr>
            <w:r>
              <w:rPr>
                <w:rFonts w:hint="eastAsia" w:hAnsi="宋体" w:cs="宋体"/>
                <w:bCs/>
                <w:color w:val="auto"/>
                <w:sz w:val="21"/>
                <w:highlight w:val="none"/>
              </w:rPr>
              <w:t>4.本招标文件中描述投标人的“签字”是指投标人的法定代表人或者委托代理人亲自在文件规定签字处亲笔写上个人的名字的行为，私章、签字章、印鉴、影印等其他形式均不能代替亲笔签字。</w:t>
            </w:r>
          </w:p>
          <w:p w14:paraId="66DA41B5">
            <w:pPr>
              <w:pStyle w:val="23"/>
              <w:snapToGrid w:val="0"/>
              <w:spacing w:line="360" w:lineRule="auto"/>
              <w:rPr>
                <w:rFonts w:hAnsi="宋体"/>
                <w:color w:val="auto"/>
                <w:highlight w:val="none"/>
              </w:rPr>
            </w:pPr>
            <w:r>
              <w:rPr>
                <w:rFonts w:hint="eastAsia" w:hAnsi="宋体" w:cs="宋体"/>
                <w:bCs/>
                <w:color w:val="auto"/>
                <w:sz w:val="21"/>
                <w:highlight w:val="none"/>
              </w:rPr>
              <w:t>5.本招标文件所称的“以上”“以下”“以内”“届满”，包括本数；所称的“不满”“超过”“以外”，不包括本数。</w:t>
            </w:r>
          </w:p>
        </w:tc>
      </w:tr>
    </w:tbl>
    <w:p w14:paraId="12615821">
      <w:pPr>
        <w:pStyle w:val="4"/>
        <w:keepNext w:val="0"/>
        <w:keepLines w:val="0"/>
        <w:jc w:val="center"/>
        <w:rPr>
          <w:color w:val="auto"/>
          <w:highlight w:val="none"/>
        </w:rPr>
      </w:pPr>
      <w:r>
        <w:rPr>
          <w:color w:val="auto"/>
          <w:highlight w:val="none"/>
        </w:rPr>
        <w:br w:type="page"/>
      </w:r>
      <w:r>
        <w:rPr>
          <w:rFonts w:hint="eastAsia"/>
          <w:color w:val="auto"/>
          <w:highlight w:val="none"/>
        </w:rPr>
        <w:t>投标人须知正文</w:t>
      </w:r>
    </w:p>
    <w:p w14:paraId="27D27347">
      <w:pPr>
        <w:pStyle w:val="4"/>
        <w:keepNext w:val="0"/>
        <w:keepLines w:val="0"/>
        <w:spacing w:line="300" w:lineRule="auto"/>
        <w:jc w:val="center"/>
        <w:rPr>
          <w:color w:val="auto"/>
          <w:highlight w:val="none"/>
        </w:rPr>
      </w:pPr>
      <w:r>
        <w:rPr>
          <w:rFonts w:hint="eastAsia"/>
          <w:color w:val="auto"/>
          <w:highlight w:val="none"/>
        </w:rPr>
        <w:t>一、总  则</w:t>
      </w:r>
    </w:p>
    <w:p w14:paraId="0E09BB5F">
      <w:pPr>
        <w:pStyle w:val="6"/>
        <w:keepNext w:val="0"/>
        <w:keepLines w:val="0"/>
        <w:spacing w:before="0" w:after="0" w:line="420" w:lineRule="exact"/>
        <w:rPr>
          <w:rFonts w:ascii="黑体" w:hAnsi="黑体" w:eastAsia="黑体"/>
          <w:color w:val="auto"/>
          <w:sz w:val="24"/>
          <w:highlight w:val="none"/>
        </w:rPr>
      </w:pPr>
      <w:bookmarkStart w:id="86" w:name="_Toc254970668"/>
      <w:bookmarkStart w:id="87" w:name="_Toc254970527"/>
      <w:r>
        <w:rPr>
          <w:rFonts w:hint="eastAsia" w:ascii="黑体" w:hAnsi="黑体" w:eastAsia="黑体"/>
          <w:color w:val="auto"/>
          <w:sz w:val="24"/>
          <w:highlight w:val="none"/>
        </w:rPr>
        <w:t>1.适用范围</w:t>
      </w:r>
      <w:bookmarkEnd w:id="86"/>
      <w:bookmarkEnd w:id="87"/>
    </w:p>
    <w:p w14:paraId="03012643">
      <w:pPr>
        <w:snapToGrid w:val="0"/>
        <w:spacing w:line="420" w:lineRule="exact"/>
        <w:ind w:firstLine="398" w:firstLineChars="200"/>
        <w:jc w:val="left"/>
        <w:rPr>
          <w:rFonts w:ascii="宋体" w:hAnsi="宋体"/>
          <w:color w:val="auto"/>
          <w:szCs w:val="21"/>
          <w:highlight w:val="none"/>
        </w:rPr>
      </w:pPr>
      <w:r>
        <w:rPr>
          <w:rFonts w:hint="eastAsia" w:ascii="宋体" w:hAnsi="宋体"/>
          <w:color w:val="auto"/>
          <w:szCs w:val="21"/>
          <w:highlight w:val="none"/>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450926C9">
      <w:pPr>
        <w:snapToGrid w:val="0"/>
        <w:spacing w:line="420" w:lineRule="exact"/>
        <w:ind w:firstLine="398" w:firstLineChars="200"/>
        <w:jc w:val="left"/>
        <w:rPr>
          <w:rFonts w:ascii="宋体" w:hAnsi="宋体"/>
          <w:color w:val="auto"/>
          <w:szCs w:val="21"/>
          <w:highlight w:val="none"/>
        </w:rPr>
      </w:pPr>
      <w:r>
        <w:rPr>
          <w:rFonts w:hint="eastAsia" w:ascii="宋体" w:hAnsi="宋体"/>
          <w:color w:val="auto"/>
          <w:szCs w:val="21"/>
          <w:highlight w:val="none"/>
        </w:rPr>
        <w:t>1.2本招标文件</w:t>
      </w:r>
      <w:r>
        <w:rPr>
          <w:rFonts w:hint="eastAsia" w:ascii="宋体" w:hAnsi="宋体" w:cs="宋体"/>
          <w:color w:val="auto"/>
          <w:spacing w:val="-6"/>
          <w:szCs w:val="21"/>
          <w:highlight w:val="none"/>
        </w:rPr>
        <w:t>适用于本项目的所有采购程序和环节（法律、法规另有规定的，从其规定）。</w:t>
      </w:r>
    </w:p>
    <w:p w14:paraId="7131606D">
      <w:pPr>
        <w:pStyle w:val="6"/>
        <w:keepNext w:val="0"/>
        <w:keepLines w:val="0"/>
        <w:spacing w:before="0" w:after="0" w:line="420" w:lineRule="exact"/>
        <w:rPr>
          <w:rFonts w:ascii="黑体" w:hAnsi="黑体" w:eastAsia="黑体"/>
          <w:color w:val="auto"/>
          <w:sz w:val="24"/>
          <w:highlight w:val="none"/>
        </w:rPr>
      </w:pPr>
      <w:bookmarkStart w:id="88" w:name="_Toc254970669"/>
      <w:bookmarkStart w:id="89" w:name="_Toc254970528"/>
      <w:r>
        <w:rPr>
          <w:rFonts w:hint="eastAsia" w:ascii="黑体" w:hAnsi="黑体" w:eastAsia="黑体"/>
          <w:color w:val="auto"/>
          <w:sz w:val="24"/>
          <w:highlight w:val="none"/>
        </w:rPr>
        <w:t>2.定义</w:t>
      </w:r>
      <w:bookmarkEnd w:id="88"/>
      <w:bookmarkEnd w:id="89"/>
    </w:p>
    <w:p w14:paraId="08C1FAE6">
      <w:pPr>
        <w:snapToGrid w:val="0"/>
        <w:spacing w:line="420" w:lineRule="exact"/>
        <w:ind w:firstLine="398" w:firstLineChars="200"/>
        <w:jc w:val="left"/>
        <w:rPr>
          <w:rFonts w:ascii="宋体" w:hAnsi="宋体"/>
          <w:color w:val="auto"/>
          <w:szCs w:val="21"/>
          <w:highlight w:val="none"/>
        </w:rPr>
      </w:pPr>
      <w:r>
        <w:rPr>
          <w:rFonts w:hint="eastAsia" w:ascii="宋体" w:hAnsi="宋体"/>
          <w:color w:val="auto"/>
          <w:szCs w:val="21"/>
          <w:highlight w:val="none"/>
        </w:rPr>
        <w:t>2.1“采购人”是指依法进行政府采购的国家机关、事业单位、团体组织。</w:t>
      </w:r>
    </w:p>
    <w:p w14:paraId="581FFB4D">
      <w:pPr>
        <w:snapToGrid w:val="0"/>
        <w:spacing w:line="420" w:lineRule="exact"/>
        <w:ind w:firstLine="398" w:firstLineChars="200"/>
        <w:jc w:val="left"/>
        <w:rPr>
          <w:rFonts w:ascii="宋体" w:hAnsi="宋体"/>
          <w:color w:val="auto"/>
          <w:szCs w:val="21"/>
          <w:highlight w:val="none"/>
        </w:rPr>
      </w:pPr>
      <w:r>
        <w:rPr>
          <w:rFonts w:hint="eastAsia" w:ascii="宋体" w:hAnsi="宋体"/>
          <w:color w:val="auto"/>
          <w:szCs w:val="21"/>
          <w:highlight w:val="none"/>
        </w:rPr>
        <w:t>2.2“采购代理机构”是指政府采购集中采购机构和集中采购机构以外的采购代理机构。</w:t>
      </w:r>
    </w:p>
    <w:p w14:paraId="6C82F090">
      <w:pPr>
        <w:snapToGrid w:val="0"/>
        <w:spacing w:line="420" w:lineRule="exact"/>
        <w:ind w:firstLine="398" w:firstLineChars="200"/>
        <w:jc w:val="left"/>
        <w:rPr>
          <w:rFonts w:ascii="宋体" w:hAnsi="宋体"/>
          <w:color w:val="auto"/>
          <w:szCs w:val="21"/>
          <w:highlight w:val="none"/>
        </w:rPr>
      </w:pPr>
      <w:r>
        <w:rPr>
          <w:rFonts w:hint="eastAsia" w:ascii="宋体" w:hAnsi="宋体"/>
          <w:color w:val="auto"/>
          <w:szCs w:val="21"/>
          <w:highlight w:val="none"/>
        </w:rPr>
        <w:t>2.3“供应商”是指向采购人提供货物、工程或者服务的法人、其他组织或者自然人。</w:t>
      </w:r>
    </w:p>
    <w:p w14:paraId="00D82192">
      <w:pPr>
        <w:snapToGrid w:val="0"/>
        <w:spacing w:line="420" w:lineRule="exact"/>
        <w:ind w:firstLine="398" w:firstLineChars="200"/>
        <w:jc w:val="left"/>
        <w:rPr>
          <w:rFonts w:ascii="宋体" w:hAnsi="宋体"/>
          <w:color w:val="auto"/>
          <w:szCs w:val="21"/>
          <w:highlight w:val="none"/>
        </w:rPr>
      </w:pPr>
      <w:r>
        <w:rPr>
          <w:rFonts w:hint="eastAsia" w:ascii="宋体" w:hAnsi="宋体"/>
          <w:color w:val="auto"/>
          <w:szCs w:val="21"/>
          <w:highlight w:val="none"/>
        </w:rPr>
        <w:t>2.4“投标人”是指响应招标、参加投标竞争的法人、其他组织或者自然人。</w:t>
      </w:r>
    </w:p>
    <w:p w14:paraId="4E82A86A">
      <w:pPr>
        <w:snapToGrid w:val="0"/>
        <w:spacing w:line="420" w:lineRule="exact"/>
        <w:ind w:firstLine="398" w:firstLineChars="200"/>
        <w:jc w:val="left"/>
        <w:rPr>
          <w:rFonts w:ascii="宋体" w:hAnsi="宋体"/>
          <w:color w:val="auto"/>
          <w:szCs w:val="21"/>
          <w:highlight w:val="none"/>
        </w:rPr>
      </w:pPr>
      <w:r>
        <w:rPr>
          <w:rFonts w:hint="eastAsia" w:ascii="宋体" w:hAnsi="宋体"/>
          <w:color w:val="auto"/>
          <w:szCs w:val="21"/>
          <w:highlight w:val="none"/>
        </w:rPr>
        <w:t>2.5“服务”是指除货物和工程以外的其他政府采购对象。</w:t>
      </w:r>
    </w:p>
    <w:p w14:paraId="7B45CDA7">
      <w:pPr>
        <w:snapToGrid w:val="0"/>
        <w:spacing w:line="420" w:lineRule="exact"/>
        <w:ind w:firstLine="398" w:firstLineChars="200"/>
        <w:jc w:val="left"/>
        <w:rPr>
          <w:rFonts w:ascii="宋体" w:hAnsi="宋体"/>
          <w:color w:val="auto"/>
          <w:szCs w:val="21"/>
          <w:highlight w:val="none"/>
        </w:rPr>
      </w:pPr>
      <w:r>
        <w:rPr>
          <w:rFonts w:hint="eastAsia" w:ascii="宋体" w:hAnsi="宋体"/>
          <w:color w:val="auto"/>
          <w:szCs w:val="21"/>
          <w:highlight w:val="none"/>
        </w:rPr>
        <w:t xml:space="preserve">    2.6“书面形式”是指合同书、信件和数据电文（包括电报、电传、传真、电子数据交换和电子邮件）等可以有形地表现所载内容的形式。</w:t>
      </w:r>
    </w:p>
    <w:p w14:paraId="596B1E03">
      <w:pPr>
        <w:snapToGrid w:val="0"/>
        <w:spacing w:line="420" w:lineRule="exact"/>
        <w:ind w:firstLine="398" w:firstLineChars="200"/>
        <w:jc w:val="left"/>
        <w:rPr>
          <w:rFonts w:ascii="宋体" w:hAnsi="宋体"/>
          <w:color w:val="auto"/>
          <w:szCs w:val="21"/>
          <w:highlight w:val="none"/>
        </w:rPr>
      </w:pPr>
      <w:r>
        <w:rPr>
          <w:rFonts w:hint="eastAsia" w:ascii="宋体" w:hAnsi="宋体"/>
          <w:color w:val="auto"/>
          <w:szCs w:val="21"/>
          <w:highlight w:val="none"/>
        </w:rPr>
        <w:t>2.7“实质性要求”是指招标文件中已经指明不满足则投标无效的条款，或者不能负偏离的条款，或者采购需求中带“▲”的条款。</w:t>
      </w:r>
    </w:p>
    <w:p w14:paraId="2351222E">
      <w:pPr>
        <w:snapToGrid w:val="0"/>
        <w:spacing w:line="420" w:lineRule="exact"/>
        <w:ind w:firstLine="398" w:firstLineChars="200"/>
        <w:jc w:val="left"/>
        <w:rPr>
          <w:rFonts w:ascii="宋体" w:hAnsi="宋体"/>
          <w:color w:val="auto"/>
          <w:szCs w:val="21"/>
          <w:highlight w:val="none"/>
        </w:rPr>
      </w:pPr>
      <w:r>
        <w:rPr>
          <w:rFonts w:hint="eastAsia" w:ascii="宋体" w:hAnsi="宋体"/>
          <w:color w:val="auto"/>
          <w:szCs w:val="21"/>
          <w:highlight w:val="none"/>
        </w:rPr>
        <w:t>2.8“正偏离”，是指投标文件对招标文件“采购需求”中有关条款作出的响应优于条款要求并有利于采购人的情形。</w:t>
      </w:r>
    </w:p>
    <w:p w14:paraId="38099BDB">
      <w:pPr>
        <w:snapToGrid w:val="0"/>
        <w:spacing w:line="420" w:lineRule="exact"/>
        <w:ind w:firstLine="398" w:firstLineChars="200"/>
        <w:jc w:val="left"/>
        <w:rPr>
          <w:rFonts w:ascii="宋体" w:hAnsi="宋体"/>
          <w:color w:val="auto"/>
          <w:szCs w:val="21"/>
          <w:highlight w:val="none"/>
        </w:rPr>
      </w:pPr>
      <w:r>
        <w:rPr>
          <w:rFonts w:hint="eastAsia" w:ascii="宋体" w:hAnsi="宋体"/>
          <w:color w:val="auto"/>
          <w:szCs w:val="21"/>
          <w:highlight w:val="none"/>
        </w:rPr>
        <w:t>2.9“负偏离”，是指投标文件对招标文件“采购需求”中有关条款作出的响应不满足条款要求，导致采购人要求不能得到满足的情形。</w:t>
      </w:r>
    </w:p>
    <w:p w14:paraId="1CA6D399">
      <w:pPr>
        <w:snapToGrid w:val="0"/>
        <w:spacing w:line="420" w:lineRule="exact"/>
        <w:ind w:firstLine="398" w:firstLineChars="200"/>
        <w:jc w:val="left"/>
        <w:rPr>
          <w:rFonts w:ascii="宋体" w:hAnsi="宋体"/>
          <w:color w:val="auto"/>
          <w:szCs w:val="21"/>
          <w:highlight w:val="none"/>
        </w:rPr>
      </w:pPr>
      <w:r>
        <w:rPr>
          <w:rFonts w:hint="eastAsia" w:ascii="宋体" w:hAnsi="宋体"/>
          <w:color w:val="auto"/>
          <w:szCs w:val="21"/>
          <w:highlight w:val="none"/>
        </w:rPr>
        <w:t>2.10“允许负偏离的条款”是指采购需求中的不属于“实质性要求”的条款。</w:t>
      </w:r>
      <w:bookmarkStart w:id="90" w:name="_Toc254970529"/>
      <w:bookmarkStart w:id="91" w:name="_Toc254970670"/>
    </w:p>
    <w:p w14:paraId="7160DBD5">
      <w:pPr>
        <w:pStyle w:val="6"/>
        <w:keepNext w:val="0"/>
        <w:keepLines w:val="0"/>
        <w:spacing w:before="0" w:after="0" w:line="420" w:lineRule="exact"/>
        <w:rPr>
          <w:rFonts w:ascii="黑体" w:hAnsi="黑体" w:eastAsia="黑体"/>
          <w:color w:val="auto"/>
          <w:sz w:val="24"/>
          <w:highlight w:val="none"/>
        </w:rPr>
      </w:pPr>
      <w:r>
        <w:rPr>
          <w:rFonts w:hint="eastAsia" w:ascii="黑体" w:hAnsi="黑体" w:eastAsia="黑体"/>
          <w:color w:val="auto"/>
          <w:sz w:val="24"/>
          <w:highlight w:val="none"/>
        </w:rPr>
        <w:t>3.</w:t>
      </w:r>
      <w:bookmarkEnd w:id="90"/>
      <w:bookmarkEnd w:id="91"/>
      <w:r>
        <w:rPr>
          <w:rFonts w:hint="eastAsia" w:ascii="黑体" w:hAnsi="黑体" w:eastAsia="黑体"/>
          <w:color w:val="auto"/>
          <w:sz w:val="24"/>
          <w:highlight w:val="none"/>
        </w:rPr>
        <w:t>投标人的资格要求</w:t>
      </w:r>
    </w:p>
    <w:p w14:paraId="6722B970">
      <w:pPr>
        <w:snapToGrid w:val="0"/>
        <w:spacing w:line="420" w:lineRule="exact"/>
        <w:ind w:firstLine="398" w:firstLineChars="200"/>
        <w:jc w:val="left"/>
        <w:rPr>
          <w:rFonts w:ascii="宋体" w:hAnsi="宋体"/>
          <w:color w:val="auto"/>
          <w:szCs w:val="21"/>
          <w:highlight w:val="none"/>
        </w:rPr>
      </w:pPr>
      <w:r>
        <w:rPr>
          <w:rFonts w:hint="eastAsia" w:ascii="宋体" w:hAnsi="宋体"/>
          <w:color w:val="auto"/>
          <w:szCs w:val="21"/>
          <w:highlight w:val="none"/>
        </w:rPr>
        <w:t>投标人的资格要求详见“投标人须知前附表”。</w:t>
      </w:r>
    </w:p>
    <w:p w14:paraId="7F0C289F">
      <w:pPr>
        <w:pStyle w:val="6"/>
        <w:keepNext w:val="0"/>
        <w:keepLines w:val="0"/>
        <w:spacing w:before="0" w:after="0" w:line="420" w:lineRule="exact"/>
        <w:rPr>
          <w:rFonts w:ascii="黑体" w:hAnsi="黑体" w:eastAsia="黑体"/>
          <w:color w:val="auto"/>
          <w:sz w:val="24"/>
          <w:highlight w:val="none"/>
        </w:rPr>
      </w:pPr>
      <w:bookmarkStart w:id="92" w:name="_Toc254970530"/>
      <w:bookmarkStart w:id="93" w:name="_Toc254970671"/>
      <w:r>
        <w:rPr>
          <w:rFonts w:hint="eastAsia" w:ascii="黑体" w:hAnsi="黑体" w:eastAsia="黑体"/>
          <w:color w:val="auto"/>
          <w:sz w:val="24"/>
          <w:highlight w:val="none"/>
        </w:rPr>
        <w:t>4.投标委托</w:t>
      </w:r>
      <w:bookmarkEnd w:id="92"/>
      <w:bookmarkEnd w:id="93"/>
    </w:p>
    <w:p w14:paraId="5A0E3B17">
      <w:pPr>
        <w:snapToGrid w:val="0"/>
        <w:spacing w:line="420" w:lineRule="exact"/>
        <w:ind w:firstLine="398" w:firstLineChars="200"/>
        <w:jc w:val="left"/>
        <w:rPr>
          <w:rFonts w:ascii="宋体" w:hAnsi="宋体"/>
          <w:color w:val="auto"/>
          <w:szCs w:val="21"/>
          <w:highlight w:val="none"/>
        </w:rPr>
      </w:pPr>
      <w:r>
        <w:rPr>
          <w:rFonts w:hint="eastAsia" w:ascii="宋体" w:hAnsi="宋体"/>
          <w:color w:val="auto"/>
          <w:szCs w:val="21"/>
          <w:highlight w:val="none"/>
        </w:rPr>
        <w:t>投标人代表参加投标活动过程中必须携带个人有效身份证件。如投标人代表不是法定代表人，须持有授权委托书（按第六章要求格式填写）。</w:t>
      </w:r>
    </w:p>
    <w:p w14:paraId="4D277F98">
      <w:pPr>
        <w:pStyle w:val="6"/>
        <w:keepNext w:val="0"/>
        <w:keepLines w:val="0"/>
        <w:spacing w:before="0" w:after="0" w:line="420" w:lineRule="exact"/>
        <w:rPr>
          <w:rFonts w:ascii="黑体" w:hAnsi="黑体" w:eastAsia="黑体"/>
          <w:color w:val="auto"/>
          <w:sz w:val="24"/>
          <w:highlight w:val="none"/>
        </w:rPr>
      </w:pPr>
      <w:bookmarkStart w:id="94" w:name="_5.投标费用"/>
      <w:bookmarkEnd w:id="94"/>
      <w:bookmarkStart w:id="95" w:name="_Toc254970672"/>
      <w:bookmarkStart w:id="96" w:name="_Toc254970531"/>
      <w:r>
        <w:rPr>
          <w:rFonts w:hint="eastAsia" w:ascii="黑体" w:hAnsi="黑体" w:eastAsia="黑体"/>
          <w:color w:val="auto"/>
          <w:sz w:val="24"/>
          <w:highlight w:val="none"/>
        </w:rPr>
        <w:t>5.投标费用</w:t>
      </w:r>
      <w:bookmarkEnd w:id="95"/>
      <w:bookmarkEnd w:id="96"/>
    </w:p>
    <w:p w14:paraId="3ABC3668">
      <w:pPr>
        <w:snapToGrid w:val="0"/>
        <w:spacing w:line="420" w:lineRule="exact"/>
        <w:ind w:firstLine="398" w:firstLineChars="200"/>
        <w:jc w:val="left"/>
        <w:rPr>
          <w:rFonts w:ascii="宋体" w:hAnsi="宋体"/>
          <w:color w:val="auto"/>
          <w:szCs w:val="21"/>
          <w:highlight w:val="none"/>
        </w:rPr>
      </w:pPr>
      <w:r>
        <w:rPr>
          <w:rFonts w:hint="eastAsia" w:ascii="宋体" w:hAnsi="宋体" w:cs="宋体"/>
          <w:color w:val="auto"/>
          <w:szCs w:val="21"/>
          <w:highlight w:val="none"/>
        </w:rPr>
        <w:t>投标费用：投标人应承担参与本次采购活动有关的所有费用，包括但不限于获取招标文件、勘查现场、编制和提交投标文件、参加澄清说明、签订合同等，不论投标结果如何，均应自行承担。</w:t>
      </w:r>
    </w:p>
    <w:p w14:paraId="59DE3F92">
      <w:pPr>
        <w:pStyle w:val="6"/>
        <w:keepNext w:val="0"/>
        <w:keepLines w:val="0"/>
        <w:spacing w:before="0" w:after="0" w:line="420" w:lineRule="exact"/>
        <w:rPr>
          <w:rFonts w:ascii="黑体" w:hAnsi="黑体" w:eastAsia="黑体"/>
          <w:color w:val="auto"/>
          <w:sz w:val="24"/>
          <w:highlight w:val="none"/>
        </w:rPr>
      </w:pPr>
      <w:r>
        <w:rPr>
          <w:rFonts w:hint="eastAsia" w:ascii="黑体" w:hAnsi="黑体" w:eastAsia="黑体"/>
          <w:color w:val="auto"/>
          <w:sz w:val="24"/>
          <w:highlight w:val="none"/>
        </w:rPr>
        <w:t>6.联合体投标</w:t>
      </w:r>
    </w:p>
    <w:p w14:paraId="40F2B4F1">
      <w:pPr>
        <w:snapToGrid w:val="0"/>
        <w:spacing w:line="420" w:lineRule="exact"/>
        <w:ind w:firstLine="398" w:firstLineChars="200"/>
        <w:jc w:val="left"/>
        <w:rPr>
          <w:rFonts w:ascii="宋体" w:hAnsi="宋体"/>
          <w:color w:val="auto"/>
          <w:szCs w:val="21"/>
          <w:highlight w:val="none"/>
        </w:rPr>
      </w:pPr>
      <w:r>
        <w:rPr>
          <w:rFonts w:hint="eastAsia" w:ascii="宋体" w:hAnsi="宋体"/>
          <w:color w:val="auto"/>
          <w:szCs w:val="21"/>
          <w:highlight w:val="none"/>
        </w:rPr>
        <w:t>6.1本项目是否接受联合体投标，详见“投标人须知前附表”。</w:t>
      </w:r>
    </w:p>
    <w:p w14:paraId="52C42BF5">
      <w:pPr>
        <w:snapToGrid w:val="0"/>
        <w:spacing w:line="420" w:lineRule="exact"/>
        <w:ind w:firstLine="398" w:firstLineChars="200"/>
        <w:jc w:val="left"/>
        <w:rPr>
          <w:rFonts w:ascii="宋体" w:hAnsi="宋体"/>
          <w:bCs/>
          <w:color w:val="auto"/>
          <w:szCs w:val="21"/>
          <w:highlight w:val="none"/>
        </w:rPr>
      </w:pPr>
      <w:r>
        <w:rPr>
          <w:rFonts w:hint="eastAsia" w:ascii="宋体" w:hAnsi="宋体"/>
          <w:bCs/>
          <w:color w:val="auto"/>
          <w:szCs w:val="21"/>
          <w:highlight w:val="none"/>
        </w:rPr>
        <w:t>6.2如接受联合体投标，联合体投标要求详见“投标人须知前附表”。</w:t>
      </w:r>
    </w:p>
    <w:p w14:paraId="4A3043BC">
      <w:pPr>
        <w:snapToGrid w:val="0"/>
        <w:spacing w:line="420" w:lineRule="exact"/>
        <w:ind w:firstLine="398" w:firstLineChars="200"/>
        <w:jc w:val="left"/>
        <w:rPr>
          <w:rFonts w:ascii="宋体" w:hAnsi="宋体"/>
          <w:color w:val="auto"/>
          <w:szCs w:val="21"/>
          <w:highlight w:val="none"/>
        </w:rPr>
      </w:pPr>
      <w:r>
        <w:rPr>
          <w:rFonts w:hint="eastAsia" w:ascii="宋体" w:hAnsi="宋体"/>
          <w:bCs/>
          <w:color w:val="auto"/>
          <w:szCs w:val="21"/>
          <w:highlight w:val="none"/>
        </w:rPr>
        <w:t>6.3根据《政府采购促进中小企业发展管理办法》（财库〔2020〕46号）及《广西壮族自治区财政厅关于持续优化政府采购营商环境推动高质量发展的通知》（桂财采〔2024〕55号）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的扣除，用扣除后的价格参加评审。</w:t>
      </w:r>
    </w:p>
    <w:p w14:paraId="1A75006A">
      <w:pPr>
        <w:pStyle w:val="6"/>
        <w:keepNext w:val="0"/>
        <w:keepLines w:val="0"/>
        <w:spacing w:before="0" w:after="0" w:line="420" w:lineRule="exact"/>
        <w:rPr>
          <w:rFonts w:ascii="黑体" w:hAnsi="黑体" w:eastAsia="黑体"/>
          <w:color w:val="auto"/>
          <w:sz w:val="24"/>
          <w:highlight w:val="none"/>
        </w:rPr>
      </w:pPr>
      <w:r>
        <w:rPr>
          <w:rFonts w:hint="eastAsia" w:ascii="黑体" w:hAnsi="黑体" w:eastAsia="黑体"/>
          <w:color w:val="auto"/>
          <w:sz w:val="24"/>
          <w:highlight w:val="none"/>
        </w:rPr>
        <w:t>7.转包与分包</w:t>
      </w:r>
    </w:p>
    <w:p w14:paraId="6B141205">
      <w:pPr>
        <w:snapToGrid w:val="0"/>
        <w:spacing w:line="420" w:lineRule="exact"/>
        <w:ind w:firstLine="398" w:firstLineChars="200"/>
        <w:jc w:val="left"/>
        <w:rPr>
          <w:rFonts w:ascii="宋体" w:hAnsi="宋体"/>
          <w:color w:val="auto"/>
          <w:szCs w:val="21"/>
          <w:highlight w:val="none"/>
        </w:rPr>
      </w:pPr>
      <w:bookmarkStart w:id="97" w:name="_Toc254970532"/>
      <w:bookmarkStart w:id="98" w:name="_Toc254970673"/>
      <w:r>
        <w:rPr>
          <w:rFonts w:hint="eastAsia" w:ascii="宋体" w:hAnsi="宋体"/>
          <w:color w:val="auto"/>
          <w:szCs w:val="21"/>
          <w:highlight w:val="none"/>
        </w:rPr>
        <w:t>7.1本项目不允许转包。</w:t>
      </w:r>
    </w:p>
    <w:p w14:paraId="4A328621">
      <w:pPr>
        <w:snapToGrid w:val="0"/>
        <w:spacing w:line="420" w:lineRule="exact"/>
        <w:ind w:firstLine="398" w:firstLineChars="200"/>
        <w:jc w:val="left"/>
        <w:rPr>
          <w:rFonts w:ascii="宋体" w:hAnsi="宋体"/>
          <w:color w:val="auto"/>
          <w:szCs w:val="21"/>
          <w:highlight w:val="none"/>
        </w:rPr>
      </w:pPr>
      <w:r>
        <w:rPr>
          <w:rFonts w:hint="eastAsia" w:ascii="宋体" w:hAnsi="宋体"/>
          <w:color w:val="auto"/>
          <w:szCs w:val="21"/>
          <w:highlight w:val="none"/>
        </w:rPr>
        <w:t>7.2本项目是否允许分包详见“投标人须知前附表”，本项目不允许违法分包。允许分包的非主体、非关键性工作，根据法律法规规定承担该工作需要行政许可的，如该工作由投标人自行承担，投标人应具备相应的行政许可，如投标人不具备相应的行政许可必须采用分包的方式，但分包投标人应具备相应行政许可。</w:t>
      </w:r>
    </w:p>
    <w:p w14:paraId="389B81A2">
      <w:pPr>
        <w:snapToGrid w:val="0"/>
        <w:spacing w:line="420" w:lineRule="exact"/>
        <w:ind w:firstLine="398" w:firstLineChars="200"/>
        <w:jc w:val="left"/>
        <w:rPr>
          <w:rFonts w:ascii="宋体" w:hAnsi="宋体"/>
          <w:color w:val="auto"/>
          <w:szCs w:val="21"/>
          <w:highlight w:val="none"/>
        </w:rPr>
      </w:pPr>
      <w:r>
        <w:rPr>
          <w:rFonts w:hint="eastAsia" w:ascii="宋体" w:hAnsi="宋体"/>
          <w:color w:val="auto"/>
          <w:szCs w:val="21"/>
          <w:highlight w:val="none"/>
        </w:rPr>
        <w:t>7.3投标人根据招标文件的规定和采购项目的实际情况，拟在中标后将中标项目的非主体、非关键性工作分包的，应当在投标文件中载明分包承担主体，分包承担主体应当具备相应资质条件且不得再次分包。</w:t>
      </w:r>
    </w:p>
    <w:p w14:paraId="629E7EC6">
      <w:pPr>
        <w:pStyle w:val="6"/>
        <w:keepNext w:val="0"/>
        <w:keepLines w:val="0"/>
        <w:spacing w:before="0" w:after="0" w:line="420" w:lineRule="exact"/>
        <w:rPr>
          <w:rFonts w:ascii="黑体" w:hAnsi="黑体" w:eastAsia="黑体"/>
          <w:color w:val="auto"/>
          <w:sz w:val="24"/>
          <w:highlight w:val="none"/>
        </w:rPr>
      </w:pPr>
      <w:r>
        <w:rPr>
          <w:rFonts w:hint="eastAsia" w:ascii="黑体" w:hAnsi="黑体" w:eastAsia="黑体"/>
          <w:color w:val="auto"/>
          <w:sz w:val="24"/>
          <w:highlight w:val="none"/>
        </w:rPr>
        <w:t>8.特别说明</w:t>
      </w:r>
      <w:bookmarkEnd w:id="97"/>
      <w:bookmarkEnd w:id="98"/>
    </w:p>
    <w:p w14:paraId="3EFE21C3">
      <w:pPr>
        <w:snapToGrid w:val="0"/>
        <w:spacing w:line="420" w:lineRule="exact"/>
        <w:ind w:firstLine="398" w:firstLineChars="200"/>
        <w:jc w:val="left"/>
        <w:rPr>
          <w:rFonts w:ascii="宋体" w:hAnsi="宋体"/>
          <w:color w:val="auto"/>
          <w:szCs w:val="21"/>
          <w:highlight w:val="none"/>
        </w:rPr>
      </w:pPr>
      <w:r>
        <w:rPr>
          <w:rFonts w:hint="eastAsia" w:ascii="宋体" w:hAnsi="宋体"/>
          <w:color w:val="auto"/>
          <w:szCs w:val="21"/>
          <w:highlight w:val="none"/>
        </w:rPr>
        <w:t>8.1如果本招标文件要求提供投标人或制造商的资格、信誉、荣誉、业绩与企业认证等材料的，资格、信誉、荣誉、业绩与企业认证等必须为投标人或者制造商所拥有或自身获得。</w:t>
      </w:r>
    </w:p>
    <w:p w14:paraId="48DAA978">
      <w:pPr>
        <w:snapToGrid w:val="0"/>
        <w:spacing w:line="420" w:lineRule="exact"/>
        <w:ind w:firstLine="398" w:firstLineChars="200"/>
        <w:jc w:val="left"/>
        <w:rPr>
          <w:rFonts w:ascii="宋体" w:hAnsi="宋体"/>
          <w:color w:val="auto"/>
          <w:szCs w:val="21"/>
          <w:highlight w:val="none"/>
        </w:rPr>
      </w:pPr>
      <w:r>
        <w:rPr>
          <w:rFonts w:hint="eastAsia" w:ascii="宋体" w:hAnsi="宋体"/>
          <w:color w:val="auto"/>
          <w:szCs w:val="21"/>
          <w:highlight w:val="none"/>
        </w:rPr>
        <w:t>8.2投标人应仔细阅读招标文件的所有内容，按照招标文件的要求提交投标文件，并对所提供的全部资料的真实性承担法律责任。</w:t>
      </w:r>
    </w:p>
    <w:p w14:paraId="5063913F">
      <w:pPr>
        <w:snapToGrid w:val="0"/>
        <w:spacing w:line="420" w:lineRule="exact"/>
        <w:ind w:firstLine="398" w:firstLineChars="200"/>
        <w:jc w:val="left"/>
        <w:rPr>
          <w:rFonts w:ascii="宋体" w:hAnsi="宋体"/>
          <w:color w:val="auto"/>
          <w:szCs w:val="21"/>
          <w:highlight w:val="none"/>
        </w:rPr>
      </w:pPr>
      <w:r>
        <w:rPr>
          <w:rFonts w:hint="eastAsia" w:ascii="宋体" w:hAnsi="宋体"/>
          <w:color w:val="auto"/>
          <w:szCs w:val="21"/>
          <w:highlight w:val="none"/>
        </w:rPr>
        <w:t>8.3投标人在投标活动中提供任何虚假材料，将报监管部门查处；中标后发现的，中标人须依照《中华人民共和国消费者权益保护法》规定赔偿采购人，且民事赔偿并不免除违法投标人的行政与刑事责任。</w:t>
      </w:r>
    </w:p>
    <w:p w14:paraId="771FCD17">
      <w:pPr>
        <w:pStyle w:val="6"/>
        <w:keepNext w:val="0"/>
        <w:keepLines w:val="0"/>
        <w:spacing w:before="0" w:after="0" w:line="420" w:lineRule="exact"/>
        <w:rPr>
          <w:rFonts w:ascii="黑体" w:hAnsi="黑体" w:eastAsia="黑体"/>
          <w:color w:val="auto"/>
          <w:sz w:val="24"/>
          <w:highlight w:val="none"/>
        </w:rPr>
      </w:pPr>
      <w:r>
        <w:rPr>
          <w:rFonts w:ascii="黑体" w:hAnsi="黑体" w:eastAsia="黑体"/>
          <w:color w:val="auto"/>
          <w:sz w:val="24"/>
          <w:highlight w:val="none"/>
        </w:rPr>
        <w:t>9.</w:t>
      </w:r>
      <w:r>
        <w:rPr>
          <w:rFonts w:hint="eastAsia" w:ascii="黑体" w:hAnsi="黑体" w:eastAsia="黑体"/>
          <w:color w:val="auto"/>
          <w:sz w:val="24"/>
          <w:highlight w:val="none"/>
        </w:rPr>
        <w:t>回避与串通投标</w:t>
      </w:r>
    </w:p>
    <w:p w14:paraId="60EB7A7E">
      <w:pPr>
        <w:pStyle w:val="6"/>
        <w:keepNext w:val="0"/>
        <w:keepLines w:val="0"/>
        <w:spacing w:before="0" w:after="0" w:line="420" w:lineRule="exact"/>
        <w:ind w:firstLine="348" w:firstLineChars="175"/>
        <w:rPr>
          <w:rFonts w:ascii="宋体" w:hAnsi="宋体"/>
          <w:b w:val="0"/>
          <w:color w:val="auto"/>
          <w:sz w:val="21"/>
          <w:szCs w:val="21"/>
          <w:highlight w:val="none"/>
        </w:rPr>
      </w:pPr>
      <w:r>
        <w:rPr>
          <w:rFonts w:hint="eastAsia" w:ascii="宋体" w:hAnsi="宋体"/>
          <w:b w:val="0"/>
          <w:color w:val="auto"/>
          <w:sz w:val="21"/>
          <w:szCs w:val="21"/>
          <w:highlight w:val="none"/>
        </w:rPr>
        <w:t>9</w:t>
      </w:r>
      <w:r>
        <w:rPr>
          <w:rFonts w:ascii="宋体" w:hAnsi="宋体"/>
          <w:b w:val="0"/>
          <w:color w:val="auto"/>
          <w:sz w:val="21"/>
          <w:szCs w:val="21"/>
          <w:highlight w:val="none"/>
        </w:rPr>
        <w:t>.1在政府采购活动中，采购人员及相关人员与</w:t>
      </w:r>
      <w:r>
        <w:rPr>
          <w:rFonts w:hint="eastAsia" w:ascii="宋体" w:hAnsi="宋体"/>
          <w:b w:val="0"/>
          <w:color w:val="auto"/>
          <w:sz w:val="21"/>
          <w:szCs w:val="21"/>
          <w:highlight w:val="none"/>
        </w:rPr>
        <w:t>供应商</w:t>
      </w:r>
      <w:r>
        <w:rPr>
          <w:rFonts w:ascii="宋体" w:hAnsi="宋体"/>
          <w:b w:val="0"/>
          <w:color w:val="auto"/>
          <w:sz w:val="21"/>
          <w:szCs w:val="21"/>
          <w:highlight w:val="none"/>
        </w:rPr>
        <w:t>有下列利害关系之一的，应当回避：</w:t>
      </w:r>
    </w:p>
    <w:p w14:paraId="47A14079">
      <w:pPr>
        <w:pStyle w:val="23"/>
        <w:snapToGrid w:val="0"/>
        <w:spacing w:line="420" w:lineRule="exact"/>
        <w:ind w:firstLine="398" w:firstLineChars="200"/>
        <w:rPr>
          <w:rFonts w:hAnsi="宋体"/>
          <w:color w:val="auto"/>
          <w:kern w:val="2"/>
          <w:sz w:val="21"/>
          <w:highlight w:val="none"/>
        </w:rPr>
      </w:pPr>
      <w:r>
        <w:rPr>
          <w:rFonts w:hAnsi="宋体"/>
          <w:color w:val="auto"/>
          <w:kern w:val="2"/>
          <w:sz w:val="21"/>
          <w:highlight w:val="none"/>
        </w:rPr>
        <w:t>（</w:t>
      </w:r>
      <w:r>
        <w:rPr>
          <w:rFonts w:hint="eastAsia" w:hAnsi="宋体"/>
          <w:color w:val="auto"/>
          <w:kern w:val="2"/>
          <w:sz w:val="21"/>
          <w:highlight w:val="none"/>
        </w:rPr>
        <w:t>1</w:t>
      </w:r>
      <w:r>
        <w:rPr>
          <w:rFonts w:hAnsi="宋体"/>
          <w:color w:val="auto"/>
          <w:kern w:val="2"/>
          <w:sz w:val="21"/>
          <w:highlight w:val="none"/>
        </w:rPr>
        <w:t>）参加采购活动前3年内与</w:t>
      </w:r>
      <w:r>
        <w:rPr>
          <w:rFonts w:hint="eastAsia" w:hAnsi="宋体"/>
          <w:color w:val="auto"/>
          <w:kern w:val="2"/>
          <w:sz w:val="21"/>
          <w:highlight w:val="none"/>
        </w:rPr>
        <w:t>供应商</w:t>
      </w:r>
      <w:r>
        <w:rPr>
          <w:rFonts w:hAnsi="宋体"/>
          <w:color w:val="auto"/>
          <w:kern w:val="2"/>
          <w:sz w:val="21"/>
          <w:highlight w:val="none"/>
        </w:rPr>
        <w:t>存在劳动关系；</w:t>
      </w:r>
    </w:p>
    <w:p w14:paraId="7BE29332">
      <w:pPr>
        <w:pStyle w:val="23"/>
        <w:snapToGrid w:val="0"/>
        <w:spacing w:line="420" w:lineRule="exact"/>
        <w:ind w:firstLine="398" w:firstLineChars="200"/>
        <w:rPr>
          <w:rFonts w:hAnsi="宋体"/>
          <w:color w:val="auto"/>
          <w:kern w:val="2"/>
          <w:sz w:val="21"/>
          <w:highlight w:val="none"/>
        </w:rPr>
      </w:pPr>
      <w:r>
        <w:rPr>
          <w:rFonts w:hAnsi="宋体"/>
          <w:color w:val="auto"/>
          <w:kern w:val="2"/>
          <w:sz w:val="21"/>
          <w:highlight w:val="none"/>
        </w:rPr>
        <w:t>（</w:t>
      </w:r>
      <w:r>
        <w:rPr>
          <w:rFonts w:hint="eastAsia" w:hAnsi="宋体"/>
          <w:color w:val="auto"/>
          <w:kern w:val="2"/>
          <w:sz w:val="21"/>
          <w:highlight w:val="none"/>
        </w:rPr>
        <w:t>2</w:t>
      </w:r>
      <w:r>
        <w:rPr>
          <w:rFonts w:hAnsi="宋体"/>
          <w:color w:val="auto"/>
          <w:kern w:val="2"/>
          <w:sz w:val="21"/>
          <w:highlight w:val="none"/>
        </w:rPr>
        <w:t>）参加采购活动前3年内担任</w:t>
      </w:r>
      <w:r>
        <w:rPr>
          <w:rFonts w:hint="eastAsia" w:hAnsi="宋体"/>
          <w:color w:val="auto"/>
          <w:kern w:val="2"/>
          <w:sz w:val="21"/>
          <w:highlight w:val="none"/>
        </w:rPr>
        <w:t>供应商</w:t>
      </w:r>
      <w:r>
        <w:rPr>
          <w:rFonts w:hAnsi="宋体"/>
          <w:color w:val="auto"/>
          <w:kern w:val="2"/>
          <w:sz w:val="21"/>
          <w:highlight w:val="none"/>
        </w:rPr>
        <w:t>的董事、监事；</w:t>
      </w:r>
    </w:p>
    <w:p w14:paraId="5B1AC87F">
      <w:pPr>
        <w:pStyle w:val="23"/>
        <w:snapToGrid w:val="0"/>
        <w:spacing w:line="420" w:lineRule="exact"/>
        <w:ind w:firstLine="398" w:firstLineChars="200"/>
        <w:rPr>
          <w:rFonts w:hAnsi="宋体"/>
          <w:color w:val="auto"/>
          <w:kern w:val="2"/>
          <w:sz w:val="21"/>
          <w:highlight w:val="none"/>
        </w:rPr>
      </w:pPr>
      <w:r>
        <w:rPr>
          <w:rFonts w:hAnsi="宋体"/>
          <w:color w:val="auto"/>
          <w:kern w:val="2"/>
          <w:sz w:val="21"/>
          <w:highlight w:val="none"/>
        </w:rPr>
        <w:t>（</w:t>
      </w:r>
      <w:r>
        <w:rPr>
          <w:rFonts w:hint="eastAsia" w:hAnsi="宋体"/>
          <w:color w:val="auto"/>
          <w:kern w:val="2"/>
          <w:sz w:val="21"/>
          <w:highlight w:val="none"/>
        </w:rPr>
        <w:t>3</w:t>
      </w:r>
      <w:r>
        <w:rPr>
          <w:rFonts w:hAnsi="宋体"/>
          <w:color w:val="auto"/>
          <w:kern w:val="2"/>
          <w:sz w:val="21"/>
          <w:highlight w:val="none"/>
        </w:rPr>
        <w:t>）参加采购活动前3年内是</w:t>
      </w:r>
      <w:r>
        <w:rPr>
          <w:rFonts w:hint="eastAsia" w:hAnsi="宋体"/>
          <w:color w:val="auto"/>
          <w:kern w:val="2"/>
          <w:sz w:val="21"/>
          <w:highlight w:val="none"/>
        </w:rPr>
        <w:t>供应商</w:t>
      </w:r>
      <w:r>
        <w:rPr>
          <w:rFonts w:hAnsi="宋体"/>
          <w:color w:val="auto"/>
          <w:kern w:val="2"/>
          <w:sz w:val="21"/>
          <w:highlight w:val="none"/>
        </w:rPr>
        <w:t>的控股股东或者实际控制人；</w:t>
      </w:r>
    </w:p>
    <w:p w14:paraId="5978A97C">
      <w:pPr>
        <w:pStyle w:val="23"/>
        <w:snapToGrid w:val="0"/>
        <w:spacing w:line="420" w:lineRule="exact"/>
        <w:ind w:firstLine="398" w:firstLineChars="200"/>
        <w:rPr>
          <w:rFonts w:hAnsi="宋体"/>
          <w:color w:val="auto"/>
          <w:kern w:val="2"/>
          <w:sz w:val="21"/>
          <w:highlight w:val="none"/>
        </w:rPr>
      </w:pPr>
      <w:r>
        <w:rPr>
          <w:rFonts w:hAnsi="宋体"/>
          <w:color w:val="auto"/>
          <w:kern w:val="2"/>
          <w:sz w:val="21"/>
          <w:highlight w:val="none"/>
        </w:rPr>
        <w:t>（</w:t>
      </w:r>
      <w:r>
        <w:rPr>
          <w:rFonts w:hint="eastAsia" w:hAnsi="宋体"/>
          <w:color w:val="auto"/>
          <w:kern w:val="2"/>
          <w:sz w:val="21"/>
          <w:highlight w:val="none"/>
        </w:rPr>
        <w:t>4</w:t>
      </w:r>
      <w:r>
        <w:rPr>
          <w:rFonts w:hAnsi="宋体"/>
          <w:color w:val="auto"/>
          <w:kern w:val="2"/>
          <w:sz w:val="21"/>
          <w:highlight w:val="none"/>
        </w:rPr>
        <w:t>）与</w:t>
      </w:r>
      <w:r>
        <w:rPr>
          <w:rFonts w:hint="eastAsia" w:hAnsi="宋体"/>
          <w:color w:val="auto"/>
          <w:kern w:val="2"/>
          <w:sz w:val="21"/>
          <w:highlight w:val="none"/>
        </w:rPr>
        <w:t>供应商</w:t>
      </w:r>
      <w:r>
        <w:rPr>
          <w:rFonts w:hAnsi="宋体"/>
          <w:color w:val="auto"/>
          <w:kern w:val="2"/>
          <w:sz w:val="21"/>
          <w:highlight w:val="none"/>
        </w:rPr>
        <w:t>的法定代表人或者负责人有夫妻、直系血亲、三代以内旁系血亲或者近姻亲关系；</w:t>
      </w:r>
    </w:p>
    <w:p w14:paraId="16C482FA">
      <w:pPr>
        <w:pStyle w:val="23"/>
        <w:snapToGrid w:val="0"/>
        <w:spacing w:line="420" w:lineRule="exact"/>
        <w:ind w:firstLine="398" w:firstLineChars="200"/>
        <w:rPr>
          <w:rFonts w:hAnsi="宋体"/>
          <w:color w:val="auto"/>
          <w:kern w:val="2"/>
          <w:sz w:val="21"/>
          <w:highlight w:val="none"/>
        </w:rPr>
      </w:pPr>
      <w:r>
        <w:rPr>
          <w:rFonts w:hAnsi="宋体"/>
          <w:color w:val="auto"/>
          <w:kern w:val="2"/>
          <w:sz w:val="21"/>
          <w:highlight w:val="none"/>
        </w:rPr>
        <w:t>（</w:t>
      </w:r>
      <w:r>
        <w:rPr>
          <w:rFonts w:hint="eastAsia" w:hAnsi="宋体"/>
          <w:color w:val="auto"/>
          <w:kern w:val="2"/>
          <w:sz w:val="21"/>
          <w:highlight w:val="none"/>
        </w:rPr>
        <w:t>5</w:t>
      </w:r>
      <w:r>
        <w:rPr>
          <w:rFonts w:hAnsi="宋体"/>
          <w:color w:val="auto"/>
          <w:kern w:val="2"/>
          <w:sz w:val="21"/>
          <w:highlight w:val="none"/>
        </w:rPr>
        <w:t>）与</w:t>
      </w:r>
      <w:r>
        <w:rPr>
          <w:rFonts w:hint="eastAsia" w:hAnsi="宋体"/>
          <w:color w:val="auto"/>
          <w:kern w:val="2"/>
          <w:sz w:val="21"/>
          <w:highlight w:val="none"/>
        </w:rPr>
        <w:t>供应商</w:t>
      </w:r>
      <w:r>
        <w:rPr>
          <w:rFonts w:hAnsi="宋体"/>
          <w:color w:val="auto"/>
          <w:kern w:val="2"/>
          <w:sz w:val="21"/>
          <w:highlight w:val="none"/>
        </w:rPr>
        <w:t>有其他可能影响政府采购活动公平、公正进行的关系。</w:t>
      </w:r>
    </w:p>
    <w:p w14:paraId="6B8D3B11">
      <w:pPr>
        <w:pStyle w:val="23"/>
        <w:snapToGrid w:val="0"/>
        <w:spacing w:line="420" w:lineRule="exact"/>
        <w:ind w:firstLine="398" w:firstLineChars="200"/>
        <w:rPr>
          <w:rFonts w:hAnsi="宋体"/>
          <w:color w:val="auto"/>
          <w:kern w:val="2"/>
          <w:sz w:val="21"/>
          <w:highlight w:val="none"/>
        </w:rPr>
      </w:pPr>
      <w:r>
        <w:rPr>
          <w:rFonts w:hint="eastAsia" w:hAnsi="宋体"/>
          <w:color w:val="auto"/>
          <w:kern w:val="2"/>
          <w:sz w:val="21"/>
          <w:highlight w:val="none"/>
        </w:rPr>
        <w:t>供应商</w:t>
      </w:r>
      <w:r>
        <w:rPr>
          <w:rFonts w:hAnsi="宋体"/>
          <w:color w:val="auto"/>
          <w:kern w:val="2"/>
          <w:sz w:val="21"/>
          <w:highlight w:val="none"/>
        </w:rPr>
        <w:t>认为采购人员及相关人员与其他</w:t>
      </w:r>
      <w:r>
        <w:rPr>
          <w:rFonts w:hint="eastAsia" w:hAnsi="宋体"/>
          <w:color w:val="auto"/>
          <w:kern w:val="2"/>
          <w:sz w:val="21"/>
          <w:highlight w:val="none"/>
        </w:rPr>
        <w:t>供应商</w:t>
      </w:r>
      <w:r>
        <w:rPr>
          <w:rFonts w:hAnsi="宋体"/>
          <w:color w:val="auto"/>
          <w:kern w:val="2"/>
          <w:sz w:val="21"/>
          <w:highlight w:val="none"/>
        </w:rPr>
        <w:t>有利害关系的，可以向采购人或者采购代理机构书面提出回避申请，并说明理由。采购人或者采购代理机构应当及时询问被申请回避人员，有利害关系的被申请回避人员应当回避。</w:t>
      </w:r>
    </w:p>
    <w:p w14:paraId="00A41032">
      <w:pPr>
        <w:pStyle w:val="6"/>
        <w:keepNext w:val="0"/>
        <w:keepLines w:val="0"/>
        <w:spacing w:before="0" w:after="0" w:line="420" w:lineRule="exact"/>
        <w:rPr>
          <w:rFonts w:ascii="宋体" w:hAnsi="宋体"/>
          <w:color w:val="auto"/>
          <w:sz w:val="21"/>
          <w:szCs w:val="21"/>
          <w:highlight w:val="none"/>
        </w:rPr>
      </w:pPr>
      <w:r>
        <w:rPr>
          <w:rFonts w:ascii="宋体" w:hAnsi="宋体"/>
          <w:color w:val="auto"/>
          <w:sz w:val="21"/>
          <w:szCs w:val="21"/>
          <w:highlight w:val="none"/>
        </w:rPr>
        <w:t>9.2</w:t>
      </w:r>
      <w:r>
        <w:rPr>
          <w:rFonts w:hint="eastAsia" w:ascii="宋体" w:hAnsi="宋体"/>
          <w:color w:val="auto"/>
          <w:sz w:val="21"/>
          <w:szCs w:val="21"/>
          <w:highlight w:val="none"/>
        </w:rPr>
        <w:t>有下列情形之一的视为投标人相互串通投标，投标文件将被视为无效：</w:t>
      </w:r>
    </w:p>
    <w:p w14:paraId="65CB3697">
      <w:pPr>
        <w:pStyle w:val="23"/>
        <w:snapToGrid w:val="0"/>
        <w:spacing w:line="420" w:lineRule="exact"/>
        <w:ind w:firstLine="398" w:firstLineChars="200"/>
        <w:rPr>
          <w:rFonts w:hAnsi="宋体"/>
          <w:b/>
          <w:color w:val="auto"/>
          <w:kern w:val="2"/>
          <w:sz w:val="21"/>
          <w:highlight w:val="none"/>
        </w:rPr>
      </w:pPr>
      <w:r>
        <w:rPr>
          <w:rFonts w:hint="eastAsia" w:hAnsi="宋体"/>
          <w:b/>
          <w:color w:val="auto"/>
          <w:kern w:val="2"/>
          <w:sz w:val="21"/>
          <w:highlight w:val="none"/>
        </w:rPr>
        <w:t xml:space="preserve">（1）不同投标人的投标文件由同一单位或者个人编制； </w:t>
      </w:r>
    </w:p>
    <w:p w14:paraId="2987C1B1">
      <w:pPr>
        <w:pStyle w:val="23"/>
        <w:snapToGrid w:val="0"/>
        <w:spacing w:line="420" w:lineRule="exact"/>
        <w:ind w:firstLine="398" w:firstLineChars="200"/>
        <w:rPr>
          <w:rFonts w:hAnsi="宋体"/>
          <w:b/>
          <w:color w:val="auto"/>
          <w:kern w:val="2"/>
          <w:sz w:val="21"/>
          <w:highlight w:val="none"/>
        </w:rPr>
      </w:pPr>
      <w:r>
        <w:rPr>
          <w:rFonts w:hint="eastAsia" w:hAnsi="宋体"/>
          <w:b/>
          <w:color w:val="auto"/>
          <w:kern w:val="2"/>
          <w:sz w:val="21"/>
          <w:highlight w:val="none"/>
        </w:rPr>
        <w:t>（2）不同投标人委托同一单位或者个人办理投标事宜；</w:t>
      </w:r>
    </w:p>
    <w:p w14:paraId="5EA21958">
      <w:pPr>
        <w:pStyle w:val="23"/>
        <w:snapToGrid w:val="0"/>
        <w:spacing w:line="420" w:lineRule="exact"/>
        <w:ind w:firstLine="398" w:firstLineChars="200"/>
        <w:rPr>
          <w:rFonts w:hAnsi="宋体"/>
          <w:b/>
          <w:color w:val="auto"/>
          <w:kern w:val="2"/>
          <w:sz w:val="21"/>
          <w:highlight w:val="none"/>
        </w:rPr>
      </w:pPr>
      <w:r>
        <w:rPr>
          <w:rFonts w:hint="eastAsia" w:hAnsi="宋体"/>
          <w:b/>
          <w:color w:val="auto"/>
          <w:kern w:val="2"/>
          <w:sz w:val="21"/>
          <w:highlight w:val="none"/>
        </w:rPr>
        <w:t>（3）不同的投标人的投标文件载明的项目管理员为同一个人；</w:t>
      </w:r>
    </w:p>
    <w:p w14:paraId="433497DF">
      <w:pPr>
        <w:pStyle w:val="23"/>
        <w:snapToGrid w:val="0"/>
        <w:spacing w:line="420" w:lineRule="exact"/>
        <w:ind w:firstLine="398" w:firstLineChars="200"/>
        <w:rPr>
          <w:rFonts w:hAnsi="宋体"/>
          <w:b/>
          <w:color w:val="auto"/>
          <w:kern w:val="2"/>
          <w:sz w:val="21"/>
          <w:highlight w:val="none"/>
        </w:rPr>
      </w:pPr>
      <w:r>
        <w:rPr>
          <w:rFonts w:hint="eastAsia" w:hAnsi="宋体"/>
          <w:b/>
          <w:color w:val="auto"/>
          <w:kern w:val="2"/>
          <w:sz w:val="21"/>
          <w:highlight w:val="none"/>
        </w:rPr>
        <w:t>（4）不同投标人的投标文件异常一致或者投标报价呈规律性差异；</w:t>
      </w:r>
    </w:p>
    <w:p w14:paraId="5C22375E">
      <w:pPr>
        <w:pStyle w:val="23"/>
        <w:snapToGrid w:val="0"/>
        <w:spacing w:line="420" w:lineRule="exact"/>
        <w:ind w:firstLine="398" w:firstLineChars="200"/>
        <w:rPr>
          <w:rFonts w:hAnsi="宋体"/>
          <w:b/>
          <w:color w:val="auto"/>
          <w:kern w:val="2"/>
          <w:sz w:val="21"/>
          <w:highlight w:val="none"/>
        </w:rPr>
      </w:pPr>
      <w:r>
        <w:rPr>
          <w:rFonts w:hint="eastAsia" w:hAnsi="宋体"/>
          <w:b/>
          <w:color w:val="auto"/>
          <w:kern w:val="2"/>
          <w:sz w:val="21"/>
          <w:highlight w:val="none"/>
        </w:rPr>
        <w:t>（5）不同投标人的投标文件相互混装；</w:t>
      </w:r>
    </w:p>
    <w:p w14:paraId="1E1F53E7">
      <w:pPr>
        <w:pStyle w:val="23"/>
        <w:snapToGrid w:val="0"/>
        <w:spacing w:line="420" w:lineRule="exact"/>
        <w:ind w:firstLine="398" w:firstLineChars="200"/>
        <w:rPr>
          <w:rFonts w:hAnsi="宋体"/>
          <w:b/>
          <w:color w:val="auto"/>
          <w:kern w:val="2"/>
          <w:sz w:val="21"/>
          <w:highlight w:val="none"/>
        </w:rPr>
      </w:pPr>
      <w:r>
        <w:rPr>
          <w:rFonts w:hint="eastAsia" w:hAnsi="宋体"/>
          <w:b/>
          <w:color w:val="auto"/>
          <w:kern w:val="2"/>
          <w:sz w:val="21"/>
          <w:highlight w:val="none"/>
        </w:rPr>
        <w:t>（6）不同投标人的投标保证金从同一单位或者个人账户转出;</w:t>
      </w:r>
    </w:p>
    <w:p w14:paraId="6C587C6E">
      <w:pPr>
        <w:pStyle w:val="23"/>
        <w:snapToGrid w:val="0"/>
        <w:spacing w:line="420" w:lineRule="exact"/>
        <w:ind w:firstLine="398" w:firstLineChars="200"/>
        <w:rPr>
          <w:rFonts w:hAnsi="宋体"/>
          <w:b/>
          <w:color w:val="auto"/>
          <w:kern w:val="2"/>
          <w:sz w:val="21"/>
          <w:highlight w:val="none"/>
        </w:rPr>
      </w:pPr>
      <w:r>
        <w:rPr>
          <w:rFonts w:hint="eastAsia" w:hAnsi="宋体"/>
          <w:b/>
          <w:color w:val="auto"/>
          <w:kern w:val="2"/>
          <w:sz w:val="21"/>
          <w:highlight w:val="none"/>
        </w:rPr>
        <w:t>（7）不同投标人提交电子投标文件IP地址相同且无法合理说明的。</w:t>
      </w:r>
    </w:p>
    <w:p w14:paraId="3ABC62E5">
      <w:pPr>
        <w:rPr>
          <w:color w:val="auto"/>
          <w:highlight w:val="none"/>
        </w:rPr>
      </w:pPr>
    </w:p>
    <w:p w14:paraId="4A671C4B">
      <w:pPr>
        <w:pStyle w:val="6"/>
        <w:keepNext w:val="0"/>
        <w:keepLines w:val="0"/>
        <w:spacing w:before="0" w:after="0" w:line="420" w:lineRule="exact"/>
        <w:rPr>
          <w:rFonts w:ascii="宋体" w:hAnsi="宋体"/>
          <w:b w:val="0"/>
          <w:color w:val="auto"/>
          <w:sz w:val="21"/>
          <w:szCs w:val="21"/>
          <w:highlight w:val="none"/>
        </w:rPr>
      </w:pPr>
      <w:r>
        <w:rPr>
          <w:rFonts w:ascii="宋体" w:hAnsi="宋体"/>
          <w:b w:val="0"/>
          <w:color w:val="auto"/>
          <w:sz w:val="21"/>
          <w:szCs w:val="21"/>
          <w:highlight w:val="none"/>
        </w:rPr>
        <w:t>9.3</w:t>
      </w:r>
      <w:r>
        <w:rPr>
          <w:rFonts w:hint="eastAsia" w:ascii="宋体" w:hAnsi="宋体"/>
          <w:b w:val="0"/>
          <w:color w:val="auto"/>
          <w:sz w:val="21"/>
          <w:szCs w:val="21"/>
          <w:highlight w:val="none"/>
        </w:rPr>
        <w:t>供应商有下列情形之一的，属于恶意串通行为，将报同级监督管理部门：</w:t>
      </w:r>
    </w:p>
    <w:p w14:paraId="54BD178D">
      <w:pPr>
        <w:pStyle w:val="23"/>
        <w:snapToGrid w:val="0"/>
        <w:spacing w:line="420" w:lineRule="exact"/>
        <w:ind w:firstLine="398" w:firstLineChars="200"/>
        <w:rPr>
          <w:rFonts w:hAnsi="宋体"/>
          <w:color w:val="auto"/>
          <w:kern w:val="2"/>
          <w:sz w:val="21"/>
          <w:highlight w:val="none"/>
        </w:rPr>
      </w:pPr>
      <w:r>
        <w:rPr>
          <w:rFonts w:hint="eastAsia" w:hAnsi="宋体"/>
          <w:color w:val="auto"/>
          <w:kern w:val="2"/>
          <w:sz w:val="21"/>
          <w:highlight w:val="none"/>
        </w:rPr>
        <w:t>（1）供应商直接或者间接从采购人或者采购代理机构处获得其他供应商的相关信息并修改其投标文件或者响应文件；</w:t>
      </w:r>
    </w:p>
    <w:p w14:paraId="2142836B">
      <w:pPr>
        <w:pStyle w:val="23"/>
        <w:snapToGrid w:val="0"/>
        <w:spacing w:line="420" w:lineRule="exact"/>
        <w:ind w:firstLine="398" w:firstLineChars="200"/>
        <w:rPr>
          <w:rFonts w:hAnsi="宋体"/>
          <w:color w:val="auto"/>
          <w:kern w:val="2"/>
          <w:sz w:val="21"/>
          <w:highlight w:val="none"/>
        </w:rPr>
      </w:pPr>
      <w:r>
        <w:rPr>
          <w:rFonts w:hint="eastAsia" w:hAnsi="宋体"/>
          <w:color w:val="auto"/>
          <w:kern w:val="2"/>
          <w:sz w:val="21"/>
          <w:highlight w:val="none"/>
        </w:rPr>
        <w:t>（2）供应商按照采购人或者采购代理机构的授意撤换、修改投标文件或者响应文件；</w:t>
      </w:r>
    </w:p>
    <w:p w14:paraId="59DFFF36">
      <w:pPr>
        <w:pStyle w:val="23"/>
        <w:snapToGrid w:val="0"/>
        <w:spacing w:line="420" w:lineRule="exact"/>
        <w:ind w:firstLine="398" w:firstLineChars="200"/>
        <w:rPr>
          <w:rFonts w:hAnsi="宋体"/>
          <w:color w:val="auto"/>
          <w:kern w:val="2"/>
          <w:sz w:val="21"/>
          <w:highlight w:val="none"/>
        </w:rPr>
      </w:pPr>
      <w:r>
        <w:rPr>
          <w:rFonts w:hint="eastAsia" w:hAnsi="宋体"/>
          <w:color w:val="auto"/>
          <w:kern w:val="2"/>
          <w:sz w:val="21"/>
          <w:highlight w:val="none"/>
        </w:rPr>
        <w:t>（3）供应商之间协商报价、技术方案等投标文件或者响应文件的实质性内容；</w:t>
      </w:r>
    </w:p>
    <w:p w14:paraId="2EB9D37A">
      <w:pPr>
        <w:pStyle w:val="23"/>
        <w:snapToGrid w:val="0"/>
        <w:spacing w:line="420" w:lineRule="exact"/>
        <w:ind w:firstLine="398" w:firstLineChars="200"/>
        <w:rPr>
          <w:rFonts w:hAnsi="宋体"/>
          <w:color w:val="auto"/>
          <w:kern w:val="2"/>
          <w:sz w:val="21"/>
          <w:highlight w:val="none"/>
        </w:rPr>
      </w:pPr>
      <w:r>
        <w:rPr>
          <w:rFonts w:hint="eastAsia" w:hAnsi="宋体"/>
          <w:color w:val="auto"/>
          <w:kern w:val="2"/>
          <w:sz w:val="21"/>
          <w:highlight w:val="none"/>
        </w:rPr>
        <w:t>（4）属于同一集团、协会、商会等组织成员的供应商按照该组织要求协同参加政府采购活动；</w:t>
      </w:r>
    </w:p>
    <w:p w14:paraId="2C069AB8">
      <w:pPr>
        <w:pStyle w:val="23"/>
        <w:snapToGrid w:val="0"/>
        <w:spacing w:line="420" w:lineRule="exact"/>
        <w:ind w:firstLine="398" w:firstLineChars="200"/>
        <w:rPr>
          <w:rFonts w:hAnsi="宋体"/>
          <w:color w:val="auto"/>
          <w:kern w:val="2"/>
          <w:sz w:val="21"/>
          <w:highlight w:val="none"/>
        </w:rPr>
      </w:pPr>
      <w:r>
        <w:rPr>
          <w:rFonts w:hint="eastAsia" w:hAnsi="宋体"/>
          <w:color w:val="auto"/>
          <w:kern w:val="2"/>
          <w:sz w:val="21"/>
          <w:highlight w:val="none"/>
        </w:rPr>
        <w:t>（5）供应商之间事先约定一致抬高或者压低投标报价，或者在招标项目中事先约定轮流以高价位或者低价位中标，或者事先约定由某一特定供应商中标，然后再参加投标；</w:t>
      </w:r>
    </w:p>
    <w:p w14:paraId="68161582">
      <w:pPr>
        <w:pStyle w:val="23"/>
        <w:snapToGrid w:val="0"/>
        <w:spacing w:line="420" w:lineRule="exact"/>
        <w:ind w:firstLine="398" w:firstLineChars="200"/>
        <w:rPr>
          <w:rFonts w:hAnsi="宋体"/>
          <w:color w:val="auto"/>
          <w:kern w:val="2"/>
          <w:sz w:val="21"/>
          <w:highlight w:val="none"/>
        </w:rPr>
      </w:pPr>
      <w:r>
        <w:rPr>
          <w:rFonts w:hint="eastAsia" w:hAnsi="宋体"/>
          <w:color w:val="auto"/>
          <w:kern w:val="2"/>
          <w:sz w:val="21"/>
          <w:highlight w:val="none"/>
        </w:rPr>
        <w:t>（6）供应商之间商定部分供应商放弃参加政府采购活动或者放弃中标；</w:t>
      </w:r>
    </w:p>
    <w:p w14:paraId="62FFFD23">
      <w:pPr>
        <w:pStyle w:val="23"/>
        <w:snapToGrid w:val="0"/>
        <w:spacing w:line="420" w:lineRule="exact"/>
        <w:ind w:firstLine="398" w:firstLineChars="200"/>
        <w:rPr>
          <w:rFonts w:hAnsi="宋体"/>
          <w:b/>
          <w:color w:val="auto"/>
          <w:kern w:val="2"/>
          <w:sz w:val="21"/>
          <w:highlight w:val="none"/>
        </w:rPr>
      </w:pPr>
      <w:r>
        <w:rPr>
          <w:rFonts w:hint="eastAsia" w:hAnsi="宋体"/>
          <w:color w:val="auto"/>
          <w:kern w:val="2"/>
          <w:sz w:val="21"/>
          <w:highlight w:val="none"/>
        </w:rPr>
        <w:t>（7）供应商与采购人或者采购代理机构之间、供应商相互之间，为谋求特定供应商中标或者排斥其他供应商的其他串通行为。</w:t>
      </w:r>
    </w:p>
    <w:p w14:paraId="3F876C0B">
      <w:pPr>
        <w:pStyle w:val="4"/>
        <w:keepNext w:val="0"/>
        <w:keepLines w:val="0"/>
        <w:spacing w:before="0" w:after="0" w:line="420" w:lineRule="exact"/>
        <w:jc w:val="center"/>
        <w:rPr>
          <w:color w:val="auto"/>
          <w:highlight w:val="none"/>
        </w:rPr>
      </w:pPr>
      <w:bookmarkStart w:id="99" w:name="_Toc254970534"/>
      <w:bookmarkStart w:id="100" w:name="_Toc254970675"/>
      <w:r>
        <w:rPr>
          <w:rFonts w:hint="eastAsia"/>
          <w:color w:val="auto"/>
          <w:highlight w:val="none"/>
        </w:rPr>
        <w:t>二、招标文件</w:t>
      </w:r>
      <w:bookmarkEnd w:id="99"/>
      <w:bookmarkEnd w:id="100"/>
    </w:p>
    <w:p w14:paraId="28E70563">
      <w:pPr>
        <w:pStyle w:val="6"/>
        <w:keepNext w:val="0"/>
        <w:keepLines w:val="0"/>
        <w:spacing w:before="0" w:after="0" w:line="420" w:lineRule="exact"/>
        <w:rPr>
          <w:rFonts w:ascii="黑体" w:hAnsi="黑体" w:eastAsia="黑体"/>
          <w:color w:val="auto"/>
          <w:sz w:val="24"/>
          <w:highlight w:val="none"/>
        </w:rPr>
      </w:pPr>
      <w:r>
        <w:rPr>
          <w:rFonts w:hint="eastAsia" w:ascii="黑体" w:hAnsi="黑体" w:eastAsia="黑体"/>
          <w:color w:val="auto"/>
          <w:sz w:val="24"/>
          <w:highlight w:val="none"/>
        </w:rPr>
        <w:t>10.招标文件的组成</w:t>
      </w:r>
    </w:p>
    <w:p w14:paraId="0639B771">
      <w:pPr>
        <w:snapToGrid w:val="0"/>
        <w:spacing w:line="420" w:lineRule="exact"/>
        <w:ind w:firstLine="420"/>
        <w:jc w:val="left"/>
        <w:rPr>
          <w:rFonts w:ascii="宋体" w:hAnsi="宋体"/>
          <w:color w:val="auto"/>
          <w:szCs w:val="21"/>
          <w:highlight w:val="none"/>
        </w:rPr>
      </w:pPr>
      <w:r>
        <w:rPr>
          <w:rFonts w:hint="eastAsia" w:ascii="宋体" w:hAnsi="宋体"/>
          <w:color w:val="auto"/>
          <w:szCs w:val="21"/>
          <w:highlight w:val="none"/>
        </w:rPr>
        <w:t>（1）招标公告；</w:t>
      </w:r>
    </w:p>
    <w:p w14:paraId="0BE6064D">
      <w:pPr>
        <w:snapToGrid w:val="0"/>
        <w:spacing w:line="420" w:lineRule="exact"/>
        <w:ind w:firstLine="420"/>
        <w:jc w:val="left"/>
        <w:rPr>
          <w:rFonts w:ascii="宋体" w:hAnsi="宋体"/>
          <w:color w:val="auto"/>
          <w:szCs w:val="21"/>
          <w:highlight w:val="none"/>
        </w:rPr>
      </w:pPr>
      <w:r>
        <w:rPr>
          <w:rFonts w:hint="eastAsia" w:ascii="宋体" w:hAnsi="宋体"/>
          <w:color w:val="auto"/>
          <w:szCs w:val="21"/>
          <w:highlight w:val="none"/>
        </w:rPr>
        <w:t xml:space="preserve">（2）采购需求； </w:t>
      </w:r>
    </w:p>
    <w:p w14:paraId="770BF136">
      <w:pPr>
        <w:snapToGrid w:val="0"/>
        <w:spacing w:line="420" w:lineRule="exact"/>
        <w:ind w:firstLine="420"/>
        <w:jc w:val="left"/>
        <w:rPr>
          <w:rFonts w:ascii="宋体" w:hAnsi="宋体"/>
          <w:color w:val="auto"/>
          <w:szCs w:val="21"/>
          <w:highlight w:val="none"/>
        </w:rPr>
      </w:pPr>
      <w:r>
        <w:rPr>
          <w:rFonts w:hint="eastAsia" w:ascii="宋体" w:hAnsi="宋体"/>
          <w:color w:val="auto"/>
          <w:szCs w:val="21"/>
          <w:highlight w:val="none"/>
        </w:rPr>
        <w:t>（3）投标人须知；</w:t>
      </w:r>
    </w:p>
    <w:p w14:paraId="47E6C94B">
      <w:pPr>
        <w:snapToGrid w:val="0"/>
        <w:spacing w:line="420" w:lineRule="exact"/>
        <w:ind w:firstLine="420"/>
        <w:jc w:val="left"/>
        <w:rPr>
          <w:rFonts w:ascii="宋体" w:hAnsi="宋体"/>
          <w:color w:val="auto"/>
          <w:szCs w:val="21"/>
          <w:highlight w:val="none"/>
        </w:rPr>
      </w:pPr>
      <w:r>
        <w:rPr>
          <w:rFonts w:hint="eastAsia" w:ascii="宋体" w:hAnsi="宋体"/>
          <w:color w:val="auto"/>
          <w:szCs w:val="21"/>
          <w:highlight w:val="none"/>
        </w:rPr>
        <w:t>（4）评标方法及评标标准；</w:t>
      </w:r>
    </w:p>
    <w:p w14:paraId="3BE5DE5C">
      <w:pPr>
        <w:snapToGrid w:val="0"/>
        <w:spacing w:line="420" w:lineRule="exact"/>
        <w:ind w:firstLine="420"/>
        <w:jc w:val="left"/>
        <w:rPr>
          <w:rFonts w:ascii="宋体" w:hAnsi="宋体"/>
          <w:color w:val="auto"/>
          <w:szCs w:val="21"/>
          <w:highlight w:val="none"/>
        </w:rPr>
      </w:pPr>
      <w:r>
        <w:rPr>
          <w:rFonts w:hint="eastAsia" w:ascii="宋体" w:hAnsi="宋体"/>
          <w:color w:val="auto"/>
          <w:szCs w:val="21"/>
          <w:highlight w:val="none"/>
        </w:rPr>
        <w:t>（5）拟签订的合同文本；</w:t>
      </w:r>
    </w:p>
    <w:p w14:paraId="44E19FC5">
      <w:pPr>
        <w:snapToGrid w:val="0"/>
        <w:spacing w:line="420" w:lineRule="exact"/>
        <w:ind w:firstLine="420"/>
        <w:jc w:val="left"/>
        <w:rPr>
          <w:rFonts w:ascii="宋体" w:hAnsi="宋体"/>
          <w:color w:val="auto"/>
          <w:szCs w:val="21"/>
          <w:highlight w:val="none"/>
        </w:rPr>
      </w:pPr>
      <w:r>
        <w:rPr>
          <w:rFonts w:hint="eastAsia" w:ascii="宋体" w:hAnsi="宋体"/>
          <w:color w:val="auto"/>
          <w:szCs w:val="21"/>
          <w:highlight w:val="none"/>
        </w:rPr>
        <w:t>（6）投标文件格式。</w:t>
      </w:r>
    </w:p>
    <w:p w14:paraId="58AEB278">
      <w:pPr>
        <w:pStyle w:val="6"/>
        <w:keepNext w:val="0"/>
        <w:keepLines w:val="0"/>
        <w:spacing w:before="0" w:after="0" w:line="420" w:lineRule="exact"/>
        <w:rPr>
          <w:rFonts w:ascii="黑体" w:hAnsi="黑体" w:eastAsia="黑体"/>
          <w:color w:val="auto"/>
          <w:sz w:val="24"/>
          <w:highlight w:val="none"/>
        </w:rPr>
      </w:pPr>
      <w:r>
        <w:rPr>
          <w:rFonts w:hint="eastAsia" w:ascii="黑体" w:hAnsi="黑体" w:eastAsia="黑体"/>
          <w:color w:val="auto"/>
          <w:sz w:val="24"/>
          <w:highlight w:val="none"/>
        </w:rPr>
        <w:t>11.招标文件的澄清、修改 、现场考察和答疑会</w:t>
      </w:r>
    </w:p>
    <w:p w14:paraId="25E5805B">
      <w:pPr>
        <w:pStyle w:val="6"/>
        <w:keepNext w:val="0"/>
        <w:keepLines w:val="0"/>
        <w:numPr>
          <w:ilvl w:val="4"/>
          <w:numId w:val="0"/>
        </w:numPr>
        <w:spacing w:before="0" w:after="0" w:line="420" w:lineRule="exact"/>
        <w:ind w:firstLine="398" w:firstLineChars="200"/>
        <w:rPr>
          <w:rFonts w:ascii="宋体" w:hAnsi="宋体"/>
          <w:b w:val="0"/>
          <w:color w:val="auto"/>
          <w:sz w:val="21"/>
          <w:szCs w:val="21"/>
          <w:highlight w:val="none"/>
        </w:rPr>
      </w:pPr>
      <w:r>
        <w:rPr>
          <w:rFonts w:hint="eastAsia" w:ascii="宋体" w:hAnsi="宋体"/>
          <w:b w:val="0"/>
          <w:color w:val="auto"/>
          <w:sz w:val="21"/>
          <w:szCs w:val="21"/>
          <w:highlight w:val="none"/>
        </w:rPr>
        <w:t>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0FF044AE">
      <w:pPr>
        <w:pStyle w:val="23"/>
        <w:snapToGrid w:val="0"/>
        <w:spacing w:line="420" w:lineRule="exact"/>
        <w:ind w:firstLine="398" w:firstLineChars="200"/>
        <w:rPr>
          <w:rFonts w:hAnsi="宋体"/>
          <w:color w:val="auto"/>
          <w:sz w:val="21"/>
          <w:highlight w:val="none"/>
        </w:rPr>
      </w:pPr>
      <w:r>
        <w:rPr>
          <w:rFonts w:hint="eastAsia" w:hAnsi="宋体"/>
          <w:color w:val="auto"/>
          <w:sz w:val="21"/>
          <w:highlight w:val="none"/>
        </w:rPr>
        <w:t>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0BB5D946">
      <w:pPr>
        <w:pStyle w:val="23"/>
        <w:snapToGrid w:val="0"/>
        <w:spacing w:line="420" w:lineRule="exact"/>
        <w:ind w:firstLine="398" w:firstLineChars="200"/>
        <w:rPr>
          <w:rFonts w:hAnsi="宋体"/>
          <w:color w:val="auto"/>
          <w:sz w:val="21"/>
          <w:highlight w:val="none"/>
        </w:rPr>
      </w:pPr>
      <w:r>
        <w:rPr>
          <w:rFonts w:hint="eastAsia" w:hAnsi="宋体"/>
          <w:color w:val="auto"/>
          <w:sz w:val="21"/>
          <w:highlight w:val="none"/>
        </w:rPr>
        <w:t>1</w:t>
      </w:r>
      <w:r>
        <w:rPr>
          <w:rFonts w:hAnsi="宋体"/>
          <w:color w:val="auto"/>
          <w:sz w:val="21"/>
          <w:highlight w:val="none"/>
        </w:rPr>
        <w:t>1.2</w:t>
      </w:r>
      <w:bookmarkStart w:id="101" w:name="_Hlk53134511"/>
      <w:r>
        <w:rPr>
          <w:rFonts w:hint="eastAsia" w:hAnsi="宋体"/>
          <w:color w:val="auto"/>
          <w:sz w:val="21"/>
          <w:highlight w:val="none"/>
        </w:rPr>
        <w:t>采购人或者采购代理机构可以在招标文件提供期限截止后，组织已获取招标文件的潜在投标人现场考察或者召开开标前答疑会，具体详见“投标人须知前附表”。</w:t>
      </w:r>
    </w:p>
    <w:bookmarkEnd w:id="101"/>
    <w:p w14:paraId="6E9AD61E">
      <w:pPr>
        <w:pStyle w:val="4"/>
        <w:keepNext w:val="0"/>
        <w:keepLines w:val="0"/>
        <w:spacing w:before="0" w:after="0" w:line="420" w:lineRule="exact"/>
        <w:jc w:val="center"/>
        <w:rPr>
          <w:color w:val="auto"/>
          <w:highlight w:val="none"/>
        </w:rPr>
      </w:pPr>
      <w:bookmarkStart w:id="102" w:name="_Toc254970676"/>
      <w:bookmarkStart w:id="103" w:name="_Toc254970535"/>
      <w:r>
        <w:rPr>
          <w:rFonts w:hint="eastAsia"/>
          <w:color w:val="auto"/>
          <w:highlight w:val="none"/>
        </w:rPr>
        <w:t>三、投标文件的编制</w:t>
      </w:r>
      <w:bookmarkEnd w:id="102"/>
      <w:bookmarkEnd w:id="103"/>
    </w:p>
    <w:p w14:paraId="7D794B52">
      <w:pPr>
        <w:pStyle w:val="6"/>
        <w:keepNext w:val="0"/>
        <w:keepLines w:val="0"/>
        <w:spacing w:before="0" w:after="0" w:line="420" w:lineRule="exact"/>
        <w:rPr>
          <w:rFonts w:ascii="黑体" w:hAnsi="黑体" w:eastAsia="黑体"/>
          <w:color w:val="auto"/>
          <w:sz w:val="24"/>
          <w:highlight w:val="none"/>
        </w:rPr>
      </w:pPr>
      <w:bookmarkStart w:id="104" w:name="_Toc254970536"/>
      <w:bookmarkStart w:id="105" w:name="_Toc254970677"/>
      <w:r>
        <w:rPr>
          <w:rFonts w:hint="eastAsia" w:ascii="黑体" w:hAnsi="黑体" w:eastAsia="黑体"/>
          <w:color w:val="auto"/>
          <w:sz w:val="24"/>
          <w:highlight w:val="none"/>
        </w:rPr>
        <w:t>12.投标文件的编制原则</w:t>
      </w:r>
    </w:p>
    <w:p w14:paraId="17553535">
      <w:pPr>
        <w:snapToGrid w:val="0"/>
        <w:spacing w:line="420" w:lineRule="exact"/>
        <w:ind w:firstLine="420"/>
        <w:jc w:val="left"/>
        <w:rPr>
          <w:rFonts w:ascii="宋体" w:hAnsi="宋体" w:cs="Courier New"/>
          <w:color w:val="auto"/>
          <w:szCs w:val="21"/>
          <w:highlight w:val="none"/>
        </w:rPr>
      </w:pPr>
      <w:r>
        <w:rPr>
          <w:rFonts w:ascii="宋体" w:hAnsi="宋体"/>
          <w:color w:val="auto"/>
          <w:szCs w:val="21"/>
          <w:highlight w:val="none"/>
        </w:rPr>
        <w:t>投标人必须按照招标文件的要求编制投标文件。投标文件必须对招标文件提出的要求和条件作出明确响应。</w:t>
      </w:r>
    </w:p>
    <w:p w14:paraId="6FDE876C">
      <w:pPr>
        <w:pStyle w:val="6"/>
        <w:keepNext w:val="0"/>
        <w:keepLines w:val="0"/>
        <w:spacing w:before="0" w:after="0" w:line="420" w:lineRule="exact"/>
        <w:rPr>
          <w:rFonts w:ascii="黑体" w:hAnsi="黑体" w:eastAsia="黑体"/>
          <w:color w:val="auto"/>
          <w:sz w:val="24"/>
          <w:highlight w:val="none"/>
        </w:rPr>
      </w:pPr>
      <w:r>
        <w:rPr>
          <w:rFonts w:hint="eastAsia" w:ascii="黑体" w:hAnsi="黑体" w:eastAsia="黑体"/>
          <w:color w:val="auto"/>
          <w:sz w:val="24"/>
          <w:highlight w:val="none"/>
        </w:rPr>
        <w:t>13.投标文件的组成</w:t>
      </w:r>
      <w:bookmarkEnd w:id="104"/>
      <w:bookmarkEnd w:id="105"/>
    </w:p>
    <w:p w14:paraId="612C1A6E">
      <w:pPr>
        <w:snapToGrid w:val="0"/>
        <w:spacing w:line="420" w:lineRule="exact"/>
        <w:ind w:firstLine="420"/>
        <w:jc w:val="left"/>
        <w:rPr>
          <w:rFonts w:ascii="宋体" w:hAnsi="宋体"/>
          <w:color w:val="auto"/>
          <w:szCs w:val="21"/>
          <w:highlight w:val="none"/>
        </w:rPr>
      </w:pPr>
      <w:r>
        <w:rPr>
          <w:rFonts w:hint="eastAsia" w:ascii="宋体" w:hAnsi="宋体"/>
          <w:color w:val="auto"/>
          <w:szCs w:val="21"/>
          <w:highlight w:val="none"/>
        </w:rPr>
        <w:t>投标文件由报价文件、资格证明文件、商务及技术文件三部分组成。</w:t>
      </w:r>
    </w:p>
    <w:p w14:paraId="16987220">
      <w:pPr>
        <w:snapToGrid w:val="0"/>
        <w:spacing w:line="420" w:lineRule="exact"/>
        <w:ind w:firstLine="420"/>
        <w:jc w:val="left"/>
        <w:rPr>
          <w:rFonts w:ascii="宋体" w:hAnsi="宋体"/>
          <w:color w:val="auto"/>
          <w:szCs w:val="21"/>
          <w:highlight w:val="none"/>
        </w:rPr>
      </w:pPr>
      <w:bookmarkStart w:id="106" w:name="_13.1报价文件:_具体材料见“投标人须知前附表”。"/>
      <w:bookmarkEnd w:id="106"/>
      <w:r>
        <w:rPr>
          <w:rFonts w:hint="eastAsia" w:ascii="宋体" w:hAnsi="宋体"/>
          <w:color w:val="auto"/>
          <w:szCs w:val="21"/>
          <w:highlight w:val="none"/>
        </w:rPr>
        <w:t>（1）报价文件：</w:t>
      </w:r>
      <w:r>
        <w:rPr>
          <w:rFonts w:ascii="宋体" w:hAnsi="宋体"/>
          <w:color w:val="auto"/>
          <w:szCs w:val="21"/>
          <w:highlight w:val="none"/>
        </w:rPr>
        <w:t xml:space="preserve"> 具体材料见“投标人须知前附表”</w:t>
      </w:r>
      <w:r>
        <w:rPr>
          <w:rFonts w:hint="eastAsia" w:ascii="宋体" w:hAnsi="宋体"/>
          <w:color w:val="auto"/>
          <w:szCs w:val="21"/>
          <w:highlight w:val="none"/>
        </w:rPr>
        <w:t>。</w:t>
      </w:r>
    </w:p>
    <w:p w14:paraId="17C3394B">
      <w:pPr>
        <w:snapToGrid w:val="0"/>
        <w:spacing w:line="420" w:lineRule="exact"/>
        <w:ind w:firstLine="420"/>
        <w:jc w:val="left"/>
        <w:rPr>
          <w:rFonts w:ascii="宋体" w:hAnsi="宋体"/>
          <w:color w:val="auto"/>
          <w:szCs w:val="21"/>
          <w:highlight w:val="none"/>
        </w:rPr>
      </w:pPr>
      <w:bookmarkStart w:id="107" w:name="_13.2资格证明文件：具体材料见“投标人须知前附表”。"/>
      <w:bookmarkEnd w:id="107"/>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）资格证明文件：</w:t>
      </w:r>
      <w:r>
        <w:rPr>
          <w:rFonts w:ascii="宋体" w:hAnsi="宋体"/>
          <w:color w:val="auto"/>
          <w:szCs w:val="21"/>
          <w:highlight w:val="none"/>
        </w:rPr>
        <w:t>具体材料见“投标人须知前附表”</w:t>
      </w:r>
      <w:r>
        <w:rPr>
          <w:rFonts w:hint="eastAsia" w:ascii="宋体" w:hAnsi="宋体"/>
          <w:color w:val="auto"/>
          <w:szCs w:val="21"/>
          <w:highlight w:val="none"/>
        </w:rPr>
        <w:t>。</w:t>
      </w:r>
    </w:p>
    <w:p w14:paraId="34B3774B">
      <w:pPr>
        <w:snapToGrid w:val="0"/>
        <w:spacing w:line="420" w:lineRule="exact"/>
        <w:ind w:firstLine="420"/>
        <w:jc w:val="left"/>
        <w:rPr>
          <w:rFonts w:ascii="宋体" w:hAnsi="宋体"/>
          <w:color w:val="auto"/>
          <w:szCs w:val="21"/>
          <w:highlight w:val="none"/>
        </w:rPr>
      </w:pPr>
      <w:bookmarkStart w:id="108" w:name="_13.3商务文件:_具体材料见“投标人须知前附表”。"/>
      <w:bookmarkEnd w:id="108"/>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）商务及技术文件：</w:t>
      </w:r>
      <w:r>
        <w:rPr>
          <w:rFonts w:ascii="宋体" w:hAnsi="宋体"/>
          <w:color w:val="auto"/>
          <w:szCs w:val="21"/>
          <w:highlight w:val="none"/>
        </w:rPr>
        <w:t>具体材料见“投标人须知前附表”</w:t>
      </w:r>
      <w:r>
        <w:rPr>
          <w:rFonts w:hint="eastAsia" w:ascii="宋体" w:hAnsi="宋体"/>
          <w:color w:val="auto"/>
          <w:szCs w:val="21"/>
          <w:highlight w:val="none"/>
        </w:rPr>
        <w:t>。</w:t>
      </w:r>
    </w:p>
    <w:p w14:paraId="29450BB0">
      <w:pPr>
        <w:pStyle w:val="6"/>
        <w:keepNext w:val="0"/>
        <w:keepLines w:val="0"/>
        <w:spacing w:before="0" w:after="0" w:line="420" w:lineRule="exact"/>
        <w:rPr>
          <w:rFonts w:ascii="黑体" w:hAnsi="黑体" w:eastAsia="黑体"/>
          <w:color w:val="auto"/>
          <w:sz w:val="24"/>
          <w:highlight w:val="none"/>
        </w:rPr>
      </w:pPr>
      <w:bookmarkStart w:id="109" w:name="_13.5投标文件电子版：具体材料见“投标人须知前附表”。"/>
      <w:bookmarkEnd w:id="109"/>
      <w:bookmarkStart w:id="110" w:name="_13.4技术文件：具体材料见“投标人须知前附表”。"/>
      <w:bookmarkEnd w:id="110"/>
      <w:bookmarkStart w:id="111" w:name="_Toc254970678"/>
      <w:bookmarkStart w:id="112" w:name="_Toc254970537"/>
      <w:r>
        <w:rPr>
          <w:rFonts w:hint="eastAsia" w:ascii="黑体" w:hAnsi="黑体" w:eastAsia="黑体"/>
          <w:color w:val="auto"/>
          <w:sz w:val="24"/>
          <w:highlight w:val="none"/>
        </w:rPr>
        <w:t>14.投标文件的语言及计量</w:t>
      </w:r>
      <w:bookmarkEnd w:id="111"/>
      <w:bookmarkEnd w:id="112"/>
    </w:p>
    <w:p w14:paraId="2D1E1717">
      <w:pPr>
        <w:snapToGrid w:val="0"/>
        <w:spacing w:line="420" w:lineRule="exact"/>
        <w:ind w:firstLine="420"/>
        <w:jc w:val="left"/>
        <w:rPr>
          <w:rFonts w:ascii="宋体" w:hAnsi="宋体"/>
          <w:color w:val="auto"/>
          <w:szCs w:val="21"/>
          <w:highlight w:val="none"/>
        </w:rPr>
      </w:pPr>
      <w:r>
        <w:rPr>
          <w:rFonts w:hint="eastAsia" w:ascii="宋体" w:hAnsi="宋体"/>
          <w:color w:val="auto"/>
          <w:szCs w:val="21"/>
          <w:highlight w:val="none"/>
        </w:rPr>
        <w:t>14.1语言文字</w:t>
      </w:r>
    </w:p>
    <w:p w14:paraId="7A6D39E5">
      <w:pPr>
        <w:snapToGrid w:val="0"/>
        <w:spacing w:line="420" w:lineRule="exact"/>
        <w:ind w:firstLine="420"/>
        <w:jc w:val="left"/>
        <w:rPr>
          <w:rFonts w:ascii="宋体" w:hAnsi="宋体"/>
          <w:color w:val="auto"/>
          <w:szCs w:val="21"/>
          <w:highlight w:val="none"/>
        </w:rPr>
      </w:pPr>
      <w:r>
        <w:rPr>
          <w:rFonts w:hint="eastAsia" w:ascii="宋体" w:hAnsi="宋体"/>
          <w:color w:val="auto"/>
          <w:szCs w:val="21"/>
          <w:highlight w:val="none"/>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0815EA97">
      <w:pPr>
        <w:snapToGrid w:val="0"/>
        <w:spacing w:line="420" w:lineRule="exact"/>
        <w:ind w:firstLine="420"/>
        <w:jc w:val="left"/>
        <w:rPr>
          <w:rFonts w:ascii="宋体" w:hAnsi="宋体"/>
          <w:color w:val="auto"/>
          <w:szCs w:val="21"/>
          <w:highlight w:val="none"/>
        </w:rPr>
      </w:pPr>
      <w:r>
        <w:rPr>
          <w:rFonts w:hint="eastAsia" w:ascii="宋体" w:hAnsi="宋体"/>
          <w:color w:val="auto"/>
          <w:szCs w:val="21"/>
          <w:highlight w:val="none"/>
        </w:rPr>
        <w:t>14.2投标计量单位</w:t>
      </w:r>
    </w:p>
    <w:p w14:paraId="5C54BAA1">
      <w:pPr>
        <w:snapToGrid w:val="0"/>
        <w:spacing w:line="420" w:lineRule="exact"/>
        <w:ind w:firstLine="420"/>
        <w:jc w:val="left"/>
        <w:rPr>
          <w:rFonts w:ascii="宋体" w:hAnsi="宋体"/>
          <w:color w:val="auto"/>
          <w:szCs w:val="21"/>
          <w:highlight w:val="none"/>
        </w:rPr>
      </w:pPr>
      <w:r>
        <w:rPr>
          <w:rFonts w:hint="eastAsia" w:ascii="宋体" w:hAnsi="宋体"/>
          <w:color w:val="auto"/>
          <w:szCs w:val="21"/>
          <w:highlight w:val="none"/>
        </w:rPr>
        <w:t>招标文件已有明确规定的，使用招标文件规定的计量单位；招标文件没有规定的，应采用中华人民共和国法定计量单位，货币种类为人民币，否则视同未响应。</w:t>
      </w:r>
    </w:p>
    <w:p w14:paraId="0807E89D">
      <w:pPr>
        <w:pStyle w:val="6"/>
        <w:keepNext w:val="0"/>
        <w:keepLines w:val="0"/>
        <w:spacing w:before="0" w:after="0" w:line="420" w:lineRule="exact"/>
        <w:rPr>
          <w:rFonts w:ascii="黑体" w:hAnsi="黑体" w:eastAsia="黑体"/>
          <w:color w:val="auto"/>
          <w:sz w:val="24"/>
          <w:highlight w:val="none"/>
        </w:rPr>
      </w:pPr>
      <w:r>
        <w:rPr>
          <w:rFonts w:hint="eastAsia" w:ascii="黑体" w:hAnsi="黑体" w:eastAsia="黑体"/>
          <w:color w:val="auto"/>
          <w:sz w:val="24"/>
          <w:highlight w:val="none"/>
        </w:rPr>
        <w:t>15.投标的风险</w:t>
      </w:r>
    </w:p>
    <w:p w14:paraId="2C73DE9C">
      <w:pPr>
        <w:pStyle w:val="23"/>
        <w:snapToGrid w:val="0"/>
        <w:spacing w:line="420" w:lineRule="exact"/>
        <w:ind w:firstLine="398" w:firstLineChars="200"/>
        <w:jc w:val="left"/>
        <w:rPr>
          <w:rFonts w:hAnsi="宋体"/>
          <w:color w:val="auto"/>
          <w:sz w:val="21"/>
          <w:highlight w:val="none"/>
        </w:rPr>
      </w:pPr>
      <w:r>
        <w:rPr>
          <w:rFonts w:hint="eastAsia" w:hAnsi="宋体"/>
          <w:color w:val="auto"/>
          <w:sz w:val="21"/>
          <w:highlight w:val="none"/>
        </w:rPr>
        <w:t>投标人没有按照招标文件要求提供全部资料，或者投标人没有对招标文件作出实质性响应是投标人的风险，并可能导致其投标被拒绝。</w:t>
      </w:r>
    </w:p>
    <w:p w14:paraId="11D2B9BA">
      <w:pPr>
        <w:pStyle w:val="6"/>
        <w:keepNext w:val="0"/>
        <w:keepLines w:val="0"/>
        <w:spacing w:before="0" w:after="0" w:line="420" w:lineRule="exact"/>
        <w:rPr>
          <w:rFonts w:ascii="黑体" w:hAnsi="黑体" w:eastAsia="黑体"/>
          <w:color w:val="auto"/>
          <w:sz w:val="24"/>
          <w:highlight w:val="none"/>
        </w:rPr>
      </w:pPr>
      <w:bookmarkStart w:id="113" w:name="_Toc254970679"/>
      <w:bookmarkStart w:id="114" w:name="_Toc254970538"/>
      <w:r>
        <w:rPr>
          <w:rFonts w:hint="eastAsia" w:ascii="黑体" w:hAnsi="黑体" w:eastAsia="黑体"/>
          <w:color w:val="auto"/>
          <w:sz w:val="24"/>
          <w:highlight w:val="none"/>
        </w:rPr>
        <w:t>16.投标报价</w:t>
      </w:r>
      <w:bookmarkEnd w:id="113"/>
      <w:bookmarkEnd w:id="114"/>
    </w:p>
    <w:p w14:paraId="07DD32FC">
      <w:pPr>
        <w:snapToGrid w:val="0"/>
        <w:spacing w:line="420" w:lineRule="exact"/>
        <w:ind w:firstLine="420"/>
        <w:jc w:val="left"/>
        <w:rPr>
          <w:rFonts w:ascii="宋体" w:hAnsi="宋体"/>
          <w:color w:val="auto"/>
          <w:szCs w:val="21"/>
          <w:highlight w:val="none"/>
        </w:rPr>
      </w:pPr>
      <w:r>
        <w:rPr>
          <w:rFonts w:hint="eastAsia" w:ascii="宋体" w:hAnsi="宋体"/>
          <w:color w:val="auto"/>
          <w:szCs w:val="21"/>
          <w:highlight w:val="none"/>
        </w:rPr>
        <w:t>16.1投标报价应按“第六章　投标文件格式”中“开标一览表”格式填写。</w:t>
      </w:r>
    </w:p>
    <w:p w14:paraId="4C823F23">
      <w:pPr>
        <w:snapToGrid w:val="0"/>
        <w:spacing w:line="420" w:lineRule="exact"/>
        <w:ind w:firstLine="420"/>
        <w:jc w:val="left"/>
        <w:rPr>
          <w:rFonts w:ascii="宋体" w:hAnsi="宋体"/>
          <w:color w:val="auto"/>
          <w:szCs w:val="21"/>
          <w:highlight w:val="none"/>
        </w:rPr>
      </w:pPr>
      <w:bookmarkStart w:id="115" w:name="_16.2投标报价具体定义见投标人须知前附表。"/>
      <w:bookmarkEnd w:id="115"/>
      <w:r>
        <w:rPr>
          <w:rFonts w:hint="eastAsia" w:ascii="宋体" w:hAnsi="宋体"/>
          <w:color w:val="auto"/>
          <w:szCs w:val="21"/>
          <w:highlight w:val="none"/>
        </w:rPr>
        <w:t>16.2投标报价具体包括内容详见“投标人须知前附表”。</w:t>
      </w:r>
    </w:p>
    <w:p w14:paraId="0C745834">
      <w:pPr>
        <w:snapToGrid w:val="0"/>
        <w:spacing w:line="420" w:lineRule="exact"/>
        <w:ind w:firstLine="420"/>
        <w:jc w:val="left"/>
        <w:rPr>
          <w:rFonts w:ascii="宋体" w:hAnsi="宋体"/>
          <w:color w:val="auto"/>
          <w:szCs w:val="21"/>
          <w:highlight w:val="none"/>
        </w:rPr>
      </w:pPr>
      <w:r>
        <w:rPr>
          <w:rFonts w:hint="eastAsia" w:ascii="宋体" w:hAnsi="宋体"/>
          <w:color w:val="auto"/>
          <w:szCs w:val="21"/>
          <w:highlight w:val="none"/>
        </w:rPr>
        <w:t>16.3投标人必须就所投每个分标的全部内容分别作完整唯一总价报价，不得存在漏项报价；投标人必须就所投分标的单项内容作唯一报价。</w:t>
      </w:r>
    </w:p>
    <w:p w14:paraId="33E5A31F">
      <w:pPr>
        <w:pStyle w:val="6"/>
        <w:keepNext w:val="0"/>
        <w:keepLines w:val="0"/>
        <w:spacing w:before="0" w:after="0" w:line="420" w:lineRule="exact"/>
        <w:rPr>
          <w:rFonts w:ascii="黑体" w:hAnsi="黑体" w:eastAsia="黑体"/>
          <w:color w:val="auto"/>
          <w:sz w:val="24"/>
          <w:highlight w:val="none"/>
        </w:rPr>
      </w:pPr>
      <w:r>
        <w:rPr>
          <w:rFonts w:hint="eastAsia" w:ascii="黑体" w:hAnsi="黑体" w:eastAsia="黑体"/>
          <w:color w:val="auto"/>
          <w:sz w:val="24"/>
          <w:highlight w:val="none"/>
        </w:rPr>
        <w:t>17.投标有效期</w:t>
      </w:r>
    </w:p>
    <w:p w14:paraId="165230AD">
      <w:pPr>
        <w:snapToGrid w:val="0"/>
        <w:spacing w:line="420" w:lineRule="exact"/>
        <w:ind w:firstLine="420"/>
        <w:jc w:val="left"/>
        <w:rPr>
          <w:rFonts w:ascii="宋体" w:hAnsi="宋体"/>
          <w:color w:val="auto"/>
          <w:szCs w:val="21"/>
          <w:highlight w:val="none"/>
        </w:rPr>
      </w:pPr>
      <w:bookmarkStart w:id="116" w:name="_17.1投标有效期应按“投标人须知中的前附表”规定的期限。"/>
      <w:bookmarkEnd w:id="116"/>
      <w:r>
        <w:rPr>
          <w:rFonts w:hint="eastAsia" w:ascii="宋体" w:hAnsi="宋体"/>
          <w:color w:val="auto"/>
          <w:szCs w:val="21"/>
          <w:highlight w:val="none"/>
        </w:rPr>
        <w:t>17.1投标有效期是指为保证采购人有足够的时间在开标后完成评标、定标、合同签订等工作而要求投标人提交的投标文件在一定时间内保持有效的期限。</w:t>
      </w:r>
    </w:p>
    <w:p w14:paraId="3E1D3EBE">
      <w:pPr>
        <w:snapToGrid w:val="0"/>
        <w:spacing w:line="420" w:lineRule="exact"/>
        <w:ind w:firstLine="420"/>
        <w:jc w:val="left"/>
        <w:rPr>
          <w:rFonts w:ascii="宋体" w:hAnsi="宋体"/>
          <w:b/>
          <w:bCs/>
          <w:color w:val="auto"/>
          <w:szCs w:val="21"/>
          <w:highlight w:val="none"/>
        </w:rPr>
      </w:pPr>
      <w:r>
        <w:rPr>
          <w:rFonts w:hint="eastAsia" w:ascii="宋体" w:hAnsi="宋体"/>
          <w:color w:val="auto"/>
          <w:szCs w:val="21"/>
          <w:highlight w:val="none"/>
        </w:rPr>
        <w:t>17.2</w:t>
      </w:r>
      <w:bookmarkStart w:id="117" w:name="_Toc254970540"/>
      <w:bookmarkStart w:id="118" w:name="_Toc254970681"/>
      <w:r>
        <w:rPr>
          <w:rFonts w:hint="eastAsia" w:ascii="宋体" w:hAnsi="宋体"/>
          <w:color w:val="auto"/>
          <w:szCs w:val="21"/>
          <w:highlight w:val="none"/>
        </w:rPr>
        <w:t xml:space="preserve"> 投标有效期应按招标文件规定的期限作出承诺，具体详见“投标人须知前附表”。</w:t>
      </w:r>
      <w:r>
        <w:rPr>
          <w:rFonts w:hint="eastAsia" w:ascii="宋体" w:hAnsi="宋体"/>
          <w:b/>
          <w:bCs/>
          <w:color w:val="auto"/>
          <w:szCs w:val="21"/>
          <w:highlight w:val="none"/>
        </w:rPr>
        <w:t>承诺的投标有效期低于招标文件规定期限的，按无效投标处理。</w:t>
      </w:r>
    </w:p>
    <w:p w14:paraId="5E7FA7DB">
      <w:pPr>
        <w:snapToGrid w:val="0"/>
        <w:spacing w:line="420" w:lineRule="exact"/>
        <w:ind w:firstLine="420"/>
        <w:jc w:val="left"/>
        <w:rPr>
          <w:rFonts w:ascii="宋体" w:hAnsi="宋体"/>
          <w:color w:val="auto"/>
          <w:szCs w:val="21"/>
          <w:highlight w:val="none"/>
        </w:rPr>
      </w:pPr>
      <w:r>
        <w:rPr>
          <w:rFonts w:hint="eastAsia" w:ascii="宋体" w:hAnsi="宋体"/>
          <w:color w:val="auto"/>
          <w:szCs w:val="21"/>
          <w:highlight w:val="none"/>
        </w:rPr>
        <w:t>17.3投标人的投标文件在投标有效期内均保持有效。</w:t>
      </w:r>
      <w:bookmarkEnd w:id="117"/>
      <w:bookmarkEnd w:id="118"/>
    </w:p>
    <w:p w14:paraId="5F0D2E53">
      <w:pPr>
        <w:pStyle w:val="6"/>
        <w:keepNext w:val="0"/>
        <w:keepLines w:val="0"/>
        <w:spacing w:before="0" w:after="0" w:line="420" w:lineRule="exact"/>
        <w:rPr>
          <w:rFonts w:ascii="黑体" w:hAnsi="黑体" w:eastAsia="黑体"/>
          <w:color w:val="auto"/>
          <w:sz w:val="24"/>
          <w:highlight w:val="none"/>
        </w:rPr>
      </w:pPr>
      <w:bookmarkStart w:id="119" w:name="_18.投标保证金"/>
      <w:bookmarkEnd w:id="119"/>
      <w:bookmarkStart w:id="120" w:name="_Toc254970682"/>
      <w:bookmarkStart w:id="121" w:name="_Toc254970541"/>
      <w:r>
        <w:rPr>
          <w:rFonts w:hint="eastAsia" w:ascii="黑体" w:hAnsi="黑体" w:eastAsia="黑体"/>
          <w:color w:val="auto"/>
          <w:sz w:val="24"/>
          <w:highlight w:val="none"/>
        </w:rPr>
        <w:t>18.投标保证金</w:t>
      </w:r>
      <w:bookmarkEnd w:id="120"/>
      <w:bookmarkEnd w:id="121"/>
    </w:p>
    <w:p w14:paraId="0581C213">
      <w:pPr>
        <w:snapToGrid w:val="0"/>
        <w:spacing w:line="420" w:lineRule="exact"/>
        <w:ind w:firstLine="398" w:firstLineChars="200"/>
        <w:rPr>
          <w:rFonts w:ascii="宋体" w:hAnsi="宋体"/>
          <w:color w:val="auto"/>
          <w:szCs w:val="21"/>
          <w:highlight w:val="none"/>
        </w:rPr>
      </w:pPr>
      <w:r>
        <w:rPr>
          <w:rFonts w:hint="eastAsia" w:ascii="宋体" w:hAnsi="宋体"/>
          <w:color w:val="auto"/>
          <w:szCs w:val="21"/>
          <w:highlight w:val="none"/>
        </w:rPr>
        <w:t>18.1投标人须按“投标人须知前附表”的规定提交投标保证金。</w:t>
      </w:r>
    </w:p>
    <w:p w14:paraId="705E4646">
      <w:pPr>
        <w:snapToGrid w:val="0"/>
        <w:spacing w:line="420" w:lineRule="exact"/>
        <w:ind w:firstLine="398" w:firstLineChars="200"/>
        <w:rPr>
          <w:rFonts w:ascii="宋体" w:hAnsi="宋体"/>
          <w:color w:val="auto"/>
          <w:szCs w:val="21"/>
          <w:highlight w:val="none"/>
        </w:rPr>
      </w:pPr>
      <w:r>
        <w:rPr>
          <w:rFonts w:hint="eastAsia" w:ascii="宋体" w:hAnsi="宋体"/>
          <w:color w:val="auto"/>
          <w:szCs w:val="21"/>
          <w:highlight w:val="none"/>
        </w:rPr>
        <w:t>18.2投标保证金的退还</w:t>
      </w:r>
    </w:p>
    <w:p w14:paraId="2E2D6AE3">
      <w:pPr>
        <w:snapToGrid w:val="0"/>
        <w:spacing w:line="420" w:lineRule="exact"/>
        <w:ind w:firstLine="398" w:firstLineChars="200"/>
        <w:rPr>
          <w:rFonts w:ascii="宋体" w:hAnsi="宋体"/>
          <w:color w:val="auto"/>
          <w:szCs w:val="21"/>
          <w:highlight w:val="none"/>
        </w:rPr>
      </w:pPr>
      <w:r>
        <w:rPr>
          <w:rFonts w:hint="eastAsia" w:ascii="宋体" w:hAnsi="宋体"/>
          <w:color w:val="auto"/>
          <w:szCs w:val="21"/>
          <w:highlight w:val="none"/>
        </w:rPr>
        <w:t>未中标人的投标保证金自中标通知书发出之日起5个工作日内退还；中标人的投标保证金自政府采购合同签订之日起5个工作日内退还。</w:t>
      </w:r>
    </w:p>
    <w:p w14:paraId="3B738397">
      <w:pPr>
        <w:snapToGrid w:val="0"/>
        <w:spacing w:line="420" w:lineRule="exact"/>
        <w:ind w:firstLine="398" w:firstLineChars="200"/>
        <w:rPr>
          <w:rFonts w:ascii="宋体" w:hAnsi="宋体"/>
          <w:color w:val="auto"/>
          <w:szCs w:val="21"/>
          <w:highlight w:val="none"/>
        </w:rPr>
      </w:pPr>
      <w:r>
        <w:rPr>
          <w:rFonts w:hint="eastAsia" w:ascii="宋体" w:hAnsi="宋体"/>
          <w:color w:val="auto"/>
          <w:szCs w:val="21"/>
          <w:highlight w:val="none"/>
        </w:rPr>
        <w:t>18.3除逾期退还投标保证金和终止招标的情形以外，投标保证金不计息。</w:t>
      </w:r>
    </w:p>
    <w:p w14:paraId="7A64DDAC">
      <w:pPr>
        <w:snapToGrid w:val="0"/>
        <w:spacing w:line="420" w:lineRule="exact"/>
        <w:ind w:firstLine="398" w:firstLineChars="200"/>
        <w:rPr>
          <w:rFonts w:ascii="宋体" w:hAnsi="宋体"/>
          <w:color w:val="auto"/>
          <w:szCs w:val="21"/>
          <w:highlight w:val="none"/>
        </w:rPr>
      </w:pPr>
      <w:r>
        <w:rPr>
          <w:rFonts w:hint="eastAsia" w:ascii="宋体" w:hAnsi="宋体"/>
          <w:color w:val="auto"/>
          <w:szCs w:val="21"/>
          <w:highlight w:val="none"/>
        </w:rPr>
        <w:t>18.4投标人有下列情形之一的，投标保证金将不予退还：</w:t>
      </w:r>
    </w:p>
    <w:p w14:paraId="7B0C16F2">
      <w:pPr>
        <w:snapToGrid w:val="0"/>
        <w:spacing w:line="420" w:lineRule="exact"/>
        <w:ind w:firstLine="398" w:firstLineChars="200"/>
        <w:rPr>
          <w:rFonts w:ascii="宋体" w:hAnsi="宋体"/>
          <w:color w:val="auto"/>
          <w:szCs w:val="21"/>
          <w:highlight w:val="none"/>
        </w:rPr>
      </w:pPr>
      <w:r>
        <w:rPr>
          <w:rFonts w:hint="eastAsia" w:ascii="宋体" w:hAnsi="宋体"/>
          <w:color w:val="auto"/>
          <w:szCs w:val="21"/>
          <w:highlight w:val="none"/>
        </w:rPr>
        <w:t>（1）投标人在投标有效期内撤销投标文件的；</w:t>
      </w:r>
    </w:p>
    <w:p w14:paraId="746389C9">
      <w:pPr>
        <w:snapToGrid w:val="0"/>
        <w:spacing w:line="420" w:lineRule="exact"/>
        <w:ind w:firstLine="398" w:firstLineChars="200"/>
        <w:rPr>
          <w:rFonts w:ascii="宋体" w:hAnsi="宋体"/>
          <w:color w:val="auto"/>
          <w:szCs w:val="21"/>
          <w:highlight w:val="none"/>
        </w:rPr>
      </w:pPr>
      <w:r>
        <w:rPr>
          <w:rFonts w:hint="eastAsia" w:ascii="宋体" w:hAnsi="宋体"/>
          <w:color w:val="auto"/>
          <w:szCs w:val="21"/>
          <w:highlight w:val="none"/>
        </w:rPr>
        <w:t>（2）未按规定提交履约保证金的；</w:t>
      </w:r>
    </w:p>
    <w:p w14:paraId="57253A02">
      <w:pPr>
        <w:snapToGrid w:val="0"/>
        <w:spacing w:line="420" w:lineRule="exact"/>
        <w:ind w:firstLine="398" w:firstLineChars="200"/>
        <w:rPr>
          <w:rFonts w:ascii="宋体" w:hAnsi="宋体"/>
          <w:color w:val="auto"/>
          <w:szCs w:val="21"/>
          <w:highlight w:val="none"/>
        </w:rPr>
      </w:pPr>
      <w:r>
        <w:rPr>
          <w:rFonts w:hint="eastAsia" w:ascii="宋体" w:hAnsi="宋体"/>
          <w:color w:val="auto"/>
          <w:szCs w:val="21"/>
          <w:highlight w:val="none"/>
        </w:rPr>
        <w:t>（3）投标人在投标过程中弄虚作假，提供虚假材料的；</w:t>
      </w:r>
    </w:p>
    <w:p w14:paraId="13DCAB4F">
      <w:pPr>
        <w:snapToGrid w:val="0"/>
        <w:spacing w:line="420" w:lineRule="exact"/>
        <w:ind w:firstLine="398" w:firstLineChars="200"/>
        <w:rPr>
          <w:rFonts w:ascii="宋体" w:hAnsi="宋体"/>
          <w:color w:val="auto"/>
          <w:szCs w:val="21"/>
          <w:highlight w:val="none"/>
        </w:rPr>
      </w:pPr>
      <w:r>
        <w:rPr>
          <w:rFonts w:hint="eastAsia" w:ascii="宋体" w:hAnsi="宋体"/>
          <w:color w:val="auto"/>
          <w:szCs w:val="21"/>
          <w:highlight w:val="none"/>
        </w:rPr>
        <w:t>（4）中标人无正当理由不与采购人签订合同的；</w:t>
      </w:r>
    </w:p>
    <w:p w14:paraId="42FF7D4C">
      <w:pPr>
        <w:snapToGrid w:val="0"/>
        <w:spacing w:line="420" w:lineRule="exact"/>
        <w:ind w:firstLine="398" w:firstLineChars="200"/>
        <w:rPr>
          <w:rFonts w:ascii="宋体" w:hAnsi="宋体"/>
          <w:color w:val="auto"/>
          <w:szCs w:val="21"/>
          <w:highlight w:val="none"/>
        </w:rPr>
      </w:pPr>
      <w:bookmarkStart w:id="122" w:name="_Toc254970542"/>
      <w:bookmarkStart w:id="123" w:name="_Toc254970683"/>
      <w:r>
        <w:rPr>
          <w:rFonts w:hint="eastAsia" w:ascii="宋体" w:hAnsi="宋体"/>
          <w:color w:val="auto"/>
          <w:szCs w:val="21"/>
          <w:highlight w:val="none"/>
        </w:rPr>
        <w:t>（5）投标人出现本章第9.2、9.3情形的；</w:t>
      </w:r>
    </w:p>
    <w:p w14:paraId="3C942F39">
      <w:pPr>
        <w:snapToGrid w:val="0"/>
        <w:spacing w:line="420" w:lineRule="exact"/>
        <w:ind w:firstLine="398" w:firstLineChars="200"/>
        <w:rPr>
          <w:rFonts w:ascii="宋体" w:hAnsi="宋体"/>
          <w:color w:val="auto"/>
          <w:szCs w:val="21"/>
          <w:highlight w:val="none"/>
        </w:rPr>
      </w:pPr>
      <w:r>
        <w:rPr>
          <w:rFonts w:hint="eastAsia" w:ascii="宋体" w:hAnsi="宋体"/>
          <w:color w:val="auto"/>
          <w:szCs w:val="21"/>
          <w:highlight w:val="none"/>
        </w:rPr>
        <w:t>（6）</w:t>
      </w:r>
      <w:r>
        <w:rPr>
          <w:rFonts w:hint="eastAsia" w:ascii="宋体" w:hAnsi="宋体" w:cs="宋体"/>
          <w:color w:val="auto"/>
          <w:szCs w:val="21"/>
          <w:highlight w:val="none"/>
        </w:rPr>
        <w:t>法律法规规定的其他情形</w:t>
      </w:r>
      <w:r>
        <w:rPr>
          <w:rFonts w:hint="eastAsia" w:ascii="宋体" w:hAnsi="宋体"/>
          <w:color w:val="auto"/>
          <w:szCs w:val="21"/>
          <w:highlight w:val="none"/>
        </w:rPr>
        <w:t>。</w:t>
      </w:r>
    </w:p>
    <w:bookmarkEnd w:id="122"/>
    <w:bookmarkEnd w:id="123"/>
    <w:p w14:paraId="444F0C03">
      <w:pPr>
        <w:pStyle w:val="6"/>
        <w:keepNext w:val="0"/>
        <w:keepLines w:val="0"/>
        <w:spacing w:before="0" w:after="0" w:line="420" w:lineRule="exact"/>
        <w:rPr>
          <w:rFonts w:ascii="黑体" w:hAnsi="黑体" w:eastAsia="黑体"/>
          <w:color w:val="auto"/>
          <w:sz w:val="24"/>
          <w:highlight w:val="none"/>
        </w:rPr>
      </w:pPr>
      <w:r>
        <w:rPr>
          <w:rFonts w:hint="eastAsia" w:ascii="黑体" w:hAnsi="黑体" w:eastAsia="黑体"/>
          <w:color w:val="auto"/>
          <w:sz w:val="24"/>
          <w:highlight w:val="none"/>
        </w:rPr>
        <w:t>19.投标文件的编制</w:t>
      </w:r>
    </w:p>
    <w:p w14:paraId="02E5548C">
      <w:pPr>
        <w:snapToGrid w:val="0"/>
        <w:spacing w:line="420" w:lineRule="exact"/>
        <w:ind w:firstLine="398" w:firstLineChars="200"/>
        <w:rPr>
          <w:rFonts w:ascii="宋体" w:hAnsi="宋体"/>
          <w:color w:val="auto"/>
          <w:szCs w:val="21"/>
          <w:highlight w:val="none"/>
        </w:rPr>
      </w:pPr>
      <w:r>
        <w:rPr>
          <w:rFonts w:hint="eastAsia" w:ascii="宋体" w:hAnsi="宋体"/>
          <w:color w:val="auto"/>
          <w:szCs w:val="21"/>
          <w:highlight w:val="none"/>
        </w:rPr>
        <w:t>19.1投标人应按照本项目招标文件规定的格式和顺序和广西政府采购云平台的要求编制并加密。投标文件内容不完整、编排混乱导致投标文件被误读、漏读或者查找不到相关内容的，由此引发的后果由投标人承担。</w:t>
      </w:r>
    </w:p>
    <w:p w14:paraId="5D888260">
      <w:pPr>
        <w:snapToGrid w:val="0"/>
        <w:spacing w:line="420" w:lineRule="exact"/>
        <w:ind w:firstLine="398" w:firstLineChars="200"/>
        <w:rPr>
          <w:rFonts w:ascii="宋体" w:hAnsi="宋体"/>
          <w:color w:val="auto"/>
          <w:szCs w:val="21"/>
          <w:highlight w:val="none"/>
        </w:rPr>
      </w:pPr>
      <w:bookmarkStart w:id="124" w:name="_19.2投标文件应按报价文件、资格证明文件、商务文件、技术文件分别编制"/>
      <w:bookmarkEnd w:id="124"/>
      <w:r>
        <w:rPr>
          <w:rFonts w:hint="eastAsia" w:ascii="宋体" w:hAnsi="宋体"/>
          <w:color w:val="auto"/>
          <w:szCs w:val="21"/>
          <w:highlight w:val="none"/>
        </w:rPr>
        <w:t>19.2为确保网上操作合法、有效和安全，投标人应当在投标截止时间前完成在广西政府采购云平台的身份认证，确保在电子投标过程中能够对相关数据电文进行加密和使用电子签章。</w:t>
      </w:r>
    </w:p>
    <w:p w14:paraId="13DE886F">
      <w:pPr>
        <w:snapToGrid w:val="0"/>
        <w:spacing w:line="420" w:lineRule="exact"/>
        <w:ind w:firstLine="398" w:firstLineChars="200"/>
        <w:rPr>
          <w:rFonts w:ascii="宋体" w:hAnsi="宋体"/>
          <w:b/>
          <w:bCs/>
          <w:color w:val="auto"/>
          <w:szCs w:val="21"/>
          <w:highlight w:val="none"/>
        </w:rPr>
      </w:pPr>
      <w:r>
        <w:rPr>
          <w:rFonts w:hint="eastAsia" w:ascii="宋体" w:hAnsi="宋体"/>
          <w:color w:val="auto"/>
          <w:szCs w:val="21"/>
          <w:highlight w:val="none"/>
        </w:rPr>
        <w:t>19.3投标文件须由投标人在规定位置签字（或者电子签名）、盖章（具体以投标人须知前附表或投标文件格式规定为准），</w:t>
      </w:r>
      <w:r>
        <w:rPr>
          <w:rFonts w:hint="eastAsia" w:ascii="宋体" w:hAnsi="宋体"/>
          <w:b/>
          <w:bCs/>
          <w:color w:val="auto"/>
          <w:szCs w:val="21"/>
          <w:highlight w:val="none"/>
        </w:rPr>
        <w:t>否则按无效投标处理。</w:t>
      </w:r>
    </w:p>
    <w:p w14:paraId="255087D3">
      <w:pPr>
        <w:snapToGrid w:val="0"/>
        <w:spacing w:line="420" w:lineRule="exact"/>
        <w:ind w:firstLine="398" w:firstLineChars="200"/>
        <w:rPr>
          <w:rFonts w:ascii="宋体" w:hAnsi="宋体"/>
          <w:color w:val="auto"/>
          <w:szCs w:val="21"/>
          <w:highlight w:val="none"/>
        </w:rPr>
      </w:pPr>
      <w:r>
        <w:rPr>
          <w:rFonts w:hint="eastAsia" w:ascii="宋体" w:hAnsi="宋体"/>
          <w:color w:val="auto"/>
          <w:szCs w:val="21"/>
          <w:highlight w:val="none"/>
        </w:rPr>
        <w:t>19.4投标文件中标注的投标人名称应与主体资格证明（如营业执照或者事业单位法人证书或者执业许可证或者登记证书等）及公章一致，并与广西政府采购云平台中获取招标文件的投标人名称一致，投标人为自然人的，标注的投标人名称应与身份证姓名及签名一致，</w:t>
      </w:r>
      <w:r>
        <w:rPr>
          <w:rFonts w:hint="eastAsia" w:ascii="宋体" w:hAnsi="宋体"/>
          <w:b/>
          <w:bCs/>
          <w:color w:val="auto"/>
          <w:szCs w:val="21"/>
          <w:highlight w:val="none"/>
        </w:rPr>
        <w:t>否则按无效投标处理。</w:t>
      </w:r>
    </w:p>
    <w:p w14:paraId="77101908">
      <w:pPr>
        <w:snapToGrid w:val="0"/>
        <w:spacing w:line="420" w:lineRule="exact"/>
        <w:ind w:firstLine="398" w:firstLineChars="200"/>
        <w:rPr>
          <w:rFonts w:ascii="宋体" w:hAnsi="宋体"/>
          <w:color w:val="auto"/>
          <w:szCs w:val="21"/>
          <w:highlight w:val="none"/>
        </w:rPr>
      </w:pPr>
      <w:r>
        <w:rPr>
          <w:rFonts w:hint="eastAsia" w:ascii="宋体" w:hAnsi="宋体"/>
          <w:color w:val="auto"/>
          <w:szCs w:val="21"/>
          <w:highlight w:val="none"/>
        </w:rPr>
        <w:t>19.5投标文件应尽量避免涂改、行间插字或者删除。如果出现上述情况，改动之处应由投标人的法定代表人或者其委托代理人签字（或者电子签名）或者加盖公章或者加盖电子签章。投标文件因字迹潦草或者表达不清所引起的后果由投标人承担。</w:t>
      </w:r>
    </w:p>
    <w:p w14:paraId="6C100224">
      <w:pPr>
        <w:pStyle w:val="6"/>
        <w:keepNext w:val="0"/>
        <w:keepLines w:val="0"/>
        <w:spacing w:before="0" w:after="0" w:line="420" w:lineRule="exact"/>
        <w:rPr>
          <w:rFonts w:ascii="黑体" w:hAnsi="黑体" w:eastAsia="黑体"/>
          <w:color w:val="auto"/>
          <w:sz w:val="24"/>
          <w:highlight w:val="none"/>
        </w:rPr>
      </w:pPr>
      <w:r>
        <w:rPr>
          <w:rFonts w:hint="eastAsia" w:ascii="黑体" w:hAnsi="黑体" w:eastAsia="黑体"/>
          <w:color w:val="auto"/>
          <w:sz w:val="24"/>
          <w:highlight w:val="none"/>
        </w:rPr>
        <w:t>20.电子备份投标文件</w:t>
      </w:r>
    </w:p>
    <w:p w14:paraId="650FD6DD">
      <w:pPr>
        <w:snapToGrid w:val="0"/>
        <w:spacing w:line="420" w:lineRule="exact"/>
        <w:ind w:firstLine="398" w:firstLineChars="200"/>
        <w:rPr>
          <w:rFonts w:ascii="宋体" w:hAnsi="宋体"/>
          <w:color w:val="auto"/>
          <w:szCs w:val="21"/>
          <w:highlight w:val="none"/>
        </w:rPr>
      </w:pPr>
      <w:r>
        <w:rPr>
          <w:rFonts w:hint="eastAsia" w:ascii="宋体" w:hAnsi="宋体"/>
          <w:color w:val="auto"/>
          <w:szCs w:val="21"/>
          <w:highlight w:val="none"/>
        </w:rPr>
        <w:t>电子备份投标文件是指通过在线编制生成且后缀名为“bfbs”的文件，是否接受电子备份投标文件详见“投标人须知前附表”。</w:t>
      </w:r>
    </w:p>
    <w:p w14:paraId="664005FB">
      <w:pPr>
        <w:pStyle w:val="6"/>
        <w:keepNext w:val="0"/>
        <w:keepLines w:val="0"/>
        <w:spacing w:before="0" w:after="0" w:line="420" w:lineRule="exact"/>
        <w:rPr>
          <w:rFonts w:ascii="黑体" w:hAnsi="黑体" w:eastAsia="黑体"/>
          <w:color w:val="auto"/>
          <w:sz w:val="24"/>
          <w:highlight w:val="none"/>
        </w:rPr>
      </w:pPr>
      <w:r>
        <w:rPr>
          <w:rFonts w:hint="eastAsia" w:ascii="黑体" w:hAnsi="黑体" w:eastAsia="黑体"/>
          <w:color w:val="auto"/>
          <w:sz w:val="24"/>
          <w:highlight w:val="none"/>
        </w:rPr>
        <w:t>21.投标文件的提交</w:t>
      </w:r>
    </w:p>
    <w:p w14:paraId="1ED9BD88">
      <w:pPr>
        <w:snapToGrid w:val="0"/>
        <w:spacing w:line="420" w:lineRule="exact"/>
        <w:ind w:firstLine="398" w:firstLineChars="200"/>
        <w:rPr>
          <w:rFonts w:ascii="宋体" w:hAnsi="宋体"/>
          <w:b/>
          <w:bCs/>
          <w:color w:val="auto"/>
          <w:szCs w:val="21"/>
          <w:highlight w:val="none"/>
        </w:rPr>
      </w:pPr>
      <w:bookmarkStart w:id="125" w:name="_21.1投标人必须在“投标人须知中的前附表”规定的投标文件接收时间和投"/>
      <w:bookmarkEnd w:id="125"/>
      <w:r>
        <w:rPr>
          <w:rFonts w:hint="eastAsia" w:ascii="宋体" w:hAnsi="宋体"/>
          <w:color w:val="auto"/>
          <w:szCs w:val="21"/>
          <w:highlight w:val="none"/>
        </w:rPr>
        <w:t>21.1投标人必须在“投标人须知前附表”规定的提交投标文件截止时间前将电子投标文件提交至投标地点。电子投标文件应在制作完成后，在投标截止时间前通过有效数字证书（CA认证锁）进行电子签章、加密，然后通过网络将加密的电子投标文件递交至广</w:t>
      </w:r>
      <w:r>
        <w:rPr>
          <w:rFonts w:hint="eastAsia" w:ascii="宋体" w:hAnsi="宋体"/>
          <w:b/>
          <w:bCs/>
          <w:color w:val="auto"/>
          <w:szCs w:val="21"/>
          <w:highlight w:val="none"/>
        </w:rPr>
        <w:t>西政府采购云平台。</w:t>
      </w:r>
    </w:p>
    <w:p w14:paraId="71BFD1DD">
      <w:pPr>
        <w:snapToGrid w:val="0"/>
        <w:spacing w:line="420" w:lineRule="exact"/>
        <w:ind w:firstLine="398" w:firstLineChars="200"/>
        <w:rPr>
          <w:rFonts w:ascii="宋体" w:hAnsi="宋体"/>
          <w:b/>
          <w:bCs/>
          <w:color w:val="auto"/>
          <w:szCs w:val="21"/>
          <w:highlight w:val="none"/>
        </w:rPr>
      </w:pPr>
      <w:r>
        <w:rPr>
          <w:rFonts w:hint="eastAsia" w:ascii="宋体" w:hAnsi="宋体"/>
          <w:b/>
          <w:bCs/>
          <w:color w:val="auto"/>
          <w:szCs w:val="21"/>
          <w:highlight w:val="none"/>
        </w:rPr>
        <w:t>21.2未在规定时间内提交或者未按照招标文件要求加密的电子投标文件，广西政府采购云平台将拒收。</w:t>
      </w:r>
    </w:p>
    <w:p w14:paraId="63FF71BA">
      <w:pPr>
        <w:pStyle w:val="6"/>
        <w:keepNext w:val="0"/>
        <w:keepLines w:val="0"/>
        <w:spacing w:before="0" w:after="0" w:line="420" w:lineRule="exact"/>
        <w:rPr>
          <w:rFonts w:ascii="黑体" w:hAnsi="黑体" w:eastAsia="黑体"/>
          <w:color w:val="auto"/>
          <w:sz w:val="24"/>
          <w:highlight w:val="none"/>
        </w:rPr>
      </w:pPr>
      <w:r>
        <w:rPr>
          <w:rFonts w:hint="eastAsia" w:ascii="黑体" w:hAnsi="黑体" w:eastAsia="黑体"/>
          <w:color w:val="auto"/>
          <w:sz w:val="24"/>
          <w:highlight w:val="none"/>
        </w:rPr>
        <w:t>22.投标文件的补充、修改、撤回与退回</w:t>
      </w:r>
    </w:p>
    <w:p w14:paraId="15E06468">
      <w:pPr>
        <w:snapToGrid w:val="0"/>
        <w:spacing w:line="420" w:lineRule="exact"/>
        <w:ind w:firstLine="420"/>
        <w:jc w:val="left"/>
        <w:rPr>
          <w:rFonts w:ascii="宋体" w:hAnsi="宋体"/>
          <w:color w:val="auto"/>
          <w:szCs w:val="21"/>
          <w:highlight w:val="none"/>
        </w:rPr>
      </w:pPr>
      <w:bookmarkStart w:id="126" w:name="_Toc254970543"/>
      <w:bookmarkStart w:id="127" w:name="_Toc254970684"/>
      <w:r>
        <w:rPr>
          <w:rFonts w:ascii="宋体" w:hAnsi="宋体" w:cs="宋体"/>
          <w:color w:val="auto"/>
          <w:szCs w:val="21"/>
          <w:highlight w:val="none"/>
        </w:rPr>
        <w:t>22</w:t>
      </w:r>
      <w:r>
        <w:rPr>
          <w:rFonts w:hint="eastAsia" w:ascii="宋体" w:hAnsi="宋体" w:cs="宋体"/>
          <w:color w:val="auto"/>
          <w:szCs w:val="21"/>
          <w:highlight w:val="none"/>
        </w:rPr>
        <w:t>.1</w:t>
      </w:r>
      <w:r>
        <w:rPr>
          <w:rFonts w:hint="eastAsia" w:ascii="宋体" w:hAnsi="宋体"/>
          <w:bCs/>
          <w:color w:val="auto"/>
          <w:szCs w:val="21"/>
          <w:highlight w:val="none"/>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广西政府采购云平台将予以拒收。</w:t>
      </w:r>
      <w:r>
        <w:rPr>
          <w:rFonts w:hint="eastAsia" w:ascii="宋体" w:hAnsi="宋体" w:cs="宋体"/>
          <w:color w:val="auto"/>
          <w:szCs w:val="21"/>
          <w:highlight w:val="none"/>
        </w:rPr>
        <w:t>（补充、修改或者撤回方式可</w:t>
      </w:r>
      <w:r>
        <w:rPr>
          <w:rFonts w:hint="eastAsia" w:ascii="宋体" w:hAnsi="宋体"/>
          <w:color w:val="auto"/>
          <w:szCs w:val="21"/>
          <w:highlight w:val="none"/>
        </w:rPr>
        <w:t>登录</w:t>
      </w:r>
      <w:r>
        <w:rPr>
          <w:rFonts w:hint="eastAsia" w:ascii="宋体" w:hAnsi="宋体" w:cs="宋体"/>
          <w:color w:val="auto"/>
          <w:kern w:val="0"/>
          <w:szCs w:val="21"/>
          <w:highlight w:val="none"/>
        </w:rPr>
        <w:t>广西政府采购云平台，</w:t>
      </w:r>
      <w:r>
        <w:rPr>
          <w:rFonts w:hint="eastAsia" w:ascii="宋体" w:hAnsi="宋体"/>
          <w:color w:val="auto"/>
          <w:szCs w:val="21"/>
          <w:highlight w:val="none"/>
        </w:rPr>
        <w:t>依次进入“服务中心”中查看</w:t>
      </w:r>
      <w:r>
        <w:rPr>
          <w:rFonts w:hint="eastAsia" w:ascii="宋体" w:hAnsi="宋体" w:cs="宋体"/>
          <w:color w:val="auto"/>
          <w:szCs w:val="21"/>
          <w:highlight w:val="none"/>
        </w:rPr>
        <w:t xml:space="preserve"> “电子投标文件制作与投送教程”）</w:t>
      </w:r>
    </w:p>
    <w:bookmarkEnd w:id="126"/>
    <w:bookmarkEnd w:id="127"/>
    <w:p w14:paraId="2E16B762">
      <w:pPr>
        <w:snapToGrid w:val="0"/>
        <w:spacing w:line="420" w:lineRule="exact"/>
        <w:ind w:firstLine="398" w:firstLineChars="200"/>
        <w:rPr>
          <w:rFonts w:ascii="宋体" w:hAnsi="宋体"/>
          <w:color w:val="auto"/>
          <w:szCs w:val="21"/>
          <w:highlight w:val="none"/>
        </w:rPr>
      </w:pPr>
      <w:r>
        <w:rPr>
          <w:rFonts w:ascii="宋体" w:hAnsi="宋体" w:cs="宋体"/>
          <w:color w:val="auto"/>
          <w:szCs w:val="21"/>
          <w:highlight w:val="none"/>
        </w:rPr>
        <w:t>22.</w:t>
      </w:r>
      <w:r>
        <w:rPr>
          <w:rFonts w:hint="eastAsia" w:ascii="宋体" w:hAnsi="宋体" w:cs="宋体"/>
          <w:color w:val="auto"/>
          <w:szCs w:val="21"/>
          <w:highlight w:val="none"/>
        </w:rPr>
        <w:t>2广西政府采购云平台收到投标文件后向供应商发出确认回执通知。在投标截止时间前，除供应商</w:t>
      </w:r>
      <w:r>
        <w:rPr>
          <w:rFonts w:hint="eastAsia" w:ascii="宋体" w:hAnsi="宋体"/>
          <w:color w:val="auto"/>
          <w:szCs w:val="21"/>
          <w:highlight w:val="none"/>
        </w:rPr>
        <w:t>补充、修改或者撤回投标文件外，任何单位和个人不得解密或提取投标文件。</w:t>
      </w:r>
    </w:p>
    <w:p w14:paraId="2FBD47BF">
      <w:pPr>
        <w:snapToGrid w:val="0"/>
        <w:spacing w:line="420" w:lineRule="exact"/>
        <w:ind w:firstLine="398" w:firstLineChars="200"/>
        <w:rPr>
          <w:rFonts w:ascii="宋体" w:hAnsi="宋体"/>
          <w:color w:val="auto"/>
          <w:szCs w:val="21"/>
          <w:highlight w:val="none"/>
        </w:rPr>
      </w:pPr>
      <w:r>
        <w:rPr>
          <w:rFonts w:hint="eastAsia" w:ascii="宋体" w:hAnsi="宋体"/>
          <w:color w:val="auto"/>
          <w:szCs w:val="21"/>
          <w:highlight w:val="none"/>
        </w:rPr>
        <w:t>22.3在投标截止时间后，采购人和采购代理机构对已提交的投标文件概不退回。</w:t>
      </w:r>
    </w:p>
    <w:p w14:paraId="1799CB46">
      <w:pPr>
        <w:pStyle w:val="4"/>
        <w:keepNext w:val="0"/>
        <w:keepLines w:val="0"/>
        <w:spacing w:before="0" w:after="0" w:line="420" w:lineRule="exact"/>
        <w:jc w:val="center"/>
        <w:rPr>
          <w:color w:val="auto"/>
          <w:highlight w:val="none"/>
        </w:rPr>
      </w:pPr>
      <w:bookmarkStart w:id="128" w:name="_Toc254970544"/>
      <w:bookmarkStart w:id="129" w:name="_Toc254970685"/>
      <w:r>
        <w:rPr>
          <w:rFonts w:hint="eastAsia"/>
          <w:color w:val="auto"/>
          <w:highlight w:val="none"/>
        </w:rPr>
        <w:t>四、开    标</w:t>
      </w:r>
      <w:bookmarkEnd w:id="128"/>
      <w:bookmarkEnd w:id="129"/>
    </w:p>
    <w:p w14:paraId="544ECA56">
      <w:pPr>
        <w:pStyle w:val="6"/>
        <w:keepNext w:val="0"/>
        <w:keepLines w:val="0"/>
        <w:spacing w:before="0" w:after="0" w:line="420" w:lineRule="exact"/>
        <w:rPr>
          <w:rFonts w:ascii="黑体" w:hAnsi="黑体" w:eastAsia="黑体"/>
          <w:color w:val="auto"/>
          <w:sz w:val="24"/>
          <w:highlight w:val="none"/>
        </w:rPr>
      </w:pPr>
      <w:bookmarkStart w:id="130" w:name="_23.开标时间和地点"/>
      <w:bookmarkEnd w:id="130"/>
      <w:r>
        <w:rPr>
          <w:rFonts w:hint="eastAsia" w:ascii="黑体" w:hAnsi="黑体" w:eastAsia="黑体"/>
          <w:color w:val="auto"/>
          <w:sz w:val="24"/>
          <w:highlight w:val="none"/>
        </w:rPr>
        <w:t>23.开标时间和地点</w:t>
      </w:r>
    </w:p>
    <w:p w14:paraId="4F38FD56">
      <w:pPr>
        <w:snapToGrid w:val="0"/>
        <w:spacing w:line="420" w:lineRule="exact"/>
        <w:ind w:firstLine="398" w:firstLineChars="200"/>
        <w:rPr>
          <w:rFonts w:ascii="宋体" w:hAnsi="宋体"/>
          <w:color w:val="auto"/>
          <w:szCs w:val="21"/>
          <w:highlight w:val="none"/>
        </w:rPr>
      </w:pPr>
      <w:r>
        <w:rPr>
          <w:rFonts w:hint="eastAsia" w:ascii="宋体" w:hAnsi="宋体"/>
          <w:color w:val="auto"/>
          <w:szCs w:val="21"/>
          <w:highlight w:val="none"/>
        </w:rPr>
        <w:t>开标时间及地点详见“投标人须知前附表”</w:t>
      </w:r>
    </w:p>
    <w:p w14:paraId="26882B1A">
      <w:pPr>
        <w:pStyle w:val="6"/>
        <w:keepNext w:val="0"/>
        <w:keepLines w:val="0"/>
        <w:spacing w:before="0" w:after="0" w:line="420" w:lineRule="exact"/>
        <w:rPr>
          <w:rFonts w:ascii="黑体" w:hAnsi="黑体" w:eastAsia="黑体"/>
          <w:color w:val="auto"/>
          <w:sz w:val="24"/>
          <w:highlight w:val="none"/>
        </w:rPr>
      </w:pPr>
      <w:r>
        <w:rPr>
          <w:rFonts w:hint="eastAsia" w:ascii="黑体" w:hAnsi="黑体" w:eastAsia="黑体"/>
          <w:color w:val="auto"/>
          <w:sz w:val="24"/>
          <w:highlight w:val="none"/>
        </w:rPr>
        <w:t>24.开标程序</w:t>
      </w:r>
    </w:p>
    <w:p w14:paraId="79040703">
      <w:pPr>
        <w:snapToGrid w:val="0"/>
        <w:spacing w:line="420" w:lineRule="exact"/>
        <w:ind w:firstLine="398" w:firstLineChars="200"/>
        <w:rPr>
          <w:rFonts w:ascii="宋体" w:hAnsi="宋体"/>
          <w:color w:val="auto"/>
          <w:szCs w:val="21"/>
          <w:highlight w:val="none"/>
        </w:rPr>
      </w:pPr>
      <w:r>
        <w:rPr>
          <w:rFonts w:hint="eastAsia" w:ascii="宋体" w:hAnsi="宋体"/>
          <w:color w:val="auto"/>
          <w:szCs w:val="21"/>
          <w:highlight w:val="none"/>
        </w:rPr>
        <w:t>24.1提交投标文件截止时间止，投标人不足3家的，不得开标。</w:t>
      </w:r>
    </w:p>
    <w:p w14:paraId="41342EDA">
      <w:pPr>
        <w:snapToGrid w:val="0"/>
        <w:spacing w:line="420" w:lineRule="exact"/>
        <w:ind w:firstLine="398" w:firstLineChars="200"/>
        <w:rPr>
          <w:rFonts w:ascii="宋体" w:hAnsi="宋体"/>
          <w:color w:val="auto"/>
          <w:szCs w:val="21"/>
          <w:highlight w:val="none"/>
        </w:rPr>
      </w:pPr>
      <w:r>
        <w:rPr>
          <w:rFonts w:hint="eastAsia" w:ascii="宋体" w:hAnsi="宋体"/>
          <w:color w:val="auto"/>
          <w:szCs w:val="21"/>
          <w:highlight w:val="none"/>
        </w:rPr>
        <w:t>24.2采购代理机构将按照招标文件规定的时间通过广西政府采购云平台组织线上开标活动，所有供应商均应当准时在线参加，投标人因未在线参加开标而导致投标文件无法按时解密等一切后果由投标人自己承担。</w:t>
      </w:r>
    </w:p>
    <w:p w14:paraId="70E245FF">
      <w:pPr>
        <w:snapToGrid w:val="0"/>
        <w:spacing w:line="420" w:lineRule="exact"/>
        <w:ind w:firstLine="398" w:firstLineChars="200"/>
        <w:rPr>
          <w:rFonts w:ascii="宋体" w:hAnsi="宋体"/>
          <w:color w:val="auto"/>
          <w:szCs w:val="21"/>
          <w:highlight w:val="none"/>
        </w:rPr>
      </w:pPr>
      <w:r>
        <w:rPr>
          <w:rFonts w:hint="eastAsia" w:ascii="宋体" w:hAnsi="宋体"/>
          <w:color w:val="auto"/>
          <w:szCs w:val="21"/>
          <w:highlight w:val="none"/>
        </w:rPr>
        <w:t>24.3开标程序</w:t>
      </w:r>
    </w:p>
    <w:p w14:paraId="71B5F80A">
      <w:pPr>
        <w:snapToGrid w:val="0"/>
        <w:spacing w:line="420" w:lineRule="exact"/>
        <w:ind w:firstLine="398" w:firstLineChars="200"/>
        <w:rPr>
          <w:rFonts w:ascii="宋体" w:hAnsi="宋体"/>
          <w:b/>
          <w:bCs/>
          <w:color w:val="auto"/>
          <w:szCs w:val="21"/>
          <w:highlight w:val="none"/>
        </w:rPr>
      </w:pPr>
      <w:r>
        <w:rPr>
          <w:rFonts w:hint="eastAsia" w:ascii="宋体" w:hAnsi="宋体"/>
          <w:color w:val="auto"/>
          <w:szCs w:val="21"/>
          <w:highlight w:val="none"/>
        </w:rPr>
        <w:t>（1）解密电子投标文件。广西政府采购云平台按开标时间自动提取所有投标文件。采购代理机构依托广西政府采购云平台向各投标人发出电子加密投标文件【开始解密】通知，由投标人按“投标人须知前附表”规定的时间内自行进行投标文件解密。投标人的法定代表人或其委托代理人须凭加密时所用的CA锁准时登录到广西政府采购云平台电子开标大厅签到并对电子投标文件解密。</w:t>
      </w:r>
      <w:r>
        <w:rPr>
          <w:rFonts w:hint="eastAsia" w:ascii="宋体" w:hAnsi="宋体"/>
          <w:b/>
          <w:bCs/>
          <w:color w:val="auto"/>
          <w:szCs w:val="21"/>
          <w:highlight w:val="none"/>
        </w:rPr>
        <w:t>投标人未在规定的时间内解密投标文件或者解密失败的，投标人的投标文件作无效处理。</w:t>
      </w:r>
    </w:p>
    <w:p w14:paraId="5F30EA25">
      <w:pPr>
        <w:snapToGrid w:val="0"/>
        <w:spacing w:line="420" w:lineRule="exact"/>
        <w:ind w:firstLine="398" w:firstLineChars="200"/>
        <w:rPr>
          <w:rFonts w:ascii="宋体" w:hAnsi="宋体"/>
          <w:color w:val="auto"/>
          <w:szCs w:val="21"/>
          <w:highlight w:val="none"/>
        </w:rPr>
      </w:pPr>
      <w:r>
        <w:rPr>
          <w:rFonts w:hint="eastAsia" w:ascii="宋体" w:hAnsi="宋体"/>
          <w:color w:val="auto"/>
          <w:szCs w:val="21"/>
          <w:highlight w:val="none"/>
        </w:rPr>
        <w:t>（2）电子唱标。投标文件解密结束，宣布的内容均在广西政府采购云平台远程开标大厅展示，具体详见“投标人须知前附表”；</w:t>
      </w:r>
    </w:p>
    <w:p w14:paraId="33D136A4">
      <w:pPr>
        <w:snapToGrid w:val="0"/>
        <w:spacing w:line="420" w:lineRule="exact"/>
        <w:ind w:firstLine="398" w:firstLineChars="200"/>
        <w:rPr>
          <w:rFonts w:ascii="宋体" w:hAnsi="宋体"/>
          <w:color w:val="auto"/>
          <w:szCs w:val="21"/>
          <w:highlight w:val="none"/>
        </w:rPr>
      </w:pPr>
      <w:r>
        <w:rPr>
          <w:rFonts w:hint="eastAsia" w:ascii="宋体" w:hAnsi="宋体"/>
          <w:color w:val="auto"/>
          <w:szCs w:val="21"/>
          <w:highlight w:val="none"/>
        </w:rPr>
        <w:t>（3）开标过程由采购代理机构如实记录，并电子留痕，由参加电子开标的各投标人代表对电子开标记录在开标记录公布后15分钟内进行当场校核及勘误，并线上确认是否有异议，未确认的视同认可开标结果。</w:t>
      </w:r>
    </w:p>
    <w:p w14:paraId="177CB588">
      <w:pPr>
        <w:snapToGrid w:val="0"/>
        <w:spacing w:line="420" w:lineRule="exact"/>
        <w:ind w:firstLine="398" w:firstLineChars="200"/>
        <w:rPr>
          <w:rFonts w:ascii="宋体" w:hAnsi="宋体"/>
          <w:color w:val="auto"/>
          <w:szCs w:val="21"/>
          <w:highlight w:val="none"/>
        </w:rPr>
      </w:pPr>
      <w:r>
        <w:rPr>
          <w:rFonts w:hint="eastAsia" w:ascii="宋体" w:hAnsi="宋体"/>
          <w:color w:val="auto"/>
          <w:szCs w:val="21"/>
          <w:highlight w:val="none"/>
        </w:rPr>
        <w:t>（4）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3DA6AE44">
      <w:pPr>
        <w:snapToGrid w:val="0"/>
        <w:spacing w:line="420" w:lineRule="exact"/>
        <w:ind w:firstLine="398" w:firstLineChars="200"/>
        <w:rPr>
          <w:rFonts w:ascii="宋体" w:hAnsi="宋体"/>
          <w:color w:val="auto"/>
          <w:szCs w:val="21"/>
          <w:highlight w:val="none"/>
        </w:rPr>
      </w:pPr>
      <w:r>
        <w:rPr>
          <w:rFonts w:hint="eastAsia" w:ascii="宋体" w:hAnsi="宋体"/>
          <w:color w:val="auto"/>
          <w:szCs w:val="21"/>
          <w:highlight w:val="none"/>
        </w:rPr>
        <w:t>（5）开标结束。</w:t>
      </w:r>
    </w:p>
    <w:p w14:paraId="7F712650">
      <w:pPr>
        <w:snapToGrid w:val="0"/>
        <w:spacing w:line="420" w:lineRule="exact"/>
        <w:ind w:firstLine="398" w:firstLineChars="200"/>
        <w:rPr>
          <w:rFonts w:hAnsi="宋体"/>
          <w:color w:val="auto"/>
          <w:highlight w:val="none"/>
        </w:rPr>
      </w:pPr>
      <w:r>
        <w:rPr>
          <w:rFonts w:hint="eastAsia" w:ascii="宋体" w:hAnsi="宋体"/>
          <w:color w:val="auto"/>
          <w:szCs w:val="21"/>
          <w:highlight w:val="none"/>
        </w:rPr>
        <w:t>特别说明：如遇广西政府采购云平台电子化开标或评审程序调整的，按调整后执行。</w:t>
      </w:r>
    </w:p>
    <w:p w14:paraId="7E6F0BF8">
      <w:pPr>
        <w:pStyle w:val="4"/>
        <w:keepNext w:val="0"/>
        <w:keepLines w:val="0"/>
        <w:spacing w:before="0" w:after="0" w:line="420" w:lineRule="exact"/>
        <w:jc w:val="center"/>
        <w:rPr>
          <w:color w:val="auto"/>
          <w:highlight w:val="none"/>
        </w:rPr>
      </w:pPr>
      <w:r>
        <w:rPr>
          <w:rFonts w:hint="eastAsia"/>
          <w:color w:val="auto"/>
          <w:highlight w:val="none"/>
        </w:rPr>
        <w:t>五、资格审查</w:t>
      </w:r>
    </w:p>
    <w:p w14:paraId="16392CCB">
      <w:pPr>
        <w:pStyle w:val="6"/>
        <w:keepNext w:val="0"/>
        <w:keepLines w:val="0"/>
        <w:spacing w:before="0" w:after="0" w:line="420" w:lineRule="exact"/>
        <w:rPr>
          <w:rFonts w:ascii="黑体" w:hAnsi="黑体" w:eastAsia="黑体"/>
          <w:color w:val="auto"/>
          <w:sz w:val="24"/>
          <w:highlight w:val="none"/>
        </w:rPr>
      </w:pPr>
      <w:r>
        <w:rPr>
          <w:rFonts w:hint="eastAsia" w:ascii="黑体" w:hAnsi="黑体" w:eastAsia="黑体"/>
          <w:color w:val="auto"/>
          <w:sz w:val="24"/>
          <w:highlight w:val="none"/>
        </w:rPr>
        <w:t>25.资格审查</w:t>
      </w:r>
    </w:p>
    <w:p w14:paraId="5AA273D9">
      <w:pPr>
        <w:pStyle w:val="6"/>
        <w:keepNext w:val="0"/>
        <w:keepLines w:val="0"/>
        <w:spacing w:before="0" w:after="0" w:line="420" w:lineRule="exact"/>
        <w:ind w:firstLine="299" w:firstLineChars="150"/>
        <w:rPr>
          <w:rFonts w:ascii="宋体" w:hAnsi="宋体"/>
          <w:b w:val="0"/>
          <w:color w:val="auto"/>
          <w:sz w:val="21"/>
          <w:szCs w:val="21"/>
          <w:highlight w:val="none"/>
        </w:rPr>
      </w:pPr>
      <w:r>
        <w:rPr>
          <w:rFonts w:hint="eastAsia" w:ascii="宋体" w:hAnsi="宋体"/>
          <w:b w:val="0"/>
          <w:color w:val="auto"/>
          <w:sz w:val="21"/>
          <w:szCs w:val="21"/>
          <w:highlight w:val="none"/>
        </w:rPr>
        <w:t xml:space="preserve"> 25.1</w:t>
      </w:r>
      <w:r>
        <w:rPr>
          <w:rFonts w:ascii="宋体" w:hAnsi="宋体"/>
          <w:b w:val="0"/>
          <w:color w:val="auto"/>
          <w:sz w:val="21"/>
          <w:szCs w:val="21"/>
          <w:highlight w:val="none"/>
        </w:rPr>
        <w:t>开标结束后，</w:t>
      </w:r>
      <w:r>
        <w:rPr>
          <w:rFonts w:hint="eastAsia" w:ascii="宋体" w:hAnsi="宋体"/>
          <w:b w:val="0"/>
          <w:color w:val="auto"/>
          <w:sz w:val="21"/>
          <w:szCs w:val="21"/>
          <w:highlight w:val="none"/>
        </w:rPr>
        <w:t>采购人或者采购代理机构通过电子开评标系统依据招标文件对电子投标文件进行线上资格审查</w:t>
      </w:r>
      <w:r>
        <w:rPr>
          <w:rFonts w:ascii="宋体" w:hAnsi="宋体"/>
          <w:b w:val="0"/>
          <w:color w:val="auto"/>
          <w:sz w:val="21"/>
          <w:szCs w:val="21"/>
          <w:highlight w:val="none"/>
        </w:rPr>
        <w:t>。</w:t>
      </w:r>
    </w:p>
    <w:p w14:paraId="5BC8D3B1">
      <w:pPr>
        <w:pStyle w:val="6"/>
        <w:keepNext w:val="0"/>
        <w:keepLines w:val="0"/>
        <w:spacing w:before="0" w:after="0" w:line="420" w:lineRule="exact"/>
        <w:ind w:firstLine="299" w:firstLineChars="150"/>
        <w:rPr>
          <w:rFonts w:ascii="宋体" w:hAnsi="宋体"/>
          <w:b w:val="0"/>
          <w:color w:val="auto"/>
          <w:sz w:val="21"/>
          <w:szCs w:val="21"/>
          <w:highlight w:val="none"/>
        </w:rPr>
      </w:pPr>
      <w:r>
        <w:rPr>
          <w:rFonts w:hint="eastAsia" w:ascii="宋体" w:hAnsi="宋体"/>
          <w:b w:val="0"/>
          <w:color w:val="auto"/>
          <w:sz w:val="21"/>
          <w:szCs w:val="21"/>
          <w:highlight w:val="none"/>
        </w:rPr>
        <w:t xml:space="preserve"> 25.2资格审查标准为本招标文件中载明对投标人资格要求的条件。本项目资格审查采用合格制，凡符合招标文件规定的投标人资格要求的投标人均通过资格审查。</w:t>
      </w:r>
    </w:p>
    <w:p w14:paraId="4ACFED5E">
      <w:pPr>
        <w:pStyle w:val="6"/>
        <w:keepNext w:val="0"/>
        <w:keepLines w:val="0"/>
        <w:numPr>
          <w:ilvl w:val="0"/>
          <w:numId w:val="0"/>
        </w:numPr>
        <w:spacing w:before="0" w:after="0" w:line="420" w:lineRule="exact"/>
        <w:ind w:firstLine="398" w:firstLineChars="200"/>
        <w:rPr>
          <w:rFonts w:ascii="宋体" w:hAnsi="宋体"/>
          <w:color w:val="auto"/>
          <w:sz w:val="21"/>
          <w:szCs w:val="21"/>
          <w:highlight w:val="none"/>
        </w:rPr>
      </w:pPr>
      <w:bookmarkStart w:id="131" w:name="_25.3_投标人有下列情形之一的，资格审查不通过而导致其投标无效："/>
      <w:bookmarkEnd w:id="131"/>
      <w:r>
        <w:rPr>
          <w:rFonts w:hint="eastAsia" w:ascii="宋体" w:hAnsi="宋体"/>
          <w:color w:val="auto"/>
          <w:sz w:val="21"/>
          <w:szCs w:val="21"/>
          <w:highlight w:val="none"/>
        </w:rPr>
        <w:t>25.3 投标人有下列情形之一的，资格审查不通过，作无效投标处理：</w:t>
      </w:r>
    </w:p>
    <w:p w14:paraId="469D4E32">
      <w:pPr>
        <w:pStyle w:val="23"/>
        <w:snapToGrid w:val="0"/>
        <w:spacing w:line="420" w:lineRule="exact"/>
        <w:ind w:firstLine="398" w:firstLineChars="200"/>
        <w:rPr>
          <w:rFonts w:hAnsi="宋体"/>
          <w:b/>
          <w:color w:val="auto"/>
          <w:sz w:val="21"/>
          <w:highlight w:val="none"/>
        </w:rPr>
      </w:pPr>
      <w:r>
        <w:rPr>
          <w:rFonts w:hint="eastAsia" w:hAnsi="宋体"/>
          <w:b/>
          <w:color w:val="auto"/>
          <w:sz w:val="21"/>
          <w:highlight w:val="none"/>
        </w:rPr>
        <w:t>（1）不具备招标文件中规定的资格要求的；</w:t>
      </w:r>
    </w:p>
    <w:p w14:paraId="61121F8F">
      <w:pPr>
        <w:pStyle w:val="23"/>
        <w:snapToGrid w:val="0"/>
        <w:spacing w:line="420" w:lineRule="exact"/>
        <w:ind w:firstLine="398" w:firstLineChars="200"/>
        <w:rPr>
          <w:rFonts w:hAnsi="宋体"/>
          <w:b/>
          <w:color w:val="auto"/>
          <w:sz w:val="21"/>
          <w:highlight w:val="none"/>
        </w:rPr>
      </w:pPr>
      <w:r>
        <w:rPr>
          <w:rFonts w:hint="eastAsia" w:hAnsi="宋体"/>
          <w:b/>
          <w:color w:val="auto"/>
          <w:sz w:val="21"/>
          <w:highlight w:val="none"/>
        </w:rPr>
        <w:t>（2）在“信用中国”网站（www.creditchina.gov.cn）、中国政府采购网（www.ccgp.gov.cn）被列入失信被执行人、重大税收违法失信主体、政府采购严重违法失信行为记录名单及其他不符合《中华人民共和国政府采购法》第二十二条规定条件的；（注：其中信用查询规则见“投标人须知前附表”）</w:t>
      </w:r>
    </w:p>
    <w:p w14:paraId="6CD872E7">
      <w:pPr>
        <w:pStyle w:val="23"/>
        <w:snapToGrid w:val="0"/>
        <w:spacing w:line="420" w:lineRule="exact"/>
        <w:ind w:firstLine="398" w:firstLineChars="200"/>
        <w:rPr>
          <w:rFonts w:hAnsi="宋体"/>
          <w:b/>
          <w:color w:val="auto"/>
          <w:sz w:val="21"/>
          <w:highlight w:val="none"/>
        </w:rPr>
      </w:pPr>
      <w:r>
        <w:rPr>
          <w:rFonts w:hint="eastAsia" w:hAnsi="宋体"/>
          <w:b/>
          <w:color w:val="auto"/>
          <w:sz w:val="21"/>
          <w:highlight w:val="none"/>
        </w:rPr>
        <w:t>（3）同一合同项下的不同投标人，单位负责人为同一人或者存在直接控股、管理关系的；</w:t>
      </w:r>
    </w:p>
    <w:p w14:paraId="2B56E295">
      <w:pPr>
        <w:pStyle w:val="23"/>
        <w:snapToGrid w:val="0"/>
        <w:spacing w:line="420" w:lineRule="exact"/>
        <w:ind w:firstLine="398" w:firstLineChars="200"/>
        <w:rPr>
          <w:rFonts w:hAnsi="宋体"/>
          <w:b/>
          <w:color w:val="auto"/>
          <w:sz w:val="21"/>
          <w:highlight w:val="none"/>
        </w:rPr>
      </w:pPr>
      <w:r>
        <w:rPr>
          <w:rFonts w:hint="eastAsia" w:hAnsi="宋体"/>
          <w:b/>
          <w:color w:val="auto"/>
          <w:sz w:val="21"/>
          <w:highlight w:val="none"/>
        </w:rPr>
        <w:t>（4）投标文件中的资格证明文件缺少任一项“投标人须知前附表”资格证明文件规定“必须提供”的文件资料的；</w:t>
      </w:r>
    </w:p>
    <w:p w14:paraId="6A0D2BD7">
      <w:pPr>
        <w:pStyle w:val="23"/>
        <w:snapToGrid w:val="0"/>
        <w:spacing w:line="420" w:lineRule="exact"/>
        <w:ind w:firstLine="398" w:firstLineChars="200"/>
        <w:rPr>
          <w:rFonts w:hAnsi="宋体"/>
          <w:b/>
          <w:color w:val="auto"/>
          <w:sz w:val="21"/>
          <w:highlight w:val="none"/>
        </w:rPr>
      </w:pPr>
      <w:r>
        <w:rPr>
          <w:rFonts w:hint="eastAsia" w:hAnsi="宋体"/>
          <w:b/>
          <w:color w:val="auto"/>
          <w:sz w:val="21"/>
          <w:highlight w:val="none"/>
        </w:rPr>
        <w:t>（5）投标文件中的资格证明文件出现任一项不符合“投标人须知前附表”资格证明文件规定“必须提供”的文件资料要求或者无效的。</w:t>
      </w:r>
    </w:p>
    <w:p w14:paraId="11ABC818">
      <w:pPr>
        <w:pStyle w:val="6"/>
        <w:keepNext w:val="0"/>
        <w:keepLines w:val="0"/>
        <w:spacing w:before="0" w:after="0" w:line="420" w:lineRule="exact"/>
        <w:rPr>
          <w:rFonts w:ascii="宋体" w:hAnsi="宋体"/>
          <w:b w:val="0"/>
          <w:color w:val="auto"/>
          <w:sz w:val="21"/>
          <w:szCs w:val="21"/>
          <w:highlight w:val="none"/>
        </w:rPr>
      </w:pPr>
      <w:r>
        <w:rPr>
          <w:rFonts w:hint="eastAsia" w:ascii="宋体" w:hAnsi="宋体"/>
          <w:color w:val="auto"/>
          <w:sz w:val="21"/>
          <w:szCs w:val="21"/>
          <w:highlight w:val="none"/>
        </w:rPr>
        <w:t>25.4</w:t>
      </w:r>
      <w:r>
        <w:rPr>
          <w:rFonts w:ascii="宋体" w:hAnsi="宋体"/>
          <w:color w:val="auto"/>
          <w:sz w:val="21"/>
          <w:szCs w:val="21"/>
          <w:highlight w:val="none"/>
        </w:rPr>
        <w:t>合格投标人不足3家的，不得评标。</w:t>
      </w:r>
    </w:p>
    <w:p w14:paraId="673B77A0">
      <w:pPr>
        <w:pStyle w:val="23"/>
        <w:snapToGrid w:val="0"/>
        <w:spacing w:line="420" w:lineRule="exact"/>
        <w:ind w:left="198" w:hanging="199" w:hangingChars="100"/>
        <w:rPr>
          <w:rFonts w:hAnsi="宋体"/>
          <w:color w:val="auto"/>
          <w:sz w:val="21"/>
          <w:highlight w:val="none"/>
        </w:rPr>
      </w:pPr>
    </w:p>
    <w:p w14:paraId="17124653">
      <w:pPr>
        <w:pStyle w:val="4"/>
        <w:keepNext w:val="0"/>
        <w:keepLines w:val="0"/>
        <w:spacing w:before="0" w:after="0" w:line="420" w:lineRule="exact"/>
        <w:jc w:val="center"/>
        <w:rPr>
          <w:color w:val="auto"/>
          <w:highlight w:val="none"/>
        </w:rPr>
      </w:pPr>
      <w:r>
        <w:rPr>
          <w:rFonts w:hint="eastAsia"/>
          <w:color w:val="auto"/>
          <w:highlight w:val="none"/>
        </w:rPr>
        <w:t>六、评   标</w:t>
      </w:r>
    </w:p>
    <w:p w14:paraId="7147A4B4">
      <w:pPr>
        <w:pStyle w:val="6"/>
        <w:keepNext w:val="0"/>
        <w:keepLines w:val="0"/>
        <w:spacing w:before="0" w:after="0" w:line="420" w:lineRule="exact"/>
        <w:rPr>
          <w:rFonts w:ascii="黑体" w:hAnsi="黑体" w:eastAsia="黑体"/>
          <w:color w:val="auto"/>
          <w:sz w:val="24"/>
          <w:highlight w:val="none"/>
        </w:rPr>
      </w:pPr>
      <w:bookmarkStart w:id="132" w:name="_26.组建评标委员会"/>
      <w:bookmarkEnd w:id="132"/>
      <w:r>
        <w:rPr>
          <w:rFonts w:hint="eastAsia" w:ascii="黑体" w:hAnsi="黑体" w:eastAsia="黑体"/>
          <w:color w:val="auto"/>
          <w:sz w:val="24"/>
          <w:highlight w:val="none"/>
        </w:rPr>
        <w:t>26.组建评标委员会</w:t>
      </w:r>
    </w:p>
    <w:p w14:paraId="0482501A">
      <w:pPr>
        <w:pStyle w:val="23"/>
        <w:snapToGrid w:val="0"/>
        <w:spacing w:line="420" w:lineRule="exact"/>
        <w:ind w:firstLine="398" w:firstLineChars="200"/>
        <w:rPr>
          <w:rFonts w:hAnsi="宋体"/>
          <w:color w:val="auto"/>
          <w:sz w:val="21"/>
          <w:highlight w:val="none"/>
        </w:rPr>
      </w:pPr>
      <w:r>
        <w:rPr>
          <w:rFonts w:hint="eastAsia" w:hAnsi="宋体"/>
          <w:color w:val="auto"/>
          <w:sz w:val="21"/>
          <w:highlight w:val="none"/>
        </w:rPr>
        <w:t>26.1评标委员会由采购人代表和评审专家组成，具体人数详见“投标人须知前附表”，其中评审专家不得少于成员总数的三分之二。</w:t>
      </w:r>
    </w:p>
    <w:p w14:paraId="2D99F360">
      <w:pPr>
        <w:pStyle w:val="23"/>
        <w:snapToGrid w:val="0"/>
        <w:spacing w:line="420" w:lineRule="exact"/>
        <w:ind w:firstLine="398" w:firstLineChars="200"/>
        <w:rPr>
          <w:rFonts w:hAnsi="宋体"/>
          <w:color w:val="auto"/>
          <w:sz w:val="21"/>
          <w:highlight w:val="none"/>
        </w:rPr>
      </w:pPr>
      <w:r>
        <w:rPr>
          <w:rFonts w:hint="eastAsia" w:hAnsi="宋体"/>
          <w:color w:val="auto"/>
          <w:sz w:val="21"/>
          <w:highlight w:val="none"/>
        </w:rPr>
        <w:t>26.2参加过采购项目前期咨询论证的专家，不得参加该采购项目的评审活动。</w:t>
      </w:r>
    </w:p>
    <w:p w14:paraId="75C58EC9">
      <w:pPr>
        <w:pStyle w:val="23"/>
        <w:snapToGrid w:val="0"/>
        <w:spacing w:line="420" w:lineRule="exact"/>
        <w:ind w:firstLine="398" w:firstLineChars="200"/>
        <w:rPr>
          <w:rFonts w:hAnsi="宋体"/>
          <w:color w:val="auto"/>
          <w:sz w:val="21"/>
          <w:highlight w:val="none"/>
        </w:rPr>
      </w:pPr>
      <w:r>
        <w:rPr>
          <w:rFonts w:hint="eastAsia" w:hAnsi="宋体"/>
          <w:color w:val="auto"/>
          <w:sz w:val="21"/>
          <w:highlight w:val="none"/>
        </w:rPr>
        <w:t>26.3</w:t>
      </w:r>
      <w:r>
        <w:rPr>
          <w:rFonts w:hint="eastAsia" w:hAnsi="宋体"/>
          <w:bCs/>
          <w:color w:val="auto"/>
          <w:sz w:val="21"/>
          <w:highlight w:val="none"/>
        </w:rPr>
        <w:t>采购代理机构应当基于广西政府采购云平台抽（选）取评审专家。</w:t>
      </w:r>
    </w:p>
    <w:p w14:paraId="6E527CD5">
      <w:pPr>
        <w:pStyle w:val="6"/>
        <w:keepNext w:val="0"/>
        <w:keepLines w:val="0"/>
        <w:spacing w:before="0" w:after="0" w:line="420" w:lineRule="exact"/>
        <w:rPr>
          <w:rFonts w:ascii="黑体" w:hAnsi="黑体" w:eastAsia="黑体"/>
          <w:color w:val="auto"/>
          <w:sz w:val="24"/>
          <w:highlight w:val="none"/>
        </w:rPr>
      </w:pPr>
      <w:r>
        <w:rPr>
          <w:rFonts w:hint="eastAsia" w:ascii="黑体" w:hAnsi="黑体" w:eastAsia="黑体"/>
          <w:color w:val="auto"/>
          <w:sz w:val="24"/>
          <w:highlight w:val="none"/>
        </w:rPr>
        <w:t>27.评标的依据</w:t>
      </w:r>
    </w:p>
    <w:p w14:paraId="4645B7E0">
      <w:pPr>
        <w:pStyle w:val="23"/>
        <w:snapToGrid w:val="0"/>
        <w:spacing w:line="420" w:lineRule="exact"/>
        <w:ind w:firstLine="398" w:firstLineChars="200"/>
        <w:rPr>
          <w:rFonts w:hAnsi="宋体"/>
          <w:color w:val="auto"/>
          <w:sz w:val="21"/>
          <w:highlight w:val="none"/>
        </w:rPr>
      </w:pPr>
      <w:r>
        <w:rPr>
          <w:rFonts w:hint="eastAsia" w:hAnsi="宋体"/>
          <w:color w:val="auto"/>
          <w:sz w:val="21"/>
          <w:highlight w:val="none"/>
        </w:rPr>
        <w:t>评标委员会以</w:t>
      </w:r>
      <w:r>
        <w:rPr>
          <w:rFonts w:hint="eastAsia" w:hAnsi="宋体" w:cs="宋体"/>
          <w:color w:val="auto"/>
          <w:sz w:val="21"/>
          <w:highlight w:val="none"/>
        </w:rPr>
        <w:t>“第四章 评标方法和评标标准”</w:t>
      </w:r>
      <w:r>
        <w:rPr>
          <w:rFonts w:hint="eastAsia" w:hAnsi="宋体"/>
          <w:color w:val="auto"/>
          <w:sz w:val="21"/>
          <w:highlight w:val="none"/>
        </w:rPr>
        <w:t>为依据对投标文件进行评审，</w:t>
      </w:r>
      <w:r>
        <w:rPr>
          <w:rFonts w:hAnsi="宋体"/>
          <w:color w:val="auto"/>
          <w:sz w:val="21"/>
          <w:highlight w:val="none"/>
        </w:rPr>
        <w:t>没有规定的方法、评审因素和标准，不作为评标依据。</w:t>
      </w:r>
    </w:p>
    <w:p w14:paraId="19A2D5D6">
      <w:pPr>
        <w:pStyle w:val="6"/>
        <w:keepNext w:val="0"/>
        <w:keepLines w:val="0"/>
        <w:spacing w:before="0" w:after="0" w:line="420" w:lineRule="exact"/>
        <w:rPr>
          <w:rFonts w:ascii="黑体" w:hAnsi="黑体" w:eastAsia="黑体"/>
          <w:color w:val="auto"/>
          <w:sz w:val="24"/>
          <w:highlight w:val="none"/>
        </w:rPr>
      </w:pPr>
      <w:r>
        <w:rPr>
          <w:rFonts w:hint="eastAsia" w:ascii="黑体" w:hAnsi="黑体" w:eastAsia="黑体"/>
          <w:color w:val="auto"/>
          <w:sz w:val="24"/>
          <w:highlight w:val="none"/>
        </w:rPr>
        <w:t>28.评标原则</w:t>
      </w:r>
    </w:p>
    <w:p w14:paraId="58CB2E2E">
      <w:pPr>
        <w:pStyle w:val="23"/>
        <w:snapToGrid w:val="0"/>
        <w:spacing w:line="420" w:lineRule="exact"/>
        <w:ind w:firstLine="398" w:firstLineChars="200"/>
        <w:rPr>
          <w:rFonts w:hAnsi="宋体"/>
          <w:color w:val="auto"/>
          <w:sz w:val="21"/>
          <w:highlight w:val="none"/>
        </w:rPr>
      </w:pPr>
      <w:r>
        <w:rPr>
          <w:rFonts w:hint="eastAsia" w:hAnsi="宋体"/>
          <w:color w:val="auto"/>
          <w:sz w:val="21"/>
          <w:highlight w:val="none"/>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7CAD522B">
      <w:pPr>
        <w:pStyle w:val="23"/>
        <w:snapToGrid w:val="0"/>
        <w:spacing w:line="420" w:lineRule="exact"/>
        <w:ind w:firstLine="398" w:firstLineChars="200"/>
        <w:rPr>
          <w:rFonts w:hAnsi="宋体"/>
          <w:color w:val="auto"/>
          <w:sz w:val="21"/>
          <w:highlight w:val="none"/>
        </w:rPr>
      </w:pPr>
      <w:r>
        <w:rPr>
          <w:rFonts w:hint="eastAsia" w:hAnsi="宋体"/>
          <w:color w:val="auto"/>
          <w:sz w:val="21"/>
          <w:highlight w:val="none"/>
        </w:rPr>
        <w:t>28.2</w:t>
      </w:r>
      <w:bookmarkStart w:id="133" w:name="_28.3评标方法。本项目将按须知前附表规定的评标办法进行评标，具体评标"/>
      <w:bookmarkEnd w:id="133"/>
      <w:r>
        <w:rPr>
          <w:rFonts w:hint="eastAsia" w:hAnsi="宋体"/>
          <w:color w:val="auto"/>
          <w:sz w:val="21"/>
          <w:highlight w:val="none"/>
        </w:rPr>
        <w:t>评委表决。评标委员会成员对需要共同认定的事项存在争议的，应当按照少数服从多数的原则作出结论。</w:t>
      </w:r>
    </w:p>
    <w:p w14:paraId="2D525D0E">
      <w:pPr>
        <w:pStyle w:val="23"/>
        <w:snapToGrid w:val="0"/>
        <w:spacing w:line="420" w:lineRule="exact"/>
        <w:ind w:firstLine="398" w:firstLineChars="200"/>
        <w:rPr>
          <w:rFonts w:hAnsi="宋体"/>
          <w:color w:val="auto"/>
          <w:sz w:val="21"/>
          <w:highlight w:val="none"/>
        </w:rPr>
      </w:pPr>
      <w:r>
        <w:rPr>
          <w:rFonts w:hint="eastAsia" w:hAnsi="宋体"/>
          <w:color w:val="auto"/>
          <w:sz w:val="21"/>
          <w:highlight w:val="none"/>
        </w:rPr>
        <w:t>28.</w:t>
      </w:r>
      <w:r>
        <w:rPr>
          <w:rFonts w:hAnsi="宋体"/>
          <w:color w:val="auto"/>
          <w:sz w:val="21"/>
          <w:highlight w:val="none"/>
        </w:rPr>
        <w:t>3</w:t>
      </w:r>
      <w:r>
        <w:rPr>
          <w:rFonts w:hint="eastAsia" w:hAnsi="宋体"/>
          <w:color w:val="auto"/>
          <w:sz w:val="21"/>
          <w:highlight w:val="none"/>
        </w:rPr>
        <w:t>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6E25600C">
      <w:pPr>
        <w:pStyle w:val="23"/>
        <w:snapToGrid w:val="0"/>
        <w:spacing w:line="420" w:lineRule="exact"/>
        <w:ind w:firstLine="398" w:firstLineChars="200"/>
        <w:rPr>
          <w:rFonts w:hAnsi="宋体"/>
          <w:color w:val="auto"/>
          <w:sz w:val="21"/>
          <w:highlight w:val="none"/>
        </w:rPr>
      </w:pPr>
      <w:r>
        <w:rPr>
          <w:rFonts w:hint="eastAsia" w:hAnsi="宋体"/>
          <w:color w:val="auto"/>
          <w:sz w:val="21"/>
          <w:highlight w:val="none"/>
        </w:rPr>
        <w:t>2</w:t>
      </w:r>
      <w:r>
        <w:rPr>
          <w:rFonts w:hAnsi="宋体"/>
          <w:color w:val="auto"/>
          <w:sz w:val="21"/>
          <w:highlight w:val="none"/>
        </w:rPr>
        <w:t>8.4</w:t>
      </w:r>
      <w:r>
        <w:rPr>
          <w:rFonts w:hint="eastAsia" w:hAnsi="宋体"/>
          <w:color w:val="auto"/>
          <w:sz w:val="21"/>
          <w:highlight w:val="none"/>
        </w:rPr>
        <w:t>评标过程的监控。本项目电子评标过程实行网上留痕、全程录音、录像监控，</w:t>
      </w:r>
      <w:r>
        <w:rPr>
          <w:rFonts w:hint="eastAsia" w:hAnsi="宋体"/>
          <w:b/>
          <w:color w:val="auto"/>
          <w:sz w:val="21"/>
          <w:highlight w:val="none"/>
        </w:rPr>
        <w:t>投标人在评标过程中所进行的试图影响评标结果的不公正活动，可能导致其投标按无效处理。</w:t>
      </w:r>
    </w:p>
    <w:p w14:paraId="30524CE0">
      <w:pPr>
        <w:pStyle w:val="6"/>
        <w:keepNext w:val="0"/>
        <w:keepLines w:val="0"/>
        <w:spacing w:before="0" w:after="0" w:line="420" w:lineRule="exact"/>
        <w:rPr>
          <w:rFonts w:ascii="黑体" w:hAnsi="黑体" w:eastAsia="黑体"/>
          <w:color w:val="auto"/>
          <w:sz w:val="21"/>
          <w:szCs w:val="21"/>
          <w:highlight w:val="none"/>
        </w:rPr>
      </w:pPr>
      <w:r>
        <w:rPr>
          <w:rFonts w:hint="eastAsia" w:ascii="黑体" w:hAnsi="黑体" w:eastAsia="黑体"/>
          <w:color w:val="auto"/>
          <w:sz w:val="21"/>
          <w:szCs w:val="21"/>
          <w:highlight w:val="none"/>
        </w:rPr>
        <w:t>29.评标方法及中标候选人推荐</w:t>
      </w:r>
    </w:p>
    <w:p w14:paraId="08A8E04A">
      <w:pPr>
        <w:pStyle w:val="23"/>
        <w:snapToGrid w:val="0"/>
        <w:spacing w:line="420" w:lineRule="exact"/>
        <w:ind w:firstLine="398" w:firstLineChars="200"/>
        <w:rPr>
          <w:rFonts w:hAnsi="宋体"/>
          <w:color w:val="auto"/>
          <w:sz w:val="21"/>
          <w:highlight w:val="none"/>
        </w:rPr>
      </w:pPr>
      <w:r>
        <w:rPr>
          <w:rFonts w:hint="eastAsia" w:hAnsi="宋体"/>
          <w:color w:val="auto"/>
          <w:sz w:val="21"/>
          <w:highlight w:val="none"/>
        </w:rPr>
        <w:t>2</w:t>
      </w:r>
      <w:r>
        <w:rPr>
          <w:rFonts w:hAnsi="宋体"/>
          <w:color w:val="auto"/>
          <w:sz w:val="21"/>
          <w:highlight w:val="none"/>
        </w:rPr>
        <w:t>9.1</w:t>
      </w:r>
      <w:r>
        <w:rPr>
          <w:rFonts w:hint="eastAsia" w:hAnsi="宋体"/>
          <w:color w:val="auto"/>
          <w:sz w:val="21"/>
          <w:highlight w:val="none"/>
        </w:rPr>
        <w:t>本项目的评标方法详见“投标人须知前附表”。</w:t>
      </w:r>
    </w:p>
    <w:p w14:paraId="4093A453">
      <w:pPr>
        <w:pStyle w:val="23"/>
        <w:snapToGrid w:val="0"/>
        <w:spacing w:line="420" w:lineRule="exact"/>
        <w:ind w:firstLine="398" w:firstLineChars="200"/>
        <w:rPr>
          <w:rFonts w:hAnsi="宋体"/>
          <w:color w:val="auto"/>
          <w:sz w:val="21"/>
          <w:highlight w:val="none"/>
        </w:rPr>
      </w:pPr>
      <w:r>
        <w:rPr>
          <w:rFonts w:hint="eastAsia" w:hAnsi="宋体"/>
          <w:color w:val="auto"/>
          <w:sz w:val="21"/>
          <w:highlight w:val="none"/>
        </w:rPr>
        <w:t>2</w:t>
      </w:r>
      <w:r>
        <w:rPr>
          <w:rFonts w:hAnsi="宋体"/>
          <w:color w:val="auto"/>
          <w:sz w:val="21"/>
          <w:highlight w:val="none"/>
        </w:rPr>
        <w:t>9.2</w:t>
      </w:r>
      <w:r>
        <w:rPr>
          <w:rFonts w:hAnsi="宋体" w:cs="宋体"/>
          <w:color w:val="auto"/>
          <w:sz w:val="21"/>
          <w:highlight w:val="none"/>
        </w:rPr>
        <w:t xml:space="preserve"> </w:t>
      </w:r>
      <w:r>
        <w:rPr>
          <w:rFonts w:hint="eastAsia" w:hAnsi="宋体" w:cs="宋体"/>
          <w:color w:val="auto"/>
          <w:sz w:val="21"/>
          <w:highlight w:val="none"/>
        </w:rPr>
        <w:t>商务/技术要求</w:t>
      </w:r>
      <w:r>
        <w:rPr>
          <w:rFonts w:hint="eastAsia" w:hAnsi="宋体"/>
          <w:color w:val="auto"/>
          <w:sz w:val="21"/>
          <w:highlight w:val="none"/>
        </w:rPr>
        <w:t>允许负偏离的条款数</w:t>
      </w:r>
      <w:r>
        <w:rPr>
          <w:rFonts w:hAnsi="宋体"/>
          <w:color w:val="auto"/>
          <w:sz w:val="21"/>
          <w:highlight w:val="none"/>
        </w:rPr>
        <w:t>详见</w:t>
      </w:r>
      <w:r>
        <w:rPr>
          <w:rFonts w:hint="eastAsia" w:hAnsi="宋体"/>
          <w:color w:val="auto"/>
          <w:sz w:val="21"/>
          <w:highlight w:val="none"/>
        </w:rPr>
        <w:t>“投标人须知前附表”。</w:t>
      </w:r>
    </w:p>
    <w:p w14:paraId="7B455475">
      <w:pPr>
        <w:pStyle w:val="23"/>
        <w:snapToGrid w:val="0"/>
        <w:spacing w:line="420" w:lineRule="exact"/>
        <w:ind w:firstLine="398" w:firstLineChars="200"/>
        <w:rPr>
          <w:rFonts w:hAnsi="宋体" w:cs="宋体"/>
          <w:color w:val="auto"/>
          <w:sz w:val="21"/>
          <w:highlight w:val="none"/>
        </w:rPr>
      </w:pPr>
      <w:r>
        <w:rPr>
          <w:rFonts w:hint="eastAsia" w:hAnsi="宋体"/>
          <w:color w:val="auto"/>
          <w:sz w:val="21"/>
          <w:highlight w:val="none"/>
        </w:rPr>
        <w:t>2</w:t>
      </w:r>
      <w:r>
        <w:rPr>
          <w:rFonts w:hAnsi="宋体"/>
          <w:color w:val="auto"/>
          <w:sz w:val="21"/>
          <w:highlight w:val="none"/>
        </w:rPr>
        <w:t>9.3</w:t>
      </w:r>
      <w:r>
        <w:rPr>
          <w:rFonts w:hAnsi="宋体" w:cs="宋体"/>
          <w:color w:val="auto"/>
          <w:sz w:val="21"/>
          <w:highlight w:val="none"/>
        </w:rPr>
        <w:t xml:space="preserve"> </w:t>
      </w:r>
      <w:r>
        <w:rPr>
          <w:rFonts w:hAnsi="宋体"/>
          <w:color w:val="auto"/>
          <w:sz w:val="21"/>
          <w:highlight w:val="none"/>
        </w:rPr>
        <w:t>中标候选人推荐数量详见</w:t>
      </w:r>
      <w:r>
        <w:rPr>
          <w:rFonts w:hint="eastAsia" w:hAnsi="宋体"/>
          <w:color w:val="auto"/>
          <w:sz w:val="21"/>
          <w:highlight w:val="none"/>
        </w:rPr>
        <w:t>“投标人须知前附表”。</w:t>
      </w:r>
    </w:p>
    <w:p w14:paraId="2BCDD57F">
      <w:pPr>
        <w:pStyle w:val="23"/>
        <w:snapToGrid w:val="0"/>
        <w:spacing w:line="420" w:lineRule="exact"/>
        <w:ind w:firstLine="398" w:firstLineChars="200"/>
        <w:rPr>
          <w:rFonts w:hAnsi="宋体"/>
          <w:color w:val="auto"/>
          <w:sz w:val="21"/>
          <w:highlight w:val="none"/>
        </w:rPr>
      </w:pPr>
      <w:r>
        <w:rPr>
          <w:rFonts w:hint="eastAsia" w:hAnsi="宋体"/>
          <w:color w:val="auto"/>
          <w:sz w:val="21"/>
          <w:highlight w:val="none"/>
        </w:rPr>
        <w:t>29.</w:t>
      </w:r>
      <w:r>
        <w:rPr>
          <w:rFonts w:hAnsi="宋体"/>
          <w:color w:val="auto"/>
          <w:sz w:val="21"/>
          <w:highlight w:val="none"/>
        </w:rPr>
        <w:t>4</w:t>
      </w:r>
      <w:r>
        <w:rPr>
          <w:rFonts w:hint="eastAsia" w:hAnsi="宋体"/>
          <w:color w:val="auto"/>
          <w:sz w:val="21"/>
          <w:highlight w:val="none"/>
        </w:rPr>
        <w:t xml:space="preserve"> 电子交易活动的中止。采购过程中出现以下情形，导致电子交易平台无法正常运行，或者无法保证电子交易的公平、公正和安全时，采购代理机构可以中止电子交易活动：</w:t>
      </w:r>
    </w:p>
    <w:p w14:paraId="136A200D">
      <w:pPr>
        <w:pStyle w:val="23"/>
        <w:snapToGrid w:val="0"/>
        <w:spacing w:line="420" w:lineRule="exact"/>
        <w:ind w:firstLine="398" w:firstLineChars="200"/>
        <w:rPr>
          <w:rFonts w:hAnsi="宋体"/>
          <w:color w:val="auto"/>
          <w:sz w:val="21"/>
          <w:highlight w:val="none"/>
        </w:rPr>
      </w:pPr>
      <w:r>
        <w:rPr>
          <w:rFonts w:hint="eastAsia" w:hAnsi="宋体"/>
          <w:color w:val="auto"/>
          <w:sz w:val="21"/>
          <w:highlight w:val="none"/>
        </w:rPr>
        <w:t xml:space="preserve">（1）电子交易平台发生故障而无法登录访问的； </w:t>
      </w:r>
    </w:p>
    <w:p w14:paraId="23C239E9">
      <w:pPr>
        <w:pStyle w:val="23"/>
        <w:snapToGrid w:val="0"/>
        <w:spacing w:line="420" w:lineRule="exact"/>
        <w:ind w:firstLine="398" w:firstLineChars="200"/>
        <w:rPr>
          <w:rFonts w:hAnsi="宋体"/>
          <w:color w:val="auto"/>
          <w:sz w:val="21"/>
          <w:highlight w:val="none"/>
        </w:rPr>
      </w:pPr>
      <w:r>
        <w:rPr>
          <w:rFonts w:hint="eastAsia" w:hAnsi="宋体"/>
          <w:color w:val="auto"/>
          <w:sz w:val="21"/>
          <w:highlight w:val="none"/>
        </w:rPr>
        <w:t>（2）电子交易平台应用或数据库出现错误，不能进行正常操作的；</w:t>
      </w:r>
    </w:p>
    <w:p w14:paraId="7F9E0A67">
      <w:pPr>
        <w:pStyle w:val="23"/>
        <w:snapToGrid w:val="0"/>
        <w:spacing w:line="420" w:lineRule="exact"/>
        <w:ind w:firstLine="398" w:firstLineChars="200"/>
        <w:rPr>
          <w:rFonts w:hAnsi="宋体"/>
          <w:color w:val="auto"/>
          <w:sz w:val="21"/>
          <w:highlight w:val="none"/>
        </w:rPr>
      </w:pPr>
      <w:r>
        <w:rPr>
          <w:rFonts w:hint="eastAsia" w:hAnsi="宋体"/>
          <w:color w:val="auto"/>
          <w:sz w:val="21"/>
          <w:highlight w:val="none"/>
        </w:rPr>
        <w:t>（3）电子交易平台发现严重安全漏洞，有潜在泄密危险的；</w:t>
      </w:r>
    </w:p>
    <w:p w14:paraId="3E790B65">
      <w:pPr>
        <w:pStyle w:val="23"/>
        <w:snapToGrid w:val="0"/>
        <w:spacing w:line="420" w:lineRule="exact"/>
        <w:ind w:firstLine="398" w:firstLineChars="200"/>
        <w:rPr>
          <w:rFonts w:hAnsi="宋体"/>
          <w:color w:val="auto"/>
          <w:sz w:val="21"/>
          <w:highlight w:val="none"/>
        </w:rPr>
      </w:pPr>
      <w:r>
        <w:rPr>
          <w:rFonts w:hint="eastAsia" w:hAnsi="宋体"/>
          <w:color w:val="auto"/>
          <w:sz w:val="21"/>
          <w:highlight w:val="none"/>
        </w:rPr>
        <w:t xml:space="preserve">（4）病毒发作导致不能进行正常操作的； </w:t>
      </w:r>
    </w:p>
    <w:p w14:paraId="0CC4136D">
      <w:pPr>
        <w:pStyle w:val="23"/>
        <w:snapToGrid w:val="0"/>
        <w:spacing w:line="420" w:lineRule="exact"/>
        <w:ind w:firstLine="398" w:firstLineChars="200"/>
        <w:rPr>
          <w:rFonts w:hAnsi="宋体"/>
          <w:color w:val="auto"/>
          <w:sz w:val="21"/>
          <w:highlight w:val="none"/>
        </w:rPr>
      </w:pPr>
      <w:r>
        <w:rPr>
          <w:rFonts w:hint="eastAsia" w:hAnsi="宋体"/>
          <w:color w:val="auto"/>
          <w:sz w:val="21"/>
          <w:highlight w:val="none"/>
        </w:rPr>
        <w:t>（5）其他无法保证电子交易的公平、公正和安全的情况。</w:t>
      </w:r>
    </w:p>
    <w:p w14:paraId="13FEC689">
      <w:pPr>
        <w:pStyle w:val="23"/>
        <w:snapToGrid w:val="0"/>
        <w:spacing w:line="420" w:lineRule="exact"/>
        <w:ind w:firstLine="398" w:firstLineChars="200"/>
        <w:rPr>
          <w:rFonts w:hAnsi="宋体"/>
          <w:color w:val="auto"/>
          <w:sz w:val="21"/>
          <w:highlight w:val="none"/>
        </w:rPr>
      </w:pPr>
      <w:r>
        <w:rPr>
          <w:rFonts w:hint="eastAsia" w:hAnsi="宋体"/>
          <w:color w:val="auto"/>
          <w:sz w:val="21"/>
          <w:highlight w:val="none"/>
        </w:rPr>
        <w:t>出现以上情形，不影响采购公平、公正性的，采购代理机构可以待上述情形消除后继续组织电子交易活动；影响或可能影响采购公平、公正性的，经采购代理机构确认、报采购人同意后，终止电子采购活动，应当重新采购。采购代理机构必须对原有的资料及信息作出妥善保密处理，并报财政部门备案。</w:t>
      </w:r>
    </w:p>
    <w:p w14:paraId="7C626708">
      <w:pPr>
        <w:pStyle w:val="23"/>
        <w:snapToGrid w:val="0"/>
        <w:spacing w:line="420" w:lineRule="exact"/>
        <w:ind w:firstLine="398" w:firstLineChars="200"/>
        <w:rPr>
          <w:rFonts w:hAnsi="宋体"/>
          <w:color w:val="auto"/>
          <w:sz w:val="21"/>
          <w:highlight w:val="none"/>
        </w:rPr>
      </w:pPr>
      <w:r>
        <w:rPr>
          <w:rFonts w:hint="eastAsia" w:hAnsi="宋体"/>
          <w:color w:val="auto"/>
          <w:sz w:val="21"/>
          <w:highlight w:val="none"/>
        </w:rPr>
        <w:t>29.5出现下列情形之一的，应予废标：</w:t>
      </w:r>
    </w:p>
    <w:p w14:paraId="66B7F0BD">
      <w:pPr>
        <w:pStyle w:val="23"/>
        <w:snapToGrid w:val="0"/>
        <w:spacing w:line="420" w:lineRule="exact"/>
        <w:ind w:firstLine="398" w:firstLineChars="200"/>
        <w:rPr>
          <w:rFonts w:hAnsi="宋体"/>
          <w:color w:val="auto"/>
          <w:sz w:val="21"/>
          <w:highlight w:val="none"/>
        </w:rPr>
      </w:pPr>
      <w:r>
        <w:rPr>
          <w:rFonts w:hint="eastAsia" w:hAnsi="宋体"/>
          <w:color w:val="auto"/>
          <w:sz w:val="21"/>
          <w:highlight w:val="none"/>
        </w:rPr>
        <w:t>（1）符合专业条件的供应商或者对招标文件作实质响应的供应商不足三家的；</w:t>
      </w:r>
    </w:p>
    <w:p w14:paraId="505CA839">
      <w:pPr>
        <w:pStyle w:val="23"/>
        <w:snapToGrid w:val="0"/>
        <w:spacing w:line="420" w:lineRule="exact"/>
        <w:ind w:firstLine="398" w:firstLineChars="200"/>
        <w:rPr>
          <w:rFonts w:hAnsi="宋体"/>
          <w:color w:val="auto"/>
          <w:sz w:val="21"/>
          <w:highlight w:val="none"/>
        </w:rPr>
      </w:pPr>
      <w:r>
        <w:rPr>
          <w:rFonts w:hint="eastAsia" w:hAnsi="宋体"/>
          <w:color w:val="auto"/>
          <w:sz w:val="21"/>
          <w:highlight w:val="none"/>
        </w:rPr>
        <w:t>（2）出现影响采购公正的违法、违规行为的；</w:t>
      </w:r>
    </w:p>
    <w:p w14:paraId="1A67846C">
      <w:pPr>
        <w:pStyle w:val="23"/>
        <w:snapToGrid w:val="0"/>
        <w:spacing w:line="420" w:lineRule="exact"/>
        <w:ind w:firstLine="398" w:firstLineChars="200"/>
        <w:rPr>
          <w:rFonts w:hAnsi="宋体"/>
          <w:color w:val="auto"/>
          <w:sz w:val="21"/>
          <w:highlight w:val="none"/>
        </w:rPr>
      </w:pPr>
      <w:r>
        <w:rPr>
          <w:rFonts w:hint="eastAsia" w:hAnsi="宋体"/>
          <w:color w:val="auto"/>
          <w:sz w:val="21"/>
          <w:highlight w:val="none"/>
        </w:rPr>
        <w:t>（3）投标人的报价均超过了采购预算，采购人不能支付的；</w:t>
      </w:r>
    </w:p>
    <w:p w14:paraId="72BC8AF1">
      <w:pPr>
        <w:pStyle w:val="23"/>
        <w:snapToGrid w:val="0"/>
        <w:spacing w:line="420" w:lineRule="exact"/>
        <w:ind w:firstLine="398" w:firstLineChars="200"/>
        <w:rPr>
          <w:rFonts w:hAnsi="宋体"/>
          <w:color w:val="auto"/>
          <w:sz w:val="21"/>
          <w:highlight w:val="none"/>
        </w:rPr>
      </w:pPr>
      <w:r>
        <w:rPr>
          <w:rFonts w:hint="eastAsia" w:hAnsi="宋体"/>
          <w:color w:val="auto"/>
          <w:sz w:val="21"/>
          <w:highlight w:val="none"/>
        </w:rPr>
        <w:t>（4）因重大变故，采购任务取消的。</w:t>
      </w:r>
    </w:p>
    <w:p w14:paraId="541B1F07">
      <w:pPr>
        <w:pStyle w:val="23"/>
        <w:snapToGrid w:val="0"/>
        <w:spacing w:line="420" w:lineRule="exact"/>
        <w:ind w:firstLine="398" w:firstLineChars="200"/>
        <w:rPr>
          <w:rFonts w:hAnsi="宋体"/>
          <w:color w:val="auto"/>
          <w:sz w:val="21"/>
          <w:highlight w:val="none"/>
        </w:rPr>
      </w:pPr>
      <w:r>
        <w:rPr>
          <w:rFonts w:hint="eastAsia" w:hAnsi="宋体"/>
          <w:color w:val="auto"/>
          <w:sz w:val="21"/>
          <w:highlight w:val="none"/>
        </w:rPr>
        <w:t>废标后，采购人应当将废标理由通知所有投标人。</w:t>
      </w:r>
    </w:p>
    <w:p w14:paraId="7341D2D8">
      <w:pPr>
        <w:pStyle w:val="23"/>
        <w:snapToGrid w:val="0"/>
        <w:spacing w:line="420" w:lineRule="exact"/>
        <w:rPr>
          <w:rFonts w:hAnsi="宋体"/>
          <w:color w:val="auto"/>
          <w:sz w:val="21"/>
          <w:highlight w:val="none"/>
        </w:rPr>
      </w:pPr>
    </w:p>
    <w:p w14:paraId="1E281C75">
      <w:pPr>
        <w:pStyle w:val="4"/>
        <w:keepNext w:val="0"/>
        <w:keepLines w:val="0"/>
        <w:spacing w:before="0" w:after="0" w:line="420" w:lineRule="exact"/>
        <w:jc w:val="center"/>
        <w:rPr>
          <w:color w:val="auto"/>
          <w:highlight w:val="none"/>
        </w:rPr>
      </w:pPr>
      <w:bookmarkStart w:id="134" w:name="_Toc254970687"/>
      <w:bookmarkStart w:id="135" w:name="_Toc254970546"/>
      <w:r>
        <w:rPr>
          <w:rFonts w:hint="eastAsia"/>
          <w:color w:val="auto"/>
          <w:highlight w:val="none"/>
        </w:rPr>
        <w:t>七、</w:t>
      </w:r>
      <w:bookmarkEnd w:id="134"/>
      <w:bookmarkEnd w:id="135"/>
      <w:r>
        <w:rPr>
          <w:rFonts w:hint="eastAsia"/>
          <w:color w:val="auto"/>
          <w:highlight w:val="none"/>
        </w:rPr>
        <w:t>中标和合同</w:t>
      </w:r>
    </w:p>
    <w:p w14:paraId="3F1B8616">
      <w:pPr>
        <w:pStyle w:val="6"/>
        <w:keepNext w:val="0"/>
        <w:keepLines w:val="0"/>
        <w:spacing w:before="0" w:after="0" w:line="420" w:lineRule="exact"/>
        <w:rPr>
          <w:rFonts w:ascii="黑体" w:hAnsi="黑体" w:eastAsia="黑体"/>
          <w:color w:val="auto"/>
          <w:sz w:val="24"/>
          <w:highlight w:val="none"/>
        </w:rPr>
      </w:pPr>
      <w:r>
        <w:rPr>
          <w:rFonts w:hint="eastAsia" w:ascii="黑体" w:hAnsi="黑体" w:eastAsia="黑体"/>
          <w:color w:val="auto"/>
          <w:sz w:val="24"/>
          <w:highlight w:val="none"/>
        </w:rPr>
        <w:t>30.确定中标人</w:t>
      </w:r>
    </w:p>
    <w:p w14:paraId="739F0BB0">
      <w:pPr>
        <w:pStyle w:val="6"/>
        <w:keepNext w:val="0"/>
        <w:keepLines w:val="0"/>
        <w:spacing w:before="0" w:after="0" w:line="420" w:lineRule="exact"/>
        <w:ind w:firstLine="398" w:firstLineChars="200"/>
        <w:rPr>
          <w:rFonts w:ascii="宋体" w:hAnsi="宋体"/>
          <w:b w:val="0"/>
          <w:color w:val="auto"/>
          <w:sz w:val="21"/>
          <w:szCs w:val="21"/>
          <w:highlight w:val="none"/>
        </w:rPr>
      </w:pPr>
      <w:r>
        <w:rPr>
          <w:rFonts w:ascii="宋体" w:hAnsi="宋体"/>
          <w:b w:val="0"/>
          <w:color w:val="auto"/>
          <w:sz w:val="21"/>
          <w:szCs w:val="21"/>
          <w:highlight w:val="none"/>
        </w:rPr>
        <w:t>30.1</w:t>
      </w:r>
      <w:r>
        <w:rPr>
          <w:rFonts w:hint="eastAsia" w:ascii="宋体" w:hAnsi="宋体"/>
          <w:b w:val="0"/>
          <w:color w:val="auto"/>
          <w:sz w:val="21"/>
          <w:szCs w:val="21"/>
          <w:highlight w:val="none"/>
        </w:rPr>
        <w:t>采购代理机构在评标结束之日起2个工作日内将评标报告送采购人，采购人在收到评标报告之日起5个工作日内，在评标报告确定的中标候选人名单中按顺序确定中标人。中标候选人并列的，按照“投标人须知前附表”规定的方式确定中标人。采购人也可以事先授权评标委员会直接确定中标人。</w:t>
      </w:r>
    </w:p>
    <w:p w14:paraId="5B5B4633">
      <w:pPr>
        <w:snapToGrid w:val="0"/>
        <w:spacing w:line="420" w:lineRule="exact"/>
        <w:ind w:firstLine="398" w:firstLineChars="200"/>
        <w:rPr>
          <w:rFonts w:ascii="宋体" w:hAnsi="宋体" w:cs="Courier New"/>
          <w:color w:val="auto"/>
          <w:szCs w:val="21"/>
          <w:highlight w:val="none"/>
        </w:rPr>
      </w:pPr>
      <w:r>
        <w:rPr>
          <w:rFonts w:ascii="宋体" w:hAnsi="宋体" w:cs="Courier New"/>
          <w:color w:val="auto"/>
          <w:szCs w:val="21"/>
          <w:highlight w:val="none"/>
        </w:rPr>
        <w:t>30.2</w:t>
      </w:r>
      <w:r>
        <w:rPr>
          <w:rFonts w:hint="eastAsia" w:ascii="宋体" w:hAnsi="宋体" w:cs="Courier New"/>
          <w:color w:val="auto"/>
          <w:szCs w:val="21"/>
          <w:highlight w:val="none"/>
        </w:rPr>
        <w:t>采购人在收到评标报告5个工作日内未按评标报告推荐的中标候选人顺序确定中标人，又不能说明合法理由的，视同按评标报告推荐的顺序确定排名第一的中标候选人为中标人。</w:t>
      </w:r>
    </w:p>
    <w:p w14:paraId="6496C878">
      <w:pPr>
        <w:pStyle w:val="6"/>
        <w:keepNext w:val="0"/>
        <w:keepLines w:val="0"/>
        <w:spacing w:before="0" w:after="0" w:line="420" w:lineRule="exact"/>
        <w:rPr>
          <w:rFonts w:ascii="黑体" w:hAnsi="黑体" w:eastAsia="黑体"/>
          <w:color w:val="auto"/>
          <w:sz w:val="24"/>
          <w:highlight w:val="none"/>
        </w:rPr>
      </w:pPr>
      <w:r>
        <w:rPr>
          <w:rFonts w:hint="eastAsia" w:ascii="黑体" w:hAnsi="黑体" w:eastAsia="黑体"/>
          <w:color w:val="auto"/>
          <w:sz w:val="24"/>
          <w:highlight w:val="none"/>
        </w:rPr>
        <w:t>31.结果公告</w:t>
      </w:r>
    </w:p>
    <w:p w14:paraId="2703A196">
      <w:pPr>
        <w:pStyle w:val="6"/>
        <w:keepNext w:val="0"/>
        <w:keepLines w:val="0"/>
        <w:spacing w:before="0" w:after="0" w:line="420" w:lineRule="exact"/>
        <w:ind w:firstLine="398" w:firstLineChars="200"/>
        <w:rPr>
          <w:rFonts w:ascii="宋体" w:hAnsi="宋体"/>
          <w:b w:val="0"/>
          <w:color w:val="auto"/>
          <w:sz w:val="21"/>
          <w:szCs w:val="21"/>
          <w:highlight w:val="none"/>
        </w:rPr>
      </w:pPr>
      <w:r>
        <w:rPr>
          <w:rFonts w:hint="eastAsia" w:ascii="宋体" w:hAnsi="宋体"/>
          <w:b w:val="0"/>
          <w:color w:val="auto"/>
          <w:sz w:val="21"/>
          <w:szCs w:val="21"/>
          <w:highlight w:val="none"/>
        </w:rPr>
        <w:t>3</w:t>
      </w:r>
      <w:r>
        <w:rPr>
          <w:rFonts w:ascii="宋体" w:hAnsi="宋体"/>
          <w:b w:val="0"/>
          <w:color w:val="auto"/>
          <w:sz w:val="21"/>
          <w:szCs w:val="21"/>
          <w:highlight w:val="none"/>
        </w:rPr>
        <w:t>1.1</w:t>
      </w:r>
      <w:r>
        <w:rPr>
          <w:rFonts w:hint="eastAsia" w:ascii="宋体" w:hAnsi="宋体"/>
          <w:b w:val="0"/>
          <w:color w:val="auto"/>
          <w:sz w:val="21"/>
          <w:szCs w:val="21"/>
          <w:highlight w:val="none"/>
        </w:rPr>
        <w:t>采购人或者采购代理机构应当自中标人确定之日起2个工作日内，在省级以上财政部门指定的媒体上公告中标结果，招标文件应当随中标结果同时公告。采购人或者采购代理发出中标通知书前，应当对中标人信用进行查询，对列入失信被执行人、重大税收违法失信主体、政府采购严重违法失信行为记录名单及其他不符合《中华人民共和国政府采购法》第二十二条规定条件的投标人，取消其中标资格，并确定排名第二的中标候选人为中标人。排名第二的中标候选人因前款规定的同样原因被取消中标资格的，采购人可以确定排名第三的中标候选人为中标人，以此类推。</w:t>
      </w:r>
    </w:p>
    <w:p w14:paraId="56D5C5A0">
      <w:pPr>
        <w:snapToGrid w:val="0"/>
        <w:spacing w:line="420" w:lineRule="exact"/>
        <w:ind w:firstLine="398" w:firstLineChars="200"/>
        <w:rPr>
          <w:rFonts w:ascii="宋体" w:hAnsi="宋体"/>
          <w:color w:val="auto"/>
          <w:szCs w:val="21"/>
          <w:highlight w:val="none"/>
        </w:rPr>
      </w:pPr>
      <w:r>
        <w:rPr>
          <w:rFonts w:hint="eastAsia" w:ascii="宋体" w:hAnsi="宋体"/>
          <w:color w:val="auto"/>
          <w:szCs w:val="21"/>
          <w:highlight w:val="none"/>
        </w:rPr>
        <w:t>以上信息查询记录及相关证据与招标文件一并保存。</w:t>
      </w:r>
    </w:p>
    <w:p w14:paraId="6E4E5F31">
      <w:pPr>
        <w:pStyle w:val="6"/>
        <w:keepNext w:val="0"/>
        <w:keepLines w:val="0"/>
        <w:spacing w:before="0" w:after="0" w:line="420" w:lineRule="exact"/>
        <w:ind w:firstLine="398" w:firstLineChars="200"/>
        <w:rPr>
          <w:rFonts w:ascii="宋体" w:hAnsi="宋体"/>
          <w:b w:val="0"/>
          <w:color w:val="auto"/>
          <w:sz w:val="21"/>
          <w:szCs w:val="21"/>
          <w:highlight w:val="none"/>
        </w:rPr>
      </w:pPr>
      <w:r>
        <w:rPr>
          <w:rFonts w:hint="eastAsia" w:ascii="宋体" w:hAnsi="宋体"/>
          <w:b w:val="0"/>
          <w:color w:val="auto"/>
          <w:sz w:val="21"/>
          <w:szCs w:val="21"/>
          <w:highlight w:val="none"/>
        </w:rPr>
        <w:t>31.2中标供应商享受《政府采购促进中小企业发展管理办法》（财库〔2020〕46号）规定的中小企业扶持政策的，采购人、采购代理机构应当随中标结果公开中标供应商的《中小企业声明函》。</w:t>
      </w:r>
    </w:p>
    <w:p w14:paraId="12498FC1">
      <w:pPr>
        <w:pStyle w:val="6"/>
        <w:keepNext w:val="0"/>
        <w:keepLines w:val="0"/>
        <w:spacing w:before="0" w:after="0" w:line="420" w:lineRule="exact"/>
        <w:rPr>
          <w:rFonts w:ascii="黑体" w:hAnsi="黑体" w:eastAsia="黑体"/>
          <w:color w:val="auto"/>
          <w:sz w:val="24"/>
          <w:highlight w:val="none"/>
        </w:rPr>
      </w:pPr>
      <w:r>
        <w:rPr>
          <w:rFonts w:hint="eastAsia" w:ascii="黑体" w:hAnsi="黑体" w:eastAsia="黑体"/>
          <w:color w:val="auto"/>
          <w:sz w:val="24"/>
          <w:highlight w:val="none"/>
        </w:rPr>
        <w:t>32.发出中标通知书</w:t>
      </w:r>
    </w:p>
    <w:p w14:paraId="2D5E46BF">
      <w:pPr>
        <w:pStyle w:val="6"/>
        <w:keepNext w:val="0"/>
        <w:keepLines w:val="0"/>
        <w:numPr>
          <w:ilvl w:val="4"/>
          <w:numId w:val="0"/>
        </w:numPr>
        <w:spacing w:before="0" w:after="0" w:line="420" w:lineRule="exact"/>
        <w:ind w:firstLine="398" w:firstLineChars="200"/>
        <w:rPr>
          <w:rFonts w:ascii="宋体" w:hAnsi="宋体"/>
          <w:b w:val="0"/>
          <w:color w:val="auto"/>
          <w:sz w:val="21"/>
          <w:szCs w:val="21"/>
          <w:highlight w:val="none"/>
        </w:rPr>
      </w:pPr>
      <w:r>
        <w:rPr>
          <w:rFonts w:hint="eastAsia" w:ascii="宋体" w:hAnsi="宋体"/>
          <w:b w:val="0"/>
          <w:color w:val="auto"/>
          <w:sz w:val="21"/>
          <w:szCs w:val="21"/>
          <w:highlight w:val="none"/>
        </w:rPr>
        <w:t>在发布中标公告的同时，采购代理机构向中标人通过广西政府采购云平台发出电子中标通知书。对未通过资格审查的投标人，应当告知其未通过的原因；采用综合评分办法评审的，还应当告知未中标人本人的评审得分与排序。</w:t>
      </w:r>
    </w:p>
    <w:p w14:paraId="3E8605FE">
      <w:pPr>
        <w:pStyle w:val="6"/>
        <w:keepNext w:val="0"/>
        <w:keepLines w:val="0"/>
        <w:spacing w:before="0" w:after="0" w:line="420" w:lineRule="exact"/>
        <w:rPr>
          <w:rFonts w:ascii="黑体" w:hAnsi="黑体" w:eastAsia="黑体"/>
          <w:color w:val="auto"/>
          <w:sz w:val="24"/>
          <w:highlight w:val="none"/>
        </w:rPr>
      </w:pPr>
      <w:r>
        <w:rPr>
          <w:rFonts w:hint="eastAsia" w:ascii="黑体" w:hAnsi="黑体" w:eastAsia="黑体"/>
          <w:color w:val="auto"/>
          <w:sz w:val="24"/>
          <w:highlight w:val="none"/>
        </w:rPr>
        <w:t>33.无义务解释未中标原因</w:t>
      </w:r>
    </w:p>
    <w:p w14:paraId="6501ECC4">
      <w:pPr>
        <w:pStyle w:val="6"/>
        <w:keepNext w:val="0"/>
        <w:keepLines w:val="0"/>
        <w:spacing w:before="0" w:after="0" w:line="420" w:lineRule="exact"/>
        <w:rPr>
          <w:rFonts w:ascii="宋体" w:hAnsi="宋体"/>
          <w:b w:val="0"/>
          <w:color w:val="auto"/>
          <w:sz w:val="21"/>
          <w:szCs w:val="21"/>
          <w:highlight w:val="none"/>
        </w:rPr>
      </w:pPr>
      <w:r>
        <w:rPr>
          <w:rFonts w:hint="eastAsia" w:ascii="宋体" w:hAnsi="宋体"/>
          <w:b w:val="0"/>
          <w:color w:val="auto"/>
          <w:sz w:val="21"/>
          <w:szCs w:val="21"/>
          <w:highlight w:val="none"/>
        </w:rPr>
        <w:t>采购代理机构无义务向未中标的投标人解释未中标原因。</w:t>
      </w:r>
    </w:p>
    <w:p w14:paraId="14243E19">
      <w:pPr>
        <w:pStyle w:val="6"/>
        <w:keepNext w:val="0"/>
        <w:keepLines w:val="0"/>
        <w:spacing w:before="0" w:after="0" w:line="420" w:lineRule="exact"/>
        <w:rPr>
          <w:rFonts w:ascii="黑体" w:hAnsi="黑体" w:eastAsia="黑体"/>
          <w:color w:val="auto"/>
          <w:sz w:val="24"/>
          <w:highlight w:val="none"/>
        </w:rPr>
      </w:pPr>
      <w:r>
        <w:rPr>
          <w:rFonts w:hint="eastAsia" w:ascii="黑体" w:hAnsi="黑体" w:eastAsia="黑体"/>
          <w:color w:val="auto"/>
          <w:sz w:val="24"/>
          <w:highlight w:val="none"/>
        </w:rPr>
        <w:t>34.合同授予标准</w:t>
      </w:r>
    </w:p>
    <w:p w14:paraId="5A4FF8F6">
      <w:pPr>
        <w:snapToGrid w:val="0"/>
        <w:spacing w:line="420" w:lineRule="exact"/>
        <w:ind w:firstLine="398" w:firstLineChars="200"/>
        <w:rPr>
          <w:rFonts w:ascii="宋体" w:hAnsi="宋体"/>
          <w:color w:val="auto"/>
          <w:szCs w:val="21"/>
          <w:highlight w:val="none"/>
        </w:rPr>
      </w:pPr>
      <w:r>
        <w:rPr>
          <w:rFonts w:hint="eastAsia" w:ascii="宋体" w:hAnsi="宋体" w:cs="Courier New"/>
          <w:color w:val="auto"/>
          <w:szCs w:val="21"/>
          <w:highlight w:val="none"/>
        </w:rPr>
        <w:t>合同将授予被确定实质上响应招标文件要求，具备履行合同能力的中标人。</w:t>
      </w:r>
    </w:p>
    <w:p w14:paraId="42995EC4">
      <w:pPr>
        <w:pStyle w:val="6"/>
        <w:keepNext w:val="0"/>
        <w:keepLines w:val="0"/>
        <w:spacing w:before="0" w:after="0" w:line="420" w:lineRule="exact"/>
        <w:rPr>
          <w:rFonts w:ascii="黑体" w:hAnsi="黑体" w:eastAsia="黑体"/>
          <w:color w:val="auto"/>
          <w:sz w:val="24"/>
          <w:highlight w:val="none"/>
        </w:rPr>
      </w:pPr>
      <w:r>
        <w:rPr>
          <w:rFonts w:hint="eastAsia" w:ascii="黑体" w:hAnsi="黑体" w:eastAsia="黑体"/>
          <w:color w:val="auto"/>
          <w:sz w:val="24"/>
          <w:highlight w:val="none"/>
        </w:rPr>
        <w:t>35.履约保证金</w:t>
      </w:r>
    </w:p>
    <w:p w14:paraId="4ED4D499">
      <w:pPr>
        <w:pStyle w:val="6"/>
        <w:keepNext w:val="0"/>
        <w:keepLines w:val="0"/>
        <w:spacing w:before="0" w:after="0" w:line="420" w:lineRule="exact"/>
        <w:ind w:firstLine="299" w:firstLineChars="150"/>
        <w:rPr>
          <w:rFonts w:ascii="宋体" w:hAnsi="宋体"/>
          <w:b w:val="0"/>
          <w:color w:val="auto"/>
          <w:sz w:val="21"/>
          <w:szCs w:val="21"/>
          <w:highlight w:val="none"/>
        </w:rPr>
      </w:pPr>
      <w:bookmarkStart w:id="136" w:name="_39.1中标人须于签订合同前按本须知前附表规定的金额转账或电汇到指定账"/>
      <w:bookmarkEnd w:id="136"/>
      <w:r>
        <w:rPr>
          <w:rFonts w:hint="eastAsia" w:ascii="宋体" w:hAnsi="宋体"/>
          <w:b w:val="0"/>
          <w:color w:val="auto"/>
          <w:sz w:val="21"/>
          <w:szCs w:val="21"/>
          <w:highlight w:val="none"/>
        </w:rPr>
        <w:t>3</w:t>
      </w:r>
      <w:r>
        <w:rPr>
          <w:rFonts w:ascii="宋体" w:hAnsi="宋体"/>
          <w:b w:val="0"/>
          <w:color w:val="auto"/>
          <w:sz w:val="21"/>
          <w:szCs w:val="21"/>
          <w:highlight w:val="none"/>
        </w:rPr>
        <w:t>5</w:t>
      </w:r>
      <w:r>
        <w:rPr>
          <w:rFonts w:hint="eastAsia" w:ascii="宋体" w:hAnsi="宋体"/>
          <w:b w:val="0"/>
          <w:color w:val="auto"/>
          <w:sz w:val="21"/>
          <w:szCs w:val="21"/>
          <w:highlight w:val="none"/>
        </w:rPr>
        <w:t>.1履约保证金的金额、提交方式、缴纳期限、退付的时间和条件详见 “投标人须知前附表”。中标人未按规定提交履约保证金的，视为拒绝与采购人签订合同。</w:t>
      </w:r>
    </w:p>
    <w:p w14:paraId="084B9476">
      <w:pPr>
        <w:pStyle w:val="6"/>
        <w:keepNext w:val="0"/>
        <w:keepLines w:val="0"/>
        <w:spacing w:before="0" w:after="0" w:line="420" w:lineRule="exact"/>
        <w:ind w:firstLine="299" w:firstLineChars="150"/>
        <w:rPr>
          <w:rFonts w:ascii="宋体" w:hAnsi="宋体"/>
          <w:color w:val="auto"/>
          <w:sz w:val="21"/>
          <w:szCs w:val="21"/>
          <w:highlight w:val="none"/>
        </w:rPr>
      </w:pPr>
      <w:r>
        <w:rPr>
          <w:rFonts w:hint="eastAsia" w:ascii="宋体" w:hAnsi="宋体"/>
          <w:b w:val="0"/>
          <w:bCs/>
          <w:color w:val="auto"/>
          <w:sz w:val="21"/>
          <w:szCs w:val="21"/>
          <w:highlight w:val="none"/>
        </w:rPr>
        <w:t>35.2在履约保证金退还日期前，若中标人的开户名称、开户银行、账号有变动的，请以书面形式通知履约保证金收取单位，否则由此产生的后果由中标人自行承担。</w:t>
      </w:r>
    </w:p>
    <w:p w14:paraId="26E5EA86">
      <w:pPr>
        <w:pStyle w:val="6"/>
        <w:keepNext w:val="0"/>
        <w:keepLines w:val="0"/>
        <w:spacing w:before="0" w:after="0" w:line="420" w:lineRule="exact"/>
        <w:rPr>
          <w:rFonts w:ascii="黑体" w:hAnsi="黑体" w:eastAsia="黑体"/>
          <w:color w:val="auto"/>
          <w:sz w:val="24"/>
          <w:highlight w:val="none"/>
        </w:rPr>
      </w:pPr>
      <w:r>
        <w:rPr>
          <w:rFonts w:hint="eastAsia" w:ascii="黑体" w:hAnsi="黑体" w:eastAsia="黑体"/>
          <w:color w:val="auto"/>
          <w:sz w:val="24"/>
          <w:highlight w:val="none"/>
        </w:rPr>
        <w:t>36.签订合同</w:t>
      </w:r>
    </w:p>
    <w:p w14:paraId="7A98AA24">
      <w:pPr>
        <w:pStyle w:val="6"/>
        <w:keepNext w:val="0"/>
        <w:keepLines w:val="0"/>
        <w:spacing w:before="0" w:after="0" w:line="420" w:lineRule="exact"/>
        <w:ind w:firstLine="299" w:firstLineChars="150"/>
        <w:rPr>
          <w:rFonts w:ascii="宋体" w:hAnsi="宋体"/>
          <w:b w:val="0"/>
          <w:color w:val="auto"/>
          <w:sz w:val="21"/>
          <w:szCs w:val="21"/>
          <w:highlight w:val="none"/>
        </w:rPr>
      </w:pPr>
      <w:bookmarkStart w:id="137" w:name="_40.1投标人接到中标通知书后，按须知前附表规定向采购人出示相关资格证"/>
      <w:bookmarkEnd w:id="137"/>
      <w:r>
        <w:rPr>
          <w:rFonts w:hint="eastAsia" w:ascii="宋体" w:hAnsi="宋体"/>
          <w:color w:val="auto"/>
          <w:sz w:val="21"/>
          <w:szCs w:val="21"/>
          <w:highlight w:val="none"/>
        </w:rPr>
        <w:t>36.1签订电子采购合同：中标人领取电子中标通知书后，</w:t>
      </w:r>
      <w:r>
        <w:rPr>
          <w:rFonts w:hint="eastAsia" w:ascii="宋体" w:hAnsi="宋体"/>
          <w:color w:val="auto"/>
          <w:kern w:val="0"/>
          <w:sz w:val="21"/>
          <w:szCs w:val="21"/>
          <w:highlight w:val="none"/>
        </w:rPr>
        <w:t>在</w:t>
      </w:r>
      <w:r>
        <w:rPr>
          <w:rFonts w:hint="eastAsia" w:ascii="宋体" w:hAnsi="宋体"/>
          <w:color w:val="auto"/>
          <w:kern w:val="0"/>
          <w:sz w:val="21"/>
          <w:szCs w:val="21"/>
          <w:highlight w:val="none"/>
          <w:lang w:val="zh-CN"/>
        </w:rPr>
        <w:t>规定的日期、时间、地点，由法定代表人或其授权代表与采购人代表签订电子采购合同。如中标人为联合体的，由联合体成员各方法定代表人或其授权代表与采购人代表签订合同。</w:t>
      </w:r>
    </w:p>
    <w:p w14:paraId="56D95A19">
      <w:pPr>
        <w:pStyle w:val="6"/>
        <w:keepNext w:val="0"/>
        <w:keepLines w:val="0"/>
        <w:spacing w:before="0" w:after="0" w:line="420" w:lineRule="exact"/>
        <w:ind w:firstLine="299" w:firstLineChars="150"/>
        <w:rPr>
          <w:rFonts w:ascii="宋体" w:hAnsi="宋体"/>
          <w:b w:val="0"/>
          <w:color w:val="auto"/>
          <w:sz w:val="21"/>
          <w:szCs w:val="21"/>
          <w:highlight w:val="none"/>
        </w:rPr>
      </w:pPr>
      <w:r>
        <w:rPr>
          <w:rFonts w:hint="eastAsia" w:ascii="宋体" w:hAnsi="宋体"/>
          <w:b w:val="0"/>
          <w:color w:val="auto"/>
          <w:sz w:val="21"/>
          <w:szCs w:val="21"/>
          <w:highlight w:val="none"/>
        </w:rPr>
        <w:t>线下签订纸质合同：投标人领取中标通知书后，按“投标人须知前附表”规定向采购人出示相关证明材料，经采购人核验合格后方可签订合同。</w:t>
      </w:r>
    </w:p>
    <w:p w14:paraId="3FB6E9AD">
      <w:pPr>
        <w:pStyle w:val="6"/>
        <w:keepNext w:val="0"/>
        <w:keepLines w:val="0"/>
        <w:numPr>
          <w:ilvl w:val="0"/>
          <w:numId w:val="0"/>
        </w:numPr>
        <w:spacing w:before="0" w:after="0" w:line="420" w:lineRule="exact"/>
        <w:ind w:firstLine="398" w:firstLineChars="200"/>
        <w:rPr>
          <w:rFonts w:ascii="宋体" w:hAnsi="宋体"/>
          <w:b w:val="0"/>
          <w:color w:val="auto"/>
          <w:sz w:val="21"/>
          <w:szCs w:val="21"/>
          <w:highlight w:val="none"/>
        </w:rPr>
      </w:pPr>
      <w:r>
        <w:rPr>
          <w:rFonts w:hint="eastAsia" w:ascii="宋体" w:hAnsi="宋体"/>
          <w:b w:val="0"/>
          <w:color w:val="auto"/>
          <w:sz w:val="21"/>
          <w:szCs w:val="21"/>
          <w:highlight w:val="none"/>
        </w:rPr>
        <w:t>36.2签订合同时间：按中标通知书规定的时间与采购人签订合同。</w:t>
      </w:r>
    </w:p>
    <w:p w14:paraId="56F6A1EE">
      <w:pPr>
        <w:pStyle w:val="6"/>
        <w:keepNext w:val="0"/>
        <w:keepLines w:val="0"/>
        <w:numPr>
          <w:ilvl w:val="0"/>
          <w:numId w:val="0"/>
        </w:numPr>
        <w:spacing w:before="0" w:after="0" w:line="420" w:lineRule="exact"/>
        <w:ind w:firstLine="398" w:firstLineChars="200"/>
        <w:rPr>
          <w:rFonts w:ascii="宋体" w:hAnsi="宋体"/>
          <w:b w:val="0"/>
          <w:color w:val="auto"/>
          <w:sz w:val="21"/>
          <w:szCs w:val="21"/>
          <w:highlight w:val="none"/>
        </w:rPr>
      </w:pPr>
      <w:r>
        <w:rPr>
          <w:rFonts w:hint="eastAsia" w:ascii="宋体" w:hAnsi="宋体"/>
          <w:b w:val="0"/>
          <w:color w:val="auto"/>
          <w:sz w:val="21"/>
          <w:szCs w:val="21"/>
          <w:highlight w:val="none"/>
        </w:rPr>
        <w:t>36.</w:t>
      </w:r>
      <w:r>
        <w:rPr>
          <w:rFonts w:ascii="宋体" w:hAnsi="宋体"/>
          <w:b w:val="0"/>
          <w:color w:val="auto"/>
          <w:sz w:val="21"/>
          <w:szCs w:val="21"/>
          <w:highlight w:val="none"/>
        </w:rPr>
        <w:t>3</w:t>
      </w:r>
      <w:r>
        <w:rPr>
          <w:rFonts w:hint="eastAsia" w:ascii="宋体" w:hAnsi="宋体"/>
          <w:b w:val="0"/>
          <w:color w:val="auto"/>
          <w:sz w:val="21"/>
          <w:szCs w:val="21"/>
          <w:highlight w:val="none"/>
        </w:rPr>
        <w:t>中标人拒绝签订政府采购合同（包括但不限于放弃中标、因不可抗力不能履行合同而放弃签订合同），采购人可以按照评审报告推荐的中标候选人名单排序，确定下一候选人为中标供应商，也可以重新开展政府采购活动。如采购人无正当理由拒签合同的，给中标供应商造成损失的，中标供应商可追究采购人承担相应的法律责任。</w:t>
      </w:r>
    </w:p>
    <w:p w14:paraId="3124C885">
      <w:pPr>
        <w:spacing w:line="420" w:lineRule="exact"/>
        <w:ind w:firstLine="398" w:firstLineChars="200"/>
        <w:rPr>
          <w:rFonts w:ascii="宋体" w:hAnsi="宋体"/>
          <w:color w:val="auto"/>
          <w:szCs w:val="21"/>
          <w:highlight w:val="none"/>
        </w:rPr>
      </w:pPr>
      <w:r>
        <w:rPr>
          <w:rFonts w:hint="eastAsia" w:ascii="宋体" w:hAnsi="宋体"/>
          <w:color w:val="auto"/>
          <w:szCs w:val="21"/>
          <w:highlight w:val="none"/>
        </w:rPr>
        <w:t>36.4政府采购合同是政府采购项目验收的依据，中标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2C4A265E">
      <w:pPr>
        <w:spacing w:line="420" w:lineRule="exact"/>
        <w:ind w:firstLine="398" w:firstLineChars="200"/>
        <w:rPr>
          <w:rFonts w:ascii="宋体" w:hAnsi="宋体"/>
          <w:color w:val="auto"/>
          <w:szCs w:val="21"/>
          <w:highlight w:val="none"/>
        </w:rPr>
      </w:pPr>
      <w:r>
        <w:rPr>
          <w:rFonts w:hint="eastAsia" w:ascii="宋体" w:hAnsi="宋体"/>
          <w:color w:val="auto"/>
          <w:szCs w:val="21"/>
          <w:highlight w:val="none"/>
        </w:rPr>
        <w:t>36.5采购人或中标供应商不得单方面向合同另一方提出任何招标文件没有约定的条件或不合理的要求，作为签订合同的条件；也不得协商另行订立背离招标文件和合同实质性内容的协议。</w:t>
      </w:r>
    </w:p>
    <w:p w14:paraId="58F8D332">
      <w:pPr>
        <w:spacing w:line="420" w:lineRule="exact"/>
        <w:ind w:firstLine="398" w:firstLineChars="200"/>
        <w:rPr>
          <w:rFonts w:ascii="宋体" w:hAnsi="宋体"/>
          <w:color w:val="auto"/>
          <w:szCs w:val="21"/>
          <w:highlight w:val="none"/>
        </w:rPr>
      </w:pPr>
      <w:r>
        <w:rPr>
          <w:rFonts w:hint="eastAsia" w:ascii="宋体" w:hAnsi="宋体"/>
          <w:color w:val="auto"/>
          <w:szCs w:val="21"/>
          <w:highlight w:val="none"/>
        </w:rPr>
        <w:t>36.6</w:t>
      </w:r>
      <w:r>
        <w:rPr>
          <w:rFonts w:hint="eastAsia" w:ascii="宋体" w:hAnsi="宋体" w:cs="仿宋_GB2312"/>
          <w:color w:val="auto"/>
          <w:szCs w:val="21"/>
          <w:highlight w:val="none"/>
        </w:rPr>
        <w:t>如签订合同并生效后，供应商无故拒绝或延期，除按照合同条款处理外，将承担相应的法律责任。</w:t>
      </w:r>
    </w:p>
    <w:p w14:paraId="18BD3ABF">
      <w:pPr>
        <w:spacing w:line="420" w:lineRule="exact"/>
        <w:ind w:firstLine="398" w:firstLineChars="200"/>
        <w:rPr>
          <w:rFonts w:ascii="宋体" w:hAnsi="宋体"/>
          <w:color w:val="auto"/>
          <w:szCs w:val="21"/>
          <w:highlight w:val="none"/>
        </w:rPr>
      </w:pPr>
      <w:r>
        <w:rPr>
          <w:rFonts w:hint="eastAsia" w:ascii="宋体" w:hAnsi="宋体"/>
          <w:color w:val="auto"/>
          <w:szCs w:val="21"/>
          <w:highlight w:val="none"/>
        </w:rPr>
        <w:t>36.7</w:t>
      </w:r>
      <w:r>
        <w:rPr>
          <w:rFonts w:hint="eastAsia" w:ascii="宋体" w:hAnsi="宋体" w:cs="宋体"/>
          <w:color w:val="auto"/>
          <w:szCs w:val="21"/>
          <w:highlight w:val="none"/>
        </w:rPr>
        <w:t>政府采购合同履行中，采购人需追加与合同标的相同的货物、工程或者服务的，在不改变合同其他条款的前提下，可以与供应商协商签订补充合同，但所有补充合同的采购金额不得超过原合同采购金额的10%。</w:t>
      </w:r>
    </w:p>
    <w:p w14:paraId="66842A16">
      <w:pPr>
        <w:pStyle w:val="6"/>
        <w:keepNext w:val="0"/>
        <w:keepLines w:val="0"/>
        <w:spacing w:before="0" w:after="0" w:line="420" w:lineRule="exact"/>
        <w:rPr>
          <w:rFonts w:ascii="黑体" w:hAnsi="黑体" w:eastAsia="黑体"/>
          <w:color w:val="auto"/>
          <w:sz w:val="24"/>
          <w:highlight w:val="none"/>
        </w:rPr>
      </w:pPr>
      <w:bookmarkStart w:id="138" w:name="_41.政府采购合同公告"/>
      <w:bookmarkEnd w:id="138"/>
      <w:r>
        <w:rPr>
          <w:rFonts w:hint="eastAsia" w:ascii="黑体" w:hAnsi="黑体" w:eastAsia="黑体"/>
          <w:color w:val="auto"/>
          <w:sz w:val="24"/>
          <w:highlight w:val="none"/>
        </w:rPr>
        <w:t>37.政府采购合同公告</w:t>
      </w:r>
    </w:p>
    <w:p w14:paraId="2B34B654">
      <w:pPr>
        <w:pStyle w:val="23"/>
        <w:snapToGrid w:val="0"/>
        <w:spacing w:line="420" w:lineRule="exact"/>
        <w:ind w:firstLine="398" w:firstLineChars="200"/>
        <w:rPr>
          <w:rFonts w:hAnsi="宋体"/>
          <w:color w:val="auto"/>
          <w:sz w:val="21"/>
          <w:highlight w:val="none"/>
        </w:rPr>
      </w:pPr>
      <w:r>
        <w:rPr>
          <w:rFonts w:hint="eastAsia" w:hAnsi="宋体"/>
          <w:color w:val="auto"/>
          <w:sz w:val="21"/>
          <w:highlight w:val="none"/>
        </w:rPr>
        <w:t>采购人或者受托采购代理机构应当自政府采购合同签订之日起2个工作日内，将政府采购合同在省级以上人民政府财政部门指定的媒体上公告，</w:t>
      </w:r>
      <w:r>
        <w:rPr>
          <w:rFonts w:hAnsi="宋体"/>
          <w:color w:val="auto"/>
          <w:sz w:val="21"/>
          <w:highlight w:val="none"/>
        </w:rPr>
        <w:t>但政府采购合同中涉及国家秘密、商业秘密的内容除外。</w:t>
      </w:r>
    </w:p>
    <w:p w14:paraId="7DF92977">
      <w:pPr>
        <w:pStyle w:val="6"/>
        <w:keepNext w:val="0"/>
        <w:keepLines w:val="0"/>
        <w:spacing w:before="0" w:after="0" w:line="420" w:lineRule="exact"/>
        <w:rPr>
          <w:rFonts w:ascii="黑体" w:hAnsi="黑体" w:eastAsia="黑体"/>
          <w:color w:val="auto"/>
          <w:sz w:val="24"/>
          <w:highlight w:val="none"/>
        </w:rPr>
      </w:pPr>
      <w:r>
        <w:rPr>
          <w:rFonts w:hint="eastAsia" w:ascii="黑体" w:hAnsi="黑体" w:eastAsia="黑体"/>
          <w:color w:val="auto"/>
          <w:sz w:val="24"/>
          <w:highlight w:val="none"/>
        </w:rPr>
        <w:t>3</w:t>
      </w:r>
      <w:r>
        <w:rPr>
          <w:rFonts w:ascii="黑体" w:hAnsi="黑体" w:eastAsia="黑体"/>
          <w:color w:val="auto"/>
          <w:sz w:val="24"/>
          <w:highlight w:val="none"/>
        </w:rPr>
        <w:t>8.</w:t>
      </w:r>
      <w:r>
        <w:rPr>
          <w:rFonts w:hint="eastAsia" w:ascii="黑体" w:hAnsi="黑体" w:eastAsia="黑体"/>
          <w:color w:val="auto"/>
          <w:sz w:val="24"/>
          <w:highlight w:val="none"/>
        </w:rPr>
        <w:t>询问、质疑和投诉</w:t>
      </w:r>
    </w:p>
    <w:p w14:paraId="0AC9234A">
      <w:pPr>
        <w:pStyle w:val="7"/>
        <w:spacing w:line="420" w:lineRule="exact"/>
        <w:rPr>
          <w:rFonts w:ascii="宋体" w:hAnsi="宋体"/>
          <w:color w:val="auto"/>
          <w:szCs w:val="21"/>
          <w:highlight w:val="none"/>
        </w:rPr>
      </w:pPr>
      <w:r>
        <w:rPr>
          <w:rFonts w:ascii="宋体" w:hAnsi="宋体"/>
          <w:color w:val="auto"/>
          <w:szCs w:val="21"/>
          <w:highlight w:val="none"/>
        </w:rPr>
        <w:t>38.1</w:t>
      </w:r>
      <w:r>
        <w:rPr>
          <w:rFonts w:hint="eastAsia" w:ascii="宋体" w:hAnsi="宋体"/>
          <w:color w:val="auto"/>
          <w:szCs w:val="21"/>
          <w:highlight w:val="none"/>
        </w:rPr>
        <w:t>供应商对政府采购活动事项有疑问的，可以向采购人提出询问，采购人或者采购代理机构应当在3个工作日内对供应商依法提出的询问作出答复，但答复的内容不得涉及商业秘密。</w:t>
      </w:r>
    </w:p>
    <w:p w14:paraId="5E79D9BD">
      <w:pPr>
        <w:pStyle w:val="6"/>
        <w:keepNext w:val="0"/>
        <w:keepLines w:val="0"/>
        <w:numPr>
          <w:ilvl w:val="4"/>
          <w:numId w:val="0"/>
        </w:numPr>
        <w:spacing w:before="0" w:after="0" w:line="420" w:lineRule="exact"/>
        <w:ind w:firstLine="398" w:firstLineChars="200"/>
        <w:rPr>
          <w:rFonts w:ascii="宋体" w:hAnsi="宋体"/>
          <w:b w:val="0"/>
          <w:color w:val="auto"/>
          <w:sz w:val="21"/>
          <w:szCs w:val="21"/>
          <w:highlight w:val="none"/>
        </w:rPr>
      </w:pPr>
      <w:r>
        <w:rPr>
          <w:rFonts w:ascii="宋体" w:hAnsi="宋体"/>
          <w:b w:val="0"/>
          <w:color w:val="auto"/>
          <w:sz w:val="21"/>
          <w:szCs w:val="21"/>
          <w:highlight w:val="none"/>
        </w:rPr>
        <w:t>38</w:t>
      </w:r>
      <w:r>
        <w:rPr>
          <w:rFonts w:hint="eastAsia" w:ascii="宋体" w:hAnsi="宋体"/>
          <w:b w:val="0"/>
          <w:color w:val="auto"/>
          <w:sz w:val="21"/>
          <w:szCs w:val="21"/>
          <w:highlight w:val="none"/>
        </w:rPr>
        <w:t>.</w:t>
      </w:r>
      <w:r>
        <w:rPr>
          <w:rFonts w:ascii="宋体" w:hAnsi="宋体"/>
          <w:b w:val="0"/>
          <w:color w:val="auto"/>
          <w:sz w:val="21"/>
          <w:szCs w:val="21"/>
          <w:highlight w:val="none"/>
        </w:rPr>
        <w:t>2</w:t>
      </w:r>
      <w:r>
        <w:rPr>
          <w:rFonts w:hint="eastAsia" w:ascii="宋体" w:hAnsi="宋体"/>
          <w:b w:val="0"/>
          <w:color w:val="auto"/>
          <w:sz w:val="21"/>
          <w:szCs w:val="21"/>
          <w:highlight w:val="none"/>
        </w:rPr>
        <w:t>供应商认为招标文件、采购过程或者中标结果使自己的合法权益受到损害的，必须在知道或者应知其权益受到损害之日起7个工作日内，以书面形式向采购人、采购代理机构提出质疑。采购人、采购代理机构接收质疑函的方式、联系部门、联系电话和通讯地址等信息详见“投标人须知前附表”。具体质疑起算时间如下：</w:t>
      </w:r>
    </w:p>
    <w:p w14:paraId="39B54A8B">
      <w:pPr>
        <w:pStyle w:val="23"/>
        <w:snapToGrid w:val="0"/>
        <w:spacing w:line="420" w:lineRule="exact"/>
        <w:ind w:firstLine="398" w:firstLineChars="200"/>
        <w:rPr>
          <w:rFonts w:hAnsi="宋体"/>
          <w:color w:val="auto"/>
          <w:sz w:val="21"/>
          <w:highlight w:val="none"/>
        </w:rPr>
      </w:pPr>
      <w:r>
        <w:rPr>
          <w:rFonts w:hAnsi="宋体"/>
          <w:color w:val="auto"/>
          <w:sz w:val="21"/>
          <w:highlight w:val="none"/>
        </w:rPr>
        <w:t>（</w:t>
      </w:r>
      <w:r>
        <w:rPr>
          <w:rFonts w:hint="eastAsia" w:hAnsi="宋体"/>
          <w:color w:val="auto"/>
          <w:sz w:val="21"/>
          <w:highlight w:val="none"/>
        </w:rPr>
        <w:t>1</w:t>
      </w:r>
      <w:r>
        <w:rPr>
          <w:rFonts w:hAnsi="宋体"/>
          <w:color w:val="auto"/>
          <w:sz w:val="21"/>
          <w:highlight w:val="none"/>
        </w:rPr>
        <w:t>）对可以质疑的</w:t>
      </w:r>
      <w:r>
        <w:rPr>
          <w:rFonts w:hint="eastAsia" w:hAnsi="宋体"/>
          <w:color w:val="auto"/>
          <w:sz w:val="21"/>
          <w:highlight w:val="none"/>
        </w:rPr>
        <w:t>招标</w:t>
      </w:r>
      <w:r>
        <w:rPr>
          <w:rFonts w:hAnsi="宋体"/>
          <w:color w:val="auto"/>
          <w:sz w:val="21"/>
          <w:highlight w:val="none"/>
        </w:rPr>
        <w:t>文件提出质疑的，为收到</w:t>
      </w:r>
      <w:r>
        <w:rPr>
          <w:rFonts w:hint="eastAsia" w:hAnsi="宋体"/>
          <w:color w:val="auto"/>
          <w:sz w:val="21"/>
          <w:highlight w:val="none"/>
        </w:rPr>
        <w:t>招标</w:t>
      </w:r>
      <w:r>
        <w:rPr>
          <w:rFonts w:hAnsi="宋体"/>
          <w:color w:val="auto"/>
          <w:sz w:val="21"/>
          <w:highlight w:val="none"/>
        </w:rPr>
        <w:t>文件之日</w:t>
      </w:r>
      <w:r>
        <w:rPr>
          <w:rFonts w:hint="eastAsia" w:hAnsi="宋体"/>
          <w:color w:val="auto"/>
          <w:sz w:val="21"/>
          <w:highlight w:val="none"/>
        </w:rPr>
        <w:t>或者招标文件公告期限届满之日</w:t>
      </w:r>
      <w:r>
        <w:rPr>
          <w:rFonts w:hAnsi="宋体"/>
          <w:color w:val="auto"/>
          <w:sz w:val="21"/>
          <w:highlight w:val="none"/>
        </w:rPr>
        <w:t>；</w:t>
      </w:r>
    </w:p>
    <w:p w14:paraId="50F3BD26">
      <w:pPr>
        <w:pStyle w:val="23"/>
        <w:snapToGrid w:val="0"/>
        <w:spacing w:line="420" w:lineRule="exact"/>
        <w:ind w:firstLine="398" w:firstLineChars="200"/>
        <w:rPr>
          <w:rFonts w:hAnsi="宋体"/>
          <w:color w:val="auto"/>
          <w:sz w:val="21"/>
          <w:highlight w:val="none"/>
        </w:rPr>
      </w:pPr>
      <w:r>
        <w:rPr>
          <w:rFonts w:hAnsi="宋体"/>
          <w:color w:val="auto"/>
          <w:sz w:val="21"/>
          <w:highlight w:val="none"/>
        </w:rPr>
        <w:t>（</w:t>
      </w:r>
      <w:r>
        <w:rPr>
          <w:rFonts w:hint="eastAsia" w:hAnsi="宋体"/>
          <w:color w:val="auto"/>
          <w:sz w:val="21"/>
          <w:highlight w:val="none"/>
        </w:rPr>
        <w:t>2</w:t>
      </w:r>
      <w:r>
        <w:rPr>
          <w:rFonts w:hAnsi="宋体"/>
          <w:color w:val="auto"/>
          <w:sz w:val="21"/>
          <w:highlight w:val="none"/>
        </w:rPr>
        <w:t>）对</w:t>
      </w:r>
      <w:r>
        <w:rPr>
          <w:rFonts w:hint="eastAsia" w:hAnsi="宋体"/>
          <w:color w:val="auto"/>
          <w:sz w:val="21"/>
          <w:highlight w:val="none"/>
        </w:rPr>
        <w:t>采购</w:t>
      </w:r>
      <w:r>
        <w:rPr>
          <w:rFonts w:hAnsi="宋体"/>
          <w:color w:val="auto"/>
          <w:sz w:val="21"/>
          <w:highlight w:val="none"/>
        </w:rPr>
        <w:t>过程提出质疑的，为各采购程序环节结束之日；</w:t>
      </w:r>
    </w:p>
    <w:p w14:paraId="48035157">
      <w:pPr>
        <w:pStyle w:val="23"/>
        <w:snapToGrid w:val="0"/>
        <w:spacing w:line="420" w:lineRule="exact"/>
        <w:ind w:firstLine="398" w:firstLineChars="200"/>
        <w:rPr>
          <w:rFonts w:hAnsi="宋体"/>
          <w:bCs/>
          <w:color w:val="auto"/>
          <w:sz w:val="21"/>
          <w:highlight w:val="none"/>
        </w:rPr>
      </w:pPr>
      <w:r>
        <w:rPr>
          <w:rFonts w:hAnsi="宋体"/>
          <w:color w:val="auto"/>
          <w:sz w:val="21"/>
          <w:highlight w:val="none"/>
        </w:rPr>
        <w:t>（</w:t>
      </w:r>
      <w:r>
        <w:rPr>
          <w:rFonts w:hint="eastAsia" w:hAnsi="宋体"/>
          <w:color w:val="auto"/>
          <w:sz w:val="21"/>
          <w:highlight w:val="none"/>
        </w:rPr>
        <w:t>3</w:t>
      </w:r>
      <w:r>
        <w:rPr>
          <w:rFonts w:hAnsi="宋体"/>
          <w:color w:val="auto"/>
          <w:sz w:val="21"/>
          <w:highlight w:val="none"/>
        </w:rPr>
        <w:t>）对中标结果提出质疑的，为中标结果公告期限届满之日。</w:t>
      </w:r>
    </w:p>
    <w:p w14:paraId="35D112D9">
      <w:pPr>
        <w:pStyle w:val="6"/>
        <w:keepNext w:val="0"/>
        <w:keepLines w:val="0"/>
        <w:numPr>
          <w:ilvl w:val="4"/>
          <w:numId w:val="0"/>
        </w:numPr>
        <w:spacing w:before="0" w:after="0" w:line="420" w:lineRule="exact"/>
        <w:ind w:firstLine="398" w:firstLineChars="200"/>
        <w:rPr>
          <w:rFonts w:ascii="宋体" w:hAnsi="宋体"/>
          <w:b w:val="0"/>
          <w:color w:val="auto"/>
          <w:sz w:val="21"/>
          <w:szCs w:val="21"/>
          <w:highlight w:val="none"/>
        </w:rPr>
      </w:pPr>
      <w:bookmarkStart w:id="139" w:name="_9.2质疑、投诉应当采用书面形式，质疑函、投诉书均应明确阐述招标文件、"/>
      <w:bookmarkEnd w:id="139"/>
      <w:r>
        <w:rPr>
          <w:rFonts w:ascii="宋体" w:hAnsi="宋体"/>
          <w:b w:val="0"/>
          <w:color w:val="auto"/>
          <w:sz w:val="21"/>
          <w:szCs w:val="21"/>
          <w:highlight w:val="none"/>
        </w:rPr>
        <w:t>38</w:t>
      </w:r>
      <w:r>
        <w:rPr>
          <w:rFonts w:hint="eastAsia" w:ascii="宋体" w:hAnsi="宋体"/>
          <w:b w:val="0"/>
          <w:color w:val="auto"/>
          <w:sz w:val="21"/>
          <w:szCs w:val="21"/>
          <w:highlight w:val="none"/>
        </w:rPr>
        <w:t>.</w:t>
      </w:r>
      <w:r>
        <w:rPr>
          <w:rFonts w:ascii="宋体" w:hAnsi="宋体"/>
          <w:b w:val="0"/>
          <w:color w:val="auto"/>
          <w:sz w:val="21"/>
          <w:szCs w:val="21"/>
          <w:highlight w:val="none"/>
        </w:rPr>
        <w:t>3</w:t>
      </w:r>
      <w:r>
        <w:rPr>
          <w:rFonts w:hAnsi="宋体"/>
          <w:b w:val="0"/>
          <w:bCs/>
          <w:color w:val="auto"/>
          <w:sz w:val="21"/>
          <w:highlight w:val="none"/>
        </w:rPr>
        <w:t>供应商提出质疑应当提交质疑函和必要的证明材料</w:t>
      </w:r>
      <w:r>
        <w:rPr>
          <w:rFonts w:hint="eastAsia" w:hAnsi="宋体"/>
          <w:b w:val="0"/>
          <w:bCs/>
          <w:color w:val="auto"/>
          <w:sz w:val="21"/>
          <w:highlight w:val="none"/>
        </w:rPr>
        <w:t>，</w:t>
      </w:r>
      <w:r>
        <w:rPr>
          <w:rFonts w:hAnsi="宋体"/>
          <w:b w:val="0"/>
          <w:bCs/>
          <w:color w:val="auto"/>
          <w:sz w:val="21"/>
          <w:highlight w:val="none"/>
        </w:rPr>
        <w:t>针对同一采购程序环节的质疑</w:t>
      </w:r>
      <w:r>
        <w:rPr>
          <w:rFonts w:hint="eastAsia" w:hAnsi="宋体"/>
          <w:b w:val="0"/>
          <w:bCs/>
          <w:color w:val="auto"/>
          <w:sz w:val="21"/>
          <w:highlight w:val="none"/>
        </w:rPr>
        <w:t>必须</w:t>
      </w:r>
      <w:r>
        <w:rPr>
          <w:rFonts w:hAnsi="宋体"/>
          <w:b w:val="0"/>
          <w:bCs/>
          <w:color w:val="auto"/>
          <w:sz w:val="21"/>
          <w:highlight w:val="none"/>
        </w:rPr>
        <w:t>在法定质疑期内一次性提出。质疑函应当包括下列内容</w:t>
      </w:r>
      <w:r>
        <w:rPr>
          <w:rFonts w:hint="eastAsia" w:hAnsi="宋体"/>
          <w:b w:val="0"/>
          <w:bCs/>
          <w:color w:val="auto"/>
          <w:sz w:val="21"/>
          <w:highlight w:val="none"/>
        </w:rPr>
        <w:t>（质疑函格式后附）</w:t>
      </w:r>
      <w:r>
        <w:rPr>
          <w:rFonts w:hAnsi="宋体"/>
          <w:b w:val="0"/>
          <w:bCs/>
          <w:color w:val="auto"/>
          <w:sz w:val="21"/>
          <w:highlight w:val="none"/>
        </w:rPr>
        <w:t>：</w:t>
      </w:r>
    </w:p>
    <w:p w14:paraId="290856C8">
      <w:pPr>
        <w:pStyle w:val="23"/>
        <w:snapToGrid w:val="0"/>
        <w:spacing w:line="420" w:lineRule="exact"/>
        <w:ind w:firstLine="398" w:firstLineChars="200"/>
        <w:rPr>
          <w:rFonts w:hAnsi="宋体"/>
          <w:bCs/>
          <w:color w:val="auto"/>
          <w:sz w:val="21"/>
          <w:highlight w:val="none"/>
        </w:rPr>
      </w:pPr>
      <w:r>
        <w:rPr>
          <w:rFonts w:hAnsi="宋体"/>
          <w:bCs/>
          <w:color w:val="auto"/>
          <w:sz w:val="21"/>
          <w:highlight w:val="none"/>
        </w:rPr>
        <w:t>（</w:t>
      </w:r>
      <w:r>
        <w:rPr>
          <w:rFonts w:hint="eastAsia" w:hAnsi="宋体"/>
          <w:bCs/>
          <w:color w:val="auto"/>
          <w:sz w:val="21"/>
          <w:highlight w:val="none"/>
        </w:rPr>
        <w:t>1</w:t>
      </w:r>
      <w:r>
        <w:rPr>
          <w:rFonts w:hAnsi="宋体"/>
          <w:bCs/>
          <w:color w:val="auto"/>
          <w:sz w:val="21"/>
          <w:highlight w:val="none"/>
        </w:rPr>
        <w:t>）供应商的姓名或者名称、地址、邮编、联系人及联系电话；</w:t>
      </w:r>
    </w:p>
    <w:p w14:paraId="158B2E66">
      <w:pPr>
        <w:pStyle w:val="23"/>
        <w:snapToGrid w:val="0"/>
        <w:spacing w:line="420" w:lineRule="exact"/>
        <w:ind w:firstLine="398" w:firstLineChars="200"/>
        <w:rPr>
          <w:rFonts w:hAnsi="宋体"/>
          <w:bCs/>
          <w:color w:val="auto"/>
          <w:sz w:val="21"/>
          <w:highlight w:val="none"/>
        </w:rPr>
      </w:pPr>
      <w:r>
        <w:rPr>
          <w:rFonts w:hAnsi="宋体"/>
          <w:bCs/>
          <w:color w:val="auto"/>
          <w:sz w:val="21"/>
          <w:highlight w:val="none"/>
        </w:rPr>
        <w:t>（</w:t>
      </w:r>
      <w:r>
        <w:rPr>
          <w:rFonts w:hint="eastAsia" w:hAnsi="宋体"/>
          <w:bCs/>
          <w:color w:val="auto"/>
          <w:sz w:val="21"/>
          <w:highlight w:val="none"/>
        </w:rPr>
        <w:t>2</w:t>
      </w:r>
      <w:r>
        <w:rPr>
          <w:rFonts w:hAnsi="宋体"/>
          <w:bCs/>
          <w:color w:val="auto"/>
          <w:sz w:val="21"/>
          <w:highlight w:val="none"/>
        </w:rPr>
        <w:t>）质疑项目的名称、编号；</w:t>
      </w:r>
    </w:p>
    <w:p w14:paraId="3A1AA937">
      <w:pPr>
        <w:pStyle w:val="23"/>
        <w:snapToGrid w:val="0"/>
        <w:spacing w:line="420" w:lineRule="exact"/>
        <w:ind w:firstLine="398" w:firstLineChars="200"/>
        <w:rPr>
          <w:rFonts w:hAnsi="宋体"/>
          <w:bCs/>
          <w:color w:val="auto"/>
          <w:sz w:val="21"/>
          <w:highlight w:val="none"/>
        </w:rPr>
      </w:pPr>
      <w:r>
        <w:rPr>
          <w:rFonts w:hAnsi="宋体"/>
          <w:bCs/>
          <w:color w:val="auto"/>
          <w:sz w:val="21"/>
          <w:highlight w:val="none"/>
        </w:rPr>
        <w:t>（</w:t>
      </w:r>
      <w:r>
        <w:rPr>
          <w:rFonts w:hint="eastAsia" w:hAnsi="宋体"/>
          <w:bCs/>
          <w:color w:val="auto"/>
          <w:sz w:val="21"/>
          <w:highlight w:val="none"/>
        </w:rPr>
        <w:t>3</w:t>
      </w:r>
      <w:r>
        <w:rPr>
          <w:rFonts w:hAnsi="宋体"/>
          <w:bCs/>
          <w:color w:val="auto"/>
          <w:sz w:val="21"/>
          <w:highlight w:val="none"/>
        </w:rPr>
        <w:t>）具体、明确的质疑事项和与质疑事项相关的请求；</w:t>
      </w:r>
    </w:p>
    <w:p w14:paraId="4A779817">
      <w:pPr>
        <w:pStyle w:val="23"/>
        <w:snapToGrid w:val="0"/>
        <w:spacing w:line="420" w:lineRule="exact"/>
        <w:ind w:firstLine="398" w:firstLineChars="200"/>
        <w:rPr>
          <w:rFonts w:hAnsi="宋体"/>
          <w:bCs/>
          <w:color w:val="auto"/>
          <w:sz w:val="21"/>
          <w:highlight w:val="none"/>
        </w:rPr>
      </w:pPr>
      <w:r>
        <w:rPr>
          <w:rFonts w:hAnsi="宋体"/>
          <w:bCs/>
          <w:color w:val="auto"/>
          <w:sz w:val="21"/>
          <w:highlight w:val="none"/>
        </w:rPr>
        <w:t>（</w:t>
      </w:r>
      <w:r>
        <w:rPr>
          <w:rFonts w:hint="eastAsia" w:hAnsi="宋体"/>
          <w:bCs/>
          <w:color w:val="auto"/>
          <w:sz w:val="21"/>
          <w:highlight w:val="none"/>
        </w:rPr>
        <w:t>4</w:t>
      </w:r>
      <w:r>
        <w:rPr>
          <w:rFonts w:hAnsi="宋体"/>
          <w:bCs/>
          <w:color w:val="auto"/>
          <w:sz w:val="21"/>
          <w:highlight w:val="none"/>
        </w:rPr>
        <w:t>）事实依据；</w:t>
      </w:r>
    </w:p>
    <w:p w14:paraId="5AC763FB">
      <w:pPr>
        <w:pStyle w:val="23"/>
        <w:snapToGrid w:val="0"/>
        <w:spacing w:line="420" w:lineRule="exact"/>
        <w:ind w:firstLine="398" w:firstLineChars="200"/>
        <w:rPr>
          <w:rFonts w:hAnsi="宋体"/>
          <w:bCs/>
          <w:color w:val="auto"/>
          <w:sz w:val="21"/>
          <w:highlight w:val="none"/>
        </w:rPr>
      </w:pPr>
      <w:r>
        <w:rPr>
          <w:rFonts w:hAnsi="宋体"/>
          <w:bCs/>
          <w:color w:val="auto"/>
          <w:sz w:val="21"/>
          <w:highlight w:val="none"/>
        </w:rPr>
        <w:t>（</w:t>
      </w:r>
      <w:r>
        <w:rPr>
          <w:rFonts w:hint="eastAsia" w:hAnsi="宋体"/>
          <w:bCs/>
          <w:color w:val="auto"/>
          <w:sz w:val="21"/>
          <w:highlight w:val="none"/>
        </w:rPr>
        <w:t>5</w:t>
      </w:r>
      <w:r>
        <w:rPr>
          <w:rFonts w:hAnsi="宋体"/>
          <w:bCs/>
          <w:color w:val="auto"/>
          <w:sz w:val="21"/>
          <w:highlight w:val="none"/>
        </w:rPr>
        <w:t>）必要的法律依据；</w:t>
      </w:r>
    </w:p>
    <w:p w14:paraId="436D0CDC">
      <w:pPr>
        <w:pStyle w:val="23"/>
        <w:snapToGrid w:val="0"/>
        <w:spacing w:line="420" w:lineRule="exact"/>
        <w:ind w:firstLine="398" w:firstLineChars="200"/>
        <w:rPr>
          <w:rFonts w:hAnsi="宋体"/>
          <w:bCs/>
          <w:color w:val="auto"/>
          <w:sz w:val="21"/>
          <w:highlight w:val="none"/>
        </w:rPr>
      </w:pPr>
      <w:r>
        <w:rPr>
          <w:rFonts w:hAnsi="宋体"/>
          <w:bCs/>
          <w:color w:val="auto"/>
          <w:sz w:val="21"/>
          <w:highlight w:val="none"/>
        </w:rPr>
        <w:t>（</w:t>
      </w:r>
      <w:r>
        <w:rPr>
          <w:rFonts w:hint="eastAsia" w:hAnsi="宋体"/>
          <w:bCs/>
          <w:color w:val="auto"/>
          <w:sz w:val="21"/>
          <w:highlight w:val="none"/>
        </w:rPr>
        <w:t>6</w:t>
      </w:r>
      <w:r>
        <w:rPr>
          <w:rFonts w:hAnsi="宋体"/>
          <w:bCs/>
          <w:color w:val="auto"/>
          <w:sz w:val="21"/>
          <w:highlight w:val="none"/>
        </w:rPr>
        <w:t>）提出质疑的日期。</w:t>
      </w:r>
    </w:p>
    <w:p w14:paraId="2346C08D">
      <w:pPr>
        <w:pStyle w:val="23"/>
        <w:snapToGrid w:val="0"/>
        <w:spacing w:line="420" w:lineRule="exact"/>
        <w:ind w:firstLine="398" w:firstLineChars="200"/>
        <w:rPr>
          <w:rFonts w:hAnsi="宋体"/>
          <w:bCs/>
          <w:color w:val="auto"/>
          <w:sz w:val="21"/>
          <w:highlight w:val="none"/>
        </w:rPr>
      </w:pPr>
      <w:r>
        <w:rPr>
          <w:rFonts w:hAnsi="宋体"/>
          <w:bCs/>
          <w:color w:val="auto"/>
          <w:sz w:val="21"/>
          <w:highlight w:val="none"/>
        </w:rPr>
        <w:t>供应商为自然人的，应当由本人签字；供应商为法人或者其他组织的，应当由法定代表人、主要负责人，或者其委托代理人签字或者盖章，并加盖公章</w:t>
      </w:r>
      <w:r>
        <w:rPr>
          <w:rFonts w:hint="eastAsia" w:hAnsi="宋体"/>
          <w:bCs/>
          <w:color w:val="auto"/>
          <w:sz w:val="21"/>
          <w:highlight w:val="none"/>
        </w:rPr>
        <w:t>。</w:t>
      </w:r>
    </w:p>
    <w:p w14:paraId="656C3BFF">
      <w:pPr>
        <w:pStyle w:val="6"/>
        <w:keepNext w:val="0"/>
        <w:keepLines w:val="0"/>
        <w:snapToGrid w:val="0"/>
        <w:spacing w:before="0" w:after="0" w:line="420" w:lineRule="exact"/>
        <w:ind w:firstLine="398" w:firstLineChars="200"/>
        <w:rPr>
          <w:rFonts w:ascii="宋体" w:hAnsi="宋体"/>
          <w:b w:val="0"/>
          <w:bCs/>
          <w:color w:val="auto"/>
          <w:sz w:val="21"/>
          <w:szCs w:val="21"/>
          <w:highlight w:val="none"/>
        </w:rPr>
      </w:pPr>
      <w:r>
        <w:rPr>
          <w:rFonts w:ascii="宋体" w:hAnsi="宋体"/>
          <w:b w:val="0"/>
          <w:color w:val="auto"/>
          <w:sz w:val="21"/>
          <w:szCs w:val="21"/>
          <w:highlight w:val="none"/>
        </w:rPr>
        <w:t>3</w:t>
      </w:r>
      <w:r>
        <w:rPr>
          <w:rFonts w:ascii="宋体" w:hAnsi="宋体"/>
          <w:b w:val="0"/>
          <w:bCs/>
          <w:color w:val="auto"/>
          <w:sz w:val="21"/>
          <w:szCs w:val="21"/>
          <w:highlight w:val="none"/>
        </w:rPr>
        <w:t>8.4</w:t>
      </w:r>
      <w:r>
        <w:rPr>
          <w:rFonts w:hint="eastAsia" w:ascii="宋体" w:hAnsi="宋体"/>
          <w:b w:val="0"/>
          <w:bCs/>
          <w:color w:val="auto"/>
          <w:sz w:val="21"/>
          <w:szCs w:val="21"/>
          <w:highlight w:val="none"/>
        </w:rPr>
        <w:t>采购人、采购代理机构认为供应商质疑不成立，或者成立但未对中标结果构成影响的，继续开展采购活动；认为供应商质疑成立且影响或者可能影响中标结果的，按照下列情况处理：</w:t>
      </w:r>
    </w:p>
    <w:p w14:paraId="5FE1FECB">
      <w:pPr>
        <w:pStyle w:val="23"/>
        <w:snapToGrid w:val="0"/>
        <w:spacing w:line="420" w:lineRule="exact"/>
        <w:ind w:firstLine="398" w:firstLineChars="200"/>
        <w:rPr>
          <w:rFonts w:hAnsi="宋体"/>
          <w:bCs/>
          <w:color w:val="auto"/>
          <w:sz w:val="21"/>
          <w:highlight w:val="none"/>
        </w:rPr>
      </w:pPr>
      <w:r>
        <w:rPr>
          <w:rFonts w:hint="eastAsia" w:hAnsi="宋体"/>
          <w:bCs/>
          <w:color w:val="auto"/>
          <w:sz w:val="21"/>
          <w:highlight w:val="none"/>
        </w:rPr>
        <w:t>（一）对招标文件提出的质疑，依法通过澄清或者修改可以继续开展采购活动的，澄清或者修改招标文件后继续开展采购活动；否则应当修改招标文件后重新开展采购活动。</w:t>
      </w:r>
    </w:p>
    <w:p w14:paraId="5D6B0042">
      <w:pPr>
        <w:pStyle w:val="23"/>
        <w:snapToGrid w:val="0"/>
        <w:spacing w:line="420" w:lineRule="exact"/>
        <w:ind w:firstLine="398" w:firstLineChars="200"/>
        <w:rPr>
          <w:rFonts w:hAnsi="宋体"/>
          <w:bCs/>
          <w:color w:val="auto"/>
          <w:sz w:val="21"/>
          <w:highlight w:val="none"/>
        </w:rPr>
      </w:pPr>
      <w:r>
        <w:rPr>
          <w:rFonts w:hint="eastAsia" w:hAnsi="宋体"/>
          <w:bCs/>
          <w:color w:val="auto"/>
          <w:sz w:val="21"/>
          <w:highlight w:val="none"/>
        </w:rPr>
        <w:t>（二）对采购过程、中标结果提出的质疑，合格供应商符合法定数量时，可以从合格的中标候选人中另行确定中标供应商的，应当依法另行确定中标供应商；否则应当重新开展采购活动。</w:t>
      </w:r>
    </w:p>
    <w:p w14:paraId="1A855173">
      <w:pPr>
        <w:pStyle w:val="23"/>
        <w:snapToGrid w:val="0"/>
        <w:spacing w:line="420" w:lineRule="exact"/>
        <w:ind w:firstLine="420"/>
        <w:rPr>
          <w:rFonts w:hAnsi="宋体"/>
          <w:bCs/>
          <w:color w:val="auto"/>
          <w:sz w:val="21"/>
          <w:highlight w:val="none"/>
        </w:rPr>
      </w:pPr>
      <w:r>
        <w:rPr>
          <w:rFonts w:hint="eastAsia" w:hAnsi="宋体"/>
          <w:bCs/>
          <w:color w:val="auto"/>
          <w:sz w:val="21"/>
          <w:highlight w:val="none"/>
        </w:rPr>
        <w:t>质疑答复导致中标结果改变的，采购人或者采购代理机构应当将有关情况书面报告本级财政部门。</w:t>
      </w:r>
    </w:p>
    <w:p w14:paraId="2BC3456B">
      <w:pPr>
        <w:pStyle w:val="23"/>
        <w:snapToGrid w:val="0"/>
        <w:spacing w:line="420" w:lineRule="exact"/>
        <w:ind w:firstLine="398" w:firstLineChars="200"/>
        <w:rPr>
          <w:rFonts w:hAnsi="宋体"/>
          <w:color w:val="auto"/>
          <w:sz w:val="21"/>
          <w:highlight w:val="none"/>
        </w:rPr>
      </w:pPr>
      <w:r>
        <w:rPr>
          <w:rFonts w:hAnsi="宋体"/>
          <w:color w:val="auto"/>
          <w:sz w:val="21"/>
          <w:highlight w:val="none"/>
        </w:rPr>
        <w:t>38</w:t>
      </w:r>
      <w:r>
        <w:rPr>
          <w:rFonts w:hint="eastAsia" w:hAnsi="宋体"/>
          <w:color w:val="auto"/>
          <w:sz w:val="21"/>
          <w:highlight w:val="none"/>
        </w:rPr>
        <w:t>.</w:t>
      </w:r>
      <w:r>
        <w:rPr>
          <w:rFonts w:hAnsi="宋体"/>
          <w:color w:val="auto"/>
          <w:sz w:val="21"/>
          <w:highlight w:val="none"/>
        </w:rPr>
        <w:t>5</w:t>
      </w:r>
      <w:r>
        <w:rPr>
          <w:rFonts w:hint="eastAsia" w:hAnsi="宋体"/>
          <w:color w:val="auto"/>
          <w:sz w:val="21"/>
          <w:highlight w:val="none"/>
        </w:rPr>
        <w:t>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2CA56478">
      <w:pPr>
        <w:pStyle w:val="4"/>
        <w:keepNext w:val="0"/>
        <w:keepLines w:val="0"/>
        <w:spacing w:before="0" w:after="0" w:line="420" w:lineRule="exact"/>
        <w:jc w:val="center"/>
        <w:rPr>
          <w:color w:val="auto"/>
          <w:highlight w:val="none"/>
        </w:rPr>
      </w:pPr>
      <w:bookmarkStart w:id="140" w:name="_八、其他事项"/>
      <w:bookmarkEnd w:id="140"/>
      <w:r>
        <w:rPr>
          <w:rFonts w:hint="eastAsia"/>
          <w:color w:val="auto"/>
          <w:highlight w:val="none"/>
        </w:rPr>
        <w:t>八、其他事项</w:t>
      </w:r>
    </w:p>
    <w:p w14:paraId="2A6D6C33">
      <w:pPr>
        <w:pStyle w:val="6"/>
        <w:keepNext w:val="0"/>
        <w:keepLines w:val="0"/>
        <w:spacing w:before="0" w:after="0" w:line="420" w:lineRule="exact"/>
        <w:rPr>
          <w:rFonts w:ascii="黑体" w:hAnsi="黑体" w:eastAsia="黑体"/>
          <w:color w:val="auto"/>
          <w:sz w:val="24"/>
          <w:highlight w:val="none"/>
        </w:rPr>
      </w:pPr>
      <w:bookmarkStart w:id="141" w:name="_42.代理服务费"/>
      <w:bookmarkEnd w:id="141"/>
      <w:r>
        <w:rPr>
          <w:rFonts w:hint="eastAsia" w:ascii="黑体" w:hAnsi="黑体" w:eastAsia="黑体"/>
          <w:color w:val="auto"/>
          <w:sz w:val="24"/>
          <w:highlight w:val="none"/>
        </w:rPr>
        <w:t>3</w:t>
      </w:r>
      <w:r>
        <w:rPr>
          <w:rFonts w:ascii="黑体" w:hAnsi="黑体" w:eastAsia="黑体"/>
          <w:color w:val="auto"/>
          <w:sz w:val="24"/>
          <w:highlight w:val="none"/>
        </w:rPr>
        <w:t>9</w:t>
      </w:r>
      <w:r>
        <w:rPr>
          <w:rFonts w:hint="eastAsia" w:ascii="黑体" w:hAnsi="黑体" w:eastAsia="黑体"/>
          <w:color w:val="auto"/>
          <w:sz w:val="24"/>
          <w:highlight w:val="none"/>
        </w:rPr>
        <w:t>.代理服务费</w:t>
      </w:r>
    </w:p>
    <w:p w14:paraId="5DB98AF9">
      <w:pPr>
        <w:pStyle w:val="6"/>
        <w:keepNext w:val="0"/>
        <w:keepLines w:val="0"/>
        <w:spacing w:before="0" w:after="0" w:line="420" w:lineRule="exact"/>
        <w:rPr>
          <w:rFonts w:ascii="宋体" w:hAnsi="宋体"/>
          <w:b w:val="0"/>
          <w:color w:val="auto"/>
          <w:sz w:val="21"/>
          <w:szCs w:val="21"/>
          <w:highlight w:val="none"/>
        </w:rPr>
      </w:pPr>
      <w:r>
        <w:rPr>
          <w:rFonts w:hint="eastAsia" w:ascii="宋体" w:hAnsi="宋体"/>
          <w:b w:val="0"/>
          <w:color w:val="auto"/>
          <w:sz w:val="21"/>
          <w:szCs w:val="21"/>
          <w:highlight w:val="none"/>
        </w:rPr>
        <w:t>3</w:t>
      </w:r>
      <w:r>
        <w:rPr>
          <w:rFonts w:ascii="宋体" w:hAnsi="宋体"/>
          <w:b w:val="0"/>
          <w:color w:val="auto"/>
          <w:sz w:val="21"/>
          <w:szCs w:val="21"/>
          <w:highlight w:val="none"/>
        </w:rPr>
        <w:t>9</w:t>
      </w:r>
      <w:r>
        <w:rPr>
          <w:rFonts w:hint="eastAsia" w:ascii="宋体" w:hAnsi="宋体"/>
          <w:b w:val="0"/>
          <w:color w:val="auto"/>
          <w:sz w:val="21"/>
          <w:szCs w:val="21"/>
          <w:highlight w:val="none"/>
        </w:rPr>
        <w:t>.1代理服务收取标准及缴费账户详见“投标人须知前附表”，投标人为联合体的，可以由联合体中的一方或者多方共同交纳代理服务费。</w:t>
      </w:r>
    </w:p>
    <w:p w14:paraId="488D1C2D">
      <w:pPr>
        <w:pStyle w:val="6"/>
        <w:keepNext w:val="0"/>
        <w:keepLines w:val="0"/>
        <w:spacing w:before="0" w:after="0" w:line="420" w:lineRule="exact"/>
        <w:rPr>
          <w:rFonts w:ascii="宋体" w:hAnsi="宋体"/>
          <w:b w:val="0"/>
          <w:color w:val="auto"/>
          <w:sz w:val="21"/>
          <w:szCs w:val="21"/>
          <w:highlight w:val="none"/>
        </w:rPr>
      </w:pPr>
      <w:r>
        <w:rPr>
          <w:rFonts w:hint="eastAsia" w:ascii="宋体" w:hAnsi="宋体"/>
          <w:b w:val="0"/>
          <w:color w:val="auto"/>
          <w:sz w:val="21"/>
          <w:szCs w:val="21"/>
          <w:highlight w:val="none"/>
        </w:rPr>
        <w:t>3</w:t>
      </w:r>
      <w:r>
        <w:rPr>
          <w:rFonts w:ascii="宋体" w:hAnsi="宋体"/>
          <w:b w:val="0"/>
          <w:color w:val="auto"/>
          <w:sz w:val="21"/>
          <w:szCs w:val="21"/>
          <w:highlight w:val="none"/>
        </w:rPr>
        <w:t>9</w:t>
      </w:r>
      <w:r>
        <w:rPr>
          <w:rFonts w:hint="eastAsia" w:ascii="宋体" w:hAnsi="宋体"/>
          <w:b w:val="0"/>
          <w:color w:val="auto"/>
          <w:sz w:val="21"/>
          <w:szCs w:val="21"/>
          <w:highlight w:val="none"/>
        </w:rPr>
        <w:t>.2代理服务收费标准：</w:t>
      </w:r>
    </w:p>
    <w:p w14:paraId="57A3079C">
      <w:pPr>
        <w:spacing w:line="420" w:lineRule="exact"/>
        <w:rPr>
          <w:rFonts w:ascii="宋体" w:hAnsi="宋体"/>
          <w:color w:val="auto"/>
          <w:szCs w:val="21"/>
          <w:highlight w:val="none"/>
        </w:rPr>
      </w:pPr>
    </w:p>
    <w:tbl>
      <w:tblPr>
        <w:tblStyle w:val="47"/>
        <w:tblW w:w="8477"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687"/>
        <w:gridCol w:w="1659"/>
      </w:tblGrid>
      <w:tr w14:paraId="5E5A7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tcPr>
          <w:p w14:paraId="4AE0E2AC">
            <w:pPr>
              <w:spacing w:line="420" w:lineRule="exact"/>
              <w:rPr>
                <w:rFonts w:ascii="宋体" w:hAnsi="宋体"/>
                <w:color w:val="auto"/>
                <w:szCs w:val="21"/>
                <w:highlight w:val="none"/>
              </w:rPr>
            </w:pPr>
            <w:r>
              <w:rPr>
                <w:rFonts w:hint="eastAsia" w:ascii="宋体" w:hAnsi="宋体"/>
                <w:color w:val="auto"/>
                <w:szCs w:val="21"/>
                <w:highlight w:val="none"/>
              </w:rPr>
              <w:t xml:space="preserve">               费率</w:t>
            </w:r>
          </w:p>
          <w:p w14:paraId="133AD9AA">
            <w:pPr>
              <w:spacing w:line="420" w:lineRule="exact"/>
              <w:rPr>
                <w:rFonts w:ascii="宋体" w:hAnsi="宋体"/>
                <w:color w:val="auto"/>
                <w:szCs w:val="21"/>
                <w:highlight w:val="none"/>
              </w:rPr>
            </w:pPr>
            <w:r>
              <w:rPr>
                <w:rFonts w:hint="eastAsia" w:ascii="宋体" w:hAnsi="宋体"/>
                <w:color w:val="auto"/>
                <w:szCs w:val="21"/>
                <w:highlight w:val="none"/>
              </w:rPr>
              <w:t>中标金额</w:t>
            </w:r>
          </w:p>
        </w:tc>
        <w:tc>
          <w:tcPr>
            <w:tcW w:w="1659" w:type="dxa"/>
            <w:vAlign w:val="center"/>
          </w:tcPr>
          <w:p w14:paraId="38A8FB93">
            <w:pPr>
              <w:spacing w:line="420" w:lineRule="exact"/>
              <w:ind w:firstLine="100" w:firstLineChars="50"/>
              <w:jc w:val="center"/>
              <w:rPr>
                <w:rFonts w:ascii="宋体" w:hAnsi="宋体"/>
                <w:color w:val="auto"/>
                <w:szCs w:val="21"/>
                <w:highlight w:val="none"/>
              </w:rPr>
            </w:pPr>
            <w:r>
              <w:rPr>
                <w:rFonts w:hint="eastAsia" w:ascii="宋体" w:hAnsi="宋体"/>
                <w:color w:val="auto"/>
                <w:szCs w:val="21"/>
                <w:highlight w:val="none"/>
              </w:rPr>
              <w:t>货物招标</w:t>
            </w:r>
          </w:p>
        </w:tc>
        <w:tc>
          <w:tcPr>
            <w:tcW w:w="1687" w:type="dxa"/>
            <w:vAlign w:val="center"/>
          </w:tcPr>
          <w:p w14:paraId="58CC1EA9">
            <w:pPr>
              <w:spacing w:line="420" w:lineRule="exact"/>
              <w:jc w:val="center"/>
              <w:rPr>
                <w:rFonts w:ascii="宋体" w:hAnsi="宋体"/>
                <w:color w:val="auto"/>
                <w:szCs w:val="21"/>
                <w:highlight w:val="none"/>
              </w:rPr>
            </w:pPr>
            <w:r>
              <w:rPr>
                <w:rFonts w:hint="eastAsia" w:ascii="宋体" w:hAnsi="宋体"/>
                <w:color w:val="auto"/>
                <w:szCs w:val="21"/>
                <w:highlight w:val="none"/>
              </w:rPr>
              <w:t>服务招标</w:t>
            </w:r>
          </w:p>
        </w:tc>
        <w:tc>
          <w:tcPr>
            <w:tcW w:w="1659" w:type="dxa"/>
            <w:vAlign w:val="center"/>
          </w:tcPr>
          <w:p w14:paraId="105F7873">
            <w:pPr>
              <w:spacing w:line="420" w:lineRule="exact"/>
              <w:jc w:val="center"/>
              <w:rPr>
                <w:rFonts w:ascii="宋体" w:hAnsi="宋体"/>
                <w:color w:val="auto"/>
                <w:szCs w:val="21"/>
                <w:highlight w:val="none"/>
              </w:rPr>
            </w:pPr>
            <w:r>
              <w:rPr>
                <w:rFonts w:hint="eastAsia" w:ascii="宋体" w:hAnsi="宋体"/>
                <w:color w:val="auto"/>
                <w:szCs w:val="21"/>
                <w:highlight w:val="none"/>
              </w:rPr>
              <w:t>工程招标</w:t>
            </w:r>
          </w:p>
        </w:tc>
      </w:tr>
      <w:tr w14:paraId="23FFF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370EA1DA">
            <w:pPr>
              <w:spacing w:line="420" w:lineRule="exact"/>
              <w:rPr>
                <w:rFonts w:ascii="宋体" w:hAnsi="宋体"/>
                <w:color w:val="auto"/>
                <w:szCs w:val="21"/>
                <w:highlight w:val="none"/>
              </w:rPr>
            </w:pPr>
            <w:r>
              <w:rPr>
                <w:rFonts w:hint="eastAsia" w:ascii="宋体" w:hAnsi="宋体"/>
                <w:color w:val="auto"/>
                <w:szCs w:val="21"/>
                <w:highlight w:val="none"/>
              </w:rPr>
              <w:t>100万元以下</w:t>
            </w:r>
          </w:p>
        </w:tc>
        <w:tc>
          <w:tcPr>
            <w:tcW w:w="1659" w:type="dxa"/>
          </w:tcPr>
          <w:p w14:paraId="31047C98">
            <w:pPr>
              <w:spacing w:line="420" w:lineRule="exact"/>
              <w:rPr>
                <w:rFonts w:ascii="宋体" w:hAnsi="宋体"/>
                <w:color w:val="auto"/>
                <w:szCs w:val="21"/>
                <w:highlight w:val="none"/>
              </w:rPr>
            </w:pPr>
            <w:r>
              <w:rPr>
                <w:rFonts w:hint="eastAsia" w:ascii="宋体" w:hAnsi="宋体" w:cs="宋体"/>
                <w:color w:val="auto"/>
                <w:kern w:val="0"/>
                <w:szCs w:val="21"/>
                <w:highlight w:val="none"/>
              </w:rPr>
              <w:t xml:space="preserve">  </w:t>
            </w:r>
            <w:r>
              <w:rPr>
                <w:rFonts w:ascii="宋体" w:hAnsi="宋体" w:cs="宋体"/>
                <w:color w:val="auto"/>
                <w:kern w:val="0"/>
                <w:szCs w:val="21"/>
                <w:highlight w:val="none"/>
              </w:rPr>
              <w:t xml:space="preserve">1.5% </w:t>
            </w:r>
            <w:r>
              <w:rPr>
                <w:rFonts w:hint="eastAsia" w:ascii="宋体" w:hAnsi="宋体" w:cs="宋体"/>
                <w:color w:val="auto"/>
                <w:kern w:val="0"/>
                <w:szCs w:val="21"/>
                <w:highlight w:val="none"/>
              </w:rPr>
              <w:t xml:space="preserve">          </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 xml:space="preserve">    </w:t>
            </w:r>
          </w:p>
        </w:tc>
        <w:tc>
          <w:tcPr>
            <w:tcW w:w="1687" w:type="dxa"/>
          </w:tcPr>
          <w:p w14:paraId="66CAB42B">
            <w:pPr>
              <w:spacing w:line="420" w:lineRule="exact"/>
              <w:ind w:firstLine="199" w:firstLineChars="100"/>
              <w:rPr>
                <w:rFonts w:ascii="宋体" w:hAnsi="宋体"/>
                <w:color w:val="auto"/>
                <w:szCs w:val="21"/>
                <w:highlight w:val="none"/>
              </w:rPr>
            </w:pPr>
            <w:r>
              <w:rPr>
                <w:rFonts w:ascii="宋体" w:hAnsi="宋体" w:cs="宋体"/>
                <w:color w:val="auto"/>
                <w:kern w:val="0"/>
                <w:szCs w:val="21"/>
                <w:highlight w:val="none"/>
              </w:rPr>
              <w:t>1.5%</w:t>
            </w:r>
          </w:p>
        </w:tc>
        <w:tc>
          <w:tcPr>
            <w:tcW w:w="1659" w:type="dxa"/>
          </w:tcPr>
          <w:p w14:paraId="174C73D2">
            <w:pPr>
              <w:spacing w:line="420" w:lineRule="exact"/>
              <w:ind w:firstLine="199" w:firstLineChars="100"/>
              <w:rPr>
                <w:rFonts w:ascii="宋体" w:hAnsi="宋体"/>
                <w:color w:val="auto"/>
                <w:szCs w:val="21"/>
                <w:highlight w:val="none"/>
              </w:rPr>
            </w:pPr>
            <w:r>
              <w:rPr>
                <w:rFonts w:ascii="宋体" w:hAnsi="宋体" w:cs="宋体"/>
                <w:color w:val="auto"/>
                <w:kern w:val="0"/>
                <w:szCs w:val="21"/>
                <w:highlight w:val="none"/>
              </w:rPr>
              <w:t xml:space="preserve">1.0% </w:t>
            </w:r>
          </w:p>
        </w:tc>
      </w:tr>
      <w:tr w14:paraId="5EAA0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7A7EA057">
            <w:pPr>
              <w:spacing w:line="420" w:lineRule="exact"/>
              <w:rPr>
                <w:rFonts w:ascii="宋体" w:hAnsi="宋体"/>
                <w:color w:val="auto"/>
                <w:szCs w:val="21"/>
                <w:highlight w:val="none"/>
              </w:rPr>
            </w:pPr>
            <w:r>
              <w:rPr>
                <w:rFonts w:hint="eastAsia" w:ascii="宋体" w:hAnsi="宋体"/>
                <w:color w:val="auto"/>
                <w:szCs w:val="21"/>
                <w:highlight w:val="none"/>
              </w:rPr>
              <w:t>100万元～500万元</w:t>
            </w:r>
          </w:p>
        </w:tc>
        <w:tc>
          <w:tcPr>
            <w:tcW w:w="1659" w:type="dxa"/>
          </w:tcPr>
          <w:p w14:paraId="74150758">
            <w:pPr>
              <w:spacing w:line="420" w:lineRule="exact"/>
              <w:ind w:firstLine="199" w:firstLineChars="100"/>
              <w:rPr>
                <w:rFonts w:ascii="宋体" w:hAnsi="宋体"/>
                <w:color w:val="auto"/>
                <w:szCs w:val="21"/>
                <w:highlight w:val="none"/>
              </w:rPr>
            </w:pPr>
            <w:r>
              <w:rPr>
                <w:rFonts w:ascii="宋体" w:hAnsi="宋体" w:cs="宋体"/>
                <w:color w:val="auto"/>
                <w:kern w:val="0"/>
                <w:szCs w:val="21"/>
                <w:highlight w:val="none"/>
              </w:rPr>
              <w:t xml:space="preserve">1.1% </w:t>
            </w:r>
            <w:r>
              <w:rPr>
                <w:rFonts w:hint="eastAsia" w:ascii="宋体" w:hAnsi="宋体" w:cs="宋体"/>
                <w:color w:val="auto"/>
                <w:kern w:val="0"/>
                <w:szCs w:val="21"/>
                <w:highlight w:val="none"/>
              </w:rPr>
              <w:t xml:space="preserve">                </w:t>
            </w:r>
          </w:p>
        </w:tc>
        <w:tc>
          <w:tcPr>
            <w:tcW w:w="1687" w:type="dxa"/>
          </w:tcPr>
          <w:p w14:paraId="2954B882">
            <w:pPr>
              <w:spacing w:line="420" w:lineRule="exact"/>
              <w:ind w:firstLine="199" w:firstLineChars="100"/>
              <w:rPr>
                <w:rFonts w:ascii="宋体" w:hAnsi="宋体"/>
                <w:color w:val="auto"/>
                <w:szCs w:val="21"/>
                <w:highlight w:val="none"/>
              </w:rPr>
            </w:pPr>
            <w:r>
              <w:rPr>
                <w:rFonts w:ascii="宋体" w:hAnsi="宋体" w:cs="宋体"/>
                <w:color w:val="auto"/>
                <w:kern w:val="0"/>
                <w:szCs w:val="21"/>
                <w:highlight w:val="none"/>
              </w:rPr>
              <w:t>0.8%</w:t>
            </w:r>
          </w:p>
        </w:tc>
        <w:tc>
          <w:tcPr>
            <w:tcW w:w="1659" w:type="dxa"/>
          </w:tcPr>
          <w:p w14:paraId="33E817A0">
            <w:pPr>
              <w:spacing w:line="420" w:lineRule="exact"/>
              <w:ind w:firstLine="199" w:firstLineChars="100"/>
              <w:rPr>
                <w:rFonts w:ascii="宋体" w:hAnsi="宋体"/>
                <w:color w:val="auto"/>
                <w:szCs w:val="21"/>
                <w:highlight w:val="none"/>
              </w:rPr>
            </w:pPr>
            <w:r>
              <w:rPr>
                <w:rFonts w:ascii="宋体" w:hAnsi="宋体" w:cs="宋体"/>
                <w:color w:val="auto"/>
                <w:kern w:val="0"/>
                <w:szCs w:val="21"/>
                <w:highlight w:val="none"/>
              </w:rPr>
              <w:t xml:space="preserve">0.7% </w:t>
            </w:r>
          </w:p>
        </w:tc>
      </w:tr>
      <w:tr w14:paraId="55A00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694A0003">
            <w:pPr>
              <w:spacing w:line="420" w:lineRule="exact"/>
              <w:rPr>
                <w:rFonts w:ascii="宋体" w:hAnsi="宋体"/>
                <w:color w:val="auto"/>
                <w:szCs w:val="21"/>
                <w:highlight w:val="none"/>
              </w:rPr>
            </w:pPr>
            <w:r>
              <w:rPr>
                <w:rFonts w:hint="eastAsia" w:ascii="宋体" w:hAnsi="宋体"/>
                <w:color w:val="auto"/>
                <w:szCs w:val="21"/>
                <w:highlight w:val="none"/>
              </w:rPr>
              <w:t>500万元～1000万元</w:t>
            </w:r>
          </w:p>
        </w:tc>
        <w:tc>
          <w:tcPr>
            <w:tcW w:w="1659" w:type="dxa"/>
          </w:tcPr>
          <w:p w14:paraId="2A533588">
            <w:pPr>
              <w:spacing w:line="420" w:lineRule="exact"/>
              <w:rPr>
                <w:rFonts w:ascii="宋体" w:hAnsi="宋体"/>
                <w:color w:val="auto"/>
                <w:szCs w:val="21"/>
                <w:highlight w:val="none"/>
              </w:rPr>
            </w:pPr>
            <w:r>
              <w:rPr>
                <w:rFonts w:hint="eastAsia" w:ascii="宋体" w:hAnsi="宋体" w:cs="宋体"/>
                <w:color w:val="auto"/>
                <w:kern w:val="0"/>
                <w:szCs w:val="21"/>
                <w:highlight w:val="none"/>
              </w:rPr>
              <w:t xml:space="preserve">  </w:t>
            </w:r>
            <w:r>
              <w:rPr>
                <w:rFonts w:ascii="宋体" w:hAnsi="宋体" w:cs="宋体"/>
                <w:color w:val="auto"/>
                <w:kern w:val="0"/>
                <w:szCs w:val="21"/>
                <w:highlight w:val="none"/>
              </w:rPr>
              <w:t xml:space="preserve">0.8% </w:t>
            </w:r>
            <w:r>
              <w:rPr>
                <w:rFonts w:hint="eastAsia" w:ascii="宋体" w:hAnsi="宋体" w:cs="宋体"/>
                <w:color w:val="auto"/>
                <w:kern w:val="0"/>
                <w:szCs w:val="21"/>
                <w:highlight w:val="none"/>
              </w:rPr>
              <w:t xml:space="preserve">               </w:t>
            </w:r>
          </w:p>
        </w:tc>
        <w:tc>
          <w:tcPr>
            <w:tcW w:w="1687" w:type="dxa"/>
          </w:tcPr>
          <w:p w14:paraId="2369E4A0">
            <w:pPr>
              <w:spacing w:line="420" w:lineRule="exact"/>
              <w:ind w:firstLine="199" w:firstLineChars="100"/>
              <w:rPr>
                <w:rFonts w:ascii="宋体" w:hAnsi="宋体"/>
                <w:color w:val="auto"/>
                <w:szCs w:val="21"/>
                <w:highlight w:val="none"/>
              </w:rPr>
            </w:pPr>
            <w:r>
              <w:rPr>
                <w:rFonts w:ascii="宋体" w:hAnsi="宋体" w:cs="宋体"/>
                <w:color w:val="auto"/>
                <w:kern w:val="0"/>
                <w:szCs w:val="21"/>
                <w:highlight w:val="none"/>
              </w:rPr>
              <w:t>0.45%</w:t>
            </w:r>
          </w:p>
        </w:tc>
        <w:tc>
          <w:tcPr>
            <w:tcW w:w="1659" w:type="dxa"/>
          </w:tcPr>
          <w:p w14:paraId="0F2F938B">
            <w:pPr>
              <w:spacing w:line="420" w:lineRule="exact"/>
              <w:ind w:firstLine="199" w:firstLineChars="100"/>
              <w:rPr>
                <w:rFonts w:ascii="宋体" w:hAnsi="宋体"/>
                <w:color w:val="auto"/>
                <w:szCs w:val="21"/>
                <w:highlight w:val="none"/>
              </w:rPr>
            </w:pPr>
            <w:r>
              <w:rPr>
                <w:rFonts w:ascii="宋体" w:hAnsi="宋体" w:cs="宋体"/>
                <w:color w:val="auto"/>
                <w:kern w:val="0"/>
                <w:szCs w:val="21"/>
                <w:highlight w:val="none"/>
              </w:rPr>
              <w:t>0.55%</w:t>
            </w:r>
          </w:p>
        </w:tc>
      </w:tr>
      <w:tr w14:paraId="48075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777B2831">
            <w:pPr>
              <w:spacing w:line="420" w:lineRule="exact"/>
              <w:rPr>
                <w:rFonts w:ascii="宋体" w:hAnsi="宋体"/>
                <w:color w:val="auto"/>
                <w:szCs w:val="21"/>
                <w:highlight w:val="none"/>
              </w:rPr>
            </w:pPr>
            <w:r>
              <w:rPr>
                <w:rFonts w:hint="eastAsia" w:ascii="宋体" w:hAnsi="宋体"/>
                <w:color w:val="auto"/>
                <w:szCs w:val="21"/>
                <w:highlight w:val="none"/>
              </w:rPr>
              <w:t>1000万元～5000万元</w:t>
            </w:r>
          </w:p>
        </w:tc>
        <w:tc>
          <w:tcPr>
            <w:tcW w:w="1659" w:type="dxa"/>
          </w:tcPr>
          <w:p w14:paraId="3740A143">
            <w:pPr>
              <w:spacing w:line="420" w:lineRule="exact"/>
              <w:ind w:firstLine="199" w:firstLineChars="100"/>
              <w:rPr>
                <w:rFonts w:ascii="宋体" w:hAnsi="宋体"/>
                <w:color w:val="auto"/>
                <w:szCs w:val="21"/>
                <w:highlight w:val="none"/>
              </w:rPr>
            </w:pPr>
            <w:r>
              <w:rPr>
                <w:rFonts w:ascii="宋体" w:hAnsi="宋体" w:cs="宋体"/>
                <w:color w:val="auto"/>
                <w:kern w:val="0"/>
                <w:szCs w:val="21"/>
                <w:highlight w:val="none"/>
              </w:rPr>
              <w:t xml:space="preserve">0.5% </w:t>
            </w:r>
            <w:r>
              <w:rPr>
                <w:rFonts w:hint="eastAsia" w:ascii="宋体" w:hAnsi="宋体" w:cs="宋体"/>
                <w:color w:val="auto"/>
                <w:kern w:val="0"/>
                <w:szCs w:val="21"/>
                <w:highlight w:val="none"/>
              </w:rPr>
              <w:t xml:space="preserve">               </w:t>
            </w:r>
          </w:p>
        </w:tc>
        <w:tc>
          <w:tcPr>
            <w:tcW w:w="1687" w:type="dxa"/>
          </w:tcPr>
          <w:p w14:paraId="1D9EBF23">
            <w:pPr>
              <w:spacing w:line="420" w:lineRule="exact"/>
              <w:ind w:firstLine="199" w:firstLineChars="100"/>
              <w:rPr>
                <w:rFonts w:ascii="宋体" w:hAnsi="宋体"/>
                <w:color w:val="auto"/>
                <w:szCs w:val="21"/>
                <w:highlight w:val="none"/>
              </w:rPr>
            </w:pPr>
            <w:r>
              <w:rPr>
                <w:rFonts w:ascii="宋体" w:hAnsi="宋体" w:cs="宋体"/>
                <w:color w:val="auto"/>
                <w:kern w:val="0"/>
                <w:szCs w:val="21"/>
                <w:highlight w:val="none"/>
              </w:rPr>
              <w:t>0.25%</w:t>
            </w:r>
          </w:p>
        </w:tc>
        <w:tc>
          <w:tcPr>
            <w:tcW w:w="1659" w:type="dxa"/>
          </w:tcPr>
          <w:p w14:paraId="13969B3D">
            <w:pPr>
              <w:spacing w:line="420" w:lineRule="exact"/>
              <w:ind w:firstLine="199" w:firstLineChars="100"/>
              <w:rPr>
                <w:rFonts w:ascii="宋体" w:hAnsi="宋体"/>
                <w:color w:val="auto"/>
                <w:szCs w:val="21"/>
                <w:highlight w:val="none"/>
              </w:rPr>
            </w:pPr>
            <w:r>
              <w:rPr>
                <w:rFonts w:ascii="宋体" w:hAnsi="宋体" w:cs="宋体"/>
                <w:color w:val="auto"/>
                <w:kern w:val="0"/>
                <w:szCs w:val="21"/>
                <w:highlight w:val="none"/>
              </w:rPr>
              <w:t xml:space="preserve">0.35% </w:t>
            </w:r>
          </w:p>
        </w:tc>
      </w:tr>
      <w:tr w14:paraId="12EA5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2C92C673">
            <w:pPr>
              <w:spacing w:line="420" w:lineRule="exact"/>
              <w:rPr>
                <w:rFonts w:ascii="宋体" w:hAnsi="宋体"/>
                <w:color w:val="auto"/>
                <w:szCs w:val="21"/>
                <w:highlight w:val="none"/>
              </w:rPr>
            </w:pPr>
            <w:r>
              <w:rPr>
                <w:rFonts w:hint="eastAsia" w:ascii="宋体" w:hAnsi="宋体"/>
                <w:color w:val="auto"/>
                <w:szCs w:val="21"/>
                <w:highlight w:val="none"/>
              </w:rPr>
              <w:t>5000万元～1亿元</w:t>
            </w:r>
          </w:p>
        </w:tc>
        <w:tc>
          <w:tcPr>
            <w:tcW w:w="1659" w:type="dxa"/>
          </w:tcPr>
          <w:p w14:paraId="2BC7E40D">
            <w:pPr>
              <w:spacing w:line="420" w:lineRule="exact"/>
              <w:ind w:firstLine="199" w:firstLineChars="100"/>
              <w:rPr>
                <w:rFonts w:ascii="宋体" w:hAnsi="宋体"/>
                <w:color w:val="auto"/>
                <w:szCs w:val="21"/>
                <w:highlight w:val="none"/>
              </w:rPr>
            </w:pPr>
            <w:r>
              <w:rPr>
                <w:rFonts w:ascii="宋体" w:hAnsi="宋体" w:cs="宋体"/>
                <w:color w:val="auto"/>
                <w:kern w:val="0"/>
                <w:szCs w:val="21"/>
                <w:highlight w:val="none"/>
              </w:rPr>
              <w:t xml:space="preserve">0.25% </w:t>
            </w:r>
            <w:r>
              <w:rPr>
                <w:rFonts w:hint="eastAsia" w:ascii="宋体" w:hAnsi="宋体" w:cs="宋体"/>
                <w:color w:val="auto"/>
                <w:kern w:val="0"/>
                <w:szCs w:val="21"/>
                <w:highlight w:val="none"/>
              </w:rPr>
              <w:t xml:space="preserve">      </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 xml:space="preserve">         </w:t>
            </w:r>
          </w:p>
        </w:tc>
        <w:tc>
          <w:tcPr>
            <w:tcW w:w="1687" w:type="dxa"/>
          </w:tcPr>
          <w:p w14:paraId="6B73AAC1">
            <w:pPr>
              <w:spacing w:line="420" w:lineRule="exact"/>
              <w:ind w:firstLine="199" w:firstLineChars="100"/>
              <w:rPr>
                <w:rFonts w:ascii="宋体" w:hAnsi="宋体"/>
                <w:color w:val="auto"/>
                <w:szCs w:val="21"/>
                <w:highlight w:val="none"/>
              </w:rPr>
            </w:pPr>
            <w:r>
              <w:rPr>
                <w:rFonts w:ascii="宋体" w:hAnsi="宋体" w:cs="宋体"/>
                <w:color w:val="auto"/>
                <w:kern w:val="0"/>
                <w:szCs w:val="21"/>
                <w:highlight w:val="none"/>
              </w:rPr>
              <w:t>0.1%</w:t>
            </w:r>
          </w:p>
        </w:tc>
        <w:tc>
          <w:tcPr>
            <w:tcW w:w="1659" w:type="dxa"/>
          </w:tcPr>
          <w:p w14:paraId="4E479D2C">
            <w:pPr>
              <w:spacing w:line="420" w:lineRule="exact"/>
              <w:ind w:firstLine="199" w:firstLineChars="100"/>
              <w:rPr>
                <w:rFonts w:ascii="宋体" w:hAnsi="宋体"/>
                <w:color w:val="auto"/>
                <w:szCs w:val="21"/>
                <w:highlight w:val="none"/>
              </w:rPr>
            </w:pPr>
            <w:r>
              <w:rPr>
                <w:rFonts w:ascii="宋体" w:hAnsi="宋体" w:cs="宋体"/>
                <w:color w:val="auto"/>
                <w:kern w:val="0"/>
                <w:szCs w:val="21"/>
                <w:highlight w:val="none"/>
              </w:rPr>
              <w:t>0.2%</w:t>
            </w:r>
          </w:p>
        </w:tc>
      </w:tr>
      <w:tr w14:paraId="4586C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1ABF805F">
            <w:pPr>
              <w:spacing w:line="420" w:lineRule="exact"/>
              <w:rPr>
                <w:rFonts w:ascii="宋体" w:hAnsi="宋体"/>
                <w:color w:val="auto"/>
                <w:szCs w:val="21"/>
                <w:highlight w:val="none"/>
              </w:rPr>
            </w:pPr>
            <w:r>
              <w:rPr>
                <w:rFonts w:hint="eastAsia" w:ascii="宋体" w:hAnsi="宋体"/>
                <w:color w:val="auto"/>
                <w:szCs w:val="21"/>
                <w:highlight w:val="none"/>
              </w:rPr>
              <w:t>1亿元～5亿元</w:t>
            </w:r>
          </w:p>
        </w:tc>
        <w:tc>
          <w:tcPr>
            <w:tcW w:w="1659" w:type="dxa"/>
          </w:tcPr>
          <w:p w14:paraId="140F1D9C">
            <w:pPr>
              <w:spacing w:line="420" w:lineRule="exact"/>
              <w:ind w:firstLine="199" w:firstLineChars="100"/>
              <w:rPr>
                <w:rFonts w:ascii="宋体" w:hAnsi="宋体"/>
                <w:color w:val="auto"/>
                <w:szCs w:val="21"/>
                <w:highlight w:val="none"/>
              </w:rPr>
            </w:pPr>
            <w:r>
              <w:rPr>
                <w:rFonts w:hint="eastAsia" w:ascii="宋体" w:hAnsi="宋体"/>
                <w:color w:val="auto"/>
                <w:szCs w:val="21"/>
                <w:highlight w:val="none"/>
              </w:rPr>
              <w:t>0.05%</w:t>
            </w:r>
          </w:p>
        </w:tc>
        <w:tc>
          <w:tcPr>
            <w:tcW w:w="1687" w:type="dxa"/>
          </w:tcPr>
          <w:p w14:paraId="44DB5CED">
            <w:pPr>
              <w:spacing w:line="420" w:lineRule="exact"/>
              <w:rPr>
                <w:rFonts w:ascii="宋体" w:hAnsi="宋体"/>
                <w:color w:val="auto"/>
                <w:szCs w:val="21"/>
                <w:highlight w:val="none"/>
              </w:rPr>
            </w:pPr>
            <w:r>
              <w:rPr>
                <w:rFonts w:hint="eastAsia" w:ascii="宋体" w:hAnsi="宋体"/>
                <w:color w:val="auto"/>
                <w:szCs w:val="21"/>
                <w:highlight w:val="none"/>
              </w:rPr>
              <w:t xml:space="preserve">  0.05%</w:t>
            </w:r>
          </w:p>
        </w:tc>
        <w:tc>
          <w:tcPr>
            <w:tcW w:w="1659" w:type="dxa"/>
          </w:tcPr>
          <w:p w14:paraId="09B33BD6">
            <w:pPr>
              <w:spacing w:line="420" w:lineRule="exact"/>
              <w:rPr>
                <w:rFonts w:ascii="宋体" w:hAnsi="宋体"/>
                <w:color w:val="auto"/>
                <w:szCs w:val="21"/>
                <w:highlight w:val="none"/>
              </w:rPr>
            </w:pPr>
            <w:r>
              <w:rPr>
                <w:rFonts w:hint="eastAsia" w:ascii="宋体" w:hAnsi="宋体"/>
                <w:color w:val="auto"/>
                <w:szCs w:val="21"/>
                <w:highlight w:val="none"/>
              </w:rPr>
              <w:t xml:space="preserve">  0.05%</w:t>
            </w:r>
          </w:p>
        </w:tc>
      </w:tr>
      <w:tr w14:paraId="028F7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1A17BCA0">
            <w:pPr>
              <w:spacing w:line="420" w:lineRule="exact"/>
              <w:rPr>
                <w:rFonts w:ascii="宋体" w:hAnsi="宋体"/>
                <w:color w:val="auto"/>
                <w:szCs w:val="21"/>
                <w:highlight w:val="none"/>
              </w:rPr>
            </w:pPr>
            <w:r>
              <w:rPr>
                <w:rFonts w:hint="eastAsia" w:ascii="宋体" w:hAnsi="宋体"/>
                <w:color w:val="auto"/>
                <w:szCs w:val="21"/>
                <w:highlight w:val="none"/>
              </w:rPr>
              <w:t>5亿元～10亿元</w:t>
            </w:r>
          </w:p>
        </w:tc>
        <w:tc>
          <w:tcPr>
            <w:tcW w:w="1659" w:type="dxa"/>
          </w:tcPr>
          <w:p w14:paraId="737EBCA5">
            <w:pPr>
              <w:spacing w:line="420" w:lineRule="exact"/>
              <w:ind w:firstLine="100" w:firstLineChars="50"/>
              <w:rPr>
                <w:rFonts w:ascii="宋体" w:hAnsi="宋体"/>
                <w:color w:val="auto"/>
                <w:szCs w:val="21"/>
                <w:highlight w:val="none"/>
              </w:rPr>
            </w:pPr>
            <w:r>
              <w:rPr>
                <w:rFonts w:hint="eastAsia" w:ascii="宋体" w:hAnsi="宋体"/>
                <w:color w:val="auto"/>
                <w:szCs w:val="21"/>
                <w:highlight w:val="none"/>
              </w:rPr>
              <w:t>0.035%</w:t>
            </w:r>
          </w:p>
        </w:tc>
        <w:tc>
          <w:tcPr>
            <w:tcW w:w="1687" w:type="dxa"/>
          </w:tcPr>
          <w:p w14:paraId="1860238F">
            <w:pPr>
              <w:spacing w:line="420" w:lineRule="exact"/>
              <w:rPr>
                <w:rFonts w:ascii="宋体" w:hAnsi="宋体"/>
                <w:color w:val="auto"/>
                <w:szCs w:val="21"/>
                <w:highlight w:val="none"/>
              </w:rPr>
            </w:pPr>
            <w:r>
              <w:rPr>
                <w:rFonts w:hint="eastAsia" w:ascii="宋体" w:hAnsi="宋体"/>
                <w:color w:val="auto"/>
                <w:szCs w:val="21"/>
                <w:highlight w:val="none"/>
              </w:rPr>
              <w:t xml:space="preserve">  0.035%</w:t>
            </w:r>
          </w:p>
        </w:tc>
        <w:tc>
          <w:tcPr>
            <w:tcW w:w="1659" w:type="dxa"/>
          </w:tcPr>
          <w:p w14:paraId="70772F33">
            <w:pPr>
              <w:spacing w:line="420" w:lineRule="exact"/>
              <w:ind w:firstLine="100" w:firstLineChars="50"/>
              <w:rPr>
                <w:rFonts w:ascii="宋体" w:hAnsi="宋体"/>
                <w:color w:val="auto"/>
                <w:szCs w:val="21"/>
                <w:highlight w:val="none"/>
              </w:rPr>
            </w:pPr>
            <w:r>
              <w:rPr>
                <w:rFonts w:hint="eastAsia" w:ascii="宋体" w:hAnsi="宋体"/>
                <w:color w:val="auto"/>
                <w:szCs w:val="21"/>
                <w:highlight w:val="none"/>
              </w:rPr>
              <w:t>0.035%</w:t>
            </w:r>
          </w:p>
        </w:tc>
      </w:tr>
      <w:tr w14:paraId="1C62F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7B995B2C">
            <w:pPr>
              <w:spacing w:line="420" w:lineRule="exact"/>
              <w:rPr>
                <w:rFonts w:ascii="宋体" w:hAnsi="宋体"/>
                <w:color w:val="auto"/>
                <w:szCs w:val="21"/>
                <w:highlight w:val="none"/>
              </w:rPr>
            </w:pPr>
            <w:r>
              <w:rPr>
                <w:rFonts w:hint="eastAsia" w:ascii="宋体" w:hAnsi="宋体"/>
                <w:color w:val="auto"/>
                <w:szCs w:val="21"/>
                <w:highlight w:val="none"/>
              </w:rPr>
              <w:t>10亿元～50亿元</w:t>
            </w:r>
          </w:p>
        </w:tc>
        <w:tc>
          <w:tcPr>
            <w:tcW w:w="1659" w:type="dxa"/>
          </w:tcPr>
          <w:p w14:paraId="41EE8090">
            <w:pPr>
              <w:spacing w:line="420" w:lineRule="exact"/>
              <w:ind w:firstLine="100" w:firstLineChars="50"/>
              <w:rPr>
                <w:rFonts w:ascii="宋体" w:hAnsi="宋体"/>
                <w:color w:val="auto"/>
                <w:szCs w:val="21"/>
                <w:highlight w:val="none"/>
              </w:rPr>
            </w:pPr>
            <w:r>
              <w:rPr>
                <w:rFonts w:hint="eastAsia" w:ascii="宋体" w:hAnsi="宋体"/>
                <w:color w:val="auto"/>
                <w:szCs w:val="21"/>
                <w:highlight w:val="none"/>
              </w:rPr>
              <w:t>0.008%</w:t>
            </w:r>
          </w:p>
        </w:tc>
        <w:tc>
          <w:tcPr>
            <w:tcW w:w="1687" w:type="dxa"/>
          </w:tcPr>
          <w:p w14:paraId="10C12F8F">
            <w:pPr>
              <w:spacing w:line="420" w:lineRule="exact"/>
              <w:ind w:firstLine="199" w:firstLineChars="100"/>
              <w:rPr>
                <w:rFonts w:ascii="宋体" w:hAnsi="宋体"/>
                <w:color w:val="auto"/>
                <w:szCs w:val="21"/>
                <w:highlight w:val="none"/>
              </w:rPr>
            </w:pPr>
            <w:r>
              <w:rPr>
                <w:rFonts w:hint="eastAsia" w:ascii="宋体" w:hAnsi="宋体"/>
                <w:color w:val="auto"/>
                <w:szCs w:val="21"/>
                <w:highlight w:val="none"/>
              </w:rPr>
              <w:t>0.008%</w:t>
            </w:r>
          </w:p>
        </w:tc>
        <w:tc>
          <w:tcPr>
            <w:tcW w:w="1659" w:type="dxa"/>
          </w:tcPr>
          <w:p w14:paraId="48D67394">
            <w:pPr>
              <w:spacing w:line="420" w:lineRule="exact"/>
              <w:ind w:firstLine="100" w:firstLineChars="50"/>
              <w:rPr>
                <w:rFonts w:ascii="宋体" w:hAnsi="宋体"/>
                <w:color w:val="auto"/>
                <w:szCs w:val="21"/>
                <w:highlight w:val="none"/>
              </w:rPr>
            </w:pPr>
            <w:r>
              <w:rPr>
                <w:rFonts w:hint="eastAsia" w:ascii="宋体" w:hAnsi="宋体"/>
                <w:color w:val="auto"/>
                <w:szCs w:val="21"/>
                <w:highlight w:val="none"/>
              </w:rPr>
              <w:t>0.008%</w:t>
            </w:r>
          </w:p>
        </w:tc>
      </w:tr>
      <w:tr w14:paraId="6644C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7A09A22B">
            <w:pPr>
              <w:spacing w:line="420" w:lineRule="exact"/>
              <w:rPr>
                <w:rFonts w:ascii="宋体" w:hAnsi="宋体"/>
                <w:color w:val="auto"/>
                <w:szCs w:val="21"/>
                <w:highlight w:val="none"/>
              </w:rPr>
            </w:pPr>
            <w:r>
              <w:rPr>
                <w:rFonts w:hint="eastAsia" w:ascii="宋体" w:hAnsi="宋体"/>
                <w:color w:val="auto"/>
                <w:szCs w:val="21"/>
                <w:highlight w:val="none"/>
              </w:rPr>
              <w:t>50亿元～100亿元</w:t>
            </w:r>
          </w:p>
        </w:tc>
        <w:tc>
          <w:tcPr>
            <w:tcW w:w="1659" w:type="dxa"/>
          </w:tcPr>
          <w:p w14:paraId="2110E00D">
            <w:pPr>
              <w:spacing w:line="420" w:lineRule="exact"/>
              <w:rPr>
                <w:rFonts w:ascii="宋体" w:hAnsi="宋体"/>
                <w:color w:val="auto"/>
                <w:szCs w:val="21"/>
                <w:highlight w:val="none"/>
              </w:rPr>
            </w:pPr>
            <w:r>
              <w:rPr>
                <w:rFonts w:hint="eastAsia" w:ascii="宋体" w:hAnsi="宋体"/>
                <w:color w:val="auto"/>
                <w:szCs w:val="21"/>
                <w:highlight w:val="none"/>
              </w:rPr>
              <w:t xml:space="preserve"> 0.006%</w:t>
            </w:r>
          </w:p>
        </w:tc>
        <w:tc>
          <w:tcPr>
            <w:tcW w:w="1687" w:type="dxa"/>
          </w:tcPr>
          <w:p w14:paraId="211ED08E">
            <w:pPr>
              <w:spacing w:line="420" w:lineRule="exact"/>
              <w:ind w:firstLine="199" w:firstLineChars="100"/>
              <w:rPr>
                <w:rFonts w:ascii="宋体" w:hAnsi="宋体"/>
                <w:color w:val="auto"/>
                <w:szCs w:val="21"/>
                <w:highlight w:val="none"/>
              </w:rPr>
            </w:pPr>
            <w:r>
              <w:rPr>
                <w:rFonts w:hint="eastAsia" w:ascii="宋体" w:hAnsi="宋体"/>
                <w:color w:val="auto"/>
                <w:szCs w:val="21"/>
                <w:highlight w:val="none"/>
              </w:rPr>
              <w:t>0.006%</w:t>
            </w:r>
          </w:p>
        </w:tc>
        <w:tc>
          <w:tcPr>
            <w:tcW w:w="1659" w:type="dxa"/>
          </w:tcPr>
          <w:p w14:paraId="63F2F2A5">
            <w:pPr>
              <w:spacing w:line="420" w:lineRule="exact"/>
              <w:ind w:firstLine="100" w:firstLineChars="50"/>
              <w:rPr>
                <w:rFonts w:ascii="宋体" w:hAnsi="宋体"/>
                <w:color w:val="auto"/>
                <w:szCs w:val="21"/>
                <w:highlight w:val="none"/>
              </w:rPr>
            </w:pPr>
            <w:r>
              <w:rPr>
                <w:rFonts w:hint="eastAsia" w:ascii="宋体" w:hAnsi="宋体"/>
                <w:color w:val="auto"/>
                <w:szCs w:val="21"/>
                <w:highlight w:val="none"/>
              </w:rPr>
              <w:t>0.006%</w:t>
            </w:r>
          </w:p>
        </w:tc>
      </w:tr>
      <w:tr w14:paraId="42CEF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799759A7">
            <w:pPr>
              <w:spacing w:line="420" w:lineRule="exact"/>
              <w:rPr>
                <w:rFonts w:ascii="宋体" w:hAnsi="宋体"/>
                <w:color w:val="auto"/>
                <w:szCs w:val="21"/>
                <w:highlight w:val="none"/>
              </w:rPr>
            </w:pPr>
            <w:r>
              <w:rPr>
                <w:rFonts w:hint="eastAsia" w:ascii="宋体" w:hAnsi="宋体"/>
                <w:color w:val="auto"/>
                <w:szCs w:val="21"/>
                <w:highlight w:val="none"/>
              </w:rPr>
              <w:t>100亿以上</w:t>
            </w:r>
          </w:p>
        </w:tc>
        <w:tc>
          <w:tcPr>
            <w:tcW w:w="1659" w:type="dxa"/>
          </w:tcPr>
          <w:p w14:paraId="10E812A6">
            <w:pPr>
              <w:spacing w:line="420" w:lineRule="exact"/>
              <w:rPr>
                <w:rFonts w:ascii="宋体" w:hAnsi="宋体"/>
                <w:color w:val="auto"/>
                <w:szCs w:val="21"/>
                <w:highlight w:val="none"/>
              </w:rPr>
            </w:pPr>
            <w:r>
              <w:rPr>
                <w:rFonts w:hint="eastAsia" w:ascii="宋体" w:hAnsi="宋体"/>
                <w:color w:val="auto"/>
                <w:szCs w:val="21"/>
                <w:highlight w:val="none"/>
              </w:rPr>
              <w:t xml:space="preserve"> 0.004%</w:t>
            </w:r>
          </w:p>
        </w:tc>
        <w:tc>
          <w:tcPr>
            <w:tcW w:w="1687" w:type="dxa"/>
          </w:tcPr>
          <w:p w14:paraId="4508B06F">
            <w:pPr>
              <w:spacing w:line="420" w:lineRule="exact"/>
              <w:ind w:firstLine="199" w:firstLineChars="100"/>
              <w:rPr>
                <w:rFonts w:ascii="宋体" w:hAnsi="宋体"/>
                <w:color w:val="auto"/>
                <w:szCs w:val="21"/>
                <w:highlight w:val="none"/>
              </w:rPr>
            </w:pPr>
            <w:r>
              <w:rPr>
                <w:rFonts w:hint="eastAsia" w:ascii="宋体" w:hAnsi="宋体"/>
                <w:color w:val="auto"/>
                <w:szCs w:val="21"/>
                <w:highlight w:val="none"/>
              </w:rPr>
              <w:t>0.004%</w:t>
            </w:r>
          </w:p>
        </w:tc>
        <w:tc>
          <w:tcPr>
            <w:tcW w:w="1659" w:type="dxa"/>
          </w:tcPr>
          <w:p w14:paraId="50953AA0">
            <w:pPr>
              <w:spacing w:line="420" w:lineRule="exact"/>
              <w:ind w:firstLine="100" w:firstLineChars="50"/>
              <w:rPr>
                <w:rFonts w:ascii="宋体" w:hAnsi="宋体"/>
                <w:color w:val="auto"/>
                <w:szCs w:val="21"/>
                <w:highlight w:val="none"/>
              </w:rPr>
            </w:pPr>
            <w:r>
              <w:rPr>
                <w:rFonts w:hint="eastAsia" w:ascii="宋体" w:hAnsi="宋体"/>
                <w:color w:val="auto"/>
                <w:szCs w:val="21"/>
                <w:highlight w:val="none"/>
              </w:rPr>
              <w:t>0.004%</w:t>
            </w:r>
          </w:p>
        </w:tc>
      </w:tr>
    </w:tbl>
    <w:p w14:paraId="457CCD35">
      <w:pPr>
        <w:spacing w:line="420" w:lineRule="exact"/>
        <w:ind w:firstLine="398" w:firstLineChars="200"/>
        <w:rPr>
          <w:rFonts w:ascii="宋体" w:hAnsi="宋体" w:cs="宋体"/>
          <w:color w:val="auto"/>
          <w:szCs w:val="21"/>
          <w:highlight w:val="none"/>
        </w:rPr>
      </w:pPr>
      <w:r>
        <w:rPr>
          <w:rFonts w:hint="eastAsia" w:ascii="宋体" w:hAnsi="宋体"/>
          <w:color w:val="auto"/>
          <w:szCs w:val="21"/>
          <w:highlight w:val="none"/>
        </w:rPr>
        <w:t>注：</w:t>
      </w:r>
      <w:r>
        <w:rPr>
          <w:rFonts w:ascii="宋体" w:hAnsi="宋体" w:cs="宋体"/>
          <w:color w:val="auto"/>
          <w:szCs w:val="21"/>
          <w:highlight w:val="none"/>
        </w:rPr>
        <w:t xml:space="preserve"> </w:t>
      </w:r>
    </w:p>
    <w:p w14:paraId="213ABC18">
      <w:pPr>
        <w:spacing w:line="420" w:lineRule="exact"/>
        <w:ind w:firstLine="398" w:firstLineChars="200"/>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按本表费率计算的收费为</w:t>
      </w:r>
      <w:r>
        <w:rPr>
          <w:rFonts w:hint="eastAsia" w:ascii="宋体" w:hAnsi="宋体" w:cs="宋体"/>
          <w:color w:val="auto"/>
          <w:szCs w:val="21"/>
          <w:highlight w:val="none"/>
        </w:rPr>
        <w:t>采购</w:t>
      </w:r>
      <w:r>
        <w:rPr>
          <w:rFonts w:ascii="宋体" w:hAnsi="宋体" w:cs="宋体"/>
          <w:color w:val="auto"/>
          <w:szCs w:val="21"/>
          <w:highlight w:val="none"/>
        </w:rPr>
        <w:t>代理的收费基准价格</w:t>
      </w:r>
      <w:r>
        <w:rPr>
          <w:rFonts w:hint="eastAsia" w:ascii="宋体" w:hAnsi="宋体" w:cs="宋体"/>
          <w:color w:val="auto"/>
          <w:szCs w:val="21"/>
          <w:highlight w:val="none"/>
        </w:rPr>
        <w:t>；</w:t>
      </w:r>
    </w:p>
    <w:p w14:paraId="5C3E7E1A">
      <w:pPr>
        <w:spacing w:line="420" w:lineRule="exact"/>
        <w:ind w:firstLine="398" w:firstLineChars="200"/>
        <w:rPr>
          <w:rFonts w:ascii="宋体" w:hAnsi="宋体" w:cs="宋体"/>
          <w:color w:val="auto"/>
          <w:szCs w:val="21"/>
          <w:highlight w:val="none"/>
        </w:rPr>
      </w:pPr>
      <w:r>
        <w:rPr>
          <w:rFonts w:hint="eastAsia" w:ascii="宋体" w:hAnsi="宋体" w:cs="宋体"/>
          <w:color w:val="auto"/>
          <w:szCs w:val="21"/>
          <w:highlight w:val="none"/>
        </w:rPr>
        <w:t>（2）采购</w:t>
      </w:r>
      <w:r>
        <w:rPr>
          <w:rFonts w:ascii="宋体" w:hAnsi="宋体" w:cs="宋体"/>
          <w:color w:val="auto"/>
          <w:szCs w:val="21"/>
          <w:highlight w:val="none"/>
        </w:rPr>
        <w:t>代理收费按差额定率累进法计算。</w:t>
      </w:r>
    </w:p>
    <w:p w14:paraId="00D8969D">
      <w:pPr>
        <w:spacing w:line="420" w:lineRule="exact"/>
        <w:ind w:firstLine="398" w:firstLineChars="200"/>
        <w:rPr>
          <w:rFonts w:ascii="宋体" w:hAnsi="宋体" w:cs="宋体"/>
          <w:color w:val="auto"/>
          <w:szCs w:val="21"/>
          <w:highlight w:val="none"/>
        </w:rPr>
      </w:pPr>
      <w:r>
        <w:rPr>
          <w:rFonts w:ascii="宋体" w:hAnsi="宋体" w:cs="宋体"/>
          <w:color w:val="auto"/>
          <w:szCs w:val="21"/>
          <w:highlight w:val="none"/>
        </w:rPr>
        <w:t>例如：某</w:t>
      </w:r>
      <w:r>
        <w:rPr>
          <w:rFonts w:hint="eastAsia" w:ascii="宋体" w:hAnsi="宋体" w:cs="宋体"/>
          <w:color w:val="auto"/>
          <w:szCs w:val="21"/>
          <w:highlight w:val="none"/>
        </w:rPr>
        <w:t>服务采购</w:t>
      </w:r>
      <w:r>
        <w:rPr>
          <w:rFonts w:ascii="宋体" w:hAnsi="宋体" w:cs="宋体"/>
          <w:color w:val="auto"/>
          <w:szCs w:val="21"/>
          <w:highlight w:val="none"/>
        </w:rPr>
        <w:t>代理业务</w:t>
      </w:r>
      <w:r>
        <w:rPr>
          <w:rFonts w:hint="eastAsia" w:ascii="宋体" w:hAnsi="宋体" w:cs="宋体"/>
          <w:color w:val="auto"/>
          <w:szCs w:val="21"/>
          <w:highlight w:val="none"/>
        </w:rPr>
        <w:t>中标</w:t>
      </w:r>
      <w:r>
        <w:rPr>
          <w:rFonts w:ascii="宋体" w:hAnsi="宋体" w:cs="宋体"/>
          <w:color w:val="auto"/>
          <w:szCs w:val="21"/>
          <w:highlight w:val="none"/>
        </w:rPr>
        <w:t>金额</w:t>
      </w:r>
      <w:r>
        <w:rPr>
          <w:rFonts w:hint="eastAsia" w:ascii="宋体" w:hAnsi="宋体" w:cs="宋体"/>
          <w:color w:val="auto"/>
          <w:szCs w:val="21"/>
          <w:highlight w:val="none"/>
        </w:rPr>
        <w:t>或者暂定价</w:t>
      </w:r>
      <w:r>
        <w:rPr>
          <w:rFonts w:ascii="宋体" w:hAnsi="宋体" w:cs="宋体"/>
          <w:color w:val="auto"/>
          <w:szCs w:val="21"/>
          <w:highlight w:val="none"/>
        </w:rPr>
        <w:t>为200万元，计算</w:t>
      </w:r>
      <w:r>
        <w:rPr>
          <w:rFonts w:hint="eastAsia" w:ascii="宋体" w:hAnsi="宋体" w:cs="宋体"/>
          <w:color w:val="auto"/>
          <w:szCs w:val="21"/>
          <w:highlight w:val="none"/>
        </w:rPr>
        <w:t>采购</w:t>
      </w:r>
      <w:r>
        <w:rPr>
          <w:rFonts w:ascii="宋体" w:hAnsi="宋体" w:cs="宋体"/>
          <w:color w:val="auto"/>
          <w:szCs w:val="21"/>
          <w:highlight w:val="none"/>
        </w:rPr>
        <w:t>代理收费额如下：</w:t>
      </w:r>
    </w:p>
    <w:p w14:paraId="32D90A16">
      <w:pPr>
        <w:spacing w:line="420" w:lineRule="exact"/>
        <w:ind w:firstLine="398" w:firstLineChars="200"/>
        <w:rPr>
          <w:rFonts w:ascii="宋体" w:hAnsi="宋体" w:cs="宋体"/>
          <w:color w:val="auto"/>
          <w:szCs w:val="21"/>
          <w:highlight w:val="none"/>
        </w:rPr>
      </w:pPr>
      <w:r>
        <w:rPr>
          <w:rFonts w:ascii="宋体" w:hAnsi="宋体" w:cs="宋体"/>
          <w:color w:val="auto"/>
          <w:szCs w:val="21"/>
          <w:highlight w:val="none"/>
        </w:rPr>
        <w:t>100 万元×l.5 %＝ 1.5 万元</w:t>
      </w:r>
    </w:p>
    <w:p w14:paraId="47128C1F">
      <w:pPr>
        <w:spacing w:line="420" w:lineRule="exact"/>
        <w:ind w:firstLine="398" w:firstLineChars="200"/>
        <w:rPr>
          <w:rFonts w:ascii="宋体" w:hAnsi="宋体" w:cs="宋体"/>
          <w:color w:val="auto"/>
          <w:szCs w:val="21"/>
          <w:highlight w:val="none"/>
        </w:rPr>
      </w:pPr>
      <w:r>
        <w:rPr>
          <w:rFonts w:ascii="宋体" w:hAnsi="宋体" w:cs="宋体"/>
          <w:color w:val="auto"/>
          <w:szCs w:val="21"/>
          <w:highlight w:val="none"/>
        </w:rPr>
        <w:t>（ 200 － 100 ）万元 ×0.8%＝0.8万元</w:t>
      </w:r>
    </w:p>
    <w:p w14:paraId="1FDD735D">
      <w:pPr>
        <w:pStyle w:val="23"/>
        <w:snapToGrid w:val="0"/>
        <w:spacing w:line="420" w:lineRule="exact"/>
        <w:ind w:firstLine="398" w:firstLineChars="200"/>
        <w:rPr>
          <w:rFonts w:hAnsi="宋体" w:cs="宋体"/>
          <w:color w:val="auto"/>
          <w:sz w:val="21"/>
          <w:highlight w:val="none"/>
        </w:rPr>
      </w:pPr>
      <w:r>
        <w:rPr>
          <w:rFonts w:hAnsi="宋体" w:cs="宋体"/>
          <w:color w:val="auto"/>
          <w:sz w:val="21"/>
          <w:highlight w:val="none"/>
        </w:rPr>
        <w:t>合计收费＝ 1.5</w:t>
      </w:r>
      <w:r>
        <w:rPr>
          <w:rFonts w:hint="eastAsia" w:hAnsi="宋体" w:cs="宋体"/>
          <w:color w:val="auto"/>
          <w:sz w:val="21"/>
          <w:highlight w:val="none"/>
        </w:rPr>
        <w:t>+</w:t>
      </w:r>
      <w:r>
        <w:rPr>
          <w:rFonts w:hAnsi="宋体" w:cs="宋体"/>
          <w:color w:val="auto"/>
          <w:sz w:val="21"/>
          <w:highlight w:val="none"/>
        </w:rPr>
        <w:t>0.8＝ 2.3（万元）</w:t>
      </w:r>
    </w:p>
    <w:p w14:paraId="1B4DF63C">
      <w:pPr>
        <w:pStyle w:val="6"/>
        <w:keepNext w:val="0"/>
        <w:keepLines w:val="0"/>
        <w:spacing w:before="0" w:after="0" w:line="420" w:lineRule="exact"/>
        <w:rPr>
          <w:rFonts w:ascii="黑体" w:hAnsi="黑体" w:eastAsia="黑体"/>
          <w:color w:val="auto"/>
          <w:sz w:val="24"/>
          <w:highlight w:val="none"/>
        </w:rPr>
      </w:pPr>
      <w:r>
        <w:rPr>
          <w:rFonts w:ascii="黑体" w:hAnsi="黑体" w:eastAsia="黑体"/>
          <w:color w:val="auto"/>
          <w:sz w:val="24"/>
          <w:highlight w:val="none"/>
        </w:rPr>
        <w:t>40.需要补充的其他内容</w:t>
      </w:r>
    </w:p>
    <w:p w14:paraId="68D7B4ED">
      <w:pPr>
        <w:pStyle w:val="23"/>
        <w:spacing w:line="420" w:lineRule="exact"/>
        <w:ind w:firstLine="398" w:firstLineChars="200"/>
        <w:rPr>
          <w:rFonts w:hAnsi="宋体" w:cs="宋体"/>
          <w:color w:val="auto"/>
          <w:sz w:val="21"/>
          <w:highlight w:val="none"/>
        </w:rPr>
      </w:pPr>
      <w:r>
        <w:rPr>
          <w:rFonts w:hint="eastAsia" w:hAnsi="宋体" w:cs="宋体"/>
          <w:color w:val="auto"/>
          <w:sz w:val="21"/>
          <w:highlight w:val="none"/>
        </w:rPr>
        <w:t>40.1本招标文件解释规则详见“投标人须知前附表”。</w:t>
      </w:r>
    </w:p>
    <w:p w14:paraId="59FA8BE5">
      <w:pPr>
        <w:pStyle w:val="23"/>
        <w:spacing w:line="420" w:lineRule="exact"/>
        <w:ind w:firstLine="398" w:firstLineChars="200"/>
        <w:rPr>
          <w:rFonts w:hAnsi="宋体" w:cs="宋体"/>
          <w:color w:val="auto"/>
          <w:sz w:val="21"/>
          <w:highlight w:val="none"/>
        </w:rPr>
      </w:pPr>
      <w:r>
        <w:rPr>
          <w:rFonts w:hint="eastAsia" w:hAnsi="宋体" w:cs="宋体"/>
          <w:color w:val="auto"/>
          <w:sz w:val="21"/>
          <w:highlight w:val="none"/>
        </w:rPr>
        <w:t>40.2其他事项详见“投标人须知前附表”。</w:t>
      </w:r>
    </w:p>
    <w:p w14:paraId="03637797">
      <w:pPr>
        <w:pStyle w:val="23"/>
        <w:spacing w:line="420" w:lineRule="exact"/>
        <w:ind w:firstLine="398" w:firstLineChars="200"/>
        <w:rPr>
          <w:rFonts w:hAnsi="宋体" w:cs="宋体"/>
          <w:color w:val="auto"/>
          <w:sz w:val="21"/>
          <w:highlight w:val="none"/>
        </w:rPr>
      </w:pPr>
      <w:r>
        <w:rPr>
          <w:rFonts w:hint="eastAsia" w:hAnsi="宋体" w:cs="宋体"/>
          <w:color w:val="auto"/>
          <w:sz w:val="21"/>
          <w:highlight w:val="none"/>
        </w:rPr>
        <w:t>40.3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招标文件规定的中小企业扶持政策：</w:t>
      </w:r>
    </w:p>
    <w:p w14:paraId="3E368BF6">
      <w:pPr>
        <w:pStyle w:val="23"/>
        <w:spacing w:line="420" w:lineRule="exact"/>
        <w:ind w:firstLine="398" w:firstLineChars="200"/>
        <w:rPr>
          <w:rFonts w:hAnsi="宋体" w:cs="宋体"/>
          <w:color w:val="auto"/>
          <w:sz w:val="21"/>
          <w:highlight w:val="none"/>
        </w:rPr>
      </w:pPr>
      <w:r>
        <w:rPr>
          <w:rFonts w:hint="eastAsia" w:hAnsi="宋体" w:cs="宋体"/>
          <w:color w:val="auto"/>
          <w:sz w:val="21"/>
          <w:highlight w:val="none"/>
        </w:rPr>
        <w:t>（1）在货物采购项目中，货物由中小企业制造，即货物由中小企业生产且使用该中小企业商号或者注册商标，不对其中涉及的工程承建商和服务的承接商作出要求；</w:t>
      </w:r>
    </w:p>
    <w:p w14:paraId="53EE13DF">
      <w:pPr>
        <w:pStyle w:val="23"/>
        <w:spacing w:line="420" w:lineRule="exact"/>
        <w:ind w:firstLine="398" w:firstLineChars="200"/>
        <w:rPr>
          <w:rFonts w:hAnsi="宋体" w:cs="宋体"/>
          <w:color w:val="auto"/>
          <w:sz w:val="21"/>
          <w:highlight w:val="none"/>
        </w:rPr>
      </w:pPr>
      <w:r>
        <w:rPr>
          <w:rFonts w:hint="eastAsia" w:hAnsi="宋体" w:cs="宋体"/>
          <w:color w:val="auto"/>
          <w:sz w:val="21"/>
          <w:highlight w:val="none"/>
        </w:rPr>
        <w:t>（2）在工程采购项目中，工程由中小企业承建，即工程施工单位为中小企业，不对其中涉及的货物的制造商和服务的承接商作出要求；</w:t>
      </w:r>
    </w:p>
    <w:p w14:paraId="3851B39E">
      <w:pPr>
        <w:pStyle w:val="23"/>
        <w:spacing w:line="420" w:lineRule="exact"/>
        <w:ind w:firstLine="398" w:firstLineChars="200"/>
        <w:rPr>
          <w:rFonts w:hAnsi="宋体" w:cs="宋体"/>
          <w:color w:val="auto"/>
          <w:sz w:val="21"/>
          <w:highlight w:val="none"/>
        </w:rPr>
      </w:pPr>
      <w:r>
        <w:rPr>
          <w:rFonts w:hint="eastAsia" w:hAnsi="宋体" w:cs="宋体"/>
          <w:color w:val="auto"/>
          <w:sz w:val="21"/>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36F3EFAD">
      <w:pPr>
        <w:pStyle w:val="23"/>
        <w:spacing w:line="420" w:lineRule="exact"/>
        <w:ind w:firstLine="398" w:firstLineChars="200"/>
        <w:rPr>
          <w:rFonts w:hAnsi="宋体" w:cs="宋体"/>
          <w:color w:val="auto"/>
          <w:sz w:val="21"/>
          <w:highlight w:val="none"/>
        </w:rPr>
      </w:pPr>
      <w:r>
        <w:rPr>
          <w:rFonts w:hint="eastAsia" w:hAnsi="宋体" w:cs="宋体"/>
          <w:color w:val="auto"/>
          <w:sz w:val="21"/>
          <w:highlight w:val="none"/>
        </w:rPr>
        <w:t>在货物采购项目中，供应商提供的货物既有中小企业制造货物，也有大型企业制造货物的，不享受本招标文件规定的中小企业扶持政策。以联合体形式参加政府采购活动，联合体各方均为中小企业的，联合体视同中小企业。其中，联合体各方均为小微企业的，联合体视同小微企业。</w:t>
      </w:r>
    </w:p>
    <w:p w14:paraId="50FDFC18">
      <w:pPr>
        <w:pStyle w:val="23"/>
        <w:spacing w:line="420" w:lineRule="exact"/>
        <w:ind w:firstLine="398" w:firstLineChars="200"/>
        <w:rPr>
          <w:rFonts w:hAnsi="宋体"/>
          <w:color w:val="auto"/>
          <w:highlight w:val="none"/>
        </w:rPr>
      </w:pPr>
      <w:r>
        <w:rPr>
          <w:rFonts w:hint="eastAsia" w:hAnsi="宋体" w:cs="宋体"/>
          <w:color w:val="auto"/>
          <w:sz w:val="21"/>
          <w:highlight w:val="none"/>
        </w:rPr>
        <w:t>依据本招标文件规定享受扶持政策获得政府采购合同的，小微企业不得将合同分包给大中型企业，中型企业不得将合同分包给大型企业。</w:t>
      </w:r>
      <w:r>
        <w:rPr>
          <w:rFonts w:hAnsi="宋体"/>
          <w:color w:val="auto"/>
          <w:highlight w:val="none"/>
        </w:rPr>
        <w:br w:type="page"/>
      </w:r>
    </w:p>
    <w:p w14:paraId="104D80CD">
      <w:pPr>
        <w:pStyle w:val="23"/>
        <w:snapToGrid w:val="0"/>
        <w:spacing w:before="120" w:after="120"/>
        <w:rPr>
          <w:rFonts w:hAnsi="宋体"/>
          <w:color w:val="auto"/>
          <w:highlight w:val="none"/>
        </w:rPr>
      </w:pPr>
    </w:p>
    <w:p w14:paraId="045E13A1">
      <w:pPr>
        <w:pStyle w:val="23"/>
        <w:snapToGrid w:val="0"/>
        <w:spacing w:before="120" w:after="120"/>
        <w:rPr>
          <w:rFonts w:hAnsi="宋体"/>
          <w:color w:val="auto"/>
          <w:highlight w:val="none"/>
        </w:rPr>
      </w:pPr>
    </w:p>
    <w:p w14:paraId="10242678">
      <w:pPr>
        <w:pStyle w:val="23"/>
        <w:snapToGrid w:val="0"/>
        <w:spacing w:before="120" w:after="120"/>
        <w:rPr>
          <w:rFonts w:hAnsi="宋体"/>
          <w:color w:val="auto"/>
          <w:highlight w:val="none"/>
        </w:rPr>
      </w:pPr>
    </w:p>
    <w:p w14:paraId="2D16B4AD">
      <w:pPr>
        <w:pStyle w:val="23"/>
        <w:snapToGrid w:val="0"/>
        <w:spacing w:before="120" w:after="120"/>
        <w:rPr>
          <w:rFonts w:hAnsi="宋体"/>
          <w:color w:val="auto"/>
          <w:highlight w:val="none"/>
        </w:rPr>
      </w:pPr>
    </w:p>
    <w:p w14:paraId="34B8445F">
      <w:pPr>
        <w:pStyle w:val="23"/>
        <w:snapToGrid w:val="0"/>
        <w:spacing w:before="120" w:after="120"/>
        <w:rPr>
          <w:rFonts w:hAnsi="宋体"/>
          <w:color w:val="auto"/>
          <w:highlight w:val="none"/>
        </w:rPr>
      </w:pPr>
    </w:p>
    <w:p w14:paraId="070C2E11">
      <w:pPr>
        <w:pStyle w:val="23"/>
        <w:snapToGrid w:val="0"/>
        <w:spacing w:before="120" w:after="120"/>
        <w:rPr>
          <w:rFonts w:hAnsi="宋体"/>
          <w:color w:val="auto"/>
          <w:highlight w:val="none"/>
        </w:rPr>
      </w:pPr>
    </w:p>
    <w:p w14:paraId="4C86ABA0">
      <w:pPr>
        <w:pStyle w:val="23"/>
        <w:snapToGrid w:val="0"/>
        <w:spacing w:before="120" w:after="120"/>
        <w:rPr>
          <w:rFonts w:hAnsi="宋体"/>
          <w:color w:val="auto"/>
          <w:highlight w:val="none"/>
        </w:rPr>
      </w:pPr>
    </w:p>
    <w:p w14:paraId="14172EE3">
      <w:pPr>
        <w:pStyle w:val="23"/>
        <w:snapToGrid w:val="0"/>
        <w:spacing w:before="120" w:after="120"/>
        <w:rPr>
          <w:rFonts w:hAnsi="宋体"/>
          <w:color w:val="auto"/>
          <w:highlight w:val="none"/>
        </w:rPr>
      </w:pPr>
    </w:p>
    <w:p w14:paraId="7C3D6143">
      <w:pPr>
        <w:pStyle w:val="23"/>
        <w:snapToGrid w:val="0"/>
        <w:spacing w:before="120" w:after="120"/>
        <w:rPr>
          <w:rFonts w:hAnsi="宋体"/>
          <w:color w:val="auto"/>
          <w:highlight w:val="none"/>
        </w:rPr>
      </w:pPr>
    </w:p>
    <w:p w14:paraId="1C59B591">
      <w:pPr>
        <w:pStyle w:val="23"/>
        <w:snapToGrid w:val="0"/>
        <w:spacing w:before="120" w:after="120"/>
        <w:rPr>
          <w:rFonts w:hAnsi="宋体"/>
          <w:color w:val="auto"/>
          <w:highlight w:val="none"/>
        </w:rPr>
      </w:pPr>
    </w:p>
    <w:p w14:paraId="7A869E07">
      <w:pPr>
        <w:pStyle w:val="23"/>
        <w:snapToGrid w:val="0"/>
        <w:spacing w:before="120" w:after="120"/>
        <w:rPr>
          <w:rFonts w:hAnsi="宋体"/>
          <w:color w:val="auto"/>
          <w:highlight w:val="none"/>
        </w:rPr>
      </w:pPr>
    </w:p>
    <w:p w14:paraId="7ECA0C13">
      <w:pPr>
        <w:pStyle w:val="23"/>
        <w:snapToGrid w:val="0"/>
        <w:spacing w:before="120" w:after="120"/>
        <w:rPr>
          <w:rFonts w:hAnsi="宋体"/>
          <w:color w:val="auto"/>
          <w:highlight w:val="none"/>
        </w:rPr>
      </w:pPr>
    </w:p>
    <w:p w14:paraId="15E80EAD">
      <w:pPr>
        <w:pStyle w:val="23"/>
        <w:snapToGrid w:val="0"/>
        <w:spacing w:before="120" w:after="120"/>
        <w:rPr>
          <w:rFonts w:hAnsi="宋体"/>
          <w:color w:val="auto"/>
          <w:highlight w:val="none"/>
        </w:rPr>
      </w:pPr>
    </w:p>
    <w:p w14:paraId="2E8B92E6">
      <w:pPr>
        <w:pStyle w:val="2"/>
        <w:jc w:val="center"/>
        <w:rPr>
          <w:color w:val="auto"/>
          <w:highlight w:val="none"/>
        </w:rPr>
      </w:pPr>
      <w:bookmarkStart w:id="142" w:name="_Toc15687"/>
      <w:bookmarkStart w:id="143" w:name="_Toc330456896"/>
      <w:bookmarkStart w:id="144" w:name="_Toc254970689"/>
      <w:bookmarkStart w:id="145" w:name="_Toc254970548"/>
      <w:r>
        <w:rPr>
          <w:rFonts w:hint="eastAsia"/>
          <w:color w:val="auto"/>
          <w:highlight w:val="none"/>
        </w:rPr>
        <w:t>第四章  评标方法及评标标准</w:t>
      </w:r>
      <w:bookmarkEnd w:id="142"/>
      <w:bookmarkEnd w:id="143"/>
      <w:bookmarkEnd w:id="144"/>
      <w:bookmarkEnd w:id="145"/>
    </w:p>
    <w:p w14:paraId="7460D1D2">
      <w:pPr>
        <w:rPr>
          <w:color w:val="auto"/>
          <w:highlight w:val="none"/>
        </w:rPr>
      </w:pPr>
      <w:bookmarkStart w:id="146" w:name="_Toc254970549"/>
      <w:bookmarkStart w:id="147" w:name="_Toc254970690"/>
    </w:p>
    <w:bookmarkEnd w:id="146"/>
    <w:bookmarkEnd w:id="147"/>
    <w:p w14:paraId="529985CA">
      <w:pPr>
        <w:rPr>
          <w:color w:val="auto"/>
          <w:highlight w:val="none"/>
        </w:rPr>
      </w:pPr>
    </w:p>
    <w:p w14:paraId="4C002A97">
      <w:pPr>
        <w:pStyle w:val="23"/>
        <w:spacing w:line="360" w:lineRule="exact"/>
        <w:rPr>
          <w:rFonts w:hAnsi="宋体"/>
          <w:b/>
          <w:color w:val="auto"/>
          <w:sz w:val="24"/>
          <w:highlight w:val="none"/>
        </w:rPr>
      </w:pPr>
    </w:p>
    <w:p w14:paraId="2601AAB1">
      <w:pPr>
        <w:pStyle w:val="23"/>
        <w:spacing w:line="360" w:lineRule="exact"/>
        <w:rPr>
          <w:rFonts w:hAnsi="宋体"/>
          <w:bCs/>
          <w:color w:val="auto"/>
          <w:highlight w:val="none"/>
        </w:rPr>
      </w:pPr>
    </w:p>
    <w:p w14:paraId="18A4D601">
      <w:pPr>
        <w:pStyle w:val="3"/>
        <w:keepNext w:val="0"/>
        <w:keepLines w:val="0"/>
        <w:jc w:val="center"/>
        <w:rPr>
          <w:color w:val="auto"/>
          <w:highlight w:val="none"/>
        </w:rPr>
      </w:pPr>
      <w:r>
        <w:rPr>
          <w:rFonts w:hint="eastAsia"/>
          <w:color w:val="auto"/>
          <w:highlight w:val="none"/>
        </w:rPr>
        <w:br w:type="page"/>
      </w:r>
      <w:r>
        <w:rPr>
          <w:rFonts w:hint="eastAsia"/>
          <w:color w:val="auto"/>
          <w:highlight w:val="none"/>
        </w:rPr>
        <w:t>一、评标方法</w:t>
      </w:r>
    </w:p>
    <w:p w14:paraId="13A08C85">
      <w:pPr>
        <w:pStyle w:val="23"/>
        <w:spacing w:line="420" w:lineRule="exact"/>
        <w:ind w:firstLine="420"/>
        <w:rPr>
          <w:rFonts w:hAnsi="宋体"/>
          <w:color w:val="auto"/>
          <w:sz w:val="21"/>
          <w:highlight w:val="none"/>
        </w:rPr>
      </w:pPr>
      <w:r>
        <w:rPr>
          <w:rFonts w:hint="eastAsia" w:hAnsi="宋体"/>
          <w:color w:val="auto"/>
          <w:sz w:val="21"/>
          <w:highlight w:val="none"/>
        </w:rPr>
        <w:t>综合评分法，是指投标文件满足招标文件全部实质性要求，且按照评审因素的量化指标评审得分最高的投标人为中标候选人的评标方法。</w:t>
      </w:r>
    </w:p>
    <w:p w14:paraId="2F3DABA4">
      <w:pPr>
        <w:pStyle w:val="3"/>
        <w:keepNext w:val="0"/>
        <w:keepLines w:val="0"/>
        <w:jc w:val="center"/>
        <w:rPr>
          <w:color w:val="auto"/>
          <w:highlight w:val="none"/>
        </w:rPr>
      </w:pPr>
      <w:r>
        <w:rPr>
          <w:rFonts w:hint="eastAsia"/>
          <w:color w:val="auto"/>
          <w:highlight w:val="none"/>
        </w:rPr>
        <w:t>二、评标程序</w:t>
      </w:r>
    </w:p>
    <w:p w14:paraId="7B0A8D71">
      <w:pPr>
        <w:pStyle w:val="4"/>
        <w:keepNext w:val="0"/>
        <w:keepLines w:val="0"/>
        <w:spacing w:before="0" w:after="0" w:line="420" w:lineRule="exact"/>
        <w:ind w:left="398" w:leftChars="200"/>
        <w:rPr>
          <w:rFonts w:ascii="宋体" w:hAnsi="宋体"/>
          <w:color w:val="auto"/>
          <w:sz w:val="21"/>
          <w:szCs w:val="21"/>
          <w:highlight w:val="none"/>
        </w:rPr>
      </w:pPr>
      <w:r>
        <w:rPr>
          <w:rFonts w:hint="eastAsia" w:ascii="宋体" w:hAnsi="宋体"/>
          <w:color w:val="auto"/>
          <w:sz w:val="21"/>
          <w:szCs w:val="21"/>
          <w:highlight w:val="none"/>
        </w:rPr>
        <w:t>1.符合性审查</w:t>
      </w:r>
    </w:p>
    <w:p w14:paraId="3F5CF1D4">
      <w:pPr>
        <w:pStyle w:val="23"/>
        <w:snapToGrid w:val="0"/>
        <w:spacing w:line="420" w:lineRule="exact"/>
        <w:ind w:left="1" w:firstLine="420"/>
        <w:rPr>
          <w:rFonts w:hAnsi="宋体"/>
          <w:b/>
          <w:color w:val="auto"/>
          <w:kern w:val="2"/>
          <w:sz w:val="21"/>
          <w:highlight w:val="none"/>
        </w:rPr>
      </w:pPr>
      <w:r>
        <w:rPr>
          <w:rFonts w:hint="eastAsia" w:hAnsi="宋体"/>
          <w:b/>
          <w:color w:val="auto"/>
          <w:kern w:val="2"/>
          <w:sz w:val="21"/>
          <w:highlight w:val="none"/>
        </w:rPr>
        <w:t>评标委员会应当对符合资格的投标人的投标文件进行投标报价、商务、技术等实质性内容符合性审查，以确定其是否满足招标文件的实质性要求。</w:t>
      </w:r>
    </w:p>
    <w:p w14:paraId="618F155B">
      <w:pPr>
        <w:pStyle w:val="4"/>
        <w:keepNext w:val="0"/>
        <w:keepLines w:val="0"/>
        <w:spacing w:before="0" w:after="0" w:line="420" w:lineRule="exact"/>
        <w:ind w:left="398" w:leftChars="200"/>
        <w:rPr>
          <w:rFonts w:ascii="宋体" w:hAnsi="宋体"/>
          <w:color w:val="auto"/>
          <w:sz w:val="21"/>
          <w:szCs w:val="21"/>
          <w:highlight w:val="none"/>
        </w:rPr>
      </w:pPr>
      <w:r>
        <w:rPr>
          <w:rFonts w:hint="eastAsia" w:ascii="宋体" w:hAnsi="宋体"/>
          <w:color w:val="auto"/>
          <w:sz w:val="21"/>
          <w:szCs w:val="21"/>
          <w:highlight w:val="none"/>
        </w:rPr>
        <w:t>2</w:t>
      </w:r>
      <w:r>
        <w:rPr>
          <w:rFonts w:ascii="宋体" w:hAnsi="宋体"/>
          <w:color w:val="auto"/>
          <w:sz w:val="21"/>
          <w:szCs w:val="21"/>
          <w:highlight w:val="none"/>
        </w:rPr>
        <w:t>.</w:t>
      </w:r>
      <w:r>
        <w:rPr>
          <w:rFonts w:hint="eastAsia" w:ascii="宋体" w:hAnsi="宋体"/>
          <w:color w:val="auto"/>
          <w:sz w:val="21"/>
          <w:szCs w:val="21"/>
          <w:highlight w:val="none"/>
        </w:rPr>
        <w:t>符合性审查不通过而导致投标无效的情形</w:t>
      </w:r>
    </w:p>
    <w:p w14:paraId="2C60137F">
      <w:pPr>
        <w:snapToGrid w:val="0"/>
        <w:spacing w:line="420" w:lineRule="exact"/>
        <w:ind w:firstLine="398" w:firstLineChars="200"/>
        <w:rPr>
          <w:rFonts w:ascii="宋体" w:hAnsi="宋体"/>
          <w:b/>
          <w:color w:val="auto"/>
          <w:szCs w:val="21"/>
          <w:highlight w:val="none"/>
        </w:rPr>
      </w:pPr>
      <w:r>
        <w:rPr>
          <w:rFonts w:hint="eastAsia" w:ascii="宋体" w:hAnsi="宋体"/>
          <w:b/>
          <w:color w:val="auto"/>
          <w:szCs w:val="21"/>
          <w:highlight w:val="none"/>
        </w:rPr>
        <w:t>投标人的投标文件中存在对招标文件的任何实质性要求和条件的负偏离，将被视为投标无效。</w:t>
      </w:r>
    </w:p>
    <w:p w14:paraId="00809B51">
      <w:pPr>
        <w:pStyle w:val="4"/>
        <w:keepNext w:val="0"/>
        <w:keepLines w:val="0"/>
        <w:spacing w:before="0" w:after="0" w:line="420" w:lineRule="exact"/>
        <w:ind w:left="398" w:leftChars="200"/>
        <w:rPr>
          <w:rFonts w:ascii="宋体" w:hAnsi="宋体"/>
          <w:color w:val="auto"/>
          <w:sz w:val="21"/>
          <w:szCs w:val="21"/>
          <w:highlight w:val="none"/>
        </w:rPr>
      </w:pPr>
      <w:r>
        <w:rPr>
          <w:rFonts w:hint="eastAsia" w:ascii="宋体" w:hAnsi="宋体"/>
          <w:color w:val="auto"/>
          <w:sz w:val="21"/>
          <w:szCs w:val="21"/>
          <w:highlight w:val="none"/>
        </w:rPr>
        <w:t>2.1在报价评审时，如发现下列情形之一的，将被视为投标无效：</w:t>
      </w:r>
    </w:p>
    <w:p w14:paraId="165F8672">
      <w:pPr>
        <w:pStyle w:val="7"/>
        <w:numPr>
          <w:ilvl w:val="0"/>
          <w:numId w:val="4"/>
        </w:numPr>
        <w:spacing w:line="420" w:lineRule="exact"/>
        <w:ind w:firstLine="374" w:firstLineChars="200"/>
        <w:rPr>
          <w:rFonts w:ascii="宋体" w:hAnsi="宋体"/>
          <w:b/>
          <w:color w:val="auto"/>
          <w:spacing w:val="-6"/>
          <w:szCs w:val="21"/>
          <w:highlight w:val="none"/>
        </w:rPr>
      </w:pPr>
      <w:r>
        <w:rPr>
          <w:rFonts w:hint="eastAsia" w:ascii="宋体" w:hAnsi="宋体"/>
          <w:b/>
          <w:color w:val="auto"/>
          <w:spacing w:val="-6"/>
          <w:szCs w:val="21"/>
          <w:highlight w:val="none"/>
        </w:rPr>
        <w:t>报价文件未提供“投标人须知前附表”第13条</w:t>
      </w:r>
      <w:r>
        <w:rPr>
          <w:rFonts w:hint="eastAsia" w:ascii="宋体" w:hAnsi="宋体"/>
          <w:b/>
          <w:color w:val="auto"/>
          <w:szCs w:val="21"/>
          <w:highlight w:val="none"/>
        </w:rPr>
        <w:t>“报价文件”</w:t>
      </w:r>
      <w:r>
        <w:rPr>
          <w:rFonts w:hint="eastAsia" w:ascii="宋体" w:hAnsi="宋体"/>
          <w:b/>
          <w:color w:val="auto"/>
          <w:spacing w:val="-6"/>
          <w:szCs w:val="21"/>
          <w:highlight w:val="none"/>
        </w:rPr>
        <w:t>规定中“必须提供”的文件资料的；</w:t>
      </w:r>
    </w:p>
    <w:p w14:paraId="1BB72D3A">
      <w:pPr>
        <w:pStyle w:val="7"/>
        <w:numPr>
          <w:ilvl w:val="0"/>
          <w:numId w:val="4"/>
        </w:numPr>
        <w:spacing w:line="420" w:lineRule="exact"/>
        <w:ind w:firstLine="398" w:firstLineChars="200"/>
        <w:rPr>
          <w:rFonts w:ascii="宋体" w:hAnsi="宋体"/>
          <w:b/>
          <w:color w:val="auto"/>
          <w:szCs w:val="21"/>
          <w:highlight w:val="none"/>
        </w:rPr>
      </w:pPr>
      <w:r>
        <w:rPr>
          <w:rFonts w:hint="eastAsia" w:ascii="宋体" w:hAnsi="宋体"/>
          <w:b/>
          <w:color w:val="auto"/>
          <w:szCs w:val="21"/>
          <w:highlight w:val="none"/>
        </w:rPr>
        <w:t>未采用人民币报价或者未按照招标文件标明的币种报价的；</w:t>
      </w:r>
    </w:p>
    <w:p w14:paraId="79309137">
      <w:pPr>
        <w:pStyle w:val="7"/>
        <w:numPr>
          <w:ilvl w:val="0"/>
          <w:numId w:val="4"/>
        </w:numPr>
        <w:spacing w:line="420" w:lineRule="exact"/>
        <w:ind w:left="-2" w:firstLine="422"/>
        <w:rPr>
          <w:rFonts w:ascii="宋体" w:hAnsi="宋体"/>
          <w:b/>
          <w:color w:val="auto"/>
          <w:spacing w:val="-6"/>
          <w:szCs w:val="21"/>
          <w:highlight w:val="none"/>
        </w:rPr>
      </w:pPr>
      <w:r>
        <w:rPr>
          <w:rFonts w:hint="eastAsia" w:ascii="宋体" w:hAnsi="宋体"/>
          <w:b/>
          <w:color w:val="auto"/>
          <w:spacing w:val="-6"/>
          <w:szCs w:val="21"/>
          <w:highlight w:val="none"/>
        </w:rPr>
        <w:t>各分标报价超出招标文件相应分标规定最高限价，或者超出相应分标采购预算金额的；</w:t>
      </w:r>
    </w:p>
    <w:p w14:paraId="73542019">
      <w:pPr>
        <w:pStyle w:val="7"/>
        <w:numPr>
          <w:ilvl w:val="0"/>
          <w:numId w:val="4"/>
        </w:numPr>
        <w:spacing w:line="420" w:lineRule="exact"/>
        <w:ind w:firstLine="398" w:firstLineChars="200"/>
        <w:rPr>
          <w:rFonts w:ascii="宋体" w:hAnsi="宋体"/>
          <w:b/>
          <w:color w:val="auto"/>
          <w:szCs w:val="21"/>
          <w:highlight w:val="none"/>
        </w:rPr>
      </w:pPr>
      <w:r>
        <w:rPr>
          <w:rFonts w:hint="eastAsia" w:ascii="宋体" w:hAnsi="宋体"/>
          <w:b/>
          <w:color w:val="auto"/>
          <w:szCs w:val="21"/>
          <w:highlight w:val="none"/>
        </w:rPr>
        <w:t>投标人未就所投分标进行报价或者存在漏项报价；投标人未就所投分标的单项内容作唯一报价；投标人未就所投分标的全部内容作完整唯一总价报价；存在有选择、有条件报价的（招标文件允许有备选方案或者其他约定的除外）；</w:t>
      </w:r>
    </w:p>
    <w:p w14:paraId="795EC88C">
      <w:pPr>
        <w:pStyle w:val="7"/>
        <w:numPr>
          <w:ilvl w:val="0"/>
          <w:numId w:val="4"/>
        </w:numPr>
        <w:spacing w:line="420" w:lineRule="exact"/>
        <w:ind w:firstLine="398" w:firstLineChars="200"/>
        <w:rPr>
          <w:rFonts w:ascii="宋体" w:hAnsi="宋体"/>
          <w:b/>
          <w:color w:val="auto"/>
          <w:szCs w:val="21"/>
          <w:highlight w:val="none"/>
        </w:rPr>
      </w:pPr>
      <w:r>
        <w:rPr>
          <w:rFonts w:hint="eastAsia" w:ascii="宋体" w:hAnsi="宋体"/>
          <w:b/>
          <w:color w:val="auto"/>
          <w:szCs w:val="21"/>
          <w:highlight w:val="none"/>
        </w:rPr>
        <w:t>修正后的报价，投标人不确认的；</w:t>
      </w:r>
    </w:p>
    <w:p w14:paraId="16DCE5E2">
      <w:pPr>
        <w:pStyle w:val="7"/>
        <w:numPr>
          <w:ilvl w:val="0"/>
          <w:numId w:val="4"/>
        </w:numPr>
        <w:spacing w:line="420" w:lineRule="exact"/>
        <w:ind w:firstLine="398" w:firstLineChars="200"/>
        <w:rPr>
          <w:rFonts w:ascii="宋体" w:hAnsi="宋体"/>
          <w:b/>
          <w:color w:val="auto"/>
          <w:szCs w:val="21"/>
          <w:highlight w:val="none"/>
        </w:rPr>
      </w:pPr>
      <w:r>
        <w:rPr>
          <w:rFonts w:hint="eastAsia" w:ascii="宋体" w:hAnsi="宋体"/>
          <w:b/>
          <w:color w:val="auto"/>
          <w:szCs w:val="21"/>
          <w:highlight w:val="none"/>
        </w:rPr>
        <w:t>投标人属于本章第</w:t>
      </w:r>
      <w:r>
        <w:rPr>
          <w:rFonts w:ascii="宋体" w:hAnsi="宋体"/>
          <w:b/>
          <w:color w:val="auto"/>
          <w:szCs w:val="21"/>
          <w:highlight w:val="none"/>
        </w:rPr>
        <w:t>5.1</w:t>
      </w:r>
      <w:r>
        <w:rPr>
          <w:rFonts w:hint="eastAsia" w:ascii="宋体" w:hAnsi="宋体"/>
          <w:b/>
          <w:color w:val="auto"/>
          <w:szCs w:val="21"/>
          <w:highlight w:val="none"/>
        </w:rPr>
        <w:t>条（2）或者第5</w:t>
      </w:r>
      <w:r>
        <w:rPr>
          <w:rFonts w:ascii="宋体" w:hAnsi="宋体"/>
          <w:b/>
          <w:color w:val="auto"/>
          <w:szCs w:val="21"/>
          <w:highlight w:val="none"/>
        </w:rPr>
        <w:t>.2条</w:t>
      </w:r>
      <w:r>
        <w:rPr>
          <w:rFonts w:hint="eastAsia" w:ascii="宋体" w:hAnsi="宋体"/>
          <w:b/>
          <w:color w:val="auto"/>
          <w:szCs w:val="21"/>
          <w:highlight w:val="none"/>
        </w:rPr>
        <w:t>（2）项情形的。</w:t>
      </w:r>
    </w:p>
    <w:p w14:paraId="1F870C08">
      <w:pPr>
        <w:pStyle w:val="7"/>
        <w:numPr>
          <w:ilvl w:val="0"/>
          <w:numId w:val="4"/>
        </w:numPr>
        <w:spacing w:line="420" w:lineRule="exact"/>
        <w:ind w:firstLine="374" w:firstLineChars="200"/>
        <w:rPr>
          <w:rFonts w:ascii="宋体" w:hAnsi="宋体"/>
          <w:b/>
          <w:color w:val="auto"/>
          <w:szCs w:val="21"/>
          <w:highlight w:val="none"/>
        </w:rPr>
      </w:pPr>
      <w:r>
        <w:rPr>
          <w:rFonts w:hint="eastAsia" w:ascii="宋体" w:hAnsi="宋体"/>
          <w:b/>
          <w:color w:val="auto"/>
          <w:spacing w:val="-6"/>
          <w:szCs w:val="21"/>
          <w:highlight w:val="none"/>
        </w:rPr>
        <w:t>报价文件</w:t>
      </w:r>
      <w:r>
        <w:rPr>
          <w:rFonts w:hint="eastAsia" w:ascii="宋体" w:hAnsi="宋体"/>
          <w:b/>
          <w:color w:val="auto"/>
          <w:szCs w:val="21"/>
          <w:highlight w:val="none"/>
        </w:rPr>
        <w:t>响应的标的数量及单位与招标文件要求实质性不一致的。</w:t>
      </w:r>
    </w:p>
    <w:p w14:paraId="22986EE7">
      <w:pPr>
        <w:pStyle w:val="4"/>
        <w:keepNext w:val="0"/>
        <w:keepLines w:val="0"/>
        <w:spacing w:before="0" w:after="0" w:line="420" w:lineRule="exact"/>
        <w:ind w:left="398" w:leftChars="200"/>
        <w:rPr>
          <w:rFonts w:ascii="宋体" w:hAnsi="宋体"/>
          <w:color w:val="auto"/>
          <w:sz w:val="21"/>
          <w:szCs w:val="21"/>
          <w:highlight w:val="none"/>
        </w:rPr>
      </w:pPr>
      <w:r>
        <w:rPr>
          <w:rFonts w:hint="eastAsia" w:ascii="宋体" w:hAnsi="宋体"/>
          <w:color w:val="auto"/>
          <w:sz w:val="21"/>
          <w:szCs w:val="21"/>
          <w:highlight w:val="none"/>
        </w:rPr>
        <w:t>2.2在商务及技术评审时，如发现下列情形之一的，将被视为投标无效：</w:t>
      </w:r>
    </w:p>
    <w:p w14:paraId="78803B26">
      <w:pPr>
        <w:numPr>
          <w:ilvl w:val="0"/>
          <w:numId w:val="5"/>
        </w:numPr>
        <w:snapToGrid w:val="0"/>
        <w:spacing w:line="420" w:lineRule="exact"/>
        <w:ind w:firstLine="398" w:firstLineChars="200"/>
        <w:rPr>
          <w:rFonts w:ascii="宋体" w:hAnsi="宋体"/>
          <w:b/>
          <w:color w:val="auto"/>
          <w:szCs w:val="21"/>
          <w:highlight w:val="none"/>
        </w:rPr>
      </w:pPr>
      <w:r>
        <w:rPr>
          <w:rFonts w:hint="eastAsia" w:ascii="宋体" w:hAnsi="宋体"/>
          <w:b/>
          <w:color w:val="auto"/>
          <w:szCs w:val="21"/>
          <w:highlight w:val="none"/>
        </w:rPr>
        <w:t>投标文件未按招标文件要求签署、盖章的；</w:t>
      </w:r>
    </w:p>
    <w:p w14:paraId="3A540EC5">
      <w:pPr>
        <w:numPr>
          <w:ilvl w:val="0"/>
          <w:numId w:val="5"/>
        </w:numPr>
        <w:snapToGrid w:val="0"/>
        <w:spacing w:line="420" w:lineRule="exact"/>
        <w:ind w:firstLine="398" w:firstLineChars="200"/>
        <w:rPr>
          <w:rFonts w:ascii="宋体" w:hAnsi="宋体"/>
          <w:b/>
          <w:color w:val="auto"/>
          <w:szCs w:val="21"/>
          <w:highlight w:val="none"/>
        </w:rPr>
      </w:pPr>
      <w:r>
        <w:rPr>
          <w:rFonts w:hint="eastAsia" w:ascii="宋体" w:hAnsi="宋体"/>
          <w:b/>
          <w:color w:val="auto"/>
          <w:szCs w:val="21"/>
          <w:highlight w:val="none"/>
        </w:rPr>
        <w:t xml:space="preserve">委托代理人未能出具有效身份证或者出具的身份证与授权委托书中的信息不符的； </w:t>
      </w:r>
    </w:p>
    <w:p w14:paraId="637D82F3">
      <w:pPr>
        <w:numPr>
          <w:ilvl w:val="0"/>
          <w:numId w:val="5"/>
        </w:numPr>
        <w:snapToGrid w:val="0"/>
        <w:spacing w:line="420" w:lineRule="exact"/>
        <w:ind w:firstLine="398" w:firstLineChars="200"/>
        <w:rPr>
          <w:rFonts w:ascii="宋体" w:hAnsi="宋体"/>
          <w:b/>
          <w:color w:val="auto"/>
          <w:szCs w:val="21"/>
          <w:highlight w:val="none"/>
        </w:rPr>
      </w:pPr>
      <w:r>
        <w:rPr>
          <w:rFonts w:hint="eastAsia" w:ascii="宋体" w:hAnsi="宋体"/>
          <w:b/>
          <w:color w:val="auto"/>
          <w:szCs w:val="21"/>
          <w:highlight w:val="none"/>
        </w:rPr>
        <w:t>为无效投标保证金的或者未按照招标文件的规定提交投标保证金的；</w:t>
      </w:r>
    </w:p>
    <w:p w14:paraId="01BAC6CF">
      <w:pPr>
        <w:numPr>
          <w:ilvl w:val="0"/>
          <w:numId w:val="5"/>
        </w:numPr>
        <w:snapToGrid w:val="0"/>
        <w:spacing w:line="420" w:lineRule="exact"/>
        <w:ind w:firstLine="398" w:firstLineChars="200"/>
        <w:rPr>
          <w:rFonts w:ascii="宋体" w:hAnsi="宋体"/>
          <w:b/>
          <w:color w:val="auto"/>
          <w:szCs w:val="21"/>
          <w:highlight w:val="none"/>
        </w:rPr>
      </w:pPr>
      <w:r>
        <w:rPr>
          <w:rFonts w:hint="eastAsia" w:ascii="宋体" w:hAnsi="宋体"/>
          <w:b/>
          <w:color w:val="auto"/>
          <w:szCs w:val="21"/>
          <w:highlight w:val="none"/>
        </w:rPr>
        <w:t>投标文件未提供“投标人须知前附表”第13条“商务及技术文件”规定中“必须提供”或者“委托时必须提供”的文件资料的；</w:t>
      </w:r>
    </w:p>
    <w:p w14:paraId="49A5526C">
      <w:pPr>
        <w:numPr>
          <w:ilvl w:val="0"/>
          <w:numId w:val="5"/>
        </w:numPr>
        <w:snapToGrid w:val="0"/>
        <w:spacing w:line="420" w:lineRule="exact"/>
        <w:ind w:firstLine="398" w:firstLineChars="200"/>
        <w:rPr>
          <w:rFonts w:ascii="宋体" w:hAnsi="宋体"/>
          <w:b/>
          <w:color w:val="auto"/>
          <w:szCs w:val="21"/>
          <w:highlight w:val="none"/>
        </w:rPr>
      </w:pPr>
      <w:r>
        <w:rPr>
          <w:rFonts w:hint="eastAsia" w:ascii="宋体" w:hAnsi="宋体"/>
          <w:b/>
          <w:color w:val="auto"/>
          <w:szCs w:val="21"/>
          <w:highlight w:val="none"/>
        </w:rPr>
        <w:t>商务要求评审允许负偏离的条款数超过“投标人须知前附表”规定项数的；</w:t>
      </w:r>
    </w:p>
    <w:p w14:paraId="30749450">
      <w:pPr>
        <w:numPr>
          <w:ilvl w:val="0"/>
          <w:numId w:val="5"/>
        </w:numPr>
        <w:snapToGrid w:val="0"/>
        <w:spacing w:line="420" w:lineRule="exact"/>
        <w:ind w:firstLine="398" w:firstLineChars="200"/>
        <w:rPr>
          <w:rFonts w:ascii="宋体" w:hAnsi="宋体"/>
          <w:b/>
          <w:color w:val="auto"/>
          <w:szCs w:val="21"/>
          <w:highlight w:val="none"/>
        </w:rPr>
      </w:pPr>
      <w:r>
        <w:rPr>
          <w:rFonts w:hint="eastAsia" w:ascii="宋体" w:hAnsi="宋体"/>
          <w:b/>
          <w:color w:val="auto"/>
          <w:szCs w:val="21"/>
          <w:highlight w:val="none"/>
        </w:rPr>
        <w:t>投标文件的实质性内容未使用中文表述、使用计量单位不符合招标文件要求的；</w:t>
      </w:r>
    </w:p>
    <w:p w14:paraId="57D2B67B">
      <w:pPr>
        <w:numPr>
          <w:ilvl w:val="0"/>
          <w:numId w:val="5"/>
        </w:numPr>
        <w:snapToGrid w:val="0"/>
        <w:spacing w:line="420" w:lineRule="exact"/>
        <w:ind w:firstLine="398" w:firstLineChars="200"/>
        <w:rPr>
          <w:rFonts w:ascii="宋体" w:hAnsi="宋体"/>
          <w:b/>
          <w:color w:val="auto"/>
          <w:szCs w:val="21"/>
          <w:highlight w:val="none"/>
        </w:rPr>
      </w:pPr>
      <w:r>
        <w:rPr>
          <w:rFonts w:hint="eastAsia" w:ascii="宋体" w:hAnsi="宋体"/>
          <w:b/>
          <w:color w:val="auto"/>
          <w:szCs w:val="21"/>
          <w:highlight w:val="none"/>
        </w:rPr>
        <w:t>投标文件中的文件资料因填写不齐全或者内容虚假或者出现其他情形而导致被评标委员会认定无效的；</w:t>
      </w:r>
    </w:p>
    <w:p w14:paraId="2DBBC9B9">
      <w:pPr>
        <w:numPr>
          <w:ilvl w:val="0"/>
          <w:numId w:val="5"/>
        </w:numPr>
        <w:snapToGrid w:val="0"/>
        <w:spacing w:line="420" w:lineRule="exact"/>
        <w:ind w:firstLine="398" w:firstLineChars="200"/>
        <w:rPr>
          <w:rFonts w:ascii="宋体" w:hAnsi="宋体"/>
          <w:b/>
          <w:color w:val="auto"/>
          <w:szCs w:val="21"/>
          <w:highlight w:val="none"/>
        </w:rPr>
      </w:pPr>
      <w:r>
        <w:rPr>
          <w:rFonts w:hint="eastAsia" w:ascii="宋体" w:hAnsi="宋体"/>
          <w:b/>
          <w:color w:val="auto"/>
          <w:szCs w:val="21"/>
          <w:highlight w:val="none"/>
        </w:rPr>
        <w:t>投标文件含有采购人不能接受的附加条件的；</w:t>
      </w:r>
    </w:p>
    <w:p w14:paraId="5AB7BD86">
      <w:pPr>
        <w:numPr>
          <w:ilvl w:val="0"/>
          <w:numId w:val="5"/>
        </w:numPr>
        <w:snapToGrid w:val="0"/>
        <w:spacing w:line="420" w:lineRule="exact"/>
        <w:ind w:firstLine="398" w:firstLineChars="200"/>
        <w:rPr>
          <w:rFonts w:ascii="宋体" w:hAnsi="宋体"/>
          <w:b/>
          <w:color w:val="auto"/>
          <w:szCs w:val="21"/>
          <w:highlight w:val="none"/>
        </w:rPr>
      </w:pPr>
      <w:r>
        <w:rPr>
          <w:rFonts w:hint="eastAsia" w:ascii="宋体" w:hAnsi="宋体"/>
          <w:b/>
          <w:color w:val="auto"/>
          <w:szCs w:val="21"/>
          <w:highlight w:val="none"/>
        </w:rPr>
        <w:t>属于投标人须知正文第</w:t>
      </w:r>
      <w:r>
        <w:rPr>
          <w:rFonts w:ascii="宋体" w:hAnsi="宋体"/>
          <w:b/>
          <w:color w:val="auto"/>
          <w:szCs w:val="21"/>
          <w:highlight w:val="none"/>
        </w:rPr>
        <w:t>9.2</w:t>
      </w:r>
      <w:r>
        <w:rPr>
          <w:rFonts w:hint="eastAsia" w:ascii="宋体" w:hAnsi="宋体"/>
          <w:b/>
          <w:color w:val="auto"/>
          <w:szCs w:val="21"/>
          <w:highlight w:val="none"/>
        </w:rPr>
        <w:t>条情形的；</w:t>
      </w:r>
    </w:p>
    <w:p w14:paraId="2B4DCBF5">
      <w:pPr>
        <w:numPr>
          <w:ilvl w:val="0"/>
          <w:numId w:val="5"/>
        </w:numPr>
        <w:snapToGrid w:val="0"/>
        <w:spacing w:line="420" w:lineRule="exact"/>
        <w:ind w:firstLine="398" w:firstLineChars="200"/>
        <w:rPr>
          <w:rFonts w:ascii="宋体" w:hAnsi="宋体"/>
          <w:b/>
          <w:color w:val="auto"/>
          <w:szCs w:val="21"/>
          <w:highlight w:val="none"/>
        </w:rPr>
      </w:pPr>
      <w:r>
        <w:rPr>
          <w:rFonts w:hint="eastAsia" w:ascii="宋体" w:hAnsi="宋体"/>
          <w:b/>
          <w:color w:val="auto"/>
          <w:szCs w:val="21"/>
          <w:highlight w:val="none"/>
        </w:rPr>
        <w:t>投标文件标注的项目名称或者项目编号与招标文件标注的项目名称或者项目编号不一致的；</w:t>
      </w:r>
    </w:p>
    <w:p w14:paraId="7121BB08">
      <w:pPr>
        <w:numPr>
          <w:ilvl w:val="0"/>
          <w:numId w:val="5"/>
        </w:numPr>
        <w:snapToGrid w:val="0"/>
        <w:spacing w:line="420" w:lineRule="exact"/>
        <w:ind w:firstLine="398" w:firstLineChars="200"/>
        <w:rPr>
          <w:rFonts w:ascii="宋体" w:hAnsi="宋体"/>
          <w:b/>
          <w:color w:val="auto"/>
          <w:szCs w:val="21"/>
          <w:highlight w:val="none"/>
        </w:rPr>
      </w:pPr>
      <w:r>
        <w:rPr>
          <w:rFonts w:hint="eastAsia" w:ascii="宋体" w:hAnsi="宋体"/>
          <w:b/>
          <w:color w:val="auto"/>
          <w:szCs w:val="21"/>
          <w:highlight w:val="none"/>
        </w:rPr>
        <w:t>投标文件中承诺的投标有效期低于招标文件要求的期限的；</w:t>
      </w:r>
    </w:p>
    <w:p w14:paraId="35DFB6DE">
      <w:pPr>
        <w:numPr>
          <w:ilvl w:val="0"/>
          <w:numId w:val="5"/>
        </w:numPr>
        <w:snapToGrid w:val="0"/>
        <w:spacing w:line="420" w:lineRule="exact"/>
        <w:ind w:firstLine="398" w:firstLineChars="200"/>
        <w:rPr>
          <w:rFonts w:ascii="宋体" w:hAnsi="宋体"/>
          <w:b/>
          <w:color w:val="auto"/>
          <w:szCs w:val="21"/>
          <w:highlight w:val="none"/>
        </w:rPr>
      </w:pPr>
      <w:r>
        <w:rPr>
          <w:rFonts w:hint="eastAsia" w:ascii="宋体" w:hAnsi="宋体"/>
          <w:b/>
          <w:color w:val="auto"/>
          <w:szCs w:val="21"/>
          <w:highlight w:val="none"/>
        </w:rPr>
        <w:t>虚假投标，或者出现其他情形而导致被评标委员会认定无效的；</w:t>
      </w:r>
    </w:p>
    <w:p w14:paraId="37508E80">
      <w:pPr>
        <w:numPr>
          <w:ilvl w:val="0"/>
          <w:numId w:val="5"/>
        </w:numPr>
        <w:snapToGrid w:val="0"/>
        <w:spacing w:line="420" w:lineRule="exact"/>
        <w:ind w:firstLine="398" w:firstLineChars="200"/>
        <w:rPr>
          <w:rFonts w:ascii="宋体" w:hAnsi="宋体"/>
          <w:b/>
          <w:color w:val="auto"/>
          <w:szCs w:val="21"/>
          <w:highlight w:val="none"/>
        </w:rPr>
      </w:pPr>
      <w:r>
        <w:rPr>
          <w:rFonts w:hint="eastAsia" w:ascii="宋体" w:hAnsi="宋体"/>
          <w:b/>
          <w:color w:val="auto"/>
          <w:szCs w:val="21"/>
          <w:highlight w:val="none"/>
        </w:rPr>
        <w:t>招标文件未载明允许提供备选（替代）投标方案或明确不允许提供备选（替代）投标方案时，投标人提供了备选（替代）投标方案的；</w:t>
      </w:r>
    </w:p>
    <w:p w14:paraId="00BDCAC5">
      <w:pPr>
        <w:numPr>
          <w:ilvl w:val="0"/>
          <w:numId w:val="5"/>
        </w:numPr>
        <w:snapToGrid w:val="0"/>
        <w:spacing w:line="420" w:lineRule="exact"/>
        <w:ind w:firstLine="398" w:firstLineChars="200"/>
        <w:rPr>
          <w:rFonts w:ascii="宋体" w:hAnsi="宋体"/>
          <w:b/>
          <w:color w:val="auto"/>
          <w:szCs w:val="21"/>
          <w:highlight w:val="none"/>
        </w:rPr>
      </w:pPr>
      <w:r>
        <w:rPr>
          <w:rFonts w:hint="eastAsia" w:ascii="宋体" w:hAnsi="宋体"/>
          <w:b/>
          <w:color w:val="auto"/>
          <w:szCs w:val="21"/>
          <w:highlight w:val="none"/>
        </w:rPr>
        <w:t>未响应招标文件实质性要求的。</w:t>
      </w:r>
    </w:p>
    <w:p w14:paraId="1DCEF8C5">
      <w:pPr>
        <w:numPr>
          <w:ilvl w:val="0"/>
          <w:numId w:val="5"/>
        </w:numPr>
        <w:snapToGrid w:val="0"/>
        <w:spacing w:line="420" w:lineRule="exact"/>
        <w:ind w:firstLine="398" w:firstLineChars="200"/>
        <w:rPr>
          <w:rFonts w:ascii="宋体" w:hAnsi="宋体"/>
          <w:b/>
          <w:color w:val="auto"/>
          <w:szCs w:val="21"/>
          <w:highlight w:val="none"/>
        </w:rPr>
      </w:pPr>
      <w:r>
        <w:rPr>
          <w:rFonts w:hint="eastAsia" w:ascii="宋体" w:hAnsi="宋体"/>
          <w:b/>
          <w:color w:val="auto"/>
          <w:szCs w:val="21"/>
          <w:highlight w:val="none"/>
        </w:rPr>
        <w:t>法律、法规和招标文件规定的其他无效情形。</w:t>
      </w:r>
    </w:p>
    <w:p w14:paraId="5D7F5D54">
      <w:pPr>
        <w:pStyle w:val="4"/>
        <w:keepNext w:val="0"/>
        <w:keepLines w:val="0"/>
        <w:spacing w:before="0" w:after="0" w:line="420" w:lineRule="exact"/>
        <w:ind w:left="398" w:leftChars="200"/>
        <w:rPr>
          <w:rFonts w:ascii="宋体" w:hAnsi="宋体"/>
          <w:color w:val="auto"/>
          <w:sz w:val="21"/>
          <w:szCs w:val="21"/>
          <w:highlight w:val="none"/>
        </w:rPr>
      </w:pPr>
      <w:r>
        <w:rPr>
          <w:rFonts w:hint="eastAsia" w:ascii="宋体" w:hAnsi="宋体"/>
          <w:color w:val="auto"/>
          <w:sz w:val="21"/>
          <w:szCs w:val="21"/>
          <w:highlight w:val="none"/>
        </w:rPr>
        <w:t>3</w:t>
      </w:r>
      <w:r>
        <w:rPr>
          <w:rFonts w:ascii="宋体" w:hAnsi="宋体"/>
          <w:color w:val="auto"/>
          <w:sz w:val="21"/>
          <w:szCs w:val="21"/>
          <w:highlight w:val="none"/>
        </w:rPr>
        <w:t>.</w:t>
      </w:r>
      <w:r>
        <w:rPr>
          <w:rFonts w:hint="eastAsia" w:ascii="宋体" w:hAnsi="宋体"/>
          <w:color w:val="auto"/>
          <w:sz w:val="21"/>
          <w:szCs w:val="21"/>
          <w:highlight w:val="none"/>
        </w:rPr>
        <w:t>澄清补正</w:t>
      </w:r>
    </w:p>
    <w:p w14:paraId="632A9B1A">
      <w:pPr>
        <w:spacing w:line="420" w:lineRule="exact"/>
        <w:ind w:firstLine="398" w:firstLineChars="200"/>
        <w:rPr>
          <w:rFonts w:ascii="宋体" w:hAnsi="宋体" w:cs="Courier New"/>
          <w:b/>
          <w:color w:val="auto"/>
          <w:szCs w:val="21"/>
          <w:highlight w:val="none"/>
        </w:rPr>
      </w:pPr>
      <w:r>
        <w:rPr>
          <w:rFonts w:hint="eastAsia" w:ascii="宋体" w:hAnsi="宋体" w:cs="Courier New"/>
          <w:color w:val="auto"/>
          <w:szCs w:val="21"/>
          <w:highlight w:val="none"/>
        </w:rPr>
        <w:t>对投标文件中含义不明确、同类问题表述不一致或者有明显文字和计算错误的内容，评标委员会应在广西政府采购云平台发布电子澄清函，要求投标人在规定时间内作出必要的澄清、说明或者补正。投标人在广西政府采购云平台接收到电子澄清函后根据澄清函内容上传PDF格式回函，电子澄清答复函使用CA证书加盖投标人电子签章后在线上传至评标委员会。投标人的澄清、说明或者补正不得超出投标文件的范围或者改变投标文件的实质性内容。</w:t>
      </w:r>
    </w:p>
    <w:p w14:paraId="04B3D817">
      <w:pPr>
        <w:spacing w:line="420" w:lineRule="exact"/>
        <w:ind w:firstLine="398" w:firstLineChars="200"/>
        <w:rPr>
          <w:rFonts w:ascii="宋体" w:hAnsi="宋体" w:cs="Courier New"/>
          <w:color w:val="auto"/>
          <w:szCs w:val="21"/>
          <w:highlight w:val="none"/>
        </w:rPr>
      </w:pPr>
      <w:r>
        <w:rPr>
          <w:rFonts w:hint="eastAsia" w:ascii="宋体" w:hAnsi="宋体" w:cs="Courier New"/>
          <w:color w:val="auto"/>
          <w:szCs w:val="21"/>
          <w:highlight w:val="none"/>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397D7C60">
      <w:pPr>
        <w:spacing w:line="420" w:lineRule="exact"/>
        <w:ind w:firstLine="398" w:firstLineChars="200"/>
        <w:rPr>
          <w:rFonts w:ascii="宋体" w:hAnsi="宋体" w:cs="Courier New"/>
          <w:color w:val="auto"/>
          <w:szCs w:val="21"/>
          <w:highlight w:val="none"/>
        </w:rPr>
      </w:pPr>
      <w:r>
        <w:rPr>
          <w:rFonts w:hint="eastAsia" w:ascii="宋体" w:hAnsi="宋体" w:cs="Courier New"/>
          <w:color w:val="auto"/>
          <w:szCs w:val="21"/>
          <w:highlight w:val="none"/>
        </w:rPr>
        <w:t>未按评标委员会的要求作出明确澄清、说明或者更正的投标人的投标文件将按照有利于采购人的原则由评标委员会进行判定。</w:t>
      </w:r>
    </w:p>
    <w:p w14:paraId="0E7BEC2E">
      <w:pPr>
        <w:pStyle w:val="4"/>
        <w:keepNext w:val="0"/>
        <w:keepLines w:val="0"/>
        <w:spacing w:before="0" w:after="0" w:line="420" w:lineRule="exact"/>
        <w:ind w:left="398" w:leftChars="200"/>
        <w:rPr>
          <w:rFonts w:ascii="宋体" w:hAnsi="宋体"/>
          <w:color w:val="auto"/>
          <w:sz w:val="21"/>
          <w:szCs w:val="21"/>
          <w:highlight w:val="none"/>
        </w:rPr>
      </w:pPr>
      <w:r>
        <w:rPr>
          <w:rFonts w:ascii="宋体" w:hAnsi="宋体"/>
          <w:color w:val="auto"/>
          <w:sz w:val="21"/>
          <w:szCs w:val="21"/>
          <w:highlight w:val="none"/>
        </w:rPr>
        <w:t>4.</w:t>
      </w:r>
      <w:r>
        <w:rPr>
          <w:rFonts w:hint="eastAsia" w:ascii="宋体" w:hAnsi="宋体"/>
          <w:color w:val="auto"/>
          <w:sz w:val="21"/>
          <w:szCs w:val="21"/>
          <w:highlight w:val="none"/>
        </w:rPr>
        <w:t>投标文件修正</w:t>
      </w:r>
    </w:p>
    <w:p w14:paraId="60BB0931">
      <w:pPr>
        <w:pStyle w:val="4"/>
        <w:keepNext w:val="0"/>
        <w:keepLines w:val="0"/>
        <w:spacing w:before="0" w:after="0" w:line="420" w:lineRule="exact"/>
        <w:ind w:left="398" w:leftChars="200"/>
        <w:rPr>
          <w:rFonts w:ascii="宋体" w:hAnsi="宋体"/>
          <w:b w:val="0"/>
          <w:color w:val="auto"/>
          <w:sz w:val="21"/>
          <w:szCs w:val="21"/>
          <w:highlight w:val="none"/>
        </w:rPr>
      </w:pPr>
      <w:r>
        <w:rPr>
          <w:rFonts w:ascii="宋体" w:hAnsi="宋体"/>
          <w:b w:val="0"/>
          <w:color w:val="auto"/>
          <w:sz w:val="21"/>
          <w:szCs w:val="21"/>
          <w:highlight w:val="none"/>
        </w:rPr>
        <w:t>4</w:t>
      </w:r>
      <w:r>
        <w:rPr>
          <w:rFonts w:hint="eastAsia" w:ascii="宋体" w:hAnsi="宋体"/>
          <w:b w:val="0"/>
          <w:color w:val="auto"/>
          <w:sz w:val="21"/>
          <w:szCs w:val="21"/>
          <w:highlight w:val="none"/>
        </w:rPr>
        <w:t>.1投标文件报价出现前后不一致的，按照下列规定修正：</w:t>
      </w:r>
    </w:p>
    <w:p w14:paraId="21FD59B3">
      <w:pPr>
        <w:pStyle w:val="23"/>
        <w:snapToGrid w:val="0"/>
        <w:spacing w:line="420" w:lineRule="exact"/>
        <w:ind w:firstLine="398" w:firstLineChars="200"/>
        <w:rPr>
          <w:rFonts w:hAnsi="宋体"/>
          <w:color w:val="auto"/>
          <w:sz w:val="21"/>
          <w:highlight w:val="none"/>
        </w:rPr>
      </w:pPr>
      <w:r>
        <w:rPr>
          <w:rFonts w:hint="eastAsia" w:hAnsi="宋体"/>
          <w:color w:val="auto"/>
          <w:sz w:val="21"/>
          <w:highlight w:val="none"/>
        </w:rPr>
        <w:t>（1）投标文件中开标一览表（报价表）内容与投标文件中相应内容不一致的，以开标一览表（报价表）为准；</w:t>
      </w:r>
    </w:p>
    <w:p w14:paraId="5489B181">
      <w:pPr>
        <w:pStyle w:val="23"/>
        <w:snapToGrid w:val="0"/>
        <w:spacing w:line="420" w:lineRule="exact"/>
        <w:ind w:firstLine="398" w:firstLineChars="200"/>
        <w:rPr>
          <w:rFonts w:hAnsi="宋体"/>
          <w:color w:val="auto"/>
          <w:sz w:val="21"/>
          <w:highlight w:val="none"/>
        </w:rPr>
      </w:pPr>
      <w:r>
        <w:rPr>
          <w:rFonts w:hint="eastAsia" w:hAnsi="宋体"/>
          <w:color w:val="auto"/>
          <w:sz w:val="21"/>
          <w:highlight w:val="none"/>
        </w:rPr>
        <w:t>（2）大写金额和小写金额不一致的，以大写金额为准；</w:t>
      </w:r>
    </w:p>
    <w:p w14:paraId="4C247C2E">
      <w:pPr>
        <w:pStyle w:val="23"/>
        <w:snapToGrid w:val="0"/>
        <w:spacing w:line="420" w:lineRule="exact"/>
        <w:ind w:firstLine="398" w:firstLineChars="200"/>
        <w:rPr>
          <w:rFonts w:hAnsi="宋体"/>
          <w:color w:val="auto"/>
          <w:sz w:val="21"/>
          <w:highlight w:val="none"/>
        </w:rPr>
      </w:pPr>
      <w:r>
        <w:rPr>
          <w:rFonts w:hint="eastAsia" w:hAnsi="宋体"/>
          <w:color w:val="auto"/>
          <w:sz w:val="21"/>
          <w:highlight w:val="none"/>
        </w:rPr>
        <w:t>（3）单价金额小数点或者百分比有明显错位的，以开标一览表的总价为准，并修改单价；</w:t>
      </w:r>
    </w:p>
    <w:p w14:paraId="45AEBFEA">
      <w:pPr>
        <w:pStyle w:val="23"/>
        <w:snapToGrid w:val="0"/>
        <w:spacing w:line="420" w:lineRule="exact"/>
        <w:ind w:firstLine="398" w:firstLineChars="200"/>
        <w:rPr>
          <w:rFonts w:hAnsi="宋体"/>
          <w:color w:val="auto"/>
          <w:sz w:val="21"/>
          <w:highlight w:val="none"/>
        </w:rPr>
      </w:pPr>
      <w:r>
        <w:rPr>
          <w:rFonts w:hint="eastAsia" w:hAnsi="宋体"/>
          <w:color w:val="auto"/>
          <w:sz w:val="21"/>
          <w:highlight w:val="none"/>
        </w:rPr>
        <w:t>（4）总价金额与按单价汇总金额不一致的，以单价金额计算结果为准。</w:t>
      </w:r>
    </w:p>
    <w:p w14:paraId="6D9BCCEC">
      <w:pPr>
        <w:pStyle w:val="23"/>
        <w:snapToGrid w:val="0"/>
        <w:spacing w:line="420" w:lineRule="exact"/>
        <w:ind w:firstLine="398" w:firstLineChars="200"/>
        <w:rPr>
          <w:rFonts w:hAnsi="宋体"/>
          <w:color w:val="auto"/>
          <w:sz w:val="21"/>
          <w:highlight w:val="none"/>
        </w:rPr>
      </w:pPr>
      <w:r>
        <w:rPr>
          <w:rFonts w:hint="eastAsia" w:hAnsi="宋体"/>
          <w:color w:val="auto"/>
          <w:sz w:val="21"/>
          <w:highlight w:val="none"/>
        </w:rPr>
        <w:t>同时出现两种以上不一致的，按照以上（1）-（4）规定的顺序修正。修正后的报价经投标人确认后产生约束力，投标人不确认的，</w:t>
      </w:r>
      <w:r>
        <w:rPr>
          <w:rFonts w:hint="eastAsia" w:hAnsi="宋体"/>
          <w:b/>
          <w:color w:val="auto"/>
          <w:kern w:val="2"/>
          <w:sz w:val="21"/>
          <w:highlight w:val="none"/>
        </w:rPr>
        <w:t>其投标无效</w:t>
      </w:r>
      <w:r>
        <w:rPr>
          <w:rFonts w:hint="eastAsia" w:hAnsi="宋体"/>
          <w:color w:val="auto"/>
          <w:sz w:val="21"/>
          <w:highlight w:val="none"/>
        </w:rPr>
        <w:t>。</w:t>
      </w:r>
    </w:p>
    <w:p w14:paraId="66C1B2D4">
      <w:pPr>
        <w:pStyle w:val="23"/>
        <w:snapToGrid w:val="0"/>
        <w:spacing w:line="420" w:lineRule="exact"/>
        <w:ind w:firstLine="398" w:firstLineChars="200"/>
        <w:rPr>
          <w:rFonts w:hAnsi="宋体"/>
          <w:color w:val="auto"/>
          <w:sz w:val="21"/>
          <w:highlight w:val="none"/>
        </w:rPr>
      </w:pPr>
      <w:r>
        <w:rPr>
          <w:rFonts w:hAnsi="宋体"/>
          <w:color w:val="auto"/>
          <w:sz w:val="21"/>
          <w:highlight w:val="none"/>
        </w:rPr>
        <w:t>4</w:t>
      </w:r>
      <w:r>
        <w:rPr>
          <w:rFonts w:hint="eastAsia" w:hAnsi="宋体"/>
          <w:color w:val="auto"/>
          <w:sz w:val="21"/>
          <w:highlight w:val="none"/>
        </w:rPr>
        <w:t>.2经投标人确认修正后的报价若超过采购预算金额或者最高限价，投标人的投标文件作无效投标处理。</w:t>
      </w:r>
    </w:p>
    <w:p w14:paraId="5ED88465">
      <w:pPr>
        <w:snapToGrid w:val="0"/>
        <w:spacing w:line="420" w:lineRule="exact"/>
        <w:ind w:firstLine="398" w:firstLineChars="200"/>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.3经投标人确认修正后的报价作为签订合同的依据，并以此报价计算价格分。</w:t>
      </w:r>
    </w:p>
    <w:p w14:paraId="50FF6123">
      <w:pPr>
        <w:pStyle w:val="4"/>
        <w:keepNext w:val="0"/>
        <w:keepLines w:val="0"/>
        <w:spacing w:before="0" w:after="0" w:line="420" w:lineRule="exact"/>
        <w:ind w:left="398" w:leftChars="200"/>
        <w:rPr>
          <w:rFonts w:ascii="宋体" w:hAnsi="宋体"/>
          <w:color w:val="auto"/>
          <w:sz w:val="21"/>
          <w:szCs w:val="21"/>
          <w:highlight w:val="none"/>
        </w:rPr>
      </w:pPr>
      <w:r>
        <w:rPr>
          <w:rFonts w:ascii="宋体" w:hAnsi="宋体"/>
          <w:color w:val="auto"/>
          <w:sz w:val="21"/>
          <w:szCs w:val="21"/>
          <w:highlight w:val="none"/>
        </w:rPr>
        <w:t>5.</w:t>
      </w:r>
      <w:r>
        <w:rPr>
          <w:rFonts w:hint="eastAsia" w:ascii="宋体" w:hAnsi="宋体"/>
          <w:color w:val="auto"/>
          <w:sz w:val="21"/>
          <w:szCs w:val="21"/>
          <w:highlight w:val="none"/>
        </w:rPr>
        <w:t>比较与评价</w:t>
      </w:r>
    </w:p>
    <w:p w14:paraId="23200502">
      <w:pPr>
        <w:snapToGrid w:val="0"/>
        <w:spacing w:line="420" w:lineRule="exact"/>
        <w:ind w:firstLine="398" w:firstLineChars="200"/>
        <w:rPr>
          <w:rFonts w:ascii="宋体" w:hAnsi="宋体"/>
          <w:color w:val="auto"/>
          <w:szCs w:val="21"/>
          <w:highlight w:val="none"/>
        </w:rPr>
      </w:pPr>
      <w:r>
        <w:rPr>
          <w:rFonts w:hint="eastAsia" w:ascii="宋体" w:hAnsi="宋体"/>
          <w:color w:val="auto"/>
          <w:szCs w:val="21"/>
          <w:highlight w:val="none"/>
        </w:rPr>
        <w:t>5.1采用综合评分法的</w:t>
      </w:r>
    </w:p>
    <w:p w14:paraId="0B5EE2FA">
      <w:pPr>
        <w:snapToGrid w:val="0"/>
        <w:spacing w:line="420" w:lineRule="exact"/>
        <w:ind w:firstLine="398" w:firstLineChars="200"/>
        <w:rPr>
          <w:rFonts w:ascii="宋体" w:hAnsi="宋体"/>
          <w:color w:val="auto"/>
          <w:szCs w:val="21"/>
          <w:highlight w:val="none"/>
        </w:rPr>
      </w:pPr>
      <w:r>
        <w:rPr>
          <w:rFonts w:hint="eastAsia" w:ascii="宋体" w:hAnsi="宋体"/>
          <w:color w:val="auto"/>
          <w:szCs w:val="21"/>
          <w:highlight w:val="none"/>
        </w:rPr>
        <w:t>（1）评标委员会按照招标文件中规定的评标方法及评标标准，对符合性审查合格的投标文件进行商务和技术评估，综合比较与评价。</w:t>
      </w:r>
    </w:p>
    <w:p w14:paraId="01E2AC6B">
      <w:pPr>
        <w:snapToGrid w:val="0"/>
        <w:spacing w:line="420" w:lineRule="exact"/>
        <w:ind w:firstLine="398" w:firstLineChars="200"/>
        <w:rPr>
          <w:rFonts w:ascii="宋体" w:hAnsi="宋体"/>
          <w:color w:val="auto"/>
          <w:szCs w:val="21"/>
          <w:highlight w:val="none"/>
        </w:rPr>
      </w:pPr>
      <w:r>
        <w:rPr>
          <w:rFonts w:hint="eastAsia" w:ascii="宋体" w:hAnsi="宋体"/>
          <w:color w:val="auto"/>
          <w:szCs w:val="21"/>
          <w:highlight w:val="none"/>
        </w:rPr>
        <w:t>（2）评标委员会独立对每个投标人的投标文件进行评价，并汇总每个投标人的得分。</w:t>
      </w:r>
    </w:p>
    <w:p w14:paraId="0002CC89">
      <w:pPr>
        <w:snapToGrid w:val="0"/>
        <w:spacing w:line="420" w:lineRule="exact"/>
        <w:ind w:firstLine="398" w:firstLineChars="200"/>
        <w:rPr>
          <w:rFonts w:ascii="宋体" w:hAnsi="宋体"/>
          <w:b/>
          <w:color w:val="auto"/>
          <w:szCs w:val="21"/>
          <w:highlight w:val="none"/>
        </w:rPr>
      </w:pPr>
      <w:r>
        <w:rPr>
          <w:rFonts w:hint="eastAsia" w:ascii="宋体" w:hAnsi="宋体"/>
          <w:color w:val="auto"/>
          <w:szCs w:val="21"/>
          <w:highlight w:val="none"/>
        </w:rPr>
        <w:t>评标委员会认为投标人的报价明显低于其他通过符合性审查投标人的报价，有可能影响产品质量或者不能诚信履约的，应当要求其在评标现场合理的时间内提供书面说明，必要时提交相关证明材料；</w:t>
      </w:r>
      <w:r>
        <w:rPr>
          <w:rFonts w:hint="eastAsia" w:ascii="宋体" w:hAnsi="宋体"/>
          <w:b/>
          <w:color w:val="auto"/>
          <w:szCs w:val="21"/>
          <w:highlight w:val="none"/>
        </w:rPr>
        <w:t>投标人不能证明其报价合理性的，评标委员会应当将其作为无效投标处理。</w:t>
      </w:r>
    </w:p>
    <w:p w14:paraId="420D6BE5">
      <w:pPr>
        <w:snapToGrid w:val="0"/>
        <w:spacing w:line="420" w:lineRule="exact"/>
        <w:ind w:firstLine="398" w:firstLineChars="200"/>
        <w:rPr>
          <w:rFonts w:ascii="宋体" w:hAnsi="宋体"/>
          <w:color w:val="auto"/>
          <w:szCs w:val="21"/>
          <w:highlight w:val="none"/>
        </w:rPr>
      </w:pPr>
      <w:r>
        <w:rPr>
          <w:rFonts w:hint="eastAsia" w:ascii="宋体" w:hAnsi="宋体"/>
          <w:color w:val="auto"/>
          <w:szCs w:val="21"/>
          <w:highlight w:val="none"/>
        </w:rPr>
        <w:t>（3）评标委员会按照招标文件中规定的评标方法和标准计算各投标人的报价得分。在计算过程中，不得去掉最高报价或者最低报价。</w:t>
      </w:r>
    </w:p>
    <w:p w14:paraId="78259C92">
      <w:pPr>
        <w:snapToGrid w:val="0"/>
        <w:spacing w:line="420" w:lineRule="exact"/>
        <w:ind w:firstLine="398" w:firstLineChars="200"/>
        <w:rPr>
          <w:rFonts w:ascii="宋体" w:hAnsi="宋体"/>
          <w:color w:val="auto"/>
          <w:szCs w:val="21"/>
          <w:highlight w:val="none"/>
        </w:rPr>
      </w:pPr>
      <w:r>
        <w:rPr>
          <w:rFonts w:hint="eastAsia" w:ascii="宋体" w:hAnsi="宋体"/>
          <w:color w:val="auto"/>
          <w:szCs w:val="21"/>
          <w:highlight w:val="none"/>
        </w:rPr>
        <w:t>（4）各投标人的得分为所有评委的有效评分的算术平均数。</w:t>
      </w:r>
    </w:p>
    <w:p w14:paraId="2F5300E7">
      <w:pPr>
        <w:snapToGrid w:val="0"/>
        <w:spacing w:line="420" w:lineRule="exact"/>
        <w:ind w:firstLine="398" w:firstLineChars="200"/>
        <w:rPr>
          <w:rFonts w:ascii="宋体" w:hAnsi="宋体"/>
          <w:color w:val="auto"/>
          <w:szCs w:val="21"/>
          <w:highlight w:val="none"/>
        </w:rPr>
      </w:pPr>
      <w:r>
        <w:rPr>
          <w:rFonts w:hint="eastAsia" w:ascii="宋体" w:hAnsi="宋体"/>
          <w:color w:val="auto"/>
          <w:szCs w:val="21"/>
          <w:highlight w:val="none"/>
        </w:rPr>
        <w:t>（5）评标委员会按照招标文件中的规定推荐中标候选人。</w:t>
      </w:r>
    </w:p>
    <w:p w14:paraId="4C9F3B22">
      <w:pPr>
        <w:snapToGrid w:val="0"/>
        <w:spacing w:line="420" w:lineRule="exact"/>
        <w:ind w:firstLine="398" w:firstLineChars="200"/>
        <w:rPr>
          <w:rFonts w:ascii="宋体" w:hAnsi="宋体"/>
          <w:color w:val="auto"/>
          <w:szCs w:val="21"/>
          <w:highlight w:val="none"/>
        </w:rPr>
      </w:pPr>
      <w:r>
        <w:rPr>
          <w:rFonts w:hint="eastAsia" w:ascii="宋体" w:hAnsi="宋体"/>
          <w:color w:val="auto"/>
          <w:szCs w:val="21"/>
          <w:highlight w:val="none"/>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6301B0EF">
      <w:pPr>
        <w:snapToGrid w:val="0"/>
        <w:spacing w:line="420" w:lineRule="exact"/>
        <w:ind w:firstLine="398" w:firstLineChars="200"/>
        <w:rPr>
          <w:rFonts w:ascii="宋体" w:hAnsi="宋体"/>
          <w:color w:val="auto"/>
          <w:szCs w:val="21"/>
          <w:highlight w:val="none"/>
        </w:rPr>
      </w:pPr>
      <w:r>
        <w:rPr>
          <w:rFonts w:hint="eastAsia" w:ascii="宋体" w:hAnsi="宋体"/>
          <w:color w:val="auto"/>
          <w:szCs w:val="21"/>
          <w:highlight w:val="none"/>
        </w:rPr>
        <w:t>5.2采用</w:t>
      </w:r>
      <w:r>
        <w:rPr>
          <w:rFonts w:hint="eastAsia" w:hAnsi="宋体"/>
          <w:color w:val="auto"/>
          <w:highlight w:val="none"/>
        </w:rPr>
        <w:t>最低评标报法</w:t>
      </w:r>
      <w:r>
        <w:rPr>
          <w:rFonts w:hint="eastAsia" w:ascii="宋体" w:hAnsi="宋体"/>
          <w:color w:val="auto"/>
          <w:szCs w:val="21"/>
          <w:highlight w:val="none"/>
        </w:rPr>
        <w:t>的</w:t>
      </w:r>
    </w:p>
    <w:p w14:paraId="1445DD95">
      <w:pPr>
        <w:snapToGrid w:val="0"/>
        <w:spacing w:line="420" w:lineRule="exact"/>
        <w:ind w:firstLine="402" w:firstLineChars="202"/>
        <w:jc w:val="left"/>
        <w:rPr>
          <w:rFonts w:ascii="宋体" w:hAnsi="宋体"/>
          <w:color w:val="auto"/>
          <w:szCs w:val="21"/>
          <w:highlight w:val="none"/>
        </w:rPr>
      </w:pPr>
      <w:r>
        <w:rPr>
          <w:rFonts w:hint="eastAsia" w:ascii="宋体" w:hAnsi="宋体"/>
          <w:color w:val="auto"/>
          <w:szCs w:val="21"/>
          <w:highlight w:val="none"/>
        </w:rPr>
        <w:t>（1）评标委员会按照招标文件中规定的评标方法及评标标准，对符合性审查合格的投标文件报价进行比较。</w:t>
      </w:r>
    </w:p>
    <w:p w14:paraId="2DCC5CFB">
      <w:pPr>
        <w:snapToGrid w:val="0"/>
        <w:spacing w:line="420" w:lineRule="exact"/>
        <w:ind w:firstLine="402" w:firstLineChars="202"/>
        <w:jc w:val="left"/>
        <w:rPr>
          <w:rFonts w:ascii="宋体" w:hAnsi="宋体"/>
          <w:b/>
          <w:color w:val="auto"/>
          <w:szCs w:val="21"/>
          <w:highlight w:val="none"/>
        </w:rPr>
      </w:pPr>
      <w:r>
        <w:rPr>
          <w:rFonts w:hint="eastAsia" w:ascii="宋体" w:hAnsi="宋体"/>
          <w:color w:val="auto"/>
          <w:szCs w:val="21"/>
          <w:highlight w:val="none"/>
        </w:rPr>
        <w:t>（2）评标委员会认为投标人的报价明显低于其他通过符合性审查投标人的报价，有可能影响产品质量或者不能诚信履约的，应当要求其在评标现场合理的时间内提供书面说明，必要时提交相关证明材料；</w:t>
      </w:r>
      <w:r>
        <w:rPr>
          <w:rFonts w:hint="eastAsia" w:ascii="宋体" w:hAnsi="宋体"/>
          <w:b/>
          <w:color w:val="auto"/>
          <w:szCs w:val="21"/>
          <w:highlight w:val="none"/>
        </w:rPr>
        <w:t>投标人不能证明其报价合理性的，评标委员会将其作为无效投标处理。</w:t>
      </w:r>
    </w:p>
    <w:p w14:paraId="2F56EF36">
      <w:pPr>
        <w:snapToGrid w:val="0"/>
        <w:spacing w:line="420" w:lineRule="exact"/>
        <w:ind w:firstLine="402" w:firstLineChars="202"/>
        <w:jc w:val="left"/>
        <w:rPr>
          <w:rFonts w:ascii="宋体" w:hAnsi="宋体"/>
          <w:color w:val="auto"/>
          <w:szCs w:val="21"/>
          <w:highlight w:val="none"/>
        </w:rPr>
      </w:pPr>
      <w:r>
        <w:rPr>
          <w:rFonts w:hint="eastAsia" w:ascii="宋体" w:hAnsi="宋体"/>
          <w:color w:val="auto"/>
          <w:szCs w:val="21"/>
          <w:highlight w:val="none"/>
        </w:rPr>
        <w:t>（3）评标委员会按照招标文件中的规定推荐中标候选人。</w:t>
      </w:r>
    </w:p>
    <w:p w14:paraId="37F72B9C">
      <w:pPr>
        <w:snapToGrid w:val="0"/>
        <w:spacing w:line="420" w:lineRule="exact"/>
        <w:ind w:firstLine="402" w:firstLineChars="202"/>
        <w:jc w:val="left"/>
        <w:rPr>
          <w:rFonts w:ascii="宋体" w:hAnsi="宋体"/>
          <w:color w:val="auto"/>
          <w:szCs w:val="21"/>
          <w:highlight w:val="none"/>
        </w:rPr>
      </w:pPr>
      <w:r>
        <w:rPr>
          <w:rFonts w:hint="eastAsia" w:ascii="宋体" w:hAnsi="宋体"/>
          <w:color w:val="auto"/>
          <w:szCs w:val="21"/>
          <w:highlight w:val="none"/>
        </w:rPr>
        <w:t>（4）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作出结论。持不同意见的评标委员会成员应当在评标报告上签署不同意见及理由，否则视为同意评标报告。</w:t>
      </w:r>
    </w:p>
    <w:p w14:paraId="12AA4B65">
      <w:pPr>
        <w:pStyle w:val="17"/>
        <w:ind w:firstLine="199" w:firstLineChars="100"/>
        <w:rPr>
          <w:rFonts w:ascii="宋体" w:hAnsi="宋体"/>
          <w:color w:val="auto"/>
          <w:kern w:val="2"/>
          <w:sz w:val="21"/>
          <w:szCs w:val="21"/>
          <w:highlight w:val="none"/>
        </w:rPr>
      </w:pPr>
      <w:r>
        <w:rPr>
          <w:rFonts w:hint="eastAsia" w:ascii="宋体" w:hAnsi="宋体"/>
          <w:b/>
          <w:bCs/>
          <w:color w:val="auto"/>
          <w:kern w:val="2"/>
          <w:sz w:val="21"/>
          <w:szCs w:val="21"/>
          <w:highlight w:val="none"/>
        </w:rPr>
        <w:t>6.异常低价审查</w:t>
      </w:r>
    </w:p>
    <w:p w14:paraId="6C73C2E5">
      <w:pPr>
        <w:pStyle w:val="17"/>
        <w:ind w:firstLine="199" w:firstLineChars="100"/>
        <w:rPr>
          <w:rFonts w:ascii="宋体" w:hAnsi="宋体"/>
          <w:color w:val="auto"/>
          <w:kern w:val="2"/>
          <w:sz w:val="21"/>
          <w:szCs w:val="21"/>
          <w:highlight w:val="none"/>
        </w:rPr>
      </w:pPr>
      <w:r>
        <w:rPr>
          <w:rFonts w:hint="eastAsia" w:ascii="宋体" w:hAnsi="宋体"/>
          <w:color w:val="auto"/>
          <w:kern w:val="2"/>
          <w:sz w:val="21"/>
          <w:szCs w:val="21"/>
          <w:highlight w:val="none"/>
        </w:rPr>
        <w:t>根据《关于推动解决政府采购异常低价问题的通知》（财库〔2026〕2号）规定，政府采购评审中出现下列情形之一的，评审委员会应当启动异常低价投标（响应）审查程序：</w:t>
      </w:r>
    </w:p>
    <w:p w14:paraId="75FACBA4">
      <w:pPr>
        <w:pStyle w:val="17"/>
        <w:ind w:firstLine="199" w:firstLineChars="100"/>
        <w:rPr>
          <w:rFonts w:ascii="宋体" w:hAnsi="宋体"/>
          <w:color w:val="auto"/>
          <w:kern w:val="2"/>
          <w:sz w:val="21"/>
          <w:szCs w:val="21"/>
          <w:highlight w:val="none"/>
        </w:rPr>
      </w:pPr>
      <w:r>
        <w:rPr>
          <w:rFonts w:hint="eastAsia" w:ascii="宋体" w:hAnsi="宋体"/>
          <w:color w:val="auto"/>
          <w:kern w:val="2"/>
          <w:sz w:val="21"/>
          <w:szCs w:val="21"/>
          <w:highlight w:val="none"/>
        </w:rPr>
        <w:t>（1）投标（响应）报价低于全部通过符合性审查供应商投标（响应）报价平均值50%的，即投标（响应）报价&lt;全部通过符合性审查供应商投标（响应）报价平均值×50%；</w:t>
      </w:r>
    </w:p>
    <w:p w14:paraId="75FA8B20">
      <w:pPr>
        <w:pStyle w:val="17"/>
        <w:ind w:firstLine="199" w:firstLineChars="100"/>
        <w:rPr>
          <w:rFonts w:ascii="宋体" w:hAnsi="宋体"/>
          <w:color w:val="auto"/>
          <w:kern w:val="2"/>
          <w:sz w:val="21"/>
          <w:szCs w:val="21"/>
          <w:highlight w:val="none"/>
        </w:rPr>
      </w:pPr>
      <w:r>
        <w:rPr>
          <w:rFonts w:hint="eastAsia" w:ascii="宋体" w:hAnsi="宋体"/>
          <w:color w:val="auto"/>
          <w:kern w:val="2"/>
          <w:sz w:val="21"/>
          <w:szCs w:val="21"/>
          <w:highlight w:val="none"/>
        </w:rPr>
        <w:t>（2）投标（响应）报价低于通过符合性审查的次低报价供应商投标（响应）报价50%的，即投标（响应）报价&lt;通过符合性审查的次低报价供应商投标（响应）报价×50%；</w:t>
      </w:r>
    </w:p>
    <w:p w14:paraId="139DBD18">
      <w:pPr>
        <w:pStyle w:val="17"/>
        <w:ind w:firstLine="199" w:firstLineChars="100"/>
        <w:rPr>
          <w:rFonts w:ascii="宋体" w:hAnsi="宋体"/>
          <w:color w:val="auto"/>
          <w:kern w:val="2"/>
          <w:sz w:val="21"/>
          <w:szCs w:val="21"/>
          <w:highlight w:val="none"/>
        </w:rPr>
      </w:pPr>
      <w:r>
        <w:rPr>
          <w:rFonts w:hint="eastAsia" w:ascii="宋体" w:hAnsi="宋体"/>
          <w:color w:val="auto"/>
          <w:kern w:val="2"/>
          <w:sz w:val="21"/>
          <w:szCs w:val="21"/>
          <w:highlight w:val="none"/>
        </w:rPr>
        <w:t>（3）投标（响应）报价低于采购项目最高限价45%的，即投标（响应）报价&lt;采购项目最高限价×45%；</w:t>
      </w:r>
    </w:p>
    <w:p w14:paraId="7B91FEB0">
      <w:pPr>
        <w:pStyle w:val="17"/>
        <w:ind w:firstLine="199" w:firstLineChars="100"/>
        <w:rPr>
          <w:rFonts w:ascii="宋体" w:hAnsi="宋体"/>
          <w:color w:val="auto"/>
          <w:kern w:val="2"/>
          <w:sz w:val="21"/>
          <w:szCs w:val="21"/>
          <w:highlight w:val="none"/>
        </w:rPr>
      </w:pPr>
      <w:r>
        <w:rPr>
          <w:rFonts w:hint="eastAsia" w:ascii="宋体" w:hAnsi="宋体"/>
          <w:color w:val="auto"/>
          <w:kern w:val="2"/>
          <w:sz w:val="21"/>
          <w:szCs w:val="21"/>
          <w:highlight w:val="none"/>
        </w:rPr>
        <w:t>（4）评审委员会基于专业判断，认为供应商报价过低，有可能影响产品质量或者不能诚信履约的其他情形。</w:t>
      </w:r>
    </w:p>
    <w:p w14:paraId="15A285B0">
      <w:pPr>
        <w:pStyle w:val="17"/>
        <w:ind w:firstLine="398" w:firstLineChars="200"/>
        <w:rPr>
          <w:rFonts w:ascii="宋体" w:hAnsi="宋体"/>
          <w:color w:val="auto"/>
          <w:kern w:val="2"/>
          <w:sz w:val="21"/>
          <w:szCs w:val="21"/>
          <w:highlight w:val="none"/>
        </w:rPr>
      </w:pPr>
      <w:r>
        <w:rPr>
          <w:rFonts w:hint="eastAsia" w:ascii="宋体" w:hAnsi="宋体"/>
          <w:color w:val="auto"/>
          <w:kern w:val="2"/>
          <w:sz w:val="21"/>
          <w:szCs w:val="21"/>
          <w:highlight w:val="none"/>
        </w:rPr>
        <w:t>属于前述第1项至第4项情形的，评审委员会应当要求相关供应商在合理的时间内（不少于30分钟）对投标（响应）价格作出解释，提供项目具体成本测算等与报价合理性相关的书面说明及必要的证明材料，包括但不限于原材料成本、人工成本、制造费用等。其中，属于第3项情形，供应商已随投标（响应）文件一并提交相关书面说明及必要的证明材料的，可不再重复提交。</w:t>
      </w:r>
    </w:p>
    <w:p w14:paraId="53EC90EC">
      <w:pPr>
        <w:pStyle w:val="17"/>
        <w:ind w:firstLine="398" w:firstLineChars="200"/>
        <w:rPr>
          <w:rFonts w:ascii="宋体" w:hAnsi="宋体"/>
          <w:color w:val="auto"/>
          <w:kern w:val="2"/>
          <w:sz w:val="21"/>
          <w:szCs w:val="21"/>
          <w:highlight w:val="none"/>
        </w:rPr>
      </w:pPr>
      <w:r>
        <w:rPr>
          <w:rFonts w:hint="eastAsia" w:ascii="宋体" w:hAnsi="宋体"/>
          <w:color w:val="auto"/>
          <w:kern w:val="2"/>
          <w:sz w:val="21"/>
          <w:szCs w:val="21"/>
          <w:highlight w:val="none"/>
        </w:rPr>
        <w:t>投标（响应）供应商不能提供书面说明、证明材料，或者提供的书面说明、证明材料不能证明其报价合理性的，评审委员会应当将其作为无效投标（响应）处理。</w:t>
      </w:r>
    </w:p>
    <w:p w14:paraId="5D1FFDBD">
      <w:pPr>
        <w:pStyle w:val="17"/>
        <w:ind w:firstLine="398" w:firstLineChars="200"/>
        <w:rPr>
          <w:rFonts w:ascii="宋体" w:hAnsi="宋体"/>
          <w:color w:val="auto"/>
          <w:kern w:val="2"/>
          <w:sz w:val="21"/>
          <w:szCs w:val="21"/>
          <w:highlight w:val="none"/>
        </w:rPr>
      </w:pPr>
      <w:r>
        <w:rPr>
          <w:rFonts w:hint="eastAsia" w:ascii="宋体" w:hAnsi="宋体"/>
          <w:color w:val="auto"/>
          <w:kern w:val="2"/>
          <w:sz w:val="21"/>
          <w:szCs w:val="21"/>
          <w:highlight w:val="none"/>
        </w:rPr>
        <w:t>异常低价投标（响应）审查的启动原因、审查意见和审查结果应当在评审报告中记录，并随供应商提供的相关书面说明及证明材料，以及评审委员会有关互联网浏览、查询历史一并归档。</w:t>
      </w:r>
    </w:p>
    <w:p w14:paraId="716B34B1">
      <w:pPr>
        <w:pStyle w:val="17"/>
        <w:ind w:firstLine="398" w:firstLineChars="200"/>
        <w:rPr>
          <w:color w:val="auto"/>
          <w:highlight w:val="none"/>
        </w:rPr>
      </w:pPr>
      <w:r>
        <w:rPr>
          <w:rFonts w:hint="eastAsia" w:ascii="宋体" w:hAnsi="宋体"/>
          <w:color w:val="auto"/>
          <w:kern w:val="2"/>
          <w:sz w:val="21"/>
          <w:szCs w:val="21"/>
          <w:highlight w:val="none"/>
        </w:rPr>
        <w:t>为避免因未能及时提供说明而导致被评审委员会作为无效投标（响应）情形，供应商可提前准备或随投标（响应）文件一并提交相关书面说明及必要的证明材料。</w:t>
      </w:r>
    </w:p>
    <w:p w14:paraId="3D059A69">
      <w:pPr>
        <w:snapToGrid w:val="0"/>
        <w:spacing w:line="360" w:lineRule="auto"/>
        <w:ind w:firstLine="402" w:firstLineChars="202"/>
        <w:jc w:val="center"/>
        <w:outlineLvl w:val="1"/>
        <w:rPr>
          <w:color w:val="auto"/>
          <w:highlight w:val="none"/>
        </w:rPr>
      </w:pPr>
      <w:r>
        <w:rPr>
          <w:rFonts w:hAnsi="宋体"/>
          <w:color w:val="auto"/>
          <w:highlight w:val="none"/>
        </w:rPr>
        <w:br w:type="page"/>
      </w:r>
      <w:bookmarkStart w:id="148" w:name="_Hlk71707917"/>
      <w:r>
        <w:rPr>
          <w:rFonts w:ascii="宋体" w:hAnsi="宋体" w:cs="宋体"/>
          <w:b/>
          <w:bCs/>
          <w:color w:val="auto"/>
          <w:sz w:val="32"/>
          <w:szCs w:val="32"/>
          <w:highlight w:val="none"/>
        </w:rPr>
        <w:t>三</w:t>
      </w:r>
      <w:r>
        <w:rPr>
          <w:rFonts w:hint="eastAsia" w:ascii="宋体" w:hAnsi="宋体" w:cs="宋体"/>
          <w:b/>
          <w:bCs/>
          <w:color w:val="auto"/>
          <w:sz w:val="32"/>
          <w:szCs w:val="32"/>
          <w:highlight w:val="none"/>
        </w:rPr>
        <w:t>、评标标准</w:t>
      </w:r>
    </w:p>
    <w:p w14:paraId="6BB8EF58">
      <w:pPr>
        <w:pStyle w:val="4"/>
        <w:keepNext w:val="0"/>
        <w:keepLines w:val="0"/>
        <w:jc w:val="center"/>
        <w:rPr>
          <w:color w:val="auto"/>
          <w:highlight w:val="none"/>
        </w:rPr>
      </w:pPr>
      <w:r>
        <w:rPr>
          <w:rFonts w:hint="eastAsia"/>
          <w:color w:val="auto"/>
          <w:highlight w:val="none"/>
        </w:rPr>
        <w:t>综合评分法</w:t>
      </w:r>
    </w:p>
    <w:bookmarkEnd w:id="148"/>
    <w:tbl>
      <w:tblPr>
        <w:tblStyle w:val="47"/>
        <w:tblW w:w="100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200"/>
        <w:gridCol w:w="700"/>
        <w:gridCol w:w="1824"/>
        <w:gridCol w:w="5607"/>
      </w:tblGrid>
      <w:tr w14:paraId="0C78A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9633" w:type="dxa"/>
            <w:gridSpan w:val="5"/>
            <w:vAlign w:val="center"/>
          </w:tcPr>
          <w:p w14:paraId="506D4077">
            <w:pPr>
              <w:adjustRightInd w:val="0"/>
              <w:spacing w:line="410" w:lineRule="exact"/>
              <w:jc w:val="left"/>
              <w:textAlignment w:val="baseline"/>
              <w:rPr>
                <w:rFonts w:ascii="宋体" w:hAnsi="宋体"/>
                <w:b/>
                <w:color w:val="auto"/>
                <w:szCs w:val="21"/>
                <w:highlight w:val="none"/>
              </w:rPr>
            </w:pPr>
            <w:r>
              <w:rPr>
                <w:rFonts w:hint="eastAsia" w:ascii="宋体" w:hAnsi="宋体"/>
                <w:b/>
                <w:color w:val="auto"/>
                <w:sz w:val="28"/>
                <w:szCs w:val="28"/>
                <w:highlight w:val="none"/>
              </w:rPr>
              <w:t>适用于1、2、4、5、6、7分标</w:t>
            </w:r>
          </w:p>
        </w:tc>
      </w:tr>
      <w:tr w14:paraId="56CC8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730" w:type="dxa"/>
            <w:vAlign w:val="center"/>
          </w:tcPr>
          <w:p w14:paraId="3997AAB2">
            <w:pPr>
              <w:adjustRightInd w:val="0"/>
              <w:spacing w:line="410" w:lineRule="exact"/>
              <w:jc w:val="center"/>
              <w:textAlignment w:val="baseline"/>
              <w:rPr>
                <w:rFonts w:ascii="宋体" w:hAnsi="宋体"/>
                <w:b/>
                <w:color w:val="auto"/>
                <w:szCs w:val="21"/>
                <w:highlight w:val="none"/>
              </w:rPr>
            </w:pPr>
            <w:r>
              <w:rPr>
                <w:rFonts w:hint="eastAsia" w:ascii="宋体" w:hAnsi="宋体"/>
                <w:b/>
                <w:color w:val="auto"/>
                <w:szCs w:val="21"/>
                <w:highlight w:val="none"/>
              </w:rPr>
              <w:t>序号</w:t>
            </w:r>
          </w:p>
        </w:tc>
        <w:tc>
          <w:tcPr>
            <w:tcW w:w="1145" w:type="dxa"/>
            <w:vAlign w:val="center"/>
          </w:tcPr>
          <w:p w14:paraId="541D58F3">
            <w:pPr>
              <w:adjustRightInd w:val="0"/>
              <w:spacing w:line="410" w:lineRule="exact"/>
              <w:jc w:val="center"/>
              <w:textAlignment w:val="baseline"/>
              <w:rPr>
                <w:rFonts w:ascii="宋体" w:hAnsi="宋体"/>
                <w:color w:val="auto"/>
                <w:szCs w:val="21"/>
                <w:highlight w:val="none"/>
              </w:rPr>
            </w:pPr>
            <w:r>
              <w:rPr>
                <w:rFonts w:hint="eastAsia" w:ascii="宋体" w:hAnsi="宋体"/>
                <w:b/>
                <w:color w:val="auto"/>
                <w:szCs w:val="21"/>
                <w:highlight w:val="none"/>
              </w:rPr>
              <w:t>评审因素</w:t>
            </w:r>
          </w:p>
        </w:tc>
        <w:tc>
          <w:tcPr>
            <w:tcW w:w="668" w:type="dxa"/>
            <w:vAlign w:val="center"/>
          </w:tcPr>
          <w:p w14:paraId="46935D0C">
            <w:pPr>
              <w:adjustRightInd w:val="0"/>
              <w:spacing w:line="410" w:lineRule="exact"/>
              <w:jc w:val="center"/>
              <w:textAlignment w:val="baseline"/>
              <w:rPr>
                <w:rFonts w:ascii="宋体" w:hAnsi="宋体"/>
                <w:b/>
                <w:color w:val="auto"/>
                <w:szCs w:val="21"/>
                <w:highlight w:val="none"/>
              </w:rPr>
            </w:pPr>
            <w:r>
              <w:rPr>
                <w:rFonts w:hint="eastAsia" w:ascii="宋体" w:hAnsi="宋体"/>
                <w:b/>
                <w:color w:val="auto"/>
                <w:szCs w:val="21"/>
                <w:highlight w:val="none"/>
              </w:rPr>
              <w:t>分值</w:t>
            </w:r>
          </w:p>
        </w:tc>
        <w:tc>
          <w:tcPr>
            <w:tcW w:w="7090" w:type="dxa"/>
            <w:gridSpan w:val="2"/>
            <w:vAlign w:val="center"/>
          </w:tcPr>
          <w:p w14:paraId="15CAC550">
            <w:pPr>
              <w:adjustRightInd w:val="0"/>
              <w:spacing w:line="410" w:lineRule="exact"/>
              <w:jc w:val="center"/>
              <w:textAlignment w:val="baseline"/>
              <w:rPr>
                <w:rFonts w:ascii="宋体" w:hAnsi="宋体"/>
                <w:b/>
                <w:color w:val="auto"/>
                <w:szCs w:val="21"/>
                <w:highlight w:val="none"/>
              </w:rPr>
            </w:pPr>
            <w:r>
              <w:rPr>
                <w:rFonts w:hint="eastAsia" w:ascii="宋体" w:hAnsi="宋体"/>
                <w:b/>
                <w:color w:val="auto"/>
                <w:szCs w:val="21"/>
                <w:highlight w:val="none"/>
              </w:rPr>
              <w:t>评标标准</w:t>
            </w:r>
          </w:p>
        </w:tc>
      </w:tr>
      <w:tr w14:paraId="2ADCF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vAlign w:val="center"/>
          </w:tcPr>
          <w:p w14:paraId="020D4725">
            <w:pPr>
              <w:adjustRightInd w:val="0"/>
              <w:spacing w:line="360" w:lineRule="auto"/>
              <w:jc w:val="center"/>
              <w:textAlignment w:val="baseline"/>
              <w:rPr>
                <w:rFonts w:ascii="宋体" w:hAnsi="宋体"/>
                <w:b/>
                <w:color w:val="auto"/>
                <w:szCs w:val="21"/>
                <w:highlight w:val="none"/>
              </w:rPr>
            </w:pPr>
            <w:r>
              <w:rPr>
                <w:rFonts w:hint="eastAsia" w:ascii="宋体" w:hAnsi="宋体"/>
                <w:b/>
                <w:color w:val="auto"/>
                <w:szCs w:val="21"/>
                <w:highlight w:val="none"/>
              </w:rPr>
              <w:t>1</w:t>
            </w:r>
          </w:p>
        </w:tc>
        <w:tc>
          <w:tcPr>
            <w:tcW w:w="1145" w:type="dxa"/>
            <w:vAlign w:val="center"/>
          </w:tcPr>
          <w:p w14:paraId="39C4E618">
            <w:pPr>
              <w:adjustRightInd w:val="0"/>
              <w:spacing w:line="360" w:lineRule="auto"/>
              <w:jc w:val="center"/>
              <w:textAlignment w:val="baseline"/>
              <w:rPr>
                <w:rFonts w:ascii="宋体" w:hAnsi="宋体"/>
                <w:b/>
                <w:color w:val="auto"/>
                <w:szCs w:val="21"/>
                <w:highlight w:val="none"/>
              </w:rPr>
            </w:pPr>
            <w:r>
              <w:rPr>
                <w:rFonts w:hint="eastAsia" w:ascii="宋体" w:hAnsi="宋体"/>
                <w:b/>
                <w:color w:val="auto"/>
                <w:szCs w:val="21"/>
                <w:highlight w:val="none"/>
              </w:rPr>
              <w:t>报价</w:t>
            </w:r>
          </w:p>
        </w:tc>
        <w:tc>
          <w:tcPr>
            <w:tcW w:w="668" w:type="dxa"/>
            <w:vAlign w:val="center"/>
          </w:tcPr>
          <w:p w14:paraId="74A6DC51">
            <w:pPr>
              <w:adjustRightInd w:val="0"/>
              <w:spacing w:line="360" w:lineRule="auto"/>
              <w:jc w:val="center"/>
              <w:textAlignment w:val="baseline"/>
              <w:rPr>
                <w:rFonts w:ascii="宋体" w:hAnsi="宋体"/>
                <w:b/>
                <w:color w:val="auto"/>
                <w:szCs w:val="21"/>
                <w:highlight w:val="none"/>
              </w:rPr>
            </w:pPr>
            <w:r>
              <w:rPr>
                <w:rFonts w:hint="eastAsia" w:ascii="宋体" w:hAnsi="宋体"/>
                <w:b/>
                <w:color w:val="auto"/>
                <w:szCs w:val="21"/>
                <w:highlight w:val="none"/>
              </w:rPr>
              <w:t>10分</w:t>
            </w:r>
          </w:p>
        </w:tc>
        <w:tc>
          <w:tcPr>
            <w:tcW w:w="7090" w:type="dxa"/>
            <w:gridSpan w:val="2"/>
            <w:vAlign w:val="center"/>
          </w:tcPr>
          <w:p w14:paraId="2E20E6A4">
            <w:pPr>
              <w:widowControl/>
              <w:snapToGrid w:val="0"/>
              <w:spacing w:line="360" w:lineRule="auto"/>
              <w:rPr>
                <w:rFonts w:hAnsi="宋体"/>
                <w:bCs/>
                <w:color w:val="auto"/>
                <w:szCs w:val="21"/>
                <w:highlight w:val="none"/>
              </w:rPr>
            </w:pPr>
            <w:r>
              <w:rPr>
                <w:rFonts w:hint="eastAsia" w:hAnsi="宋体"/>
                <w:bCs/>
                <w:color w:val="auto"/>
                <w:szCs w:val="21"/>
                <w:highlight w:val="none"/>
              </w:rPr>
              <w:t>1.本项目为专门面向中小企业采购项目，按照《政府采购促进中小企业发展管理办法》（财库〔2020〕46号）的规定，对供应商最后报价不再执行价格评审优惠的扶持政策。</w:t>
            </w:r>
          </w:p>
          <w:p w14:paraId="5C69F9AC">
            <w:pPr>
              <w:widowControl/>
              <w:snapToGrid w:val="0"/>
              <w:spacing w:line="360" w:lineRule="auto"/>
              <w:rPr>
                <w:rFonts w:hAnsi="宋体"/>
                <w:bCs/>
                <w:color w:val="auto"/>
                <w:szCs w:val="21"/>
                <w:highlight w:val="none"/>
              </w:rPr>
            </w:pPr>
            <w:r>
              <w:rPr>
                <w:rFonts w:hint="eastAsia" w:hAnsi="宋体"/>
                <w:bCs/>
                <w:color w:val="auto"/>
                <w:szCs w:val="21"/>
                <w:highlight w:val="none"/>
              </w:rPr>
              <w:t>（1）评审价为供应商的最后报价进行政策性扣除后的价格，评审价只是作为评审时使用。最终成交供应商的成交金额等于最后报价（如有修正，以确认修正后的最后报价为准）。</w:t>
            </w:r>
          </w:p>
          <w:p w14:paraId="2BCF9AFD">
            <w:pPr>
              <w:widowControl/>
              <w:snapToGrid w:val="0"/>
              <w:rPr>
                <w:rFonts w:hAnsi="宋体"/>
                <w:bCs/>
                <w:color w:val="auto"/>
                <w:szCs w:val="21"/>
                <w:highlight w:val="none"/>
              </w:rPr>
            </w:pPr>
            <w:r>
              <w:rPr>
                <w:rFonts w:hint="eastAsia" w:hAnsi="宋体"/>
                <w:bCs/>
                <w:color w:val="auto"/>
                <w:szCs w:val="21"/>
                <w:highlight w:val="none"/>
              </w:rPr>
              <w:t>（2）以进入比较与评价环节的最低的评审价为基准价，基准价得分为10分。</w:t>
            </w:r>
          </w:p>
          <w:p w14:paraId="4A8414D2">
            <w:pPr>
              <w:widowControl/>
              <w:snapToGrid w:val="0"/>
              <w:rPr>
                <w:rFonts w:hAnsi="宋体"/>
                <w:bCs/>
                <w:color w:val="auto"/>
                <w:szCs w:val="21"/>
                <w:highlight w:val="none"/>
              </w:rPr>
            </w:pPr>
            <w:r>
              <w:rPr>
                <w:rFonts w:hint="eastAsia" w:hAnsi="宋体"/>
                <w:bCs/>
                <w:color w:val="auto"/>
                <w:szCs w:val="21"/>
                <w:highlight w:val="none"/>
              </w:rPr>
              <w:t>（3）价格分计算公式：</w:t>
            </w:r>
          </w:p>
          <w:p w14:paraId="68C306FB">
            <w:pPr>
              <w:widowControl/>
              <w:snapToGrid w:val="0"/>
              <w:spacing w:line="360" w:lineRule="auto"/>
              <w:rPr>
                <w:rFonts w:hAnsi="宋体" w:cs="Courier New"/>
                <w:bCs/>
                <w:color w:val="auto"/>
                <w:highlight w:val="none"/>
              </w:rPr>
            </w:pPr>
            <w:r>
              <w:rPr>
                <w:rFonts w:hint="eastAsia" w:hAnsi="宋体"/>
                <w:bCs/>
                <w:color w:val="auto"/>
                <w:szCs w:val="21"/>
                <w:highlight w:val="none"/>
              </w:rPr>
              <w:t>报价得分=（基准价/最后报价）×10分</w:t>
            </w:r>
          </w:p>
        </w:tc>
      </w:tr>
      <w:tr w14:paraId="5ECFF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vMerge w:val="restart"/>
            <w:vAlign w:val="center"/>
          </w:tcPr>
          <w:p w14:paraId="2A39D4F6">
            <w:pPr>
              <w:adjustRightInd w:val="0"/>
              <w:spacing w:line="360" w:lineRule="auto"/>
              <w:jc w:val="center"/>
              <w:textAlignment w:val="baseline"/>
              <w:rPr>
                <w:rFonts w:ascii="宋体" w:hAnsi="宋体"/>
                <w:b/>
                <w:color w:val="auto"/>
                <w:szCs w:val="21"/>
                <w:highlight w:val="none"/>
              </w:rPr>
            </w:pPr>
            <w:r>
              <w:rPr>
                <w:rFonts w:hint="eastAsia" w:ascii="宋体" w:hAnsi="宋体"/>
                <w:b/>
                <w:color w:val="auto"/>
                <w:szCs w:val="21"/>
                <w:highlight w:val="none"/>
              </w:rPr>
              <w:t>2</w:t>
            </w:r>
          </w:p>
        </w:tc>
        <w:tc>
          <w:tcPr>
            <w:tcW w:w="1145" w:type="dxa"/>
            <w:vMerge w:val="restart"/>
            <w:vAlign w:val="center"/>
          </w:tcPr>
          <w:p w14:paraId="25C742DF">
            <w:pPr>
              <w:adjustRightInd w:val="0"/>
              <w:spacing w:line="360" w:lineRule="auto"/>
              <w:jc w:val="center"/>
              <w:textAlignment w:val="baseline"/>
              <w:rPr>
                <w:rFonts w:ascii="宋体" w:hAnsi="宋体"/>
                <w:b/>
                <w:color w:val="auto"/>
                <w:szCs w:val="21"/>
                <w:highlight w:val="none"/>
              </w:rPr>
            </w:pPr>
            <w:r>
              <w:rPr>
                <w:rFonts w:hint="eastAsia" w:ascii="宋体" w:hAnsi="宋体"/>
                <w:b/>
                <w:color w:val="auto"/>
                <w:szCs w:val="21"/>
                <w:highlight w:val="none"/>
              </w:rPr>
              <w:t>技术分</w:t>
            </w:r>
          </w:p>
        </w:tc>
        <w:tc>
          <w:tcPr>
            <w:tcW w:w="668" w:type="dxa"/>
            <w:vMerge w:val="restart"/>
            <w:vAlign w:val="center"/>
          </w:tcPr>
          <w:p w14:paraId="40EAAA38">
            <w:pPr>
              <w:adjustRightInd w:val="0"/>
              <w:spacing w:line="360" w:lineRule="auto"/>
              <w:jc w:val="center"/>
              <w:textAlignment w:val="baseline"/>
              <w:rPr>
                <w:rFonts w:ascii="宋体" w:hAnsi="宋体"/>
                <w:b/>
                <w:color w:val="auto"/>
                <w:szCs w:val="21"/>
                <w:highlight w:val="none"/>
              </w:rPr>
            </w:pPr>
            <w:r>
              <w:rPr>
                <w:rFonts w:hint="eastAsia" w:ascii="宋体" w:hAnsi="宋体"/>
                <w:b/>
                <w:color w:val="auto"/>
                <w:szCs w:val="21"/>
                <w:highlight w:val="none"/>
              </w:rPr>
              <w:t>65分</w:t>
            </w:r>
          </w:p>
        </w:tc>
        <w:tc>
          <w:tcPr>
            <w:tcW w:w="1740" w:type="dxa"/>
            <w:vAlign w:val="center"/>
          </w:tcPr>
          <w:p w14:paraId="003F1383">
            <w:pPr>
              <w:adjustRightInd w:val="0"/>
              <w:snapToGrid w:val="0"/>
              <w:spacing w:line="360" w:lineRule="atLeast"/>
              <w:jc w:val="center"/>
              <w:textAlignment w:val="baseline"/>
              <w:rPr>
                <w:rFonts w:ascii="宋体" w:hAnsi="宋体"/>
                <w:bCs/>
                <w:color w:val="auto"/>
                <w:szCs w:val="21"/>
                <w:highlight w:val="none"/>
              </w:rPr>
            </w:pPr>
            <w:r>
              <w:rPr>
                <w:rFonts w:hint="eastAsia" w:ascii="宋体" w:hAnsi="宋体"/>
                <w:b/>
                <w:color w:val="auto"/>
                <w:szCs w:val="21"/>
                <w:highlight w:val="none"/>
              </w:rPr>
              <w:t>项目需求理解(满分15分)</w:t>
            </w:r>
          </w:p>
        </w:tc>
        <w:tc>
          <w:tcPr>
            <w:tcW w:w="5350" w:type="dxa"/>
            <w:vAlign w:val="center"/>
          </w:tcPr>
          <w:p w14:paraId="3B69E1B0">
            <w:pPr>
              <w:widowControl/>
              <w:snapToGrid w:val="0"/>
              <w:spacing w:line="360" w:lineRule="auto"/>
              <w:rPr>
                <w:rFonts w:hAnsi="宋体"/>
                <w:bCs/>
                <w:szCs w:val="21"/>
              </w:rPr>
            </w:pPr>
            <w:r>
              <w:rPr>
                <w:rFonts w:hint="eastAsia" w:hAnsi="宋体"/>
                <w:bCs/>
                <w:szCs w:val="21"/>
              </w:rPr>
              <w:t>投标人根据本项目的总体认识，提供针对本项目的整体系统方案(包括但不限于</w:t>
            </w:r>
            <w:r>
              <w:rPr>
                <w:rFonts w:ascii="Calibri" w:hAnsi="Calibri" w:cs="Calibri"/>
                <w:bCs/>
                <w:szCs w:val="21"/>
              </w:rPr>
              <w:t>①</w:t>
            </w:r>
            <w:r>
              <w:rPr>
                <w:rFonts w:hint="eastAsia" w:hAnsi="宋体"/>
                <w:bCs/>
                <w:szCs w:val="21"/>
              </w:rPr>
              <w:t>能够了解本项目整体架构，</w:t>
            </w:r>
            <w:r>
              <w:rPr>
                <w:rFonts w:ascii="Calibri" w:hAnsi="Calibri" w:cs="Calibri"/>
                <w:bCs/>
                <w:szCs w:val="21"/>
              </w:rPr>
              <w:t>②</w:t>
            </w:r>
            <w:r>
              <w:rPr>
                <w:rFonts w:hint="eastAsia" w:hAnsi="宋体"/>
                <w:bCs/>
                <w:szCs w:val="21"/>
              </w:rPr>
              <w:t>应用系统功能完善，系统方案合理，能满足项目需要)。</w:t>
            </w:r>
          </w:p>
          <w:p w14:paraId="75B692D1">
            <w:pPr>
              <w:widowControl/>
              <w:snapToGrid w:val="0"/>
              <w:spacing w:line="360" w:lineRule="auto"/>
              <w:rPr>
                <w:rFonts w:hAnsi="宋体"/>
                <w:bCs/>
                <w:szCs w:val="21"/>
              </w:rPr>
            </w:pPr>
            <w:r>
              <w:rPr>
                <w:rFonts w:hint="eastAsia" w:hAnsi="宋体"/>
                <w:bCs/>
                <w:szCs w:val="21"/>
              </w:rPr>
              <w:t>一档（0分）：投标人对本项目的理解和综合情况内容描述不清晰且未提供系统架构与应用功能方案得0分。</w:t>
            </w:r>
          </w:p>
          <w:p w14:paraId="11C45981">
            <w:pPr>
              <w:widowControl/>
              <w:snapToGrid w:val="0"/>
              <w:spacing w:line="360" w:lineRule="auto"/>
              <w:rPr>
                <w:rFonts w:hAnsi="宋体"/>
                <w:bCs/>
                <w:szCs w:val="21"/>
              </w:rPr>
            </w:pPr>
            <w:r>
              <w:rPr>
                <w:rFonts w:hint="eastAsia" w:hAnsi="宋体"/>
                <w:bCs/>
                <w:szCs w:val="21"/>
              </w:rPr>
              <w:t>二档（3分）：投标人对本项目的理解和综合情况内容描述基本合理，清晰，且系统架构基本符合本次采购内容，方案内容基本完善、对本项目业务基本了解，系统功能设计存在部分关键功能缺失，核心业务流程无法完整实现，有少量功能设计不合理，但不影响整体使用，内容简单，对功能的阐述不够详细；</w:t>
            </w:r>
          </w:p>
          <w:p w14:paraId="513EDB58">
            <w:pPr>
              <w:widowControl/>
              <w:snapToGrid w:val="0"/>
              <w:spacing w:line="360" w:lineRule="auto"/>
              <w:rPr>
                <w:rFonts w:hAnsi="宋体"/>
                <w:bCs/>
                <w:szCs w:val="21"/>
              </w:rPr>
            </w:pPr>
            <w:r>
              <w:rPr>
                <w:rFonts w:hint="eastAsia" w:hAnsi="宋体"/>
                <w:bCs/>
                <w:szCs w:val="21"/>
              </w:rPr>
              <w:t>三档（8分）：系统架构基本符合本次采购内容，方案内容比较完善、阐述的较为详细、对业务理解较准确、把握较为到位，系统功能设计基本完整，核心业务流程可实现，功能完整度较高，仅有极个别细微功能待完善，功能设计合理，充分考虑了用户操作习惯和业务需求，内容详实准确，对每个功能的描述包括功能定义、操作步骤、预期效果等都清晰完整；</w:t>
            </w:r>
          </w:p>
          <w:p w14:paraId="7AB62272">
            <w:pPr>
              <w:widowControl/>
              <w:snapToGrid w:val="0"/>
              <w:spacing w:line="360" w:lineRule="auto"/>
              <w:rPr>
                <w:rFonts w:ascii="宋体" w:hAnsi="宋体"/>
                <w:bCs/>
                <w:color w:val="auto"/>
                <w:szCs w:val="21"/>
                <w:highlight w:val="none"/>
              </w:rPr>
            </w:pPr>
            <w:r>
              <w:rPr>
                <w:rFonts w:hint="eastAsia" w:hAnsi="宋体"/>
                <w:bCs/>
                <w:szCs w:val="21"/>
              </w:rPr>
              <w:t>四档（15分）：系统架构非常符合本次采购内容，方案内容完善、阐述的详细、满足项目业务需求、对业务理解非常准确、把握到位，系统功能设计全面，涵盖项目所需的所有核心功能和拓展功能，无任何功能缺失且有一定的前瞻性，能满足未来可能的业务拓展需求，功能设计完全不仅符合现有业务逻辑，还对业务流程有一定的优化和创新，内容精准无误，可作为系统开发和维护的重要参考资料。</w:t>
            </w:r>
          </w:p>
        </w:tc>
      </w:tr>
      <w:tr w14:paraId="0E3EE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730" w:type="dxa"/>
            <w:vMerge w:val="continue"/>
            <w:vAlign w:val="center"/>
          </w:tcPr>
          <w:p w14:paraId="7758780D">
            <w:pPr>
              <w:adjustRightInd w:val="0"/>
              <w:spacing w:line="360" w:lineRule="auto"/>
              <w:jc w:val="center"/>
              <w:textAlignment w:val="baseline"/>
              <w:rPr>
                <w:rFonts w:ascii="宋体" w:hAnsi="宋体"/>
                <w:b/>
                <w:color w:val="auto"/>
                <w:szCs w:val="21"/>
                <w:highlight w:val="none"/>
              </w:rPr>
            </w:pPr>
          </w:p>
        </w:tc>
        <w:tc>
          <w:tcPr>
            <w:tcW w:w="1145" w:type="dxa"/>
            <w:vMerge w:val="continue"/>
            <w:vAlign w:val="center"/>
          </w:tcPr>
          <w:p w14:paraId="2DAF1F0E">
            <w:pPr>
              <w:adjustRightInd w:val="0"/>
              <w:spacing w:line="360" w:lineRule="auto"/>
              <w:jc w:val="center"/>
              <w:textAlignment w:val="baseline"/>
              <w:rPr>
                <w:rFonts w:ascii="宋体" w:hAnsi="宋体"/>
                <w:b/>
                <w:color w:val="auto"/>
                <w:szCs w:val="21"/>
                <w:highlight w:val="none"/>
              </w:rPr>
            </w:pPr>
          </w:p>
        </w:tc>
        <w:tc>
          <w:tcPr>
            <w:tcW w:w="668" w:type="dxa"/>
            <w:vMerge w:val="continue"/>
            <w:vAlign w:val="center"/>
          </w:tcPr>
          <w:p w14:paraId="30E77CE4">
            <w:pPr>
              <w:adjustRightInd w:val="0"/>
              <w:spacing w:line="360" w:lineRule="auto"/>
              <w:jc w:val="center"/>
              <w:textAlignment w:val="baseline"/>
              <w:rPr>
                <w:rFonts w:ascii="宋体" w:hAnsi="宋体"/>
                <w:b/>
                <w:color w:val="auto"/>
                <w:szCs w:val="21"/>
                <w:highlight w:val="none"/>
              </w:rPr>
            </w:pPr>
          </w:p>
        </w:tc>
        <w:tc>
          <w:tcPr>
            <w:tcW w:w="1740" w:type="dxa"/>
            <w:vAlign w:val="center"/>
          </w:tcPr>
          <w:p w14:paraId="263971A4">
            <w:pPr>
              <w:adjustRightInd w:val="0"/>
              <w:spacing w:line="360" w:lineRule="auto"/>
              <w:jc w:val="center"/>
              <w:textAlignment w:val="baseline"/>
              <w:rPr>
                <w:rFonts w:ascii="宋体" w:hAnsi="宋体"/>
                <w:bCs/>
                <w:color w:val="auto"/>
                <w:szCs w:val="21"/>
                <w:highlight w:val="none"/>
              </w:rPr>
            </w:pPr>
            <w:r>
              <w:rPr>
                <w:rFonts w:hint="eastAsia" w:hAnsi="宋体" w:cs="宋体"/>
                <w:b/>
                <w:bCs/>
                <w:color w:val="auto"/>
                <w:szCs w:val="21"/>
                <w:highlight w:val="none"/>
              </w:rPr>
              <w:t>技术服务方案分</w:t>
            </w:r>
            <w:r>
              <w:rPr>
                <w:rFonts w:hint="eastAsia" w:ascii="宋体" w:hAnsi="宋体" w:cs="微软雅黑"/>
                <w:b/>
                <w:color w:val="auto"/>
                <w:szCs w:val="21"/>
                <w:highlight w:val="none"/>
              </w:rPr>
              <w:t>（满分30分）</w:t>
            </w:r>
          </w:p>
        </w:tc>
        <w:tc>
          <w:tcPr>
            <w:tcW w:w="5350" w:type="dxa"/>
            <w:vAlign w:val="center"/>
          </w:tcPr>
          <w:p w14:paraId="359630FD">
            <w:pPr>
              <w:widowControl/>
              <w:snapToGrid w:val="0"/>
              <w:spacing w:line="360" w:lineRule="auto"/>
              <w:rPr>
                <w:rFonts w:hAnsi="宋体"/>
                <w:bCs/>
                <w:color w:val="auto"/>
                <w:szCs w:val="21"/>
                <w:highlight w:val="none"/>
              </w:rPr>
            </w:pPr>
            <w:r>
              <w:rPr>
                <w:rFonts w:hint="eastAsia" w:hAnsi="宋体"/>
                <w:bCs/>
                <w:color w:val="auto"/>
                <w:szCs w:val="21"/>
                <w:highlight w:val="none"/>
              </w:rPr>
              <w:t>一档（0分）：投标人未提供技术服务方案得0分。</w:t>
            </w:r>
          </w:p>
          <w:p w14:paraId="7B4A48CE">
            <w:pPr>
              <w:widowControl/>
              <w:snapToGrid w:val="0"/>
              <w:spacing w:line="360" w:lineRule="auto"/>
              <w:rPr>
                <w:rFonts w:hAnsi="宋体"/>
                <w:bCs/>
                <w:color w:val="auto"/>
                <w:szCs w:val="21"/>
                <w:highlight w:val="none"/>
              </w:rPr>
            </w:pPr>
            <w:r>
              <w:rPr>
                <w:rFonts w:hint="eastAsia" w:hAnsi="宋体"/>
                <w:bCs/>
                <w:color w:val="auto"/>
                <w:szCs w:val="21"/>
                <w:highlight w:val="none"/>
              </w:rPr>
              <w:t>二档（10分）：投标人提供了技术服务方案，方案描述了项目组织实施安排、技术服务方案的；</w:t>
            </w:r>
          </w:p>
          <w:p w14:paraId="343B2842">
            <w:pPr>
              <w:widowControl/>
              <w:snapToGrid w:val="0"/>
              <w:spacing w:line="360" w:lineRule="auto"/>
              <w:rPr>
                <w:rFonts w:hAnsi="宋体"/>
                <w:bCs/>
                <w:color w:val="auto"/>
                <w:szCs w:val="21"/>
                <w:highlight w:val="none"/>
              </w:rPr>
            </w:pPr>
            <w:r>
              <w:rPr>
                <w:rFonts w:hint="eastAsia" w:hAnsi="宋体"/>
                <w:bCs/>
                <w:color w:val="auto"/>
                <w:szCs w:val="21"/>
                <w:highlight w:val="none"/>
              </w:rPr>
              <w:t>三档（20分）：投标人提供了详细的技术服务方案，方案详细描述了项目组织实施安排、人员安排以及技术服务方案，且各种服务文档规范齐全；</w:t>
            </w:r>
          </w:p>
          <w:p w14:paraId="24951F05">
            <w:pPr>
              <w:widowControl/>
              <w:snapToGrid w:val="0"/>
              <w:spacing w:line="360" w:lineRule="auto"/>
              <w:rPr>
                <w:rFonts w:ascii="宋体" w:hAnsi="宋体"/>
                <w:bCs/>
                <w:color w:val="auto"/>
                <w:szCs w:val="21"/>
                <w:highlight w:val="none"/>
              </w:rPr>
            </w:pPr>
            <w:r>
              <w:rPr>
                <w:rFonts w:hint="eastAsia" w:hAnsi="宋体"/>
                <w:bCs/>
                <w:color w:val="auto"/>
                <w:szCs w:val="21"/>
                <w:highlight w:val="none"/>
              </w:rPr>
              <w:t>四档（30分）：投标人提供了可行的服务方案，方案详细描述了可行的项目组织实施安排、人员安排以及针对本项目提供的技术服务方案，具有针对本项目定制的相关业务系统匹配服务方案，以及人员培训方案，且各种服务文档规范齐全。</w:t>
            </w:r>
          </w:p>
        </w:tc>
      </w:tr>
      <w:tr w14:paraId="5BE07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vMerge w:val="continue"/>
            <w:vAlign w:val="center"/>
          </w:tcPr>
          <w:p w14:paraId="4E3688CB">
            <w:pPr>
              <w:adjustRightInd w:val="0"/>
              <w:spacing w:line="360" w:lineRule="auto"/>
              <w:jc w:val="center"/>
              <w:textAlignment w:val="baseline"/>
              <w:rPr>
                <w:rFonts w:ascii="宋体" w:hAnsi="宋体"/>
                <w:b/>
                <w:color w:val="auto"/>
                <w:szCs w:val="21"/>
                <w:highlight w:val="none"/>
              </w:rPr>
            </w:pPr>
          </w:p>
        </w:tc>
        <w:tc>
          <w:tcPr>
            <w:tcW w:w="1145" w:type="dxa"/>
            <w:vMerge w:val="continue"/>
            <w:vAlign w:val="center"/>
          </w:tcPr>
          <w:p w14:paraId="0039D9B4">
            <w:pPr>
              <w:adjustRightInd w:val="0"/>
              <w:spacing w:line="360" w:lineRule="auto"/>
              <w:jc w:val="center"/>
              <w:textAlignment w:val="baseline"/>
              <w:rPr>
                <w:rFonts w:ascii="宋体" w:hAnsi="宋体"/>
                <w:b/>
                <w:color w:val="auto"/>
                <w:szCs w:val="21"/>
                <w:highlight w:val="none"/>
              </w:rPr>
            </w:pPr>
          </w:p>
        </w:tc>
        <w:tc>
          <w:tcPr>
            <w:tcW w:w="668" w:type="dxa"/>
            <w:vMerge w:val="continue"/>
            <w:vAlign w:val="center"/>
          </w:tcPr>
          <w:p w14:paraId="2F3ACC41">
            <w:pPr>
              <w:adjustRightInd w:val="0"/>
              <w:spacing w:line="360" w:lineRule="auto"/>
              <w:jc w:val="center"/>
              <w:textAlignment w:val="baseline"/>
              <w:rPr>
                <w:rFonts w:ascii="宋体" w:hAnsi="宋体"/>
                <w:b/>
                <w:color w:val="auto"/>
                <w:szCs w:val="21"/>
                <w:highlight w:val="none"/>
              </w:rPr>
            </w:pPr>
          </w:p>
        </w:tc>
        <w:tc>
          <w:tcPr>
            <w:tcW w:w="1740" w:type="dxa"/>
            <w:vAlign w:val="center"/>
          </w:tcPr>
          <w:p w14:paraId="4B159C85">
            <w:pPr>
              <w:adjustRightInd w:val="0"/>
              <w:spacing w:line="360" w:lineRule="auto"/>
              <w:jc w:val="center"/>
              <w:textAlignment w:val="baseline"/>
              <w:rPr>
                <w:rFonts w:ascii="宋体" w:hAnsi="宋体"/>
                <w:bCs/>
                <w:color w:val="auto"/>
                <w:szCs w:val="21"/>
                <w:highlight w:val="none"/>
              </w:rPr>
            </w:pPr>
            <w:r>
              <w:rPr>
                <w:rFonts w:hint="eastAsia" w:hAnsi="宋体" w:cs="宋体"/>
                <w:b/>
                <w:bCs/>
                <w:color w:val="auto"/>
                <w:szCs w:val="21"/>
                <w:highlight w:val="none"/>
              </w:rPr>
              <w:t>运维售后服务方案分</w:t>
            </w:r>
            <w:r>
              <w:rPr>
                <w:rFonts w:hint="eastAsia" w:ascii="宋体" w:hAnsi="宋体" w:cs="微软雅黑"/>
                <w:b/>
                <w:color w:val="auto"/>
                <w:szCs w:val="21"/>
                <w:highlight w:val="none"/>
              </w:rPr>
              <w:t>（满分2</w:t>
            </w:r>
            <w:r>
              <w:rPr>
                <w:rFonts w:ascii="宋体" w:hAnsi="宋体" w:cs="微软雅黑"/>
                <w:b/>
                <w:color w:val="auto"/>
                <w:szCs w:val="21"/>
                <w:highlight w:val="none"/>
              </w:rPr>
              <w:t>0</w:t>
            </w:r>
            <w:r>
              <w:rPr>
                <w:rFonts w:hint="eastAsia" w:ascii="宋体" w:hAnsi="宋体" w:cs="微软雅黑"/>
                <w:b/>
                <w:color w:val="auto"/>
                <w:szCs w:val="21"/>
                <w:highlight w:val="none"/>
              </w:rPr>
              <w:t>分）</w:t>
            </w:r>
          </w:p>
        </w:tc>
        <w:tc>
          <w:tcPr>
            <w:tcW w:w="5350" w:type="dxa"/>
            <w:vAlign w:val="center"/>
          </w:tcPr>
          <w:p w14:paraId="19AA2E1C">
            <w:pPr>
              <w:widowControl/>
              <w:snapToGrid w:val="0"/>
              <w:spacing w:line="360" w:lineRule="auto"/>
              <w:rPr>
                <w:rFonts w:hAnsi="宋体"/>
                <w:bCs/>
                <w:color w:val="auto"/>
                <w:szCs w:val="21"/>
                <w:highlight w:val="none"/>
              </w:rPr>
            </w:pPr>
            <w:r>
              <w:rPr>
                <w:rFonts w:hint="eastAsia" w:hAnsi="宋体"/>
                <w:bCs/>
                <w:color w:val="auto"/>
                <w:szCs w:val="21"/>
                <w:highlight w:val="none"/>
              </w:rPr>
              <w:t>一档（0分）：投标人未提供运维售后服务方案得0分。</w:t>
            </w:r>
          </w:p>
          <w:p w14:paraId="2DAAEDD3">
            <w:pPr>
              <w:widowControl/>
              <w:snapToGrid w:val="0"/>
              <w:spacing w:line="360" w:lineRule="auto"/>
              <w:rPr>
                <w:rFonts w:hAnsi="宋体"/>
                <w:bCs/>
                <w:color w:val="auto"/>
                <w:szCs w:val="21"/>
                <w:highlight w:val="none"/>
              </w:rPr>
            </w:pPr>
            <w:r>
              <w:rPr>
                <w:rFonts w:hint="eastAsia" w:hAnsi="宋体"/>
                <w:bCs/>
                <w:color w:val="auto"/>
                <w:szCs w:val="21"/>
                <w:highlight w:val="none"/>
              </w:rPr>
              <w:t>二档（7分）：质量保证措施和售后服务承诺较简单；售后响应时间不及时或较慢，无具体承诺或不适用，服务内容、保障措施简单。</w:t>
            </w:r>
          </w:p>
          <w:p w14:paraId="3143197C">
            <w:pPr>
              <w:widowControl/>
              <w:snapToGrid w:val="0"/>
              <w:spacing w:line="360" w:lineRule="auto"/>
              <w:rPr>
                <w:rFonts w:hAnsi="宋体"/>
                <w:bCs/>
                <w:color w:val="auto"/>
                <w:szCs w:val="21"/>
                <w:highlight w:val="none"/>
              </w:rPr>
            </w:pPr>
            <w:r>
              <w:rPr>
                <w:rFonts w:hint="eastAsia" w:hAnsi="宋体"/>
                <w:bCs/>
                <w:color w:val="auto"/>
                <w:szCs w:val="21"/>
                <w:highlight w:val="none"/>
              </w:rPr>
              <w:t>三档（14分）：质量保证措施和售后服务承诺基本满足采购文件要求，安排较具体，内容完整、可行，售后响应时间满足招标文件要求，有具体承诺，服务内容、保障措施较为详细。</w:t>
            </w:r>
          </w:p>
          <w:p w14:paraId="694B7EF6">
            <w:pPr>
              <w:widowControl/>
              <w:snapToGrid w:val="0"/>
              <w:spacing w:line="360" w:lineRule="auto"/>
              <w:rPr>
                <w:rFonts w:ascii="宋体" w:hAnsi="宋体"/>
                <w:bCs/>
                <w:color w:val="auto"/>
                <w:szCs w:val="21"/>
                <w:highlight w:val="none"/>
              </w:rPr>
            </w:pPr>
            <w:r>
              <w:rPr>
                <w:rFonts w:hint="eastAsia" w:hAnsi="宋体"/>
                <w:bCs/>
                <w:color w:val="auto"/>
                <w:szCs w:val="21"/>
                <w:highlight w:val="none"/>
              </w:rPr>
              <w:t>四档（20分）：质量保证措施和售后服务承诺充分满足采购文件要求，安排详细具体，提供具体技术支持服务、服务质量保障、服务管理规范、应急处置方案等内容，内容完整、齐全、可行，有针对性。</w:t>
            </w:r>
          </w:p>
        </w:tc>
      </w:tr>
      <w:tr w14:paraId="179DE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vMerge w:val="restart"/>
            <w:vAlign w:val="center"/>
          </w:tcPr>
          <w:p w14:paraId="27FCF273">
            <w:pPr>
              <w:adjustRightInd w:val="0"/>
              <w:spacing w:line="360" w:lineRule="auto"/>
              <w:jc w:val="center"/>
              <w:textAlignment w:val="baseline"/>
              <w:rPr>
                <w:rFonts w:ascii="宋体" w:hAnsi="宋体"/>
                <w:b/>
                <w:color w:val="auto"/>
                <w:szCs w:val="21"/>
                <w:highlight w:val="none"/>
              </w:rPr>
            </w:pPr>
            <w:r>
              <w:rPr>
                <w:rFonts w:hint="eastAsia" w:ascii="宋体" w:hAnsi="宋体"/>
                <w:b/>
                <w:color w:val="auto"/>
                <w:szCs w:val="21"/>
                <w:highlight w:val="none"/>
              </w:rPr>
              <w:t>3</w:t>
            </w:r>
          </w:p>
        </w:tc>
        <w:tc>
          <w:tcPr>
            <w:tcW w:w="1145" w:type="dxa"/>
            <w:vMerge w:val="restart"/>
            <w:vAlign w:val="center"/>
          </w:tcPr>
          <w:p w14:paraId="5B778DAE">
            <w:pPr>
              <w:spacing w:line="360" w:lineRule="exact"/>
              <w:jc w:val="center"/>
              <w:rPr>
                <w:rFonts w:ascii="宋体" w:hAnsi="宋体"/>
                <w:b/>
                <w:color w:val="auto"/>
                <w:szCs w:val="21"/>
                <w:highlight w:val="none"/>
              </w:rPr>
            </w:pPr>
            <w:r>
              <w:rPr>
                <w:rFonts w:hint="eastAsia" w:ascii="宋体" w:hAnsi="宋体"/>
                <w:b/>
                <w:bCs/>
                <w:color w:val="auto"/>
                <w:szCs w:val="21"/>
                <w:highlight w:val="none"/>
              </w:rPr>
              <w:t>商务分</w:t>
            </w:r>
          </w:p>
        </w:tc>
        <w:tc>
          <w:tcPr>
            <w:tcW w:w="668" w:type="dxa"/>
            <w:vMerge w:val="restart"/>
            <w:vAlign w:val="center"/>
          </w:tcPr>
          <w:p w14:paraId="55515408">
            <w:pPr>
              <w:adjustRightInd w:val="0"/>
              <w:spacing w:line="360" w:lineRule="auto"/>
              <w:jc w:val="center"/>
              <w:textAlignment w:val="baseline"/>
              <w:rPr>
                <w:rFonts w:ascii="宋体" w:hAnsi="宋体"/>
                <w:b/>
                <w:color w:val="auto"/>
                <w:szCs w:val="21"/>
                <w:highlight w:val="none"/>
              </w:rPr>
            </w:pPr>
            <w:r>
              <w:rPr>
                <w:rFonts w:hint="eastAsia" w:ascii="宋体" w:hAnsi="宋体"/>
                <w:b/>
                <w:color w:val="auto"/>
                <w:szCs w:val="21"/>
                <w:highlight w:val="none"/>
              </w:rPr>
              <w:t>25分</w:t>
            </w:r>
          </w:p>
        </w:tc>
        <w:tc>
          <w:tcPr>
            <w:tcW w:w="1740" w:type="dxa"/>
            <w:vAlign w:val="center"/>
          </w:tcPr>
          <w:p w14:paraId="291FD669">
            <w:pPr>
              <w:widowControl/>
              <w:spacing w:line="360" w:lineRule="auto"/>
              <w:jc w:val="center"/>
              <w:rPr>
                <w:rFonts w:hAnsi="宋体"/>
                <w:b/>
                <w:bCs/>
                <w:color w:val="auto"/>
                <w:highlight w:val="none"/>
              </w:rPr>
            </w:pPr>
            <w:r>
              <w:rPr>
                <w:rFonts w:hint="eastAsia" w:ascii="宋体" w:hAnsi="宋体" w:cs="Courier New"/>
                <w:b/>
                <w:color w:val="auto"/>
                <w:szCs w:val="21"/>
                <w:highlight w:val="none"/>
              </w:rPr>
              <w:t>项目人员配备分（满分9分）</w:t>
            </w:r>
          </w:p>
        </w:tc>
        <w:tc>
          <w:tcPr>
            <w:tcW w:w="5350" w:type="dxa"/>
          </w:tcPr>
          <w:p w14:paraId="4DECA3EA">
            <w:pPr>
              <w:widowControl/>
              <w:snapToGrid w:val="0"/>
              <w:spacing w:line="360" w:lineRule="auto"/>
              <w:rPr>
                <w:rFonts w:hAnsi="宋体"/>
                <w:bCs/>
                <w:color w:val="auto"/>
                <w:szCs w:val="21"/>
                <w:highlight w:val="none"/>
              </w:rPr>
            </w:pPr>
            <w:r>
              <w:rPr>
                <w:rFonts w:hint="eastAsia" w:hAnsi="宋体"/>
                <w:bCs/>
                <w:color w:val="auto"/>
                <w:szCs w:val="21"/>
                <w:highlight w:val="none"/>
              </w:rPr>
              <w:t>1、投标人提供拟投入人员分配方案中对各组织的职责（任务）、人员构成包括主要人员的专业水平及经验方面的情况进行了详细阐述的，得5分。</w:t>
            </w:r>
          </w:p>
          <w:p w14:paraId="1C079528">
            <w:pPr>
              <w:widowControl/>
              <w:snapToGrid w:val="0"/>
              <w:spacing w:line="360" w:lineRule="auto"/>
              <w:rPr>
                <w:rFonts w:hAnsi="宋体"/>
                <w:bCs/>
                <w:color w:val="auto"/>
                <w:highlight w:val="none"/>
              </w:rPr>
            </w:pPr>
            <w:r>
              <w:rPr>
                <w:rFonts w:hint="eastAsia" w:hAnsi="宋体"/>
                <w:bCs/>
                <w:color w:val="auto"/>
                <w:szCs w:val="21"/>
                <w:highlight w:val="none"/>
              </w:rPr>
              <w:t>2、项目实施人员配置具有中级及以上职称证书或具有中华人民共和国工业和信息化部颁发的软考中级及以上职称证书的不少于4人，每人得1分，满分4分。（须提供拟投入本项目的相关专业技术人员相关证明材料（如：职称证书等），评审时以提供的证明材料为准。）</w:t>
            </w:r>
          </w:p>
        </w:tc>
      </w:tr>
      <w:tr w14:paraId="017F3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vMerge w:val="continue"/>
            <w:vAlign w:val="center"/>
          </w:tcPr>
          <w:p w14:paraId="43494083">
            <w:pPr>
              <w:adjustRightInd w:val="0"/>
              <w:spacing w:line="360" w:lineRule="auto"/>
              <w:jc w:val="center"/>
              <w:textAlignment w:val="baseline"/>
              <w:rPr>
                <w:rFonts w:ascii="宋体" w:hAnsi="宋体"/>
                <w:b/>
                <w:color w:val="auto"/>
                <w:szCs w:val="21"/>
                <w:highlight w:val="none"/>
              </w:rPr>
            </w:pPr>
          </w:p>
        </w:tc>
        <w:tc>
          <w:tcPr>
            <w:tcW w:w="1145" w:type="dxa"/>
            <w:vMerge w:val="continue"/>
            <w:vAlign w:val="center"/>
          </w:tcPr>
          <w:p w14:paraId="3BEBF5D0">
            <w:pPr>
              <w:spacing w:line="360" w:lineRule="exact"/>
              <w:jc w:val="center"/>
              <w:rPr>
                <w:rFonts w:ascii="宋体" w:hAnsi="宋体"/>
                <w:b/>
                <w:bCs/>
                <w:color w:val="auto"/>
                <w:szCs w:val="21"/>
                <w:highlight w:val="none"/>
              </w:rPr>
            </w:pPr>
          </w:p>
        </w:tc>
        <w:tc>
          <w:tcPr>
            <w:tcW w:w="668" w:type="dxa"/>
            <w:vMerge w:val="continue"/>
            <w:vAlign w:val="center"/>
          </w:tcPr>
          <w:p w14:paraId="6C24E41E">
            <w:pPr>
              <w:adjustRightInd w:val="0"/>
              <w:spacing w:line="360" w:lineRule="auto"/>
              <w:jc w:val="center"/>
              <w:textAlignment w:val="baseline"/>
              <w:rPr>
                <w:rFonts w:ascii="宋体" w:hAnsi="宋体"/>
                <w:b/>
                <w:color w:val="auto"/>
                <w:szCs w:val="21"/>
                <w:highlight w:val="none"/>
              </w:rPr>
            </w:pPr>
          </w:p>
        </w:tc>
        <w:tc>
          <w:tcPr>
            <w:tcW w:w="1740" w:type="dxa"/>
            <w:vAlign w:val="center"/>
          </w:tcPr>
          <w:p w14:paraId="1C1B16EA">
            <w:pPr>
              <w:widowControl/>
              <w:spacing w:line="360" w:lineRule="auto"/>
              <w:jc w:val="center"/>
              <w:rPr>
                <w:rFonts w:ascii="宋体" w:hAnsi="宋体"/>
                <w:color w:val="auto"/>
                <w:szCs w:val="21"/>
                <w:highlight w:val="none"/>
              </w:rPr>
            </w:pPr>
            <w:r>
              <w:rPr>
                <w:rFonts w:hint="eastAsia" w:ascii="宋体" w:hAnsi="宋体" w:cs="微软雅黑"/>
                <w:b/>
                <w:bCs/>
                <w:color w:val="auto"/>
                <w:szCs w:val="21"/>
                <w:highlight w:val="none"/>
              </w:rPr>
              <w:t>业绩分（满分</w:t>
            </w:r>
            <w:r>
              <w:rPr>
                <w:rFonts w:ascii="宋体" w:hAnsi="宋体" w:cs="微软雅黑"/>
                <w:b/>
                <w:bCs/>
                <w:color w:val="auto"/>
                <w:szCs w:val="21"/>
                <w:highlight w:val="none"/>
              </w:rPr>
              <w:t>10</w:t>
            </w:r>
            <w:r>
              <w:rPr>
                <w:rFonts w:hint="eastAsia" w:ascii="宋体" w:hAnsi="宋体" w:cs="微软雅黑"/>
                <w:b/>
                <w:bCs/>
                <w:color w:val="auto"/>
                <w:szCs w:val="21"/>
                <w:highlight w:val="none"/>
              </w:rPr>
              <w:t>分）</w:t>
            </w:r>
          </w:p>
        </w:tc>
        <w:tc>
          <w:tcPr>
            <w:tcW w:w="5350" w:type="dxa"/>
          </w:tcPr>
          <w:p w14:paraId="02862664">
            <w:pPr>
              <w:widowControl/>
              <w:snapToGrid w:val="0"/>
              <w:spacing w:line="360" w:lineRule="auto"/>
              <w:rPr>
                <w:rFonts w:hAnsi="宋体"/>
                <w:color w:val="auto"/>
                <w:highlight w:val="none"/>
              </w:rPr>
            </w:pPr>
            <w:r>
              <w:rPr>
                <w:rFonts w:hint="eastAsia" w:hAnsi="宋体"/>
                <w:bCs/>
                <w:color w:val="auto"/>
                <w:szCs w:val="21"/>
                <w:highlight w:val="none"/>
              </w:rPr>
              <w:t>投标人自2023年01月01日以来完成过类似项目业绩的，每提供1项得2分，满分10分；不提供不得分。（须提供项目合同</w:t>
            </w:r>
            <w:r>
              <w:rPr>
                <w:rFonts w:hint="eastAsia" w:hAnsi="宋体"/>
                <w:bCs/>
                <w:color w:val="auto"/>
                <w:szCs w:val="21"/>
                <w:highlight w:val="none"/>
                <w:lang w:val="en-US" w:eastAsia="zh-CN"/>
              </w:rPr>
              <w:t>或</w:t>
            </w:r>
            <w:r>
              <w:rPr>
                <w:rFonts w:hint="eastAsia" w:hAnsi="宋体"/>
                <w:bCs/>
                <w:color w:val="auto"/>
                <w:szCs w:val="21"/>
                <w:highlight w:val="none"/>
              </w:rPr>
              <w:t>中标（成交）通知书复印件并加盖投标人公章）</w:t>
            </w:r>
          </w:p>
        </w:tc>
      </w:tr>
      <w:tr w14:paraId="1A499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vMerge w:val="continue"/>
            <w:vAlign w:val="center"/>
          </w:tcPr>
          <w:p w14:paraId="53300C91">
            <w:pPr>
              <w:adjustRightInd w:val="0"/>
              <w:spacing w:line="360" w:lineRule="auto"/>
              <w:jc w:val="center"/>
              <w:textAlignment w:val="baseline"/>
              <w:rPr>
                <w:rFonts w:ascii="宋体" w:hAnsi="宋体"/>
                <w:b/>
                <w:color w:val="auto"/>
                <w:szCs w:val="21"/>
                <w:highlight w:val="none"/>
              </w:rPr>
            </w:pPr>
          </w:p>
        </w:tc>
        <w:tc>
          <w:tcPr>
            <w:tcW w:w="1145" w:type="dxa"/>
            <w:vMerge w:val="continue"/>
            <w:vAlign w:val="center"/>
          </w:tcPr>
          <w:p w14:paraId="50D62FB6">
            <w:pPr>
              <w:adjustRightInd w:val="0"/>
              <w:spacing w:line="360" w:lineRule="auto"/>
              <w:jc w:val="center"/>
              <w:textAlignment w:val="baseline"/>
              <w:rPr>
                <w:rFonts w:ascii="宋体" w:hAnsi="宋体"/>
                <w:b/>
                <w:color w:val="auto"/>
                <w:szCs w:val="21"/>
                <w:highlight w:val="none"/>
              </w:rPr>
            </w:pPr>
          </w:p>
        </w:tc>
        <w:tc>
          <w:tcPr>
            <w:tcW w:w="668" w:type="dxa"/>
            <w:vMerge w:val="continue"/>
            <w:vAlign w:val="center"/>
          </w:tcPr>
          <w:p w14:paraId="47F54C20">
            <w:pPr>
              <w:adjustRightInd w:val="0"/>
              <w:spacing w:line="440" w:lineRule="exact"/>
              <w:jc w:val="center"/>
              <w:textAlignment w:val="baseline"/>
              <w:rPr>
                <w:rFonts w:ascii="宋体" w:hAnsi="宋体" w:cs="Courier New"/>
                <w:bCs/>
                <w:color w:val="auto"/>
                <w:szCs w:val="21"/>
                <w:highlight w:val="none"/>
              </w:rPr>
            </w:pPr>
          </w:p>
        </w:tc>
        <w:tc>
          <w:tcPr>
            <w:tcW w:w="1740" w:type="dxa"/>
            <w:vAlign w:val="center"/>
          </w:tcPr>
          <w:p w14:paraId="0B083B95">
            <w:pPr>
              <w:widowControl/>
              <w:spacing w:line="360" w:lineRule="auto"/>
              <w:jc w:val="center"/>
              <w:rPr>
                <w:rFonts w:ascii="宋体" w:hAnsi="宋体" w:cs="Courier New"/>
                <w:bCs/>
                <w:color w:val="auto"/>
                <w:szCs w:val="21"/>
                <w:highlight w:val="none"/>
              </w:rPr>
            </w:pPr>
            <w:r>
              <w:rPr>
                <w:rFonts w:hint="eastAsia" w:ascii="宋体" w:hAnsi="宋体" w:cs="微软雅黑"/>
                <w:b/>
                <w:bCs/>
                <w:color w:val="auto"/>
                <w:szCs w:val="21"/>
                <w:highlight w:val="none"/>
              </w:rPr>
              <w:t>服务能力（满分6分）</w:t>
            </w:r>
          </w:p>
        </w:tc>
        <w:tc>
          <w:tcPr>
            <w:tcW w:w="5350" w:type="dxa"/>
          </w:tcPr>
          <w:p w14:paraId="37C8EC98">
            <w:pPr>
              <w:widowControl/>
              <w:snapToGrid w:val="0"/>
              <w:spacing w:line="360" w:lineRule="auto"/>
              <w:rPr>
                <w:rFonts w:hAnsi="宋体"/>
                <w:bCs/>
                <w:color w:val="auto"/>
                <w:szCs w:val="21"/>
                <w:highlight w:val="none"/>
              </w:rPr>
            </w:pPr>
            <w:r>
              <w:rPr>
                <w:rFonts w:hint="eastAsia" w:hAnsi="宋体"/>
                <w:bCs/>
                <w:color w:val="auto"/>
                <w:szCs w:val="21"/>
                <w:highlight w:val="none"/>
              </w:rPr>
              <w:t>1、投标人具有ISO9001质量管理体系认证证书得</w:t>
            </w:r>
            <w:r>
              <w:rPr>
                <w:rFonts w:hint="eastAsia" w:hAnsi="宋体"/>
                <w:bCs/>
                <w:color w:val="auto"/>
                <w:szCs w:val="21"/>
                <w:highlight w:val="none"/>
                <w:lang w:val="en-US" w:eastAsia="zh-CN"/>
              </w:rPr>
              <w:t>1</w:t>
            </w:r>
            <w:r>
              <w:rPr>
                <w:rFonts w:hint="eastAsia" w:hAnsi="宋体"/>
                <w:bCs/>
                <w:color w:val="auto"/>
                <w:szCs w:val="21"/>
                <w:highlight w:val="none"/>
              </w:rPr>
              <w:t>分（须提供有效的认证证书复印件并加盖投标人公章）；</w:t>
            </w:r>
          </w:p>
          <w:p w14:paraId="5A23A0C2">
            <w:pPr>
              <w:widowControl/>
              <w:snapToGrid w:val="0"/>
              <w:spacing w:line="360" w:lineRule="auto"/>
              <w:rPr>
                <w:rFonts w:hAnsi="宋体"/>
                <w:bCs/>
                <w:color w:val="auto"/>
                <w:szCs w:val="21"/>
                <w:highlight w:val="none"/>
              </w:rPr>
            </w:pPr>
            <w:r>
              <w:rPr>
                <w:rFonts w:hint="eastAsia" w:hAnsi="宋体"/>
                <w:bCs/>
                <w:color w:val="auto"/>
                <w:szCs w:val="21"/>
                <w:highlight w:val="none"/>
              </w:rPr>
              <w:t>2、投标人具有ISO20000信息技术服务管理体系认证证书得</w:t>
            </w:r>
            <w:r>
              <w:rPr>
                <w:rFonts w:hint="eastAsia" w:hAnsi="宋体"/>
                <w:bCs/>
                <w:color w:val="auto"/>
                <w:szCs w:val="21"/>
                <w:highlight w:val="none"/>
                <w:lang w:val="en-US" w:eastAsia="zh-CN"/>
              </w:rPr>
              <w:t>1</w:t>
            </w:r>
            <w:r>
              <w:rPr>
                <w:rFonts w:hint="eastAsia" w:hAnsi="宋体"/>
                <w:bCs/>
                <w:color w:val="auto"/>
                <w:szCs w:val="21"/>
                <w:highlight w:val="none"/>
              </w:rPr>
              <w:t>分（须提供有效的认证证书复印件并加盖投标人公章）；</w:t>
            </w:r>
          </w:p>
          <w:p w14:paraId="218CD0BB">
            <w:pPr>
              <w:widowControl/>
              <w:snapToGrid w:val="0"/>
              <w:spacing w:line="360" w:lineRule="auto"/>
              <w:rPr>
                <w:rFonts w:hAnsi="宋体"/>
                <w:bCs/>
                <w:color w:val="auto"/>
                <w:szCs w:val="21"/>
                <w:highlight w:val="none"/>
              </w:rPr>
            </w:pPr>
            <w:r>
              <w:rPr>
                <w:rFonts w:hint="eastAsia" w:hAnsi="宋体"/>
                <w:bCs/>
                <w:color w:val="auto"/>
                <w:szCs w:val="21"/>
                <w:highlight w:val="none"/>
              </w:rPr>
              <w:t>3、投标人具有ISO27001信息安全管理体系认证证书得</w:t>
            </w:r>
            <w:r>
              <w:rPr>
                <w:rFonts w:hint="eastAsia" w:hAnsi="宋体"/>
                <w:bCs/>
                <w:color w:val="auto"/>
                <w:szCs w:val="21"/>
                <w:highlight w:val="none"/>
                <w:lang w:val="en-US" w:eastAsia="zh-CN"/>
              </w:rPr>
              <w:t>1</w:t>
            </w:r>
            <w:r>
              <w:rPr>
                <w:rFonts w:hint="eastAsia" w:hAnsi="宋体"/>
                <w:bCs/>
                <w:color w:val="auto"/>
                <w:szCs w:val="21"/>
                <w:highlight w:val="none"/>
              </w:rPr>
              <w:t>分（须提供有效的认证证书复印件并加盖投标人公章）；</w:t>
            </w:r>
          </w:p>
          <w:p w14:paraId="6D1D5801">
            <w:pPr>
              <w:widowControl/>
              <w:snapToGrid w:val="0"/>
              <w:spacing w:line="360" w:lineRule="auto"/>
              <w:rPr>
                <w:rFonts w:hint="eastAsia" w:hAnsi="宋体" w:eastAsia="宋体"/>
                <w:bCs/>
                <w:color w:val="auto"/>
                <w:szCs w:val="21"/>
                <w:highlight w:val="none"/>
                <w:lang w:val="en-US" w:eastAsia="zh-CN"/>
              </w:rPr>
            </w:pPr>
            <w:r>
              <w:rPr>
                <w:rFonts w:hint="eastAsia" w:hAnsi="宋体"/>
                <w:bCs/>
                <w:color w:val="auto"/>
                <w:szCs w:val="21"/>
                <w:highlight w:val="none"/>
                <w:lang w:val="en-US" w:eastAsia="zh-CN"/>
              </w:rPr>
              <w:t>4、投标人提供由中华人民共和国国家版权局颁发的与分标采购内容有关的交通运输类计算机软件著作权登记证书，每提供1项得1分，满分3分。(须提供有效的证书复印件并加盖投标人公章)</w:t>
            </w:r>
          </w:p>
          <w:p w14:paraId="71D7BA70">
            <w:pPr>
              <w:widowControl/>
              <w:snapToGrid w:val="0"/>
              <w:spacing w:line="360" w:lineRule="auto"/>
              <w:rPr>
                <w:rFonts w:hAnsi="宋体" w:cs="Courier New"/>
                <w:bCs/>
                <w:color w:val="auto"/>
                <w:highlight w:val="none"/>
              </w:rPr>
            </w:pPr>
            <w:r>
              <w:rPr>
                <w:rFonts w:hint="eastAsia" w:hAnsi="宋体"/>
                <w:bCs/>
                <w:color w:val="auto"/>
                <w:szCs w:val="21"/>
                <w:highlight w:val="none"/>
              </w:rPr>
              <w:t>注：不提供不得分。</w:t>
            </w:r>
          </w:p>
        </w:tc>
      </w:tr>
      <w:tr w14:paraId="42D09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33" w:type="dxa"/>
            <w:gridSpan w:val="5"/>
            <w:vAlign w:val="center"/>
          </w:tcPr>
          <w:p w14:paraId="429B3779">
            <w:pPr>
              <w:pStyle w:val="23"/>
              <w:spacing w:line="360" w:lineRule="auto"/>
              <w:rPr>
                <w:rFonts w:hAnsi="宋体" w:cs="Courier New"/>
                <w:bCs/>
                <w:color w:val="auto"/>
                <w:kern w:val="2"/>
                <w:sz w:val="21"/>
                <w:highlight w:val="none"/>
              </w:rPr>
            </w:pPr>
            <w:r>
              <w:rPr>
                <w:rFonts w:hint="eastAsia" w:hAnsi="宋体" w:cs="Courier New"/>
                <w:b/>
                <w:bCs/>
                <w:color w:val="auto"/>
                <w:kern w:val="2"/>
                <w:sz w:val="21"/>
                <w:highlight w:val="none"/>
              </w:rPr>
              <w:t>总得分=1+2+3。</w:t>
            </w:r>
          </w:p>
        </w:tc>
      </w:tr>
    </w:tbl>
    <w:p w14:paraId="13BE8656">
      <w:pPr>
        <w:pStyle w:val="23"/>
        <w:spacing w:line="360" w:lineRule="auto"/>
        <w:ind w:firstLine="420"/>
        <w:rPr>
          <w:rFonts w:hAnsi="宋体"/>
          <w:bCs/>
          <w:color w:val="auto"/>
          <w:sz w:val="21"/>
          <w:highlight w:val="none"/>
        </w:rPr>
      </w:pPr>
      <w:r>
        <w:rPr>
          <w:rFonts w:hint="eastAsia" w:hAnsi="宋体"/>
          <w:bCs/>
          <w:color w:val="auto"/>
          <w:sz w:val="21"/>
          <w:highlight w:val="none"/>
        </w:rPr>
        <w:t>注：计分方法按四舍五入取至百分位</w:t>
      </w:r>
    </w:p>
    <w:p w14:paraId="09BD6584">
      <w:pPr>
        <w:rPr>
          <w:rFonts w:hint="eastAsia" w:hAnsi="宋体"/>
          <w:bCs/>
          <w:color w:val="auto"/>
          <w:highlight w:val="none"/>
        </w:rPr>
      </w:pPr>
      <w:r>
        <w:rPr>
          <w:rFonts w:hint="eastAsia" w:hAnsi="宋体"/>
          <w:bCs/>
          <w:color w:val="auto"/>
          <w:highlight w:val="none"/>
        </w:rPr>
        <w:br w:type="page"/>
      </w:r>
    </w:p>
    <w:tbl>
      <w:tblPr>
        <w:tblStyle w:val="47"/>
        <w:tblW w:w="100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200"/>
        <w:gridCol w:w="700"/>
        <w:gridCol w:w="1824"/>
        <w:gridCol w:w="5607"/>
      </w:tblGrid>
      <w:tr w14:paraId="7DA82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0096" w:type="dxa"/>
            <w:gridSpan w:val="5"/>
            <w:vAlign w:val="center"/>
          </w:tcPr>
          <w:p w14:paraId="732D27AB">
            <w:pPr>
              <w:adjustRightInd w:val="0"/>
              <w:spacing w:line="410" w:lineRule="exact"/>
              <w:jc w:val="left"/>
              <w:textAlignment w:val="baseline"/>
              <w:rPr>
                <w:rFonts w:ascii="宋体" w:hAnsi="宋体"/>
                <w:b/>
                <w:szCs w:val="21"/>
              </w:rPr>
            </w:pPr>
            <w:r>
              <w:rPr>
                <w:rFonts w:hint="eastAsia" w:ascii="宋体" w:hAnsi="宋体"/>
                <w:b/>
                <w:sz w:val="28"/>
                <w:szCs w:val="28"/>
              </w:rPr>
              <w:t>适用于3分标</w:t>
            </w:r>
          </w:p>
        </w:tc>
      </w:tr>
      <w:tr w14:paraId="52697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730" w:type="dxa"/>
            <w:vAlign w:val="center"/>
          </w:tcPr>
          <w:p w14:paraId="5C367F15">
            <w:pPr>
              <w:adjustRightInd w:val="0"/>
              <w:spacing w:line="410" w:lineRule="exact"/>
              <w:jc w:val="center"/>
              <w:textAlignment w:val="baseline"/>
              <w:rPr>
                <w:rFonts w:ascii="宋体" w:hAnsi="宋体"/>
                <w:b/>
                <w:szCs w:val="21"/>
              </w:rPr>
            </w:pPr>
            <w:r>
              <w:rPr>
                <w:rFonts w:hint="eastAsia" w:ascii="宋体" w:hAnsi="宋体"/>
                <w:b/>
                <w:szCs w:val="21"/>
              </w:rPr>
              <w:t>序号</w:t>
            </w:r>
          </w:p>
        </w:tc>
        <w:tc>
          <w:tcPr>
            <w:tcW w:w="1145" w:type="dxa"/>
            <w:vAlign w:val="center"/>
          </w:tcPr>
          <w:p w14:paraId="7A820941">
            <w:pPr>
              <w:adjustRightInd w:val="0"/>
              <w:spacing w:line="410" w:lineRule="exact"/>
              <w:jc w:val="center"/>
              <w:textAlignment w:val="baseline"/>
              <w:rPr>
                <w:rFonts w:ascii="宋体" w:hAnsi="宋体"/>
                <w:szCs w:val="21"/>
              </w:rPr>
            </w:pPr>
            <w:r>
              <w:rPr>
                <w:rFonts w:hint="eastAsia" w:ascii="宋体" w:hAnsi="宋体"/>
                <w:b/>
                <w:szCs w:val="21"/>
              </w:rPr>
              <w:t>评审因素</w:t>
            </w:r>
          </w:p>
        </w:tc>
        <w:tc>
          <w:tcPr>
            <w:tcW w:w="668" w:type="dxa"/>
            <w:vAlign w:val="center"/>
          </w:tcPr>
          <w:p w14:paraId="124CE0E0">
            <w:pPr>
              <w:adjustRightInd w:val="0"/>
              <w:spacing w:line="410" w:lineRule="exact"/>
              <w:jc w:val="center"/>
              <w:textAlignment w:val="baseline"/>
              <w:rPr>
                <w:rFonts w:ascii="宋体" w:hAnsi="宋体"/>
                <w:b/>
                <w:szCs w:val="21"/>
              </w:rPr>
            </w:pPr>
            <w:r>
              <w:rPr>
                <w:rFonts w:hint="eastAsia" w:ascii="宋体" w:hAnsi="宋体"/>
                <w:b/>
                <w:szCs w:val="21"/>
              </w:rPr>
              <w:t>分值</w:t>
            </w:r>
          </w:p>
        </w:tc>
        <w:tc>
          <w:tcPr>
            <w:tcW w:w="7090" w:type="dxa"/>
            <w:gridSpan w:val="2"/>
            <w:vAlign w:val="center"/>
          </w:tcPr>
          <w:p w14:paraId="44B6ABBD">
            <w:pPr>
              <w:adjustRightInd w:val="0"/>
              <w:spacing w:line="410" w:lineRule="exact"/>
              <w:jc w:val="center"/>
              <w:textAlignment w:val="baseline"/>
              <w:rPr>
                <w:rFonts w:ascii="宋体" w:hAnsi="宋体"/>
                <w:b/>
                <w:szCs w:val="21"/>
              </w:rPr>
            </w:pPr>
            <w:r>
              <w:rPr>
                <w:rFonts w:hint="eastAsia" w:ascii="宋体" w:hAnsi="宋体"/>
                <w:b/>
                <w:szCs w:val="21"/>
              </w:rPr>
              <w:t>评标标准</w:t>
            </w:r>
          </w:p>
        </w:tc>
      </w:tr>
      <w:tr w14:paraId="5E6B8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vAlign w:val="center"/>
          </w:tcPr>
          <w:p w14:paraId="76C2DC7B">
            <w:pPr>
              <w:adjustRightInd w:val="0"/>
              <w:spacing w:line="360" w:lineRule="auto"/>
              <w:jc w:val="center"/>
              <w:textAlignment w:val="baseline"/>
              <w:rPr>
                <w:rFonts w:ascii="宋体" w:hAnsi="宋体"/>
                <w:b/>
                <w:szCs w:val="21"/>
              </w:rPr>
            </w:pPr>
            <w:r>
              <w:rPr>
                <w:rFonts w:hint="eastAsia" w:ascii="宋体" w:hAnsi="宋体"/>
                <w:b/>
                <w:szCs w:val="21"/>
              </w:rPr>
              <w:t>1</w:t>
            </w:r>
          </w:p>
        </w:tc>
        <w:tc>
          <w:tcPr>
            <w:tcW w:w="1145" w:type="dxa"/>
            <w:vAlign w:val="center"/>
          </w:tcPr>
          <w:p w14:paraId="05155ABC">
            <w:pPr>
              <w:adjustRightInd w:val="0"/>
              <w:spacing w:line="360" w:lineRule="auto"/>
              <w:jc w:val="center"/>
              <w:textAlignment w:val="baseline"/>
              <w:rPr>
                <w:rFonts w:ascii="宋体" w:hAnsi="宋体"/>
                <w:b/>
                <w:szCs w:val="21"/>
              </w:rPr>
            </w:pPr>
            <w:r>
              <w:rPr>
                <w:rFonts w:hint="eastAsia" w:ascii="宋体" w:hAnsi="宋体"/>
                <w:b/>
                <w:szCs w:val="21"/>
              </w:rPr>
              <w:t>报价</w:t>
            </w:r>
          </w:p>
        </w:tc>
        <w:tc>
          <w:tcPr>
            <w:tcW w:w="668" w:type="dxa"/>
            <w:vAlign w:val="center"/>
          </w:tcPr>
          <w:p w14:paraId="3116A640">
            <w:pPr>
              <w:adjustRightInd w:val="0"/>
              <w:spacing w:line="360" w:lineRule="auto"/>
              <w:jc w:val="center"/>
              <w:textAlignment w:val="baseline"/>
              <w:rPr>
                <w:rFonts w:ascii="宋体" w:hAnsi="宋体"/>
                <w:b/>
                <w:szCs w:val="21"/>
              </w:rPr>
            </w:pPr>
            <w:r>
              <w:rPr>
                <w:rFonts w:hint="eastAsia" w:ascii="宋体" w:hAnsi="宋体"/>
                <w:b/>
                <w:szCs w:val="21"/>
              </w:rPr>
              <w:t>10分</w:t>
            </w:r>
          </w:p>
        </w:tc>
        <w:tc>
          <w:tcPr>
            <w:tcW w:w="7090" w:type="dxa"/>
            <w:gridSpan w:val="2"/>
            <w:vAlign w:val="center"/>
          </w:tcPr>
          <w:p w14:paraId="566DFE3C">
            <w:pPr>
              <w:widowControl/>
              <w:snapToGrid w:val="0"/>
              <w:spacing w:line="360" w:lineRule="auto"/>
              <w:rPr>
                <w:rFonts w:hAnsi="宋体"/>
                <w:bCs/>
                <w:szCs w:val="21"/>
              </w:rPr>
            </w:pPr>
            <w:r>
              <w:rPr>
                <w:rFonts w:hint="eastAsia" w:hAnsi="宋体"/>
                <w:bCs/>
                <w:szCs w:val="21"/>
              </w:rPr>
              <w:t>1.本项目为专门面向中小企业采购项目，按照《政府采购促进中小企业发展管理办法》（财库〔2020〕46号）的规定，对供应商最后报价不再执行价格评审优惠的扶持政策。</w:t>
            </w:r>
          </w:p>
          <w:p w14:paraId="4C526F98">
            <w:pPr>
              <w:widowControl/>
              <w:snapToGrid w:val="0"/>
              <w:spacing w:line="360" w:lineRule="auto"/>
              <w:rPr>
                <w:rFonts w:hAnsi="宋体"/>
                <w:bCs/>
                <w:szCs w:val="21"/>
              </w:rPr>
            </w:pPr>
            <w:r>
              <w:rPr>
                <w:rFonts w:hint="eastAsia" w:hAnsi="宋体"/>
                <w:bCs/>
                <w:szCs w:val="21"/>
              </w:rPr>
              <w:t>（1）评审价为供应商的最后报价进行政策性扣除后的价格，评审价只是作为评审时使用。最终成交供应商的成交金额等于最后报价（如有修正，以确认修正后的最后报价为准）。</w:t>
            </w:r>
          </w:p>
          <w:p w14:paraId="28877A16">
            <w:pPr>
              <w:widowControl/>
              <w:snapToGrid w:val="0"/>
              <w:rPr>
                <w:rFonts w:hAnsi="宋体"/>
                <w:bCs/>
                <w:szCs w:val="21"/>
              </w:rPr>
            </w:pPr>
            <w:r>
              <w:rPr>
                <w:rFonts w:hint="eastAsia" w:hAnsi="宋体"/>
                <w:bCs/>
                <w:szCs w:val="21"/>
              </w:rPr>
              <w:t>（2）以进入比较与评价环节的最低的评审价为基准价，基准价得分为10分。</w:t>
            </w:r>
          </w:p>
          <w:p w14:paraId="0FA03EAE">
            <w:pPr>
              <w:widowControl/>
              <w:snapToGrid w:val="0"/>
              <w:rPr>
                <w:rFonts w:hAnsi="宋体"/>
                <w:bCs/>
                <w:szCs w:val="21"/>
              </w:rPr>
            </w:pPr>
            <w:r>
              <w:rPr>
                <w:rFonts w:hint="eastAsia" w:hAnsi="宋体"/>
                <w:bCs/>
                <w:szCs w:val="21"/>
              </w:rPr>
              <w:t>（3）价格分计算公式：</w:t>
            </w:r>
          </w:p>
          <w:p w14:paraId="7173A82C">
            <w:pPr>
              <w:widowControl/>
              <w:snapToGrid w:val="0"/>
              <w:spacing w:line="360" w:lineRule="auto"/>
              <w:rPr>
                <w:rFonts w:hAnsi="宋体" w:cs="Courier New"/>
                <w:bCs/>
              </w:rPr>
            </w:pPr>
            <w:r>
              <w:rPr>
                <w:rFonts w:hint="eastAsia" w:hAnsi="宋体"/>
                <w:bCs/>
                <w:szCs w:val="21"/>
              </w:rPr>
              <w:t>报价得分=（基准价/最后报价）×10分</w:t>
            </w:r>
          </w:p>
        </w:tc>
      </w:tr>
      <w:tr w14:paraId="6869D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vMerge w:val="restart"/>
            <w:vAlign w:val="center"/>
          </w:tcPr>
          <w:p w14:paraId="29E6D12F">
            <w:pPr>
              <w:adjustRightInd w:val="0"/>
              <w:spacing w:line="360" w:lineRule="auto"/>
              <w:jc w:val="center"/>
              <w:textAlignment w:val="baseline"/>
              <w:rPr>
                <w:rFonts w:ascii="宋体" w:hAnsi="宋体"/>
                <w:b/>
                <w:szCs w:val="21"/>
              </w:rPr>
            </w:pPr>
            <w:r>
              <w:rPr>
                <w:rFonts w:hint="eastAsia" w:ascii="宋体" w:hAnsi="宋体"/>
                <w:b/>
                <w:szCs w:val="21"/>
              </w:rPr>
              <w:t>2</w:t>
            </w:r>
          </w:p>
        </w:tc>
        <w:tc>
          <w:tcPr>
            <w:tcW w:w="1145" w:type="dxa"/>
            <w:vMerge w:val="restart"/>
            <w:vAlign w:val="center"/>
          </w:tcPr>
          <w:p w14:paraId="19F70BC5">
            <w:pPr>
              <w:adjustRightInd w:val="0"/>
              <w:spacing w:line="360" w:lineRule="auto"/>
              <w:jc w:val="center"/>
              <w:textAlignment w:val="baseline"/>
              <w:rPr>
                <w:rFonts w:ascii="宋体" w:hAnsi="宋体"/>
                <w:b/>
                <w:szCs w:val="21"/>
              </w:rPr>
            </w:pPr>
            <w:r>
              <w:rPr>
                <w:rFonts w:hint="eastAsia" w:ascii="宋体" w:hAnsi="宋体"/>
                <w:b/>
                <w:szCs w:val="21"/>
              </w:rPr>
              <w:t>技术分</w:t>
            </w:r>
          </w:p>
        </w:tc>
        <w:tc>
          <w:tcPr>
            <w:tcW w:w="668" w:type="dxa"/>
            <w:vMerge w:val="restart"/>
            <w:vAlign w:val="center"/>
          </w:tcPr>
          <w:p w14:paraId="30005779">
            <w:pPr>
              <w:adjustRightInd w:val="0"/>
              <w:spacing w:line="360" w:lineRule="auto"/>
              <w:jc w:val="center"/>
              <w:textAlignment w:val="baseline"/>
              <w:rPr>
                <w:rFonts w:ascii="宋体" w:hAnsi="宋体"/>
                <w:b/>
                <w:szCs w:val="21"/>
              </w:rPr>
            </w:pPr>
            <w:r>
              <w:rPr>
                <w:rFonts w:hint="eastAsia" w:ascii="宋体" w:hAnsi="宋体"/>
                <w:b/>
                <w:szCs w:val="21"/>
              </w:rPr>
              <w:t>65分</w:t>
            </w:r>
          </w:p>
        </w:tc>
        <w:tc>
          <w:tcPr>
            <w:tcW w:w="1740" w:type="dxa"/>
            <w:vAlign w:val="center"/>
          </w:tcPr>
          <w:p w14:paraId="07C46BA2">
            <w:pPr>
              <w:adjustRightInd w:val="0"/>
              <w:snapToGrid w:val="0"/>
              <w:spacing w:line="360" w:lineRule="atLeast"/>
              <w:jc w:val="center"/>
              <w:textAlignment w:val="baseline"/>
              <w:rPr>
                <w:rFonts w:ascii="宋体" w:hAnsi="宋体"/>
                <w:bCs/>
                <w:szCs w:val="21"/>
              </w:rPr>
            </w:pPr>
            <w:r>
              <w:rPr>
                <w:rFonts w:hint="eastAsia" w:ascii="宋体" w:hAnsi="宋体"/>
                <w:b/>
                <w:szCs w:val="21"/>
              </w:rPr>
              <w:t>项目需求理解(满分15分)</w:t>
            </w:r>
          </w:p>
        </w:tc>
        <w:tc>
          <w:tcPr>
            <w:tcW w:w="5350" w:type="dxa"/>
            <w:vAlign w:val="center"/>
          </w:tcPr>
          <w:p w14:paraId="35FBCA34">
            <w:pPr>
              <w:widowControl/>
              <w:snapToGrid w:val="0"/>
              <w:spacing w:line="360" w:lineRule="auto"/>
              <w:rPr>
                <w:rFonts w:hAnsi="宋体"/>
                <w:bCs/>
                <w:szCs w:val="21"/>
              </w:rPr>
            </w:pPr>
            <w:r>
              <w:rPr>
                <w:rFonts w:hint="eastAsia" w:hAnsi="宋体"/>
                <w:bCs/>
                <w:szCs w:val="21"/>
              </w:rPr>
              <w:t>投标人根据本项目的总体认识，提供针对本项目的整体系统方案(包括但不限于</w:t>
            </w:r>
            <w:r>
              <w:rPr>
                <w:rFonts w:ascii="Calibri" w:hAnsi="Calibri" w:cs="Calibri"/>
                <w:bCs/>
                <w:szCs w:val="21"/>
              </w:rPr>
              <w:t>①</w:t>
            </w:r>
            <w:r>
              <w:rPr>
                <w:rFonts w:hint="eastAsia" w:hAnsi="宋体"/>
                <w:bCs/>
                <w:szCs w:val="21"/>
              </w:rPr>
              <w:t>能够了解本项目整体架构，</w:t>
            </w:r>
            <w:r>
              <w:rPr>
                <w:rFonts w:ascii="Calibri" w:hAnsi="Calibri" w:cs="Calibri"/>
                <w:bCs/>
                <w:szCs w:val="21"/>
              </w:rPr>
              <w:t>②</w:t>
            </w:r>
            <w:r>
              <w:rPr>
                <w:rFonts w:hint="eastAsia" w:hAnsi="宋体"/>
                <w:bCs/>
                <w:szCs w:val="21"/>
              </w:rPr>
              <w:t>应用系统功能完善，系统方案合理，能满足项目需要)。</w:t>
            </w:r>
          </w:p>
          <w:p w14:paraId="3D9CF774">
            <w:pPr>
              <w:widowControl/>
              <w:snapToGrid w:val="0"/>
              <w:spacing w:line="360" w:lineRule="auto"/>
              <w:rPr>
                <w:rFonts w:hAnsi="宋体"/>
                <w:bCs/>
                <w:szCs w:val="21"/>
              </w:rPr>
            </w:pPr>
            <w:r>
              <w:rPr>
                <w:rFonts w:hint="eastAsia" w:hAnsi="宋体"/>
                <w:bCs/>
                <w:szCs w:val="21"/>
              </w:rPr>
              <w:t>一档（0分）：投标人对本项目的理解和综合情况内容描述不清晰且未提供系统架构与应用功能方案得0分。</w:t>
            </w:r>
          </w:p>
          <w:p w14:paraId="736DBF4E">
            <w:pPr>
              <w:widowControl/>
              <w:snapToGrid w:val="0"/>
              <w:spacing w:line="360" w:lineRule="auto"/>
              <w:rPr>
                <w:rFonts w:hAnsi="宋体"/>
                <w:bCs/>
                <w:szCs w:val="21"/>
              </w:rPr>
            </w:pPr>
            <w:r>
              <w:rPr>
                <w:rFonts w:hint="eastAsia" w:hAnsi="宋体"/>
                <w:bCs/>
                <w:szCs w:val="21"/>
              </w:rPr>
              <w:t>二档（3分）：投标人对本项目的理解和综合情况内容描述基本合理，清晰，且系统架构基本符合本次采购内容，方案内容基本完善、对本项目业务基本了解，系统功能设计存在部分关键功能缺失，核心业务流程无法完整实现，有少量功能设计不合理，但不影响整体使用，内容简单，对功能的阐述不够详细；</w:t>
            </w:r>
          </w:p>
          <w:p w14:paraId="37988027">
            <w:pPr>
              <w:widowControl/>
              <w:snapToGrid w:val="0"/>
              <w:spacing w:line="360" w:lineRule="auto"/>
              <w:rPr>
                <w:rFonts w:hAnsi="宋体"/>
                <w:bCs/>
                <w:szCs w:val="21"/>
              </w:rPr>
            </w:pPr>
            <w:r>
              <w:rPr>
                <w:rFonts w:hint="eastAsia" w:hAnsi="宋体"/>
                <w:bCs/>
                <w:szCs w:val="21"/>
              </w:rPr>
              <w:t>三档（8分）：系统架构基本符合本次采购内容，方案内容比较完善、阐述的较为详细、对业务理解较准确、把握较为到位，系统功能设计基本完整，核心业务流程可实现，功能完整度较高，仅有极个别细微功能待完善，功能设计合理，充分考虑了用户操作习惯和业务需求，内容详实准确，对每个功能的描述包括功能定义、操作步骤、预期效果等都清晰完整；</w:t>
            </w:r>
          </w:p>
          <w:p w14:paraId="15569CE0">
            <w:pPr>
              <w:widowControl/>
              <w:snapToGrid w:val="0"/>
              <w:spacing w:line="360" w:lineRule="auto"/>
              <w:rPr>
                <w:rFonts w:ascii="宋体" w:hAnsi="宋体"/>
                <w:bCs/>
                <w:szCs w:val="21"/>
              </w:rPr>
            </w:pPr>
            <w:r>
              <w:rPr>
                <w:rFonts w:hint="eastAsia" w:hAnsi="宋体"/>
                <w:bCs/>
                <w:szCs w:val="21"/>
              </w:rPr>
              <w:t>四档（15分）：系统架构非常符合本次采购内容，方案内容完善、阐述的详细、满足项目业务需求、对业务理解非常准确、把握到位，系统功能设计全面，涵盖项目所需的所有核心功能和拓展功能，无任何功能缺失且有一定的前瞻性，能满足未来可能的业务拓展需求，功能设计完全不仅符合现有业务逻辑，还对业务流程有一定的优化和创新，内容精准无误，可作为系统开发和维护的重要参考资料。</w:t>
            </w:r>
          </w:p>
        </w:tc>
      </w:tr>
      <w:tr w14:paraId="3163D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7" w:hRule="atLeast"/>
          <w:jc w:val="center"/>
        </w:trPr>
        <w:tc>
          <w:tcPr>
            <w:tcW w:w="730" w:type="dxa"/>
            <w:vMerge w:val="continue"/>
            <w:vAlign w:val="center"/>
          </w:tcPr>
          <w:p w14:paraId="6500C524">
            <w:pPr>
              <w:adjustRightInd w:val="0"/>
              <w:spacing w:line="360" w:lineRule="auto"/>
              <w:jc w:val="center"/>
              <w:textAlignment w:val="baseline"/>
              <w:rPr>
                <w:rFonts w:ascii="宋体" w:hAnsi="宋体"/>
                <w:b/>
                <w:szCs w:val="21"/>
              </w:rPr>
            </w:pPr>
          </w:p>
        </w:tc>
        <w:tc>
          <w:tcPr>
            <w:tcW w:w="1145" w:type="dxa"/>
            <w:vMerge w:val="continue"/>
            <w:vAlign w:val="center"/>
          </w:tcPr>
          <w:p w14:paraId="7C59BD6F">
            <w:pPr>
              <w:adjustRightInd w:val="0"/>
              <w:spacing w:line="360" w:lineRule="auto"/>
              <w:jc w:val="center"/>
              <w:textAlignment w:val="baseline"/>
              <w:rPr>
                <w:rFonts w:ascii="宋体" w:hAnsi="宋体"/>
                <w:b/>
                <w:szCs w:val="21"/>
              </w:rPr>
            </w:pPr>
          </w:p>
        </w:tc>
        <w:tc>
          <w:tcPr>
            <w:tcW w:w="668" w:type="dxa"/>
            <w:vMerge w:val="continue"/>
            <w:vAlign w:val="center"/>
          </w:tcPr>
          <w:p w14:paraId="77BBFB26">
            <w:pPr>
              <w:adjustRightInd w:val="0"/>
              <w:spacing w:line="360" w:lineRule="auto"/>
              <w:jc w:val="center"/>
              <w:textAlignment w:val="baseline"/>
              <w:rPr>
                <w:rFonts w:ascii="宋体" w:hAnsi="宋体"/>
                <w:b/>
                <w:szCs w:val="21"/>
              </w:rPr>
            </w:pPr>
          </w:p>
        </w:tc>
        <w:tc>
          <w:tcPr>
            <w:tcW w:w="1740" w:type="dxa"/>
            <w:vMerge w:val="restart"/>
            <w:vAlign w:val="center"/>
          </w:tcPr>
          <w:p w14:paraId="384F0BDF">
            <w:pPr>
              <w:adjustRightInd w:val="0"/>
              <w:spacing w:line="360" w:lineRule="auto"/>
              <w:jc w:val="center"/>
              <w:textAlignment w:val="baseline"/>
              <w:rPr>
                <w:rFonts w:ascii="宋体" w:hAnsi="宋体"/>
                <w:bCs/>
                <w:szCs w:val="21"/>
              </w:rPr>
            </w:pPr>
            <w:r>
              <w:rPr>
                <w:rFonts w:hint="eastAsia" w:hAnsi="宋体" w:cs="宋体"/>
                <w:b/>
                <w:bCs/>
                <w:szCs w:val="21"/>
              </w:rPr>
              <w:t>技术服务方案</w:t>
            </w:r>
            <w:r>
              <w:rPr>
                <w:rFonts w:hint="eastAsia" w:ascii="宋体" w:hAnsi="宋体" w:cs="微软雅黑"/>
                <w:b/>
                <w:szCs w:val="21"/>
              </w:rPr>
              <w:t>30</w:t>
            </w:r>
            <w:r>
              <w:rPr>
                <w:rFonts w:hint="eastAsia" w:hAnsi="宋体" w:cs="宋体"/>
                <w:b/>
                <w:bCs/>
                <w:szCs w:val="21"/>
              </w:rPr>
              <w:t>分</w:t>
            </w:r>
            <w:r>
              <w:rPr>
                <w:rFonts w:hint="eastAsia" w:ascii="宋体" w:hAnsi="宋体" w:cs="微软雅黑"/>
                <w:b/>
                <w:szCs w:val="21"/>
              </w:rPr>
              <w:t>（含技术方案满分1</w:t>
            </w:r>
            <w:r>
              <w:rPr>
                <w:rFonts w:ascii="宋体" w:hAnsi="宋体" w:cs="微软雅黑"/>
                <w:b/>
                <w:szCs w:val="21"/>
              </w:rPr>
              <w:t>5分，</w:t>
            </w:r>
            <w:r>
              <w:rPr>
                <w:rFonts w:hint="eastAsia" w:ascii="宋体" w:hAnsi="宋体" w:cs="微软雅黑"/>
                <w:b/>
                <w:szCs w:val="21"/>
              </w:rPr>
              <w:t>系统演示满分</w:t>
            </w:r>
            <w:r>
              <w:rPr>
                <w:rFonts w:ascii="宋体" w:hAnsi="宋体" w:cs="微软雅黑"/>
                <w:b/>
                <w:szCs w:val="21"/>
              </w:rPr>
              <w:t>15分</w:t>
            </w:r>
            <w:r>
              <w:rPr>
                <w:rFonts w:hint="eastAsia" w:ascii="宋体" w:hAnsi="宋体" w:cs="微软雅黑"/>
                <w:b/>
                <w:szCs w:val="21"/>
              </w:rPr>
              <w:t>）</w:t>
            </w:r>
          </w:p>
        </w:tc>
        <w:tc>
          <w:tcPr>
            <w:tcW w:w="5350" w:type="dxa"/>
            <w:vAlign w:val="center"/>
          </w:tcPr>
          <w:p w14:paraId="2A0073B7">
            <w:pPr>
              <w:widowControl/>
              <w:snapToGrid w:val="0"/>
              <w:spacing w:line="360" w:lineRule="auto"/>
              <w:rPr>
                <w:rFonts w:hint="default" w:hAnsi="宋体" w:eastAsia="宋体"/>
                <w:bCs/>
                <w:szCs w:val="21"/>
                <w:lang w:val="en-US" w:eastAsia="zh-CN"/>
              </w:rPr>
            </w:pPr>
            <w:r>
              <w:rPr>
                <w:rFonts w:hint="eastAsia" w:hAnsi="宋体"/>
                <w:bCs/>
                <w:szCs w:val="21"/>
                <w:lang w:val="en-US" w:eastAsia="zh-CN"/>
              </w:rPr>
              <w:t>（1）技术服务方案（满分15分）</w:t>
            </w:r>
          </w:p>
          <w:p w14:paraId="4FE65547">
            <w:pPr>
              <w:widowControl/>
              <w:snapToGrid w:val="0"/>
              <w:spacing w:line="360" w:lineRule="auto"/>
              <w:rPr>
                <w:rFonts w:hint="eastAsia" w:hAnsi="宋体" w:eastAsia="宋体"/>
                <w:b/>
                <w:bCs/>
                <w:sz w:val="24"/>
                <w:lang w:eastAsia="zh-CN"/>
              </w:rPr>
            </w:pPr>
            <w:r>
              <w:rPr>
                <w:rFonts w:hint="eastAsia" w:hAnsi="宋体"/>
                <w:bCs/>
                <w:szCs w:val="21"/>
              </w:rPr>
              <w:t>一档（0分）：投标人未提供技术服务方案</w:t>
            </w:r>
            <w:r>
              <w:rPr>
                <w:rFonts w:hint="eastAsia" w:hAnsi="宋体"/>
                <w:b/>
                <w:bCs/>
                <w:sz w:val="24"/>
                <w:lang w:eastAsia="zh-CN"/>
              </w:rPr>
              <w:t>；</w:t>
            </w:r>
          </w:p>
          <w:p w14:paraId="475FF0D5">
            <w:pPr>
              <w:widowControl/>
              <w:snapToGrid w:val="0"/>
              <w:spacing w:line="360" w:lineRule="auto"/>
              <w:rPr>
                <w:rFonts w:hAnsi="宋体"/>
                <w:b/>
                <w:bCs/>
                <w:sz w:val="24"/>
              </w:rPr>
            </w:pPr>
            <w:r>
              <w:rPr>
                <w:rFonts w:hint="eastAsia" w:hAnsi="宋体"/>
                <w:bCs/>
                <w:szCs w:val="21"/>
              </w:rPr>
              <w:t>二档（</w:t>
            </w:r>
            <w:r>
              <w:rPr>
                <w:rFonts w:hAnsi="宋体"/>
                <w:bCs/>
                <w:szCs w:val="21"/>
              </w:rPr>
              <w:t>6</w:t>
            </w:r>
            <w:r>
              <w:rPr>
                <w:rFonts w:hint="eastAsia" w:hAnsi="宋体"/>
                <w:bCs/>
                <w:szCs w:val="21"/>
              </w:rPr>
              <w:t>分）：投标人提供了技术服务方案，方案描述了项目组织实施安排、技术服务方案的</w:t>
            </w:r>
            <w:r>
              <w:rPr>
                <w:rFonts w:hint="eastAsia" w:hAnsi="宋体"/>
                <w:b/>
                <w:bCs/>
                <w:sz w:val="24"/>
              </w:rPr>
              <w:t>；</w:t>
            </w:r>
          </w:p>
          <w:p w14:paraId="4C358851">
            <w:pPr>
              <w:widowControl/>
              <w:snapToGrid w:val="0"/>
              <w:spacing w:line="360" w:lineRule="auto"/>
              <w:rPr>
                <w:rFonts w:hAnsi="宋体"/>
                <w:bCs/>
                <w:szCs w:val="21"/>
              </w:rPr>
            </w:pPr>
            <w:r>
              <w:rPr>
                <w:rFonts w:hint="eastAsia" w:hAnsi="宋体"/>
                <w:bCs/>
                <w:szCs w:val="21"/>
              </w:rPr>
              <w:t>三档（</w:t>
            </w:r>
            <w:r>
              <w:rPr>
                <w:rFonts w:hAnsi="宋体"/>
                <w:bCs/>
                <w:szCs w:val="21"/>
              </w:rPr>
              <w:t>10</w:t>
            </w:r>
            <w:r>
              <w:rPr>
                <w:rFonts w:hint="eastAsia" w:hAnsi="宋体"/>
                <w:bCs/>
                <w:szCs w:val="21"/>
              </w:rPr>
              <w:t>分）：投标人提供了详细的技术服务方案，方案详细描述了项目组织实施安排、人员安排以及技术服务方案，且各种服务文档规范</w:t>
            </w:r>
            <w:r>
              <w:rPr>
                <w:rFonts w:hAnsi="宋体"/>
                <w:bCs/>
                <w:szCs w:val="21"/>
              </w:rPr>
              <w:t>齐全</w:t>
            </w:r>
            <w:r>
              <w:rPr>
                <w:rFonts w:hint="eastAsia" w:hAnsi="宋体"/>
                <w:b/>
                <w:bCs/>
                <w:sz w:val="24"/>
              </w:rPr>
              <w:t>；</w:t>
            </w:r>
          </w:p>
          <w:p w14:paraId="6F4C81EF">
            <w:pPr>
              <w:snapToGrid w:val="0"/>
              <w:spacing w:line="360" w:lineRule="auto"/>
              <w:rPr>
                <w:rFonts w:ascii="宋体" w:hAnsi="宋体"/>
                <w:bCs/>
                <w:szCs w:val="21"/>
              </w:rPr>
            </w:pPr>
            <w:r>
              <w:rPr>
                <w:rFonts w:hint="eastAsia" w:hAnsi="宋体"/>
                <w:bCs/>
                <w:szCs w:val="21"/>
              </w:rPr>
              <w:t>四档（</w:t>
            </w:r>
            <w:r>
              <w:rPr>
                <w:rFonts w:hAnsi="宋体"/>
                <w:bCs/>
                <w:szCs w:val="21"/>
              </w:rPr>
              <w:t>15</w:t>
            </w:r>
            <w:r>
              <w:rPr>
                <w:rFonts w:hint="eastAsia" w:hAnsi="宋体"/>
                <w:bCs/>
                <w:szCs w:val="21"/>
              </w:rPr>
              <w:t>分）：投标人提供了可行的服务方案，方案详细描述了可行的项目组织实施安排、人员安排以及针对本项目提供的技术服务方案，具有针对本项目定制的相关业务系统匹配服务方案，以及人员培训方案，且各种服务文档规范齐全</w:t>
            </w:r>
            <w:r>
              <w:rPr>
                <w:rFonts w:hAnsi="宋体"/>
                <w:bCs/>
                <w:szCs w:val="21"/>
              </w:rPr>
              <w:t>。</w:t>
            </w:r>
          </w:p>
        </w:tc>
      </w:tr>
      <w:tr w14:paraId="5AD90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765" w:type="dxa"/>
            <w:vMerge w:val="continue"/>
            <w:vAlign w:val="center"/>
          </w:tcPr>
          <w:p w14:paraId="3E7CF2C1">
            <w:pPr>
              <w:adjustRightInd w:val="0"/>
              <w:spacing w:line="360" w:lineRule="auto"/>
              <w:jc w:val="center"/>
              <w:textAlignment w:val="baseline"/>
              <w:rPr>
                <w:rFonts w:ascii="宋体" w:hAnsi="宋体"/>
                <w:b/>
                <w:szCs w:val="21"/>
              </w:rPr>
            </w:pPr>
          </w:p>
        </w:tc>
        <w:tc>
          <w:tcPr>
            <w:tcW w:w="1200" w:type="dxa"/>
            <w:vMerge w:val="continue"/>
            <w:vAlign w:val="center"/>
          </w:tcPr>
          <w:p w14:paraId="5A79AA55">
            <w:pPr>
              <w:adjustRightInd w:val="0"/>
              <w:spacing w:line="360" w:lineRule="auto"/>
              <w:jc w:val="center"/>
              <w:textAlignment w:val="baseline"/>
              <w:rPr>
                <w:rFonts w:ascii="宋体" w:hAnsi="宋体"/>
                <w:b/>
                <w:szCs w:val="21"/>
              </w:rPr>
            </w:pPr>
          </w:p>
        </w:tc>
        <w:tc>
          <w:tcPr>
            <w:tcW w:w="700" w:type="dxa"/>
            <w:vMerge w:val="continue"/>
            <w:vAlign w:val="center"/>
          </w:tcPr>
          <w:p w14:paraId="08885F04">
            <w:pPr>
              <w:adjustRightInd w:val="0"/>
              <w:spacing w:line="360" w:lineRule="auto"/>
              <w:jc w:val="center"/>
              <w:textAlignment w:val="baseline"/>
              <w:rPr>
                <w:rFonts w:ascii="宋体" w:hAnsi="宋体"/>
                <w:b/>
                <w:szCs w:val="21"/>
              </w:rPr>
            </w:pPr>
          </w:p>
        </w:tc>
        <w:tc>
          <w:tcPr>
            <w:tcW w:w="1824" w:type="dxa"/>
            <w:vMerge w:val="continue"/>
            <w:vAlign w:val="center"/>
          </w:tcPr>
          <w:p w14:paraId="72B1D1A6">
            <w:pPr>
              <w:adjustRightInd w:val="0"/>
              <w:spacing w:line="360" w:lineRule="auto"/>
              <w:jc w:val="center"/>
              <w:textAlignment w:val="baseline"/>
              <w:rPr>
                <w:rFonts w:hAnsi="宋体" w:cs="宋体"/>
                <w:b/>
                <w:bCs/>
                <w:szCs w:val="21"/>
              </w:rPr>
            </w:pPr>
          </w:p>
        </w:tc>
        <w:tc>
          <w:tcPr>
            <w:tcW w:w="5607" w:type="dxa"/>
            <w:vAlign w:val="center"/>
          </w:tcPr>
          <w:p w14:paraId="376AB19C">
            <w:pPr>
              <w:widowControl/>
              <w:snapToGrid w:val="0"/>
              <w:spacing w:line="360" w:lineRule="auto"/>
              <w:rPr>
                <w:rFonts w:hint="default" w:hAnsi="宋体" w:eastAsia="宋体"/>
                <w:bCs/>
                <w:szCs w:val="21"/>
                <w:lang w:val="en-US" w:eastAsia="zh-CN"/>
              </w:rPr>
            </w:pPr>
            <w:r>
              <w:rPr>
                <w:rFonts w:hint="eastAsia" w:hAnsi="宋体"/>
                <w:bCs/>
                <w:szCs w:val="21"/>
                <w:lang w:eastAsia="zh-CN"/>
              </w:rPr>
              <w:t>（</w:t>
            </w:r>
            <w:r>
              <w:rPr>
                <w:rFonts w:hint="eastAsia" w:hAnsi="宋体"/>
                <w:bCs/>
                <w:szCs w:val="21"/>
                <w:lang w:val="en-US" w:eastAsia="zh-CN"/>
              </w:rPr>
              <w:t>2</w:t>
            </w:r>
            <w:r>
              <w:rPr>
                <w:rFonts w:hint="eastAsia" w:hAnsi="宋体"/>
                <w:bCs/>
                <w:szCs w:val="21"/>
                <w:lang w:eastAsia="zh-CN"/>
              </w:rPr>
              <w:t>）</w:t>
            </w:r>
            <w:r>
              <w:rPr>
                <w:rFonts w:hint="eastAsia" w:hAnsi="宋体"/>
                <w:bCs/>
                <w:szCs w:val="21"/>
                <w:lang w:val="en-US" w:eastAsia="zh-CN"/>
              </w:rPr>
              <w:t>系统演示（满分15分）</w:t>
            </w:r>
          </w:p>
          <w:p w14:paraId="6C886E77">
            <w:pPr>
              <w:widowControl/>
              <w:snapToGrid w:val="0"/>
              <w:spacing w:line="360" w:lineRule="auto"/>
              <w:rPr>
                <w:rFonts w:hint="eastAsia" w:hAnsi="宋体" w:eastAsia="宋体"/>
                <w:bCs/>
                <w:szCs w:val="21"/>
                <w:lang w:eastAsia="zh-CN"/>
              </w:rPr>
            </w:pPr>
            <w:r>
              <w:rPr>
                <w:rFonts w:hAnsi="宋体"/>
                <w:bCs/>
                <w:szCs w:val="21"/>
              </w:rPr>
              <w:t>此项须提供系统演示功能。系统功能需包含</w:t>
            </w:r>
            <w:r>
              <w:rPr>
                <w:rFonts w:hint="eastAsia" w:hAnsi="宋体"/>
                <w:bCs/>
                <w:szCs w:val="21"/>
                <w:lang w:eastAsia="zh-CN"/>
              </w:rPr>
              <w:t>：</w:t>
            </w:r>
          </w:p>
          <w:p w14:paraId="3BAF4000">
            <w:pPr>
              <w:widowControl/>
              <w:snapToGrid w:val="0"/>
              <w:spacing w:line="360" w:lineRule="auto"/>
              <w:rPr>
                <w:rFonts w:hAnsi="宋体"/>
                <w:b/>
                <w:bCs/>
                <w:sz w:val="24"/>
              </w:rPr>
            </w:pPr>
            <w:r>
              <w:rPr>
                <w:rFonts w:hAnsi="宋体"/>
                <w:b/>
                <w:bCs/>
                <w:sz w:val="24"/>
              </w:rPr>
              <w:t>1.</w:t>
            </w:r>
            <w:r>
              <w:rPr>
                <w:rFonts w:hint="eastAsia" w:hAnsi="宋体"/>
                <w:b/>
                <w:bCs/>
                <w:sz w:val="24"/>
              </w:rPr>
              <w:t>学员线上择校报名入口，通过接入具备法律效力的电子签章为学员实现线上签订电子合同功能</w:t>
            </w:r>
            <w:r>
              <w:rPr>
                <w:rFonts w:hint="eastAsia" w:hAnsi="宋体"/>
                <w:b/>
                <w:bCs/>
                <w:sz w:val="24"/>
                <w:lang w:val="en-US" w:eastAsia="zh-CN"/>
              </w:rPr>
              <w:t>的，</w:t>
            </w:r>
            <w:r>
              <w:rPr>
                <w:rFonts w:hint="eastAsia" w:hAnsi="宋体"/>
                <w:b/>
                <w:bCs/>
                <w:sz w:val="24"/>
              </w:rPr>
              <w:t>得</w:t>
            </w:r>
            <w:r>
              <w:rPr>
                <w:rFonts w:hAnsi="宋体"/>
                <w:b/>
                <w:bCs/>
                <w:sz w:val="24"/>
              </w:rPr>
              <w:t>3</w:t>
            </w:r>
            <w:r>
              <w:rPr>
                <w:rFonts w:hint="eastAsia" w:hAnsi="宋体"/>
                <w:b/>
                <w:bCs/>
                <w:sz w:val="24"/>
              </w:rPr>
              <w:t>分。</w:t>
            </w:r>
          </w:p>
          <w:p w14:paraId="19C9B36F">
            <w:pPr>
              <w:widowControl/>
              <w:snapToGrid w:val="0"/>
              <w:spacing w:line="360" w:lineRule="auto"/>
              <w:rPr>
                <w:rFonts w:hint="eastAsia" w:hAnsi="宋体"/>
                <w:b/>
                <w:bCs/>
                <w:sz w:val="24"/>
                <w:lang w:val="en-US" w:eastAsia="zh-CN"/>
              </w:rPr>
            </w:pPr>
            <w:r>
              <w:rPr>
                <w:rFonts w:hAnsi="宋体"/>
                <w:b/>
                <w:bCs/>
                <w:sz w:val="24"/>
              </w:rPr>
              <w:t>2.</w:t>
            </w:r>
            <w:r>
              <w:rPr>
                <w:rFonts w:hint="eastAsia" w:hAnsi="宋体"/>
                <w:b/>
                <w:bCs/>
                <w:sz w:val="24"/>
              </w:rPr>
              <w:t>学员线上支付、学费清分功能，实现学员线上缴纳培训学费，</w:t>
            </w:r>
            <w:r>
              <w:rPr>
                <w:rFonts w:hint="eastAsia" w:hAnsi="宋体"/>
                <w:b/>
                <w:bCs/>
                <w:sz w:val="24"/>
                <w:lang w:val="en-US" w:eastAsia="zh-CN"/>
              </w:rPr>
              <w:t>可与银行对接后，实现学费资金自动清分至驾校在银行开立的专用监管账户的，得4分。</w:t>
            </w:r>
            <w:r>
              <w:rPr>
                <w:rFonts w:hint="eastAsia" w:hAnsi="宋体"/>
                <w:b/>
                <w:bCs/>
                <w:sz w:val="24"/>
              </w:rPr>
              <w:cr/>
            </w:r>
            <w:r>
              <w:rPr>
                <w:rFonts w:hAnsi="宋体"/>
                <w:b/>
                <w:bCs/>
                <w:sz w:val="24"/>
              </w:rPr>
              <w:t>3.</w:t>
            </w:r>
            <w:r>
              <w:rPr>
                <w:rFonts w:hint="eastAsia" w:hAnsi="宋体"/>
                <w:b/>
                <w:bCs/>
                <w:sz w:val="24"/>
              </w:rPr>
              <w:t>资金监管功能，按照培训合同约定，依据学员培训学时情况，</w:t>
            </w:r>
            <w:r>
              <w:rPr>
                <w:rFonts w:hint="eastAsia" w:hAnsi="宋体"/>
                <w:b/>
                <w:bCs/>
                <w:sz w:val="24"/>
                <w:lang w:val="en-US" w:eastAsia="zh-CN"/>
              </w:rPr>
              <w:t>可与银行对接后，实现银行分阶段分批次解冻培训费用的，得4分。</w:t>
            </w:r>
          </w:p>
          <w:p w14:paraId="4902B747">
            <w:pPr>
              <w:widowControl/>
              <w:snapToGrid w:val="0"/>
              <w:spacing w:line="360" w:lineRule="auto"/>
              <w:rPr>
                <w:rFonts w:hint="default" w:hAnsi="宋体" w:eastAsia="宋体"/>
                <w:b/>
                <w:bCs/>
                <w:sz w:val="24"/>
                <w:lang w:val="en-US" w:eastAsia="zh-CN"/>
              </w:rPr>
            </w:pPr>
            <w:r>
              <w:rPr>
                <w:rFonts w:hAnsi="宋体"/>
                <w:b/>
                <w:bCs/>
                <w:sz w:val="24"/>
              </w:rPr>
              <w:t>4.</w:t>
            </w:r>
            <w:r>
              <w:rPr>
                <w:rFonts w:hint="eastAsia" w:hAnsi="宋体"/>
                <w:b/>
                <w:bCs/>
                <w:sz w:val="24"/>
              </w:rPr>
              <w:t>设置学员学时查询入口，可通过标准数据接口对接广西驾驶培训监管平台</w:t>
            </w:r>
            <w:r>
              <w:rPr>
                <w:rFonts w:hint="eastAsia" w:hAnsi="宋体"/>
                <w:b/>
                <w:bCs/>
                <w:sz w:val="24"/>
                <w:lang w:val="en-US" w:eastAsia="zh-CN"/>
              </w:rPr>
              <w:t>后</w:t>
            </w:r>
            <w:r>
              <w:rPr>
                <w:rFonts w:hint="eastAsia" w:hAnsi="宋体"/>
                <w:b/>
                <w:bCs/>
                <w:sz w:val="24"/>
              </w:rPr>
              <w:t>，实时查询调取平台学员学时相关信息</w:t>
            </w:r>
            <w:r>
              <w:rPr>
                <w:rFonts w:hint="eastAsia" w:hAnsi="宋体"/>
                <w:b/>
                <w:bCs/>
                <w:sz w:val="24"/>
                <w:lang w:val="en-US" w:eastAsia="zh-CN"/>
              </w:rPr>
              <w:t>的，得4分。</w:t>
            </w:r>
          </w:p>
          <w:p w14:paraId="14C87D75">
            <w:pPr>
              <w:spacing w:line="440" w:lineRule="exact"/>
              <w:rPr>
                <w:rFonts w:ascii="宋体" w:hAnsi="宋体" w:cs="宋体"/>
                <w:szCs w:val="21"/>
                <w:highlight w:val="none"/>
              </w:rPr>
            </w:pPr>
            <w:r>
              <w:rPr>
                <w:rFonts w:hint="eastAsia" w:ascii="宋体" w:hAnsi="宋体" w:cs="宋体"/>
                <w:szCs w:val="21"/>
                <w:highlight w:val="none"/>
              </w:rPr>
              <w:t>1、演示方式：评标委员会通过在政采云平台上发起视频会议邀请投标人在线上进行系统功能演示。</w:t>
            </w:r>
          </w:p>
          <w:p w14:paraId="6A81BE27">
            <w:pPr>
              <w:spacing w:line="440" w:lineRule="exact"/>
              <w:rPr>
                <w:rFonts w:ascii="宋体" w:hAnsi="宋体" w:cs="宋体"/>
                <w:szCs w:val="21"/>
                <w:highlight w:val="none"/>
              </w:rPr>
            </w:pPr>
            <w:r>
              <w:rPr>
                <w:rFonts w:hint="eastAsia" w:ascii="宋体" w:hAnsi="宋体" w:cs="宋体"/>
                <w:szCs w:val="21"/>
                <w:highlight w:val="none"/>
              </w:rPr>
              <w:t>特别提示：由于系统功能演示是通过</w:t>
            </w:r>
            <w:r>
              <w:rPr>
                <w:rFonts w:hint="eastAsia" w:ascii="宋体" w:hAnsi="宋体"/>
                <w:szCs w:val="21"/>
                <w:highlight w:val="none"/>
              </w:rPr>
              <w:t>广西政府采购云平台</w:t>
            </w:r>
            <w:r>
              <w:rPr>
                <w:rFonts w:hint="eastAsia" w:ascii="宋体" w:hAnsi="宋体" w:cs="宋体"/>
                <w:szCs w:val="21"/>
                <w:highlight w:val="none"/>
              </w:rPr>
              <w:t>“视频会议”进行，因此投标人参加演示的设备配备及设置必须符合</w:t>
            </w:r>
            <w:r>
              <w:rPr>
                <w:rFonts w:hint="eastAsia" w:ascii="宋体" w:hAnsi="宋体"/>
                <w:szCs w:val="21"/>
                <w:highlight w:val="none"/>
              </w:rPr>
              <w:t>广西政府采购云平台</w:t>
            </w:r>
            <w:r>
              <w:rPr>
                <w:rFonts w:hint="eastAsia" w:ascii="宋体" w:hAnsi="宋体" w:cs="宋体"/>
                <w:szCs w:val="21"/>
                <w:highlight w:val="none"/>
              </w:rPr>
              <w:t>“视频会议”的相关要求，并且演示人员也须按照</w:t>
            </w:r>
            <w:r>
              <w:rPr>
                <w:rFonts w:hint="eastAsia" w:ascii="宋体" w:hAnsi="宋体"/>
                <w:szCs w:val="21"/>
                <w:highlight w:val="none"/>
              </w:rPr>
              <w:t>广西政府采购云平台</w:t>
            </w:r>
            <w:r>
              <w:rPr>
                <w:rFonts w:hint="eastAsia" w:ascii="宋体" w:hAnsi="宋体" w:cs="宋体"/>
                <w:szCs w:val="21"/>
                <w:highlight w:val="none"/>
              </w:rPr>
              <w:t>要求进行操作（设备配备及设置具体要求和操作流程，由投标人自行咨询</w:t>
            </w:r>
            <w:r>
              <w:rPr>
                <w:rFonts w:hint="eastAsia" w:ascii="宋体" w:hAnsi="宋体"/>
                <w:szCs w:val="21"/>
                <w:highlight w:val="none"/>
              </w:rPr>
              <w:t>广西政府采购云平台</w:t>
            </w:r>
            <w:r>
              <w:rPr>
                <w:rFonts w:hint="eastAsia" w:ascii="宋体" w:hAnsi="宋体" w:cs="宋体"/>
                <w:szCs w:val="21"/>
                <w:highlight w:val="none"/>
              </w:rPr>
              <w:t>客服,客服电话：95763）。如由于投标人设备配备及设置不合要求，或者演示人员操作不当，导致演示失败或者影响演示效果的后果由投标人自负。</w:t>
            </w:r>
          </w:p>
          <w:p w14:paraId="0E68D768">
            <w:pPr>
              <w:spacing w:line="440" w:lineRule="exact"/>
              <w:rPr>
                <w:rFonts w:ascii="宋体" w:hAnsi="宋体" w:cs="宋体"/>
                <w:szCs w:val="21"/>
                <w:highlight w:val="none"/>
              </w:rPr>
            </w:pPr>
            <w:r>
              <w:rPr>
                <w:rFonts w:hint="eastAsia" w:ascii="宋体" w:hAnsi="宋体" w:cs="宋体"/>
                <w:szCs w:val="21"/>
                <w:highlight w:val="none"/>
              </w:rPr>
              <w:t>2、投标人必须按</w:t>
            </w:r>
            <w:r>
              <w:rPr>
                <w:rFonts w:hint="eastAsia" w:ascii="宋体" w:hAnsi="宋体"/>
                <w:szCs w:val="21"/>
                <w:highlight w:val="none"/>
              </w:rPr>
              <w:t>广西政府采购云平台</w:t>
            </w:r>
            <w:r>
              <w:rPr>
                <w:rFonts w:hint="eastAsia" w:ascii="宋体" w:hAnsi="宋体" w:cs="宋体"/>
                <w:szCs w:val="21"/>
                <w:highlight w:val="none"/>
              </w:rPr>
              <w:t>“视频会议”的相关要求提前准备好线上演示的设备配置及演示内容。并于项目开标当天截标后在</w:t>
            </w:r>
            <w:r>
              <w:rPr>
                <w:rFonts w:hint="eastAsia" w:ascii="宋体" w:hAnsi="宋体"/>
                <w:szCs w:val="21"/>
                <w:highlight w:val="none"/>
              </w:rPr>
              <w:t>广西政府采购云平台</w:t>
            </w:r>
            <w:r>
              <w:rPr>
                <w:rFonts w:hint="eastAsia" w:ascii="宋体" w:hAnsi="宋体" w:cs="宋体"/>
                <w:szCs w:val="21"/>
                <w:highlight w:val="none"/>
              </w:rPr>
              <w:t>上在线等候进行演示，如由于投标人未在线等候造成未能够进行演示的后果由投标人自负。</w:t>
            </w:r>
          </w:p>
          <w:p w14:paraId="671C6035">
            <w:pPr>
              <w:spacing w:line="440" w:lineRule="exact"/>
              <w:rPr>
                <w:rFonts w:ascii="宋体" w:hAnsi="宋体" w:cs="宋体"/>
                <w:szCs w:val="21"/>
              </w:rPr>
            </w:pPr>
            <w:r>
              <w:rPr>
                <w:rFonts w:hint="eastAsia" w:ascii="宋体" w:hAnsi="宋体" w:cs="宋体"/>
                <w:szCs w:val="21"/>
                <w:highlight w:val="none"/>
              </w:rPr>
              <w:t>3、评审因素：根据采购文件系统功能的要求，演示过程是否有各项演示功能、是否满足本项目建设需求（演示以录屏或投标人认为符合广西政府采购云平台“视频会议”要求便于展示的方式进行，时间为10分钟以内）。</w:t>
            </w:r>
          </w:p>
          <w:p w14:paraId="50B6EDAA">
            <w:pPr>
              <w:widowControl/>
              <w:snapToGrid w:val="0"/>
              <w:spacing w:line="360" w:lineRule="auto"/>
              <w:rPr>
                <w:rFonts w:hint="eastAsia" w:hAnsi="宋体"/>
                <w:b/>
                <w:bCs/>
                <w:sz w:val="24"/>
              </w:rPr>
            </w:pPr>
          </w:p>
          <w:p w14:paraId="2AC4CC29">
            <w:pPr>
              <w:snapToGrid w:val="0"/>
              <w:spacing w:line="360" w:lineRule="auto"/>
              <w:rPr>
                <w:rFonts w:hAnsi="宋体"/>
                <w:bCs/>
                <w:szCs w:val="21"/>
              </w:rPr>
            </w:pPr>
          </w:p>
        </w:tc>
      </w:tr>
      <w:tr w14:paraId="2E3B3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65" w:type="dxa"/>
            <w:vMerge w:val="continue"/>
            <w:vAlign w:val="center"/>
          </w:tcPr>
          <w:p w14:paraId="758747CE">
            <w:pPr>
              <w:adjustRightInd w:val="0"/>
              <w:spacing w:line="360" w:lineRule="auto"/>
              <w:jc w:val="center"/>
              <w:textAlignment w:val="baseline"/>
              <w:rPr>
                <w:rFonts w:ascii="宋体" w:hAnsi="宋体"/>
                <w:b/>
                <w:szCs w:val="21"/>
              </w:rPr>
            </w:pPr>
          </w:p>
        </w:tc>
        <w:tc>
          <w:tcPr>
            <w:tcW w:w="1200" w:type="dxa"/>
            <w:vMerge w:val="continue"/>
            <w:vAlign w:val="center"/>
          </w:tcPr>
          <w:p w14:paraId="6F3D9F14">
            <w:pPr>
              <w:adjustRightInd w:val="0"/>
              <w:spacing w:line="360" w:lineRule="auto"/>
              <w:jc w:val="center"/>
              <w:textAlignment w:val="baseline"/>
              <w:rPr>
                <w:rFonts w:ascii="宋体" w:hAnsi="宋体"/>
                <w:b/>
                <w:szCs w:val="21"/>
              </w:rPr>
            </w:pPr>
          </w:p>
        </w:tc>
        <w:tc>
          <w:tcPr>
            <w:tcW w:w="700" w:type="dxa"/>
            <w:vMerge w:val="continue"/>
            <w:vAlign w:val="center"/>
          </w:tcPr>
          <w:p w14:paraId="52EA7E70">
            <w:pPr>
              <w:adjustRightInd w:val="0"/>
              <w:spacing w:line="360" w:lineRule="auto"/>
              <w:jc w:val="center"/>
              <w:textAlignment w:val="baseline"/>
              <w:rPr>
                <w:rFonts w:ascii="宋体" w:hAnsi="宋体"/>
                <w:b/>
                <w:szCs w:val="21"/>
              </w:rPr>
            </w:pPr>
          </w:p>
        </w:tc>
        <w:tc>
          <w:tcPr>
            <w:tcW w:w="1824" w:type="dxa"/>
            <w:vAlign w:val="center"/>
          </w:tcPr>
          <w:p w14:paraId="3B3E7A78">
            <w:pPr>
              <w:adjustRightInd w:val="0"/>
              <w:spacing w:line="360" w:lineRule="auto"/>
              <w:jc w:val="center"/>
              <w:textAlignment w:val="baseline"/>
              <w:rPr>
                <w:rFonts w:ascii="宋体" w:hAnsi="宋体"/>
                <w:bCs/>
                <w:szCs w:val="21"/>
              </w:rPr>
            </w:pPr>
            <w:r>
              <w:rPr>
                <w:rFonts w:hint="eastAsia" w:hAnsi="宋体" w:cs="宋体"/>
                <w:b/>
                <w:bCs/>
                <w:szCs w:val="21"/>
              </w:rPr>
              <w:t>运维售后服务方案分</w:t>
            </w:r>
            <w:r>
              <w:rPr>
                <w:rFonts w:hint="eastAsia" w:ascii="宋体" w:hAnsi="宋体" w:cs="微软雅黑"/>
                <w:b/>
                <w:szCs w:val="21"/>
              </w:rPr>
              <w:t>（满分2</w:t>
            </w:r>
            <w:r>
              <w:rPr>
                <w:rFonts w:ascii="宋体" w:hAnsi="宋体" w:cs="微软雅黑"/>
                <w:b/>
                <w:szCs w:val="21"/>
              </w:rPr>
              <w:t>0</w:t>
            </w:r>
            <w:r>
              <w:rPr>
                <w:rFonts w:hint="eastAsia" w:ascii="宋体" w:hAnsi="宋体" w:cs="微软雅黑"/>
                <w:b/>
                <w:szCs w:val="21"/>
              </w:rPr>
              <w:t>分）</w:t>
            </w:r>
          </w:p>
        </w:tc>
        <w:tc>
          <w:tcPr>
            <w:tcW w:w="5607" w:type="dxa"/>
            <w:vAlign w:val="center"/>
          </w:tcPr>
          <w:p w14:paraId="26145F02">
            <w:pPr>
              <w:widowControl/>
              <w:snapToGrid w:val="0"/>
              <w:spacing w:line="360" w:lineRule="auto"/>
              <w:rPr>
                <w:rFonts w:hAnsi="宋体"/>
                <w:bCs/>
                <w:szCs w:val="21"/>
              </w:rPr>
            </w:pPr>
            <w:r>
              <w:rPr>
                <w:rFonts w:hint="eastAsia" w:hAnsi="宋体"/>
                <w:bCs/>
                <w:szCs w:val="21"/>
              </w:rPr>
              <w:t>一档（0分）：投标人未提供运维售后服务方案得0分。</w:t>
            </w:r>
          </w:p>
          <w:p w14:paraId="2BF24E9E">
            <w:pPr>
              <w:widowControl/>
              <w:snapToGrid w:val="0"/>
              <w:spacing w:line="360" w:lineRule="auto"/>
              <w:rPr>
                <w:rFonts w:hAnsi="宋体"/>
                <w:bCs/>
                <w:szCs w:val="21"/>
              </w:rPr>
            </w:pPr>
            <w:r>
              <w:rPr>
                <w:rFonts w:hint="eastAsia" w:hAnsi="宋体"/>
                <w:bCs/>
                <w:szCs w:val="21"/>
              </w:rPr>
              <w:t>二档（7分）：质量保证措施和售后服务承诺较简单；售后响应时间不及时或较慢，无具体承诺或不适用，服务内容、保障措施简单。</w:t>
            </w:r>
          </w:p>
          <w:p w14:paraId="08E8E8B5">
            <w:pPr>
              <w:widowControl/>
              <w:snapToGrid w:val="0"/>
              <w:spacing w:line="360" w:lineRule="auto"/>
              <w:rPr>
                <w:rFonts w:hAnsi="宋体"/>
                <w:bCs/>
                <w:szCs w:val="21"/>
              </w:rPr>
            </w:pPr>
            <w:r>
              <w:rPr>
                <w:rFonts w:hint="eastAsia" w:hAnsi="宋体"/>
                <w:bCs/>
                <w:szCs w:val="21"/>
              </w:rPr>
              <w:t>三档（14分）：质量保证措施和售后服务承诺基本满足采购文件要求，安排较具体，内容完整、可行，售后响应时间满足招标文件要求，有具体承诺，服务内容、保障措施较为详细。</w:t>
            </w:r>
          </w:p>
          <w:p w14:paraId="073EE652">
            <w:pPr>
              <w:widowControl/>
              <w:snapToGrid w:val="0"/>
              <w:spacing w:line="360" w:lineRule="auto"/>
              <w:rPr>
                <w:rFonts w:ascii="宋体" w:hAnsi="宋体"/>
                <w:bCs/>
                <w:szCs w:val="21"/>
              </w:rPr>
            </w:pPr>
            <w:r>
              <w:rPr>
                <w:rFonts w:hint="eastAsia" w:hAnsi="宋体"/>
                <w:bCs/>
                <w:szCs w:val="21"/>
              </w:rPr>
              <w:t>四档（20分）：质量保证措施和售后服务承诺充分满足采购文件要求，安排详细具体，提供具体技术支持服务、服务质量保障、服务管理规范、应急处置方案等内容，内容完整、齐全、可行，有针对性。</w:t>
            </w:r>
          </w:p>
        </w:tc>
      </w:tr>
      <w:tr w14:paraId="0FE75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65" w:type="dxa"/>
            <w:vMerge w:val="restart"/>
            <w:vAlign w:val="center"/>
          </w:tcPr>
          <w:p w14:paraId="5902F41F">
            <w:pPr>
              <w:adjustRightInd w:val="0"/>
              <w:spacing w:line="360" w:lineRule="auto"/>
              <w:jc w:val="center"/>
              <w:textAlignment w:val="baseline"/>
              <w:rPr>
                <w:rFonts w:ascii="宋体" w:hAnsi="宋体"/>
                <w:b/>
                <w:szCs w:val="21"/>
              </w:rPr>
            </w:pPr>
            <w:r>
              <w:rPr>
                <w:rFonts w:hint="eastAsia" w:ascii="宋体" w:hAnsi="宋体"/>
                <w:b/>
                <w:szCs w:val="21"/>
              </w:rPr>
              <w:t>3</w:t>
            </w:r>
          </w:p>
        </w:tc>
        <w:tc>
          <w:tcPr>
            <w:tcW w:w="1200" w:type="dxa"/>
            <w:vMerge w:val="restart"/>
            <w:vAlign w:val="center"/>
          </w:tcPr>
          <w:p w14:paraId="0DDBF438">
            <w:pPr>
              <w:spacing w:line="360" w:lineRule="exact"/>
              <w:jc w:val="center"/>
              <w:rPr>
                <w:rFonts w:ascii="宋体" w:hAnsi="宋体"/>
                <w:b/>
                <w:szCs w:val="21"/>
              </w:rPr>
            </w:pPr>
            <w:r>
              <w:rPr>
                <w:rFonts w:hint="eastAsia" w:ascii="宋体" w:hAnsi="宋体"/>
                <w:b/>
                <w:bCs/>
                <w:szCs w:val="21"/>
              </w:rPr>
              <w:t>商务分</w:t>
            </w:r>
          </w:p>
        </w:tc>
        <w:tc>
          <w:tcPr>
            <w:tcW w:w="700" w:type="dxa"/>
            <w:vMerge w:val="restart"/>
            <w:vAlign w:val="center"/>
          </w:tcPr>
          <w:p w14:paraId="0C296BDD">
            <w:pPr>
              <w:adjustRightInd w:val="0"/>
              <w:spacing w:line="360" w:lineRule="auto"/>
              <w:jc w:val="center"/>
              <w:textAlignment w:val="baseline"/>
              <w:rPr>
                <w:rFonts w:ascii="宋体" w:hAnsi="宋体"/>
                <w:b/>
                <w:szCs w:val="21"/>
              </w:rPr>
            </w:pPr>
            <w:r>
              <w:rPr>
                <w:rFonts w:hint="eastAsia" w:ascii="宋体" w:hAnsi="宋体"/>
                <w:b/>
                <w:szCs w:val="21"/>
              </w:rPr>
              <w:t>25分</w:t>
            </w:r>
          </w:p>
        </w:tc>
        <w:tc>
          <w:tcPr>
            <w:tcW w:w="1824" w:type="dxa"/>
            <w:vAlign w:val="center"/>
          </w:tcPr>
          <w:p w14:paraId="2C5C1203">
            <w:pPr>
              <w:widowControl/>
              <w:spacing w:line="360" w:lineRule="auto"/>
              <w:jc w:val="center"/>
              <w:rPr>
                <w:rFonts w:hAnsi="宋体"/>
                <w:b/>
                <w:bCs/>
              </w:rPr>
            </w:pPr>
            <w:r>
              <w:rPr>
                <w:rFonts w:hint="eastAsia" w:ascii="宋体" w:hAnsi="宋体" w:cs="Courier New"/>
                <w:b/>
                <w:szCs w:val="21"/>
              </w:rPr>
              <w:t>项目人员配备分（满分9分）</w:t>
            </w:r>
          </w:p>
        </w:tc>
        <w:tc>
          <w:tcPr>
            <w:tcW w:w="5607" w:type="dxa"/>
          </w:tcPr>
          <w:p w14:paraId="6CBF0921">
            <w:pPr>
              <w:widowControl/>
              <w:snapToGrid w:val="0"/>
              <w:spacing w:line="360" w:lineRule="auto"/>
              <w:rPr>
                <w:rFonts w:hAnsi="宋体"/>
                <w:bCs/>
                <w:szCs w:val="21"/>
              </w:rPr>
            </w:pPr>
            <w:r>
              <w:rPr>
                <w:rFonts w:hint="eastAsia" w:hAnsi="宋体"/>
                <w:bCs/>
                <w:szCs w:val="21"/>
              </w:rPr>
              <w:t>1、投标人提供拟投入人员分配方案中对各组织的职责（任务）、人员构成包括主要人员的专业水平及经验方面的情况进行了详细阐述的，得5分。</w:t>
            </w:r>
          </w:p>
          <w:p w14:paraId="345C4692">
            <w:pPr>
              <w:widowControl/>
              <w:snapToGrid w:val="0"/>
              <w:spacing w:line="360" w:lineRule="auto"/>
              <w:rPr>
                <w:rFonts w:hAnsi="宋体"/>
                <w:bCs/>
              </w:rPr>
            </w:pPr>
            <w:r>
              <w:rPr>
                <w:rFonts w:hint="eastAsia" w:hAnsi="宋体"/>
                <w:bCs/>
                <w:szCs w:val="21"/>
              </w:rPr>
              <w:t>2、项目实施人员配置具有中级及以上职称证书或具有中华人民共和国工业和信息化部颁发的软考中级及以上职称证书的不少于4人，每人得1分，满分4分。（须提供拟投入本项目的相关专业技术人员相关证明材料（如：职称证书等），评审时以提供的证明材料为准。）</w:t>
            </w:r>
          </w:p>
        </w:tc>
      </w:tr>
      <w:tr w14:paraId="4B78C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65" w:type="dxa"/>
            <w:vMerge w:val="continue"/>
            <w:vAlign w:val="center"/>
          </w:tcPr>
          <w:p w14:paraId="48F88EA0">
            <w:pPr>
              <w:adjustRightInd w:val="0"/>
              <w:spacing w:line="360" w:lineRule="auto"/>
              <w:jc w:val="center"/>
              <w:textAlignment w:val="baseline"/>
              <w:rPr>
                <w:rFonts w:ascii="宋体" w:hAnsi="宋体"/>
                <w:b/>
                <w:szCs w:val="21"/>
              </w:rPr>
            </w:pPr>
          </w:p>
        </w:tc>
        <w:tc>
          <w:tcPr>
            <w:tcW w:w="1200" w:type="dxa"/>
            <w:vMerge w:val="continue"/>
            <w:vAlign w:val="center"/>
          </w:tcPr>
          <w:p w14:paraId="43073988">
            <w:pPr>
              <w:spacing w:line="360" w:lineRule="exact"/>
              <w:jc w:val="center"/>
              <w:rPr>
                <w:rFonts w:ascii="宋体" w:hAnsi="宋体"/>
                <w:b/>
                <w:bCs/>
                <w:szCs w:val="21"/>
              </w:rPr>
            </w:pPr>
          </w:p>
        </w:tc>
        <w:tc>
          <w:tcPr>
            <w:tcW w:w="700" w:type="dxa"/>
            <w:vMerge w:val="continue"/>
            <w:vAlign w:val="center"/>
          </w:tcPr>
          <w:p w14:paraId="7E1242DD">
            <w:pPr>
              <w:adjustRightInd w:val="0"/>
              <w:spacing w:line="360" w:lineRule="auto"/>
              <w:jc w:val="center"/>
              <w:textAlignment w:val="baseline"/>
              <w:rPr>
                <w:rFonts w:ascii="宋体" w:hAnsi="宋体"/>
                <w:b/>
                <w:szCs w:val="21"/>
              </w:rPr>
            </w:pPr>
          </w:p>
        </w:tc>
        <w:tc>
          <w:tcPr>
            <w:tcW w:w="1824" w:type="dxa"/>
            <w:vAlign w:val="center"/>
          </w:tcPr>
          <w:p w14:paraId="2F395230">
            <w:pPr>
              <w:widowControl/>
              <w:spacing w:line="360" w:lineRule="auto"/>
              <w:jc w:val="center"/>
              <w:rPr>
                <w:rFonts w:ascii="宋体" w:hAnsi="宋体"/>
                <w:szCs w:val="21"/>
              </w:rPr>
            </w:pPr>
            <w:r>
              <w:rPr>
                <w:rFonts w:hint="eastAsia" w:ascii="宋体" w:hAnsi="宋体" w:cs="微软雅黑"/>
                <w:b/>
                <w:bCs/>
                <w:szCs w:val="21"/>
              </w:rPr>
              <w:t>业绩分（满分</w:t>
            </w:r>
            <w:r>
              <w:rPr>
                <w:rFonts w:ascii="宋体" w:hAnsi="宋体" w:cs="微软雅黑"/>
                <w:b/>
                <w:bCs/>
                <w:szCs w:val="21"/>
              </w:rPr>
              <w:t>10</w:t>
            </w:r>
            <w:r>
              <w:rPr>
                <w:rFonts w:hint="eastAsia" w:ascii="宋体" w:hAnsi="宋体" w:cs="微软雅黑"/>
                <w:b/>
                <w:bCs/>
                <w:szCs w:val="21"/>
              </w:rPr>
              <w:t>分）</w:t>
            </w:r>
          </w:p>
        </w:tc>
        <w:tc>
          <w:tcPr>
            <w:tcW w:w="5607" w:type="dxa"/>
          </w:tcPr>
          <w:p w14:paraId="0FF8F98B">
            <w:pPr>
              <w:widowControl/>
              <w:snapToGrid w:val="0"/>
              <w:spacing w:line="360" w:lineRule="auto"/>
              <w:rPr>
                <w:rFonts w:hAnsi="宋体"/>
              </w:rPr>
            </w:pPr>
            <w:r>
              <w:rPr>
                <w:rFonts w:hint="eastAsia" w:hAnsi="宋体"/>
                <w:bCs/>
                <w:szCs w:val="21"/>
              </w:rPr>
              <w:t>投标人自2023年01月01日以来完成过类似项目业绩的，每提供1项得2分，满分10分；不提供不得分。（须提供项目合同或中标（成交）通知书复印件并加盖投标人公章）</w:t>
            </w:r>
          </w:p>
        </w:tc>
      </w:tr>
      <w:tr w14:paraId="1D612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65" w:type="dxa"/>
            <w:vMerge w:val="continue"/>
            <w:vAlign w:val="center"/>
          </w:tcPr>
          <w:p w14:paraId="6FE52398">
            <w:pPr>
              <w:adjustRightInd w:val="0"/>
              <w:spacing w:line="360" w:lineRule="auto"/>
              <w:jc w:val="center"/>
              <w:textAlignment w:val="baseline"/>
              <w:rPr>
                <w:rFonts w:ascii="宋体" w:hAnsi="宋体"/>
                <w:b/>
                <w:szCs w:val="21"/>
              </w:rPr>
            </w:pPr>
          </w:p>
        </w:tc>
        <w:tc>
          <w:tcPr>
            <w:tcW w:w="1200" w:type="dxa"/>
            <w:vMerge w:val="continue"/>
            <w:vAlign w:val="center"/>
          </w:tcPr>
          <w:p w14:paraId="47A4AC6D">
            <w:pPr>
              <w:adjustRightInd w:val="0"/>
              <w:spacing w:line="360" w:lineRule="auto"/>
              <w:jc w:val="center"/>
              <w:textAlignment w:val="baseline"/>
              <w:rPr>
                <w:rFonts w:ascii="宋体" w:hAnsi="宋体"/>
                <w:b/>
                <w:szCs w:val="21"/>
              </w:rPr>
            </w:pPr>
          </w:p>
        </w:tc>
        <w:tc>
          <w:tcPr>
            <w:tcW w:w="700" w:type="dxa"/>
            <w:vMerge w:val="continue"/>
            <w:vAlign w:val="center"/>
          </w:tcPr>
          <w:p w14:paraId="30D9A4B2">
            <w:pPr>
              <w:adjustRightInd w:val="0"/>
              <w:spacing w:line="440" w:lineRule="exact"/>
              <w:jc w:val="center"/>
              <w:textAlignment w:val="baseline"/>
              <w:rPr>
                <w:rFonts w:ascii="宋体" w:hAnsi="宋体" w:cs="Courier New"/>
                <w:bCs/>
                <w:szCs w:val="21"/>
              </w:rPr>
            </w:pPr>
          </w:p>
        </w:tc>
        <w:tc>
          <w:tcPr>
            <w:tcW w:w="1824" w:type="dxa"/>
            <w:vAlign w:val="center"/>
          </w:tcPr>
          <w:p w14:paraId="7D2FE91C">
            <w:pPr>
              <w:widowControl/>
              <w:spacing w:line="360" w:lineRule="auto"/>
              <w:jc w:val="center"/>
              <w:rPr>
                <w:rFonts w:ascii="宋体" w:hAnsi="宋体" w:cs="Courier New"/>
                <w:bCs/>
                <w:szCs w:val="21"/>
              </w:rPr>
            </w:pPr>
            <w:r>
              <w:rPr>
                <w:rFonts w:hint="eastAsia" w:ascii="宋体" w:hAnsi="宋体" w:cs="微软雅黑"/>
                <w:b/>
                <w:bCs/>
                <w:szCs w:val="21"/>
              </w:rPr>
              <w:t>服务能力（满分6分）</w:t>
            </w:r>
          </w:p>
        </w:tc>
        <w:tc>
          <w:tcPr>
            <w:tcW w:w="5607" w:type="dxa"/>
          </w:tcPr>
          <w:p w14:paraId="7D4D9322">
            <w:pPr>
              <w:widowControl/>
              <w:snapToGrid w:val="0"/>
              <w:spacing w:line="360" w:lineRule="auto"/>
              <w:rPr>
                <w:rFonts w:hAnsi="宋体"/>
                <w:bCs/>
                <w:szCs w:val="21"/>
              </w:rPr>
            </w:pPr>
            <w:r>
              <w:rPr>
                <w:rFonts w:hint="eastAsia" w:hAnsi="宋体"/>
                <w:bCs/>
                <w:szCs w:val="21"/>
              </w:rPr>
              <w:t>1、投标人具有ISO9001质量管理体系认证证书得1分（须提供有效的认证证书复印件并加盖投标人公章）；</w:t>
            </w:r>
          </w:p>
          <w:p w14:paraId="78B6E892">
            <w:pPr>
              <w:widowControl/>
              <w:snapToGrid w:val="0"/>
              <w:spacing w:line="360" w:lineRule="auto"/>
              <w:rPr>
                <w:rFonts w:hAnsi="宋体"/>
                <w:bCs/>
                <w:szCs w:val="21"/>
              </w:rPr>
            </w:pPr>
            <w:r>
              <w:rPr>
                <w:rFonts w:hint="eastAsia" w:hAnsi="宋体"/>
                <w:bCs/>
                <w:szCs w:val="21"/>
              </w:rPr>
              <w:t>2、投标人具有ISO20000信息技术服务管理体系认证证书得1分（须提供有效的认证证书复印件并加盖投标人公章）；</w:t>
            </w:r>
          </w:p>
          <w:p w14:paraId="39572B11">
            <w:pPr>
              <w:widowControl/>
              <w:snapToGrid w:val="0"/>
              <w:spacing w:line="360" w:lineRule="auto"/>
              <w:rPr>
                <w:rFonts w:hAnsi="宋体"/>
                <w:bCs/>
                <w:szCs w:val="21"/>
              </w:rPr>
            </w:pPr>
            <w:r>
              <w:rPr>
                <w:rFonts w:hint="eastAsia" w:hAnsi="宋体"/>
                <w:bCs/>
                <w:szCs w:val="21"/>
              </w:rPr>
              <w:t>3、投标人具有ISO27001信息安全管理体系认证证书得1分（须提供有效的认证证书复印件并加盖投标人公章）；</w:t>
            </w:r>
          </w:p>
          <w:p w14:paraId="41181187">
            <w:pPr>
              <w:widowControl/>
              <w:snapToGrid w:val="0"/>
              <w:spacing w:line="360" w:lineRule="auto"/>
              <w:rPr>
                <w:rFonts w:hAnsi="宋体"/>
                <w:bCs/>
                <w:szCs w:val="21"/>
              </w:rPr>
            </w:pPr>
            <w:r>
              <w:rPr>
                <w:rFonts w:hint="eastAsia" w:hAnsi="宋体"/>
                <w:bCs/>
                <w:szCs w:val="21"/>
              </w:rPr>
              <w:t>4、投标人提供由中华人民共和国国家版权局颁发的与分标采购内容有关的交通运输类或驾培服务行业的计算机软件著作权登记证书，每提供1项得1分，满分3分。(须提供有效的证书复印件并加盖投标人公章)</w:t>
            </w:r>
          </w:p>
          <w:p w14:paraId="4405AAC0">
            <w:pPr>
              <w:widowControl/>
              <w:snapToGrid w:val="0"/>
              <w:spacing w:line="360" w:lineRule="auto"/>
              <w:rPr>
                <w:rFonts w:hAnsi="宋体" w:cs="Courier New"/>
                <w:bCs/>
              </w:rPr>
            </w:pPr>
            <w:r>
              <w:rPr>
                <w:rFonts w:hint="eastAsia" w:hAnsi="宋体"/>
                <w:bCs/>
                <w:szCs w:val="21"/>
              </w:rPr>
              <w:t>注：不提供不得分。</w:t>
            </w:r>
          </w:p>
        </w:tc>
      </w:tr>
      <w:tr w14:paraId="35FE4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96" w:type="dxa"/>
            <w:gridSpan w:val="5"/>
            <w:vAlign w:val="center"/>
          </w:tcPr>
          <w:p w14:paraId="796CC7AC">
            <w:pPr>
              <w:pStyle w:val="23"/>
              <w:spacing w:line="360" w:lineRule="auto"/>
              <w:rPr>
                <w:rFonts w:hAnsi="宋体" w:cs="Courier New"/>
                <w:bCs/>
                <w:kern w:val="2"/>
                <w:sz w:val="21"/>
              </w:rPr>
            </w:pPr>
            <w:r>
              <w:rPr>
                <w:rFonts w:hint="eastAsia" w:hAnsi="宋体" w:cs="Courier New"/>
                <w:b/>
                <w:bCs/>
                <w:kern w:val="2"/>
                <w:sz w:val="21"/>
              </w:rPr>
              <w:t>总得分=1+2+3。</w:t>
            </w:r>
          </w:p>
        </w:tc>
      </w:tr>
    </w:tbl>
    <w:p w14:paraId="788A554F">
      <w:pPr>
        <w:rPr>
          <w:rFonts w:hAnsi="宋体"/>
          <w:bCs/>
          <w:color w:val="auto"/>
          <w:highlight w:val="none"/>
        </w:rPr>
      </w:pPr>
      <w:r>
        <w:rPr>
          <w:rFonts w:hint="eastAsia" w:hAnsi="宋体"/>
          <w:bCs/>
          <w:color w:val="auto"/>
          <w:highlight w:val="none"/>
        </w:rPr>
        <w:br w:type="page"/>
      </w:r>
    </w:p>
    <w:tbl>
      <w:tblPr>
        <w:tblStyle w:val="47"/>
        <w:tblW w:w="96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145"/>
        <w:gridCol w:w="668"/>
        <w:gridCol w:w="1740"/>
        <w:gridCol w:w="5350"/>
      </w:tblGrid>
      <w:tr w14:paraId="0D53D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9633" w:type="dxa"/>
            <w:gridSpan w:val="5"/>
            <w:vAlign w:val="center"/>
          </w:tcPr>
          <w:p w14:paraId="0C145283">
            <w:pPr>
              <w:adjustRightInd w:val="0"/>
              <w:spacing w:line="360" w:lineRule="auto"/>
              <w:jc w:val="left"/>
              <w:textAlignment w:val="baseline"/>
              <w:rPr>
                <w:rFonts w:ascii="宋体" w:hAnsi="宋体"/>
                <w:b/>
                <w:color w:val="auto"/>
                <w:szCs w:val="21"/>
                <w:highlight w:val="none"/>
              </w:rPr>
            </w:pPr>
            <w:r>
              <w:rPr>
                <w:rFonts w:hint="eastAsia" w:ascii="宋体" w:hAnsi="宋体"/>
                <w:b/>
                <w:color w:val="auto"/>
                <w:sz w:val="28"/>
                <w:szCs w:val="28"/>
                <w:highlight w:val="none"/>
              </w:rPr>
              <w:t>适用于8分标</w:t>
            </w:r>
          </w:p>
        </w:tc>
      </w:tr>
      <w:tr w14:paraId="4B95A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vAlign w:val="center"/>
          </w:tcPr>
          <w:p w14:paraId="05E88DF5">
            <w:pPr>
              <w:rPr>
                <w:b/>
                <w:bCs/>
                <w:color w:val="auto"/>
                <w:highlight w:val="none"/>
              </w:rPr>
            </w:pPr>
            <w:r>
              <w:rPr>
                <w:rFonts w:hint="eastAsia"/>
                <w:b/>
                <w:bCs/>
                <w:color w:val="auto"/>
                <w:highlight w:val="none"/>
              </w:rPr>
              <w:t>1</w:t>
            </w:r>
          </w:p>
        </w:tc>
        <w:tc>
          <w:tcPr>
            <w:tcW w:w="1145" w:type="dxa"/>
            <w:vAlign w:val="center"/>
          </w:tcPr>
          <w:p w14:paraId="4DCB2008">
            <w:pPr>
              <w:rPr>
                <w:b/>
                <w:bCs/>
                <w:color w:val="auto"/>
                <w:highlight w:val="none"/>
              </w:rPr>
            </w:pPr>
            <w:r>
              <w:rPr>
                <w:rFonts w:hint="eastAsia"/>
                <w:b/>
                <w:bCs/>
                <w:color w:val="auto"/>
                <w:highlight w:val="none"/>
              </w:rPr>
              <w:t>报价</w:t>
            </w:r>
          </w:p>
        </w:tc>
        <w:tc>
          <w:tcPr>
            <w:tcW w:w="668" w:type="dxa"/>
            <w:vAlign w:val="center"/>
          </w:tcPr>
          <w:p w14:paraId="470AA9E5">
            <w:pPr>
              <w:rPr>
                <w:b/>
                <w:bCs/>
                <w:color w:val="auto"/>
                <w:highlight w:val="none"/>
              </w:rPr>
            </w:pPr>
            <w:r>
              <w:rPr>
                <w:rFonts w:hint="eastAsia"/>
                <w:b/>
                <w:bCs/>
                <w:color w:val="auto"/>
                <w:highlight w:val="none"/>
              </w:rPr>
              <w:t>10分</w:t>
            </w:r>
          </w:p>
        </w:tc>
        <w:tc>
          <w:tcPr>
            <w:tcW w:w="7090" w:type="dxa"/>
            <w:gridSpan w:val="2"/>
            <w:vAlign w:val="center"/>
          </w:tcPr>
          <w:p w14:paraId="386EDFDF">
            <w:pPr>
              <w:rPr>
                <w:color w:val="auto"/>
                <w:highlight w:val="none"/>
              </w:rPr>
            </w:pPr>
            <w:r>
              <w:rPr>
                <w:rFonts w:hint="eastAsia"/>
                <w:color w:val="auto"/>
                <w:highlight w:val="none"/>
              </w:rPr>
              <w:t>1.本项目为专门面向中小企业采购项目，按照《政府采购促进中小企业发展管理办法》（财库〔2020〕46号）的规定，对供应商最后报价不再执行价格评审优惠的扶持政策。</w:t>
            </w:r>
          </w:p>
          <w:p w14:paraId="3F3565FB">
            <w:pPr>
              <w:rPr>
                <w:color w:val="auto"/>
                <w:highlight w:val="none"/>
              </w:rPr>
            </w:pPr>
            <w:r>
              <w:rPr>
                <w:rFonts w:hint="eastAsia"/>
                <w:color w:val="auto"/>
                <w:highlight w:val="none"/>
              </w:rPr>
              <w:t>（1）评审价为供应商的最后报价进行政策性扣除后的价格，评审价只是作为评审时使用。最终成交供应商的成交金额等于最后报价（如有修正，以确认修正后的最后报价为准）。</w:t>
            </w:r>
          </w:p>
          <w:p w14:paraId="1D0DEF84">
            <w:pPr>
              <w:rPr>
                <w:color w:val="auto"/>
                <w:highlight w:val="none"/>
              </w:rPr>
            </w:pPr>
            <w:r>
              <w:rPr>
                <w:rFonts w:hint="eastAsia"/>
                <w:color w:val="auto"/>
                <w:highlight w:val="none"/>
              </w:rPr>
              <w:t>（2）以进入比较与评价环节的最低的评审价为基准价，基准价得分为10分。</w:t>
            </w:r>
          </w:p>
          <w:p w14:paraId="112251D9">
            <w:pPr>
              <w:rPr>
                <w:color w:val="auto"/>
                <w:highlight w:val="none"/>
              </w:rPr>
            </w:pPr>
            <w:r>
              <w:rPr>
                <w:rFonts w:hint="eastAsia"/>
                <w:color w:val="auto"/>
                <w:highlight w:val="none"/>
              </w:rPr>
              <w:t>（3）价格分计算公式：报价得分=（基准价/最后报价）×10分</w:t>
            </w:r>
          </w:p>
        </w:tc>
      </w:tr>
      <w:tr w14:paraId="53B0B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vMerge w:val="restart"/>
            <w:vAlign w:val="center"/>
          </w:tcPr>
          <w:p w14:paraId="326F514D">
            <w:pPr>
              <w:rPr>
                <w:b/>
                <w:bCs/>
                <w:color w:val="auto"/>
                <w:highlight w:val="none"/>
              </w:rPr>
            </w:pPr>
            <w:r>
              <w:rPr>
                <w:rFonts w:hint="eastAsia"/>
                <w:b/>
                <w:bCs/>
                <w:color w:val="auto"/>
                <w:highlight w:val="none"/>
              </w:rPr>
              <w:t>2</w:t>
            </w:r>
          </w:p>
        </w:tc>
        <w:tc>
          <w:tcPr>
            <w:tcW w:w="1145" w:type="dxa"/>
            <w:vMerge w:val="restart"/>
            <w:vAlign w:val="center"/>
          </w:tcPr>
          <w:p w14:paraId="7F5ABDEA">
            <w:pPr>
              <w:rPr>
                <w:b/>
                <w:bCs/>
                <w:color w:val="auto"/>
                <w:highlight w:val="none"/>
              </w:rPr>
            </w:pPr>
            <w:r>
              <w:rPr>
                <w:rFonts w:hint="eastAsia"/>
                <w:b/>
                <w:bCs/>
                <w:color w:val="auto"/>
                <w:highlight w:val="none"/>
              </w:rPr>
              <w:t>技术分</w:t>
            </w:r>
          </w:p>
        </w:tc>
        <w:tc>
          <w:tcPr>
            <w:tcW w:w="668" w:type="dxa"/>
            <w:vMerge w:val="restart"/>
            <w:vAlign w:val="center"/>
          </w:tcPr>
          <w:p w14:paraId="62382764">
            <w:pPr>
              <w:rPr>
                <w:b/>
                <w:bCs/>
                <w:color w:val="auto"/>
                <w:highlight w:val="none"/>
              </w:rPr>
            </w:pPr>
            <w:r>
              <w:rPr>
                <w:rFonts w:hint="eastAsia"/>
                <w:b/>
                <w:bCs/>
                <w:color w:val="auto"/>
                <w:highlight w:val="none"/>
              </w:rPr>
              <w:t>60分</w:t>
            </w:r>
          </w:p>
        </w:tc>
        <w:tc>
          <w:tcPr>
            <w:tcW w:w="1740" w:type="dxa"/>
            <w:vAlign w:val="center"/>
          </w:tcPr>
          <w:p w14:paraId="576A631C">
            <w:pPr>
              <w:rPr>
                <w:b/>
                <w:bCs/>
                <w:color w:val="auto"/>
                <w:highlight w:val="none"/>
              </w:rPr>
            </w:pPr>
            <w:r>
              <w:rPr>
                <w:rFonts w:hint="eastAsia"/>
                <w:b/>
                <w:bCs/>
                <w:color w:val="auto"/>
                <w:highlight w:val="none"/>
              </w:rPr>
              <w:t>管理阶段方案分（满分20分）</w:t>
            </w:r>
          </w:p>
        </w:tc>
        <w:tc>
          <w:tcPr>
            <w:tcW w:w="5350" w:type="dxa"/>
            <w:vAlign w:val="center"/>
          </w:tcPr>
          <w:p w14:paraId="4978BBC1">
            <w:pPr>
              <w:rPr>
                <w:color w:val="auto"/>
                <w:highlight w:val="none"/>
              </w:rPr>
            </w:pPr>
            <w:r>
              <w:rPr>
                <w:rFonts w:hint="eastAsia"/>
                <w:color w:val="auto"/>
                <w:highlight w:val="none"/>
              </w:rPr>
              <w:t>一档（5分）：供应商提供有项目管理范围、工作内容等描述简单；</w:t>
            </w:r>
          </w:p>
          <w:p w14:paraId="5F9BAF33">
            <w:pPr>
              <w:rPr>
                <w:color w:val="auto"/>
                <w:highlight w:val="none"/>
              </w:rPr>
            </w:pPr>
            <w:r>
              <w:rPr>
                <w:rFonts w:hint="eastAsia"/>
                <w:color w:val="auto"/>
                <w:highlight w:val="none"/>
              </w:rPr>
              <w:t>二档（10分）：在一档的基础上，供应商能根据项目采购的各项服务提供有项目组织计划、进度计划及工程进度保障方法等内容描述清晰，方案合理、可行、完整。</w:t>
            </w:r>
          </w:p>
          <w:p w14:paraId="77ACE26E">
            <w:pPr>
              <w:rPr>
                <w:color w:val="auto"/>
                <w:highlight w:val="none"/>
              </w:rPr>
            </w:pPr>
            <w:r>
              <w:rPr>
                <w:rFonts w:hint="eastAsia"/>
                <w:color w:val="auto"/>
                <w:highlight w:val="none"/>
              </w:rPr>
              <w:t>三档（15分）：在二档的基础上，供应商提供有合同管理、沟通管理等内容描述清晰、完整、合理。</w:t>
            </w:r>
          </w:p>
          <w:p w14:paraId="4165E2BA">
            <w:pPr>
              <w:rPr>
                <w:color w:val="auto"/>
                <w:highlight w:val="none"/>
              </w:rPr>
            </w:pPr>
            <w:r>
              <w:rPr>
                <w:rFonts w:hint="eastAsia"/>
                <w:color w:val="auto"/>
                <w:highlight w:val="none"/>
              </w:rPr>
              <w:t>四档（20分）：在三档的基础上，供应商提供的方案涵盖成本管理、风险管理等内容，能针对项目变更管理提出原因、分类以及控制措施等内容，且具备可行性、可靠性，吻合项目实际。</w:t>
            </w:r>
          </w:p>
          <w:p w14:paraId="65DB559E">
            <w:pPr>
              <w:rPr>
                <w:color w:val="auto"/>
                <w:highlight w:val="none"/>
              </w:rPr>
            </w:pPr>
            <w:r>
              <w:rPr>
                <w:rFonts w:hint="eastAsia"/>
                <w:color w:val="auto"/>
                <w:sz w:val="18"/>
                <w:szCs w:val="18"/>
                <w:highlight w:val="none"/>
              </w:rPr>
              <w:t>注：不提供不得分。</w:t>
            </w:r>
          </w:p>
        </w:tc>
      </w:tr>
      <w:tr w14:paraId="5801C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730" w:type="dxa"/>
            <w:vMerge w:val="continue"/>
            <w:vAlign w:val="center"/>
          </w:tcPr>
          <w:p w14:paraId="285B369F">
            <w:pPr>
              <w:rPr>
                <w:b/>
                <w:bCs/>
                <w:color w:val="auto"/>
                <w:highlight w:val="none"/>
              </w:rPr>
            </w:pPr>
          </w:p>
        </w:tc>
        <w:tc>
          <w:tcPr>
            <w:tcW w:w="1145" w:type="dxa"/>
            <w:vMerge w:val="continue"/>
            <w:vAlign w:val="center"/>
          </w:tcPr>
          <w:p w14:paraId="69BF6738">
            <w:pPr>
              <w:rPr>
                <w:b/>
                <w:bCs/>
                <w:color w:val="auto"/>
                <w:highlight w:val="none"/>
              </w:rPr>
            </w:pPr>
          </w:p>
        </w:tc>
        <w:tc>
          <w:tcPr>
            <w:tcW w:w="668" w:type="dxa"/>
            <w:vMerge w:val="continue"/>
            <w:vAlign w:val="center"/>
          </w:tcPr>
          <w:p w14:paraId="60A50F8F">
            <w:pPr>
              <w:rPr>
                <w:b/>
                <w:bCs/>
                <w:color w:val="auto"/>
                <w:highlight w:val="none"/>
              </w:rPr>
            </w:pPr>
          </w:p>
        </w:tc>
        <w:tc>
          <w:tcPr>
            <w:tcW w:w="1740" w:type="dxa"/>
            <w:vAlign w:val="center"/>
          </w:tcPr>
          <w:p w14:paraId="05A3B685">
            <w:pPr>
              <w:rPr>
                <w:b/>
                <w:bCs/>
                <w:color w:val="auto"/>
                <w:highlight w:val="none"/>
              </w:rPr>
            </w:pPr>
            <w:r>
              <w:rPr>
                <w:rFonts w:hint="eastAsia"/>
                <w:b/>
                <w:bCs/>
                <w:color w:val="auto"/>
                <w:highlight w:val="none"/>
              </w:rPr>
              <w:t>验收阶段服务方案分（满分20分）</w:t>
            </w:r>
          </w:p>
        </w:tc>
        <w:tc>
          <w:tcPr>
            <w:tcW w:w="5350" w:type="dxa"/>
            <w:vAlign w:val="center"/>
          </w:tcPr>
          <w:p w14:paraId="1D530923">
            <w:pPr>
              <w:rPr>
                <w:color w:val="auto"/>
                <w:highlight w:val="none"/>
              </w:rPr>
            </w:pPr>
            <w:r>
              <w:rPr>
                <w:rFonts w:hint="eastAsia"/>
                <w:color w:val="auto"/>
                <w:highlight w:val="none"/>
              </w:rPr>
              <w:t>一档（5分）：供应商提供的验收阶段服务方案符合国家、自治区要求的。</w:t>
            </w:r>
          </w:p>
          <w:p w14:paraId="261688E2">
            <w:pPr>
              <w:rPr>
                <w:color w:val="auto"/>
                <w:highlight w:val="none"/>
              </w:rPr>
            </w:pPr>
            <w:r>
              <w:rPr>
                <w:rFonts w:hint="eastAsia"/>
                <w:color w:val="auto"/>
                <w:highlight w:val="none"/>
              </w:rPr>
              <w:t>二档（10分）：在一档基础上，供应商提供的方案具有项目验收阶段主要内容、管理目标，且符合项目实际需求。</w:t>
            </w:r>
          </w:p>
          <w:p w14:paraId="7B2251A3">
            <w:pPr>
              <w:rPr>
                <w:color w:val="auto"/>
                <w:highlight w:val="none"/>
              </w:rPr>
            </w:pPr>
            <w:r>
              <w:rPr>
                <w:rFonts w:hint="eastAsia"/>
                <w:color w:val="auto"/>
                <w:highlight w:val="none"/>
              </w:rPr>
              <w:t>三档（15分）：在二档基础上，项目验收阶段的服务范围、项目验收阶段主要内容理解描述全面。</w:t>
            </w:r>
          </w:p>
          <w:p w14:paraId="675DDC3F">
            <w:pPr>
              <w:rPr>
                <w:color w:val="auto"/>
                <w:highlight w:val="none"/>
              </w:rPr>
            </w:pPr>
            <w:r>
              <w:rPr>
                <w:rFonts w:hint="eastAsia"/>
                <w:color w:val="auto"/>
                <w:highlight w:val="none"/>
              </w:rPr>
              <w:t>四档（20分）：在三档基础上，供应商提供的方案具有针对项目验收阶段服务的技术重点、难点和服务要点有具体的措施，且内容详实、具备可操作性。</w:t>
            </w:r>
          </w:p>
          <w:p w14:paraId="69D1465F">
            <w:pPr>
              <w:rPr>
                <w:color w:val="auto"/>
                <w:highlight w:val="none"/>
              </w:rPr>
            </w:pPr>
            <w:r>
              <w:rPr>
                <w:rFonts w:hint="eastAsia"/>
                <w:color w:val="auto"/>
                <w:highlight w:val="none"/>
              </w:rPr>
              <w:t>注：不提供不得分。</w:t>
            </w:r>
          </w:p>
        </w:tc>
      </w:tr>
      <w:tr w14:paraId="27A89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vMerge w:val="continue"/>
            <w:vAlign w:val="center"/>
          </w:tcPr>
          <w:p w14:paraId="654679E8">
            <w:pPr>
              <w:rPr>
                <w:color w:val="auto"/>
                <w:highlight w:val="none"/>
              </w:rPr>
            </w:pPr>
          </w:p>
        </w:tc>
        <w:tc>
          <w:tcPr>
            <w:tcW w:w="1145" w:type="dxa"/>
            <w:vMerge w:val="continue"/>
            <w:vAlign w:val="center"/>
          </w:tcPr>
          <w:p w14:paraId="4A283C30">
            <w:pPr>
              <w:rPr>
                <w:color w:val="auto"/>
                <w:highlight w:val="none"/>
              </w:rPr>
            </w:pPr>
          </w:p>
        </w:tc>
        <w:tc>
          <w:tcPr>
            <w:tcW w:w="668" w:type="dxa"/>
            <w:vMerge w:val="continue"/>
            <w:vAlign w:val="center"/>
          </w:tcPr>
          <w:p w14:paraId="2B90FA17">
            <w:pPr>
              <w:rPr>
                <w:color w:val="auto"/>
                <w:highlight w:val="none"/>
              </w:rPr>
            </w:pPr>
          </w:p>
        </w:tc>
        <w:tc>
          <w:tcPr>
            <w:tcW w:w="1740" w:type="dxa"/>
            <w:vAlign w:val="center"/>
          </w:tcPr>
          <w:p w14:paraId="3F71873C">
            <w:pPr>
              <w:rPr>
                <w:color w:val="auto"/>
                <w:highlight w:val="none"/>
              </w:rPr>
            </w:pPr>
            <w:r>
              <w:rPr>
                <w:rFonts w:hint="eastAsia"/>
                <w:b/>
                <w:bCs/>
                <w:color w:val="auto"/>
                <w:highlight w:val="none"/>
              </w:rPr>
              <w:t>后续服务方案分（满分20分）</w:t>
            </w:r>
          </w:p>
        </w:tc>
        <w:tc>
          <w:tcPr>
            <w:tcW w:w="5350" w:type="dxa"/>
            <w:vAlign w:val="center"/>
          </w:tcPr>
          <w:p w14:paraId="08B1608E">
            <w:pPr>
              <w:rPr>
                <w:color w:val="auto"/>
                <w:highlight w:val="none"/>
              </w:rPr>
            </w:pPr>
            <w:r>
              <w:rPr>
                <w:rFonts w:hint="eastAsia"/>
                <w:color w:val="auto"/>
                <w:highlight w:val="none"/>
              </w:rPr>
              <w:t>一档（5分）：供应商提供有后续服务承诺、服务内容等内容描述简单、符合项目采购需求。</w:t>
            </w:r>
          </w:p>
          <w:p w14:paraId="2A0F8DC4">
            <w:pPr>
              <w:rPr>
                <w:color w:val="auto"/>
                <w:highlight w:val="none"/>
              </w:rPr>
            </w:pPr>
            <w:r>
              <w:rPr>
                <w:rFonts w:hint="eastAsia"/>
                <w:color w:val="auto"/>
                <w:highlight w:val="none"/>
              </w:rPr>
              <w:t>二档（10分）：在一档的基础上，供应商提供的方案有服务流程、响应与处置等内容描述清晰、合理，具备可行性。</w:t>
            </w:r>
          </w:p>
          <w:p w14:paraId="3CD28EBD">
            <w:pPr>
              <w:rPr>
                <w:color w:val="auto"/>
                <w:highlight w:val="none"/>
              </w:rPr>
            </w:pPr>
            <w:r>
              <w:rPr>
                <w:rFonts w:hint="eastAsia"/>
                <w:color w:val="auto"/>
                <w:highlight w:val="none"/>
              </w:rPr>
              <w:t>三档（15分）：在二档的基础上，供应商提供的方案有本地化服务、应急预案等内容详实、具备可操作性强。</w:t>
            </w:r>
          </w:p>
          <w:p w14:paraId="49D461C7">
            <w:pPr>
              <w:rPr>
                <w:color w:val="auto"/>
                <w:highlight w:val="none"/>
              </w:rPr>
            </w:pPr>
            <w:r>
              <w:rPr>
                <w:rFonts w:hint="eastAsia"/>
                <w:color w:val="auto"/>
                <w:highlight w:val="none"/>
              </w:rPr>
              <w:t>四档（20分）：在三档的基础上，供应商提供的方案能针对本项目实际情况提出后续服务内容的各项保障方法及措施，方案的投诉、回访等内容齐全、详实、可操作性强，吻合实际。</w:t>
            </w:r>
          </w:p>
          <w:p w14:paraId="7E697351">
            <w:pPr>
              <w:rPr>
                <w:color w:val="auto"/>
                <w:highlight w:val="none"/>
              </w:rPr>
            </w:pPr>
            <w:r>
              <w:rPr>
                <w:rFonts w:hint="eastAsia"/>
                <w:color w:val="auto"/>
                <w:highlight w:val="none"/>
              </w:rPr>
              <w:t>注：不提供不得分。</w:t>
            </w:r>
          </w:p>
        </w:tc>
      </w:tr>
      <w:tr w14:paraId="44ED6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vMerge w:val="restart"/>
            <w:vAlign w:val="center"/>
          </w:tcPr>
          <w:p w14:paraId="4AABD8DD">
            <w:pPr>
              <w:rPr>
                <w:b/>
                <w:bCs/>
                <w:color w:val="auto"/>
                <w:highlight w:val="none"/>
              </w:rPr>
            </w:pPr>
            <w:r>
              <w:rPr>
                <w:rFonts w:hint="eastAsia"/>
                <w:b/>
                <w:bCs/>
                <w:color w:val="auto"/>
                <w:highlight w:val="none"/>
              </w:rPr>
              <w:t>3</w:t>
            </w:r>
          </w:p>
        </w:tc>
        <w:tc>
          <w:tcPr>
            <w:tcW w:w="1145" w:type="dxa"/>
            <w:vMerge w:val="restart"/>
            <w:vAlign w:val="center"/>
          </w:tcPr>
          <w:p w14:paraId="10157392">
            <w:pPr>
              <w:rPr>
                <w:b/>
                <w:bCs/>
                <w:color w:val="auto"/>
                <w:highlight w:val="none"/>
              </w:rPr>
            </w:pPr>
            <w:r>
              <w:rPr>
                <w:rFonts w:hint="eastAsia"/>
                <w:b/>
                <w:bCs/>
                <w:color w:val="auto"/>
                <w:highlight w:val="none"/>
              </w:rPr>
              <w:t>商务分</w:t>
            </w:r>
          </w:p>
        </w:tc>
        <w:tc>
          <w:tcPr>
            <w:tcW w:w="668" w:type="dxa"/>
            <w:vMerge w:val="restart"/>
            <w:vAlign w:val="center"/>
          </w:tcPr>
          <w:p w14:paraId="476CC638">
            <w:pPr>
              <w:rPr>
                <w:b/>
                <w:bCs/>
                <w:color w:val="auto"/>
                <w:highlight w:val="none"/>
              </w:rPr>
            </w:pPr>
            <w:r>
              <w:rPr>
                <w:rFonts w:hint="eastAsia"/>
                <w:b/>
                <w:bCs/>
                <w:color w:val="auto"/>
                <w:highlight w:val="none"/>
              </w:rPr>
              <w:t>38分</w:t>
            </w:r>
          </w:p>
        </w:tc>
        <w:tc>
          <w:tcPr>
            <w:tcW w:w="1740" w:type="dxa"/>
            <w:vAlign w:val="center"/>
          </w:tcPr>
          <w:p w14:paraId="27F81F3A">
            <w:pPr>
              <w:rPr>
                <w:b/>
                <w:bCs/>
                <w:color w:val="auto"/>
                <w:highlight w:val="none"/>
              </w:rPr>
            </w:pPr>
            <w:r>
              <w:rPr>
                <w:rFonts w:hint="eastAsia"/>
                <w:b/>
                <w:bCs/>
                <w:color w:val="auto"/>
                <w:highlight w:val="none"/>
              </w:rPr>
              <w:t>项目人员配备分（满分12分）</w:t>
            </w:r>
          </w:p>
        </w:tc>
        <w:tc>
          <w:tcPr>
            <w:tcW w:w="5350" w:type="dxa"/>
          </w:tcPr>
          <w:p w14:paraId="1919C33C">
            <w:pPr>
              <w:rPr>
                <w:color w:val="auto"/>
                <w:highlight w:val="none"/>
              </w:rPr>
            </w:pPr>
            <w:r>
              <w:rPr>
                <w:rFonts w:hint="eastAsia"/>
                <w:color w:val="auto"/>
                <w:highlight w:val="none"/>
              </w:rPr>
              <w:t>1.供应商拟投入本项目的项目经理持有以下证书的，每个证书得1分，满分3分：</w:t>
            </w:r>
          </w:p>
          <w:p w14:paraId="4CD512D6">
            <w:pPr>
              <w:rPr>
                <w:color w:val="auto"/>
                <w:highlight w:val="none"/>
              </w:rPr>
            </w:pPr>
            <w:r>
              <w:rPr>
                <w:rFonts w:hint="eastAsia"/>
                <w:color w:val="auto"/>
                <w:highlight w:val="none"/>
              </w:rPr>
              <w:t>（1）咨询工程师（投资）证书；</w:t>
            </w:r>
          </w:p>
          <w:p w14:paraId="76AFD9B9">
            <w:pPr>
              <w:rPr>
                <w:color w:val="auto"/>
                <w:highlight w:val="none"/>
              </w:rPr>
            </w:pPr>
            <w:r>
              <w:rPr>
                <w:rFonts w:hint="eastAsia"/>
                <w:color w:val="auto"/>
                <w:highlight w:val="none"/>
              </w:rPr>
              <w:t>（2）信息安全工程师证书；</w:t>
            </w:r>
          </w:p>
          <w:p w14:paraId="79961D09">
            <w:pPr>
              <w:rPr>
                <w:color w:val="auto"/>
                <w:highlight w:val="none"/>
              </w:rPr>
            </w:pPr>
            <w:r>
              <w:rPr>
                <w:rFonts w:hint="eastAsia"/>
                <w:color w:val="auto"/>
                <w:highlight w:val="none"/>
              </w:rPr>
              <w:t>（3）数据库管理工程师证书；</w:t>
            </w:r>
          </w:p>
          <w:p w14:paraId="1ABC9EDE">
            <w:pPr>
              <w:rPr>
                <w:color w:val="auto"/>
                <w:highlight w:val="none"/>
              </w:rPr>
            </w:pPr>
            <w:r>
              <w:rPr>
                <w:rFonts w:hint="eastAsia"/>
                <w:color w:val="auto"/>
                <w:highlight w:val="none"/>
              </w:rPr>
              <w:t>（4）通信工程相关专业或计算机相关专业高级工程师或以上职称证书。</w:t>
            </w:r>
          </w:p>
          <w:p w14:paraId="635A6128">
            <w:pPr>
              <w:rPr>
                <w:color w:val="auto"/>
                <w:highlight w:val="none"/>
              </w:rPr>
            </w:pPr>
            <w:r>
              <w:rPr>
                <w:rFonts w:hint="eastAsia"/>
                <w:color w:val="auto"/>
                <w:highlight w:val="none"/>
              </w:rPr>
              <w:t>2.供应商拟投入本项目的技术负责人持有以下证书的，每个证书得1分，满分3分：</w:t>
            </w:r>
          </w:p>
          <w:p w14:paraId="591F7306">
            <w:pPr>
              <w:rPr>
                <w:color w:val="auto"/>
                <w:highlight w:val="none"/>
              </w:rPr>
            </w:pPr>
            <w:r>
              <w:rPr>
                <w:rFonts w:hint="eastAsia"/>
                <w:color w:val="auto"/>
                <w:highlight w:val="none"/>
              </w:rPr>
              <w:t>（1）软件设计师证书；</w:t>
            </w:r>
          </w:p>
          <w:p w14:paraId="02F1CB5F">
            <w:pPr>
              <w:rPr>
                <w:color w:val="auto"/>
                <w:highlight w:val="none"/>
              </w:rPr>
            </w:pPr>
            <w:r>
              <w:rPr>
                <w:rFonts w:hint="eastAsia"/>
                <w:color w:val="auto"/>
                <w:highlight w:val="none"/>
              </w:rPr>
              <w:t>（2）程序员证书；</w:t>
            </w:r>
          </w:p>
          <w:p w14:paraId="6DE973D7">
            <w:pPr>
              <w:rPr>
                <w:color w:val="auto"/>
                <w:highlight w:val="none"/>
              </w:rPr>
            </w:pPr>
            <w:r>
              <w:rPr>
                <w:rFonts w:hint="eastAsia"/>
                <w:color w:val="auto"/>
                <w:highlight w:val="none"/>
              </w:rPr>
              <w:t>（3）网络技术工程师证书；</w:t>
            </w:r>
          </w:p>
          <w:p w14:paraId="7853C840">
            <w:pPr>
              <w:rPr>
                <w:color w:val="auto"/>
                <w:highlight w:val="none"/>
              </w:rPr>
            </w:pPr>
            <w:r>
              <w:rPr>
                <w:rFonts w:hint="eastAsia"/>
                <w:color w:val="auto"/>
                <w:highlight w:val="none"/>
              </w:rPr>
              <w:t>（4）通信工程相关专业或计算机相关专业高级工程师或以上职称证书。</w:t>
            </w:r>
          </w:p>
          <w:p w14:paraId="7B87CFFD">
            <w:pPr>
              <w:rPr>
                <w:color w:val="auto"/>
                <w:highlight w:val="none"/>
              </w:rPr>
            </w:pPr>
            <w:r>
              <w:rPr>
                <w:rFonts w:hint="eastAsia"/>
                <w:color w:val="auto"/>
                <w:highlight w:val="none"/>
              </w:rPr>
              <w:t>3.供应商拟投入本项目的团队设计人员（不包括项目经理、技术负责人）持有以下证书的，每个证书得1分，同一人证书最多得2分，本项满分6分：</w:t>
            </w:r>
          </w:p>
          <w:p w14:paraId="749CEC68">
            <w:pPr>
              <w:rPr>
                <w:color w:val="auto"/>
                <w:highlight w:val="none"/>
              </w:rPr>
            </w:pPr>
            <w:r>
              <w:rPr>
                <w:rFonts w:hint="eastAsia"/>
                <w:color w:val="auto"/>
                <w:highlight w:val="none"/>
              </w:rPr>
              <w:t>（1）网络技术工程师证书；</w:t>
            </w:r>
          </w:p>
          <w:p w14:paraId="74CEA734">
            <w:pPr>
              <w:rPr>
                <w:color w:val="auto"/>
                <w:highlight w:val="none"/>
              </w:rPr>
            </w:pPr>
            <w:r>
              <w:rPr>
                <w:rFonts w:hint="eastAsia"/>
                <w:color w:val="auto"/>
                <w:highlight w:val="none"/>
              </w:rPr>
              <w:t>（2）网络信息安全工程师证书；</w:t>
            </w:r>
          </w:p>
          <w:p w14:paraId="3D916AA4">
            <w:pPr>
              <w:rPr>
                <w:color w:val="auto"/>
                <w:highlight w:val="none"/>
              </w:rPr>
            </w:pPr>
            <w:r>
              <w:rPr>
                <w:rFonts w:hint="eastAsia"/>
                <w:color w:val="auto"/>
                <w:highlight w:val="none"/>
              </w:rPr>
              <w:t>（3）系统架构设计师证书；</w:t>
            </w:r>
          </w:p>
          <w:p w14:paraId="1E2FEB2F">
            <w:pPr>
              <w:rPr>
                <w:color w:val="auto"/>
                <w:highlight w:val="none"/>
              </w:rPr>
            </w:pPr>
            <w:r>
              <w:rPr>
                <w:rFonts w:hint="eastAsia"/>
                <w:color w:val="auto"/>
                <w:highlight w:val="none"/>
              </w:rPr>
              <w:t>（4）数据库管理工程师证书；</w:t>
            </w:r>
          </w:p>
          <w:p w14:paraId="0F08D437">
            <w:pPr>
              <w:rPr>
                <w:color w:val="auto"/>
                <w:highlight w:val="none"/>
              </w:rPr>
            </w:pPr>
            <w:r>
              <w:rPr>
                <w:rFonts w:hint="eastAsia"/>
                <w:color w:val="auto"/>
                <w:highlight w:val="none"/>
              </w:rPr>
              <w:t>（5）软件评测师证书；</w:t>
            </w:r>
          </w:p>
          <w:p w14:paraId="64FF2932">
            <w:pPr>
              <w:rPr>
                <w:color w:val="auto"/>
                <w:highlight w:val="none"/>
              </w:rPr>
            </w:pPr>
            <w:r>
              <w:rPr>
                <w:rFonts w:hint="eastAsia"/>
                <w:color w:val="auto"/>
                <w:highlight w:val="none"/>
              </w:rPr>
              <w:t>（6）IT服务项目经理证书；</w:t>
            </w:r>
          </w:p>
          <w:p w14:paraId="0BC1E92B">
            <w:pPr>
              <w:rPr>
                <w:color w:val="auto"/>
                <w:highlight w:val="none"/>
              </w:rPr>
            </w:pPr>
            <w:r>
              <w:rPr>
                <w:rFonts w:hint="eastAsia"/>
                <w:color w:val="auto"/>
                <w:highlight w:val="none"/>
              </w:rPr>
              <w:t>（7）系统集成项目管理工程师证书。</w:t>
            </w:r>
          </w:p>
          <w:p w14:paraId="50A5C07B">
            <w:pPr>
              <w:rPr>
                <w:color w:val="auto"/>
                <w:highlight w:val="none"/>
              </w:rPr>
            </w:pPr>
            <w:r>
              <w:rPr>
                <w:rFonts w:hint="eastAsia"/>
                <w:color w:val="auto"/>
                <w:highlight w:val="none"/>
              </w:rPr>
              <w:t>注：所列人员必须提供相关资格证明文件，并且提供人员劳动合同复印件或事业单位编制证明复印件或供应商为其发放的近半年内任意一个月的工资流水复印件等，未提供证明文件不得分。</w:t>
            </w:r>
          </w:p>
        </w:tc>
      </w:tr>
      <w:tr w14:paraId="3372D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vMerge w:val="continue"/>
            <w:vAlign w:val="center"/>
          </w:tcPr>
          <w:p w14:paraId="3B8C80F1">
            <w:pPr>
              <w:rPr>
                <w:color w:val="auto"/>
                <w:highlight w:val="none"/>
              </w:rPr>
            </w:pPr>
          </w:p>
        </w:tc>
        <w:tc>
          <w:tcPr>
            <w:tcW w:w="1145" w:type="dxa"/>
            <w:vMerge w:val="continue"/>
            <w:vAlign w:val="center"/>
          </w:tcPr>
          <w:p w14:paraId="0C81E307">
            <w:pPr>
              <w:rPr>
                <w:color w:val="auto"/>
                <w:highlight w:val="none"/>
              </w:rPr>
            </w:pPr>
          </w:p>
        </w:tc>
        <w:tc>
          <w:tcPr>
            <w:tcW w:w="668" w:type="dxa"/>
            <w:vMerge w:val="continue"/>
            <w:vAlign w:val="center"/>
          </w:tcPr>
          <w:p w14:paraId="7BDB294A">
            <w:pPr>
              <w:rPr>
                <w:color w:val="auto"/>
                <w:highlight w:val="none"/>
              </w:rPr>
            </w:pPr>
          </w:p>
        </w:tc>
        <w:tc>
          <w:tcPr>
            <w:tcW w:w="1740" w:type="dxa"/>
            <w:vAlign w:val="center"/>
          </w:tcPr>
          <w:p w14:paraId="15141116">
            <w:pPr>
              <w:rPr>
                <w:b/>
                <w:bCs/>
                <w:color w:val="auto"/>
                <w:highlight w:val="none"/>
              </w:rPr>
            </w:pPr>
            <w:r>
              <w:rPr>
                <w:rFonts w:hint="eastAsia"/>
                <w:b/>
                <w:bCs/>
                <w:color w:val="auto"/>
                <w:highlight w:val="none"/>
              </w:rPr>
              <w:t>业绩分（满分6分）</w:t>
            </w:r>
          </w:p>
        </w:tc>
        <w:tc>
          <w:tcPr>
            <w:tcW w:w="5350" w:type="dxa"/>
          </w:tcPr>
          <w:p w14:paraId="3BA09415">
            <w:pPr>
              <w:rPr>
                <w:color w:val="auto"/>
                <w:highlight w:val="none"/>
              </w:rPr>
            </w:pPr>
            <w:r>
              <w:rPr>
                <w:rFonts w:hint="eastAsia"/>
                <w:color w:val="auto"/>
                <w:highlight w:val="none"/>
              </w:rPr>
              <w:t>投标人自2021年01月01日以来完成过类似项目业绩的，每提供1项得2分，满分</w:t>
            </w:r>
            <w:r>
              <w:rPr>
                <w:color w:val="auto"/>
                <w:highlight w:val="none"/>
              </w:rPr>
              <w:t>6</w:t>
            </w:r>
            <w:r>
              <w:rPr>
                <w:rFonts w:hint="eastAsia"/>
                <w:color w:val="auto"/>
                <w:highlight w:val="none"/>
              </w:rPr>
              <w:t>分；不提供不得分。（须提供项目合同</w:t>
            </w:r>
            <w:r>
              <w:rPr>
                <w:rFonts w:hint="eastAsia"/>
                <w:color w:val="auto"/>
                <w:highlight w:val="none"/>
                <w:lang w:val="en-US" w:eastAsia="zh-CN"/>
              </w:rPr>
              <w:t>或</w:t>
            </w:r>
            <w:r>
              <w:rPr>
                <w:rFonts w:hint="eastAsia"/>
                <w:color w:val="auto"/>
                <w:highlight w:val="none"/>
              </w:rPr>
              <w:t>中标（成交）通知书复印件并加盖投标人公章）</w:t>
            </w:r>
          </w:p>
        </w:tc>
      </w:tr>
      <w:tr w14:paraId="32490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vMerge w:val="continue"/>
            <w:vAlign w:val="center"/>
          </w:tcPr>
          <w:p w14:paraId="09AB2562">
            <w:pPr>
              <w:rPr>
                <w:color w:val="auto"/>
                <w:highlight w:val="none"/>
              </w:rPr>
            </w:pPr>
          </w:p>
        </w:tc>
        <w:tc>
          <w:tcPr>
            <w:tcW w:w="1145" w:type="dxa"/>
            <w:vMerge w:val="continue"/>
            <w:vAlign w:val="center"/>
          </w:tcPr>
          <w:p w14:paraId="37AE1C10">
            <w:pPr>
              <w:rPr>
                <w:color w:val="auto"/>
                <w:highlight w:val="none"/>
              </w:rPr>
            </w:pPr>
          </w:p>
        </w:tc>
        <w:tc>
          <w:tcPr>
            <w:tcW w:w="668" w:type="dxa"/>
            <w:vMerge w:val="continue"/>
            <w:vAlign w:val="center"/>
          </w:tcPr>
          <w:p w14:paraId="5A674ADE">
            <w:pPr>
              <w:rPr>
                <w:color w:val="auto"/>
                <w:highlight w:val="none"/>
              </w:rPr>
            </w:pPr>
          </w:p>
        </w:tc>
        <w:tc>
          <w:tcPr>
            <w:tcW w:w="1740" w:type="dxa"/>
            <w:vAlign w:val="center"/>
          </w:tcPr>
          <w:p w14:paraId="27E93D16">
            <w:pPr>
              <w:rPr>
                <w:b/>
                <w:bCs/>
                <w:color w:val="auto"/>
                <w:highlight w:val="none"/>
              </w:rPr>
            </w:pPr>
            <w:r>
              <w:rPr>
                <w:rFonts w:hint="eastAsia"/>
                <w:b/>
                <w:bCs/>
                <w:color w:val="auto"/>
                <w:highlight w:val="none"/>
              </w:rPr>
              <w:t>服务能力（满分12分）</w:t>
            </w:r>
          </w:p>
        </w:tc>
        <w:tc>
          <w:tcPr>
            <w:tcW w:w="5350" w:type="dxa"/>
          </w:tcPr>
          <w:p w14:paraId="2120BBCE">
            <w:pPr>
              <w:rPr>
                <w:color w:val="auto"/>
                <w:highlight w:val="none"/>
              </w:rPr>
            </w:pPr>
            <w:r>
              <w:rPr>
                <w:rFonts w:hint="eastAsia"/>
                <w:color w:val="auto"/>
                <w:highlight w:val="none"/>
              </w:rPr>
              <w:t>1.供应商通过ISO 9001质量管理体系认证，且认证范围涵盖计算机软件系统类、或信息系统类、或网络安全工程类、或信息工程类、或信息安全工程类等内容的，证书符合1个认证范围的得2分，满分2分。（投标响应文件中提供证书复印件）</w:t>
            </w:r>
          </w:p>
          <w:p w14:paraId="03315D72">
            <w:pPr>
              <w:rPr>
                <w:color w:val="auto"/>
                <w:highlight w:val="none"/>
              </w:rPr>
            </w:pPr>
            <w:r>
              <w:rPr>
                <w:rFonts w:hint="eastAsia"/>
                <w:color w:val="auto"/>
                <w:highlight w:val="none"/>
              </w:rPr>
              <w:t>2.供应商通过ISO/IEC 27001信息安全管理体系认证，且认证范围涵盖计算机软件系统类、或信息系统类、或网络安全工程类、或信息工程类、或信息安全工程类等内容的，每符合1个认证范围的得2分，满分2分。（投标响应文件中提供证书复印件）</w:t>
            </w:r>
          </w:p>
          <w:p w14:paraId="22C47844">
            <w:pPr>
              <w:rPr>
                <w:color w:val="auto"/>
                <w:highlight w:val="none"/>
              </w:rPr>
            </w:pPr>
            <w:r>
              <w:rPr>
                <w:rFonts w:hint="eastAsia"/>
                <w:color w:val="auto"/>
                <w:highlight w:val="none"/>
              </w:rPr>
              <w:t>3.供应商通过ISO/IEC 20000信息技术服务管理体系认证证书的，且证书认证范围包含向外部客户提供信息系统咨询、或信息技术咨询、或信息系统测试、或信息系统工程监理业务等内容的，得2分，满分2分。（投标响应文件中提供证书复印件）</w:t>
            </w:r>
          </w:p>
          <w:p w14:paraId="08B44827">
            <w:pPr>
              <w:rPr>
                <w:color w:val="auto"/>
                <w:highlight w:val="none"/>
              </w:rPr>
            </w:pPr>
            <w:r>
              <w:rPr>
                <w:rFonts w:hint="eastAsia"/>
                <w:color w:val="auto"/>
                <w:highlight w:val="none"/>
              </w:rPr>
              <w:t>4.供应商通过GB/T 35770合规管理体系认证、GB/T 27922-2011 售后服务认证的，且认证范围涵盖计算机软件系统类、或信息系统类、或网络安全工程类、或信息工程类、或信息安全工程类、或信息系统工程监理业务等内容的，每个证书符合1个认证范围的得2分，每个证书满分2分。本项满分4分。（投标响应文件中提供证书复印件）</w:t>
            </w:r>
          </w:p>
          <w:p w14:paraId="2F3B31DB">
            <w:pPr>
              <w:rPr>
                <w:color w:val="auto"/>
                <w:highlight w:val="none"/>
              </w:rPr>
            </w:pPr>
            <w:r>
              <w:rPr>
                <w:rFonts w:hint="eastAsia"/>
                <w:color w:val="auto"/>
                <w:highlight w:val="none"/>
              </w:rPr>
              <w:t>5.供应商通过GB/T36463.1-2018信息技术服务 咨询设计 第1部分:通用要求评估，具有ITSS信息技术服务咨询设计标准符合性证书，或提供2021年1月1日至今完成过2个及以上信息技术服务项目业绩的得2分，满分2分。（投标响应文件中提供证书复印件）</w:t>
            </w:r>
          </w:p>
        </w:tc>
      </w:tr>
      <w:tr w14:paraId="1138F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33" w:type="dxa"/>
            <w:gridSpan w:val="5"/>
            <w:vAlign w:val="center"/>
          </w:tcPr>
          <w:p w14:paraId="6EE6BF99">
            <w:pPr>
              <w:pStyle w:val="23"/>
              <w:spacing w:line="360" w:lineRule="auto"/>
              <w:rPr>
                <w:rFonts w:hAnsi="宋体" w:cs="Courier New"/>
                <w:bCs/>
                <w:color w:val="auto"/>
                <w:kern w:val="2"/>
                <w:sz w:val="21"/>
                <w:highlight w:val="none"/>
              </w:rPr>
            </w:pPr>
            <w:r>
              <w:rPr>
                <w:rFonts w:hint="eastAsia" w:hAnsi="宋体" w:cs="Courier New"/>
                <w:b/>
                <w:bCs/>
                <w:color w:val="auto"/>
                <w:kern w:val="2"/>
                <w:sz w:val="21"/>
                <w:highlight w:val="none"/>
              </w:rPr>
              <w:t>总得分=1+2+3。</w:t>
            </w:r>
          </w:p>
        </w:tc>
      </w:tr>
    </w:tbl>
    <w:p w14:paraId="5F0B64B8">
      <w:pPr>
        <w:pStyle w:val="3"/>
        <w:keepNext w:val="0"/>
        <w:keepLines w:val="0"/>
        <w:rPr>
          <w:color w:val="auto"/>
          <w:sz w:val="30"/>
          <w:szCs w:val="30"/>
          <w:highlight w:val="none"/>
        </w:rPr>
      </w:pPr>
      <w:r>
        <w:rPr>
          <w:rFonts w:hint="eastAsia"/>
          <w:color w:val="auto"/>
          <w:sz w:val="30"/>
          <w:szCs w:val="30"/>
          <w:highlight w:val="none"/>
        </w:rPr>
        <w:t>四、中标候选人推荐原则</w:t>
      </w:r>
    </w:p>
    <w:p w14:paraId="486DE35B">
      <w:pPr>
        <w:pStyle w:val="23"/>
        <w:spacing w:line="420" w:lineRule="exact"/>
        <w:contextualSpacing/>
        <w:rPr>
          <w:rFonts w:hAnsi="宋体"/>
          <w:b/>
          <w:bCs/>
          <w:color w:val="auto"/>
          <w:sz w:val="24"/>
          <w:szCs w:val="24"/>
          <w:highlight w:val="none"/>
        </w:rPr>
      </w:pPr>
      <w:r>
        <w:rPr>
          <w:rFonts w:hint="eastAsia" w:hAnsi="宋体"/>
          <w:b/>
          <w:bCs/>
          <w:color w:val="auto"/>
          <w:sz w:val="24"/>
          <w:szCs w:val="24"/>
          <w:highlight w:val="none"/>
        </w:rPr>
        <w:t>综合评分法</w:t>
      </w:r>
    </w:p>
    <w:p w14:paraId="526D45D3">
      <w:pPr>
        <w:pStyle w:val="23"/>
        <w:spacing w:line="420" w:lineRule="exact"/>
        <w:ind w:firstLine="398" w:firstLineChars="200"/>
        <w:contextualSpacing/>
        <w:rPr>
          <w:rFonts w:hAnsi="宋体"/>
          <w:color w:val="auto"/>
          <w:sz w:val="21"/>
          <w:highlight w:val="none"/>
        </w:rPr>
      </w:pPr>
      <w:r>
        <w:rPr>
          <w:rFonts w:hint="eastAsia" w:hAnsi="宋体"/>
          <w:color w:val="auto"/>
          <w:sz w:val="21"/>
          <w:highlight w:val="none"/>
        </w:rPr>
        <w:t>1</w:t>
      </w:r>
      <w:r>
        <w:rPr>
          <w:rFonts w:hAnsi="宋体"/>
          <w:color w:val="auto"/>
          <w:sz w:val="21"/>
          <w:highlight w:val="none"/>
        </w:rPr>
        <w:t>.</w:t>
      </w:r>
      <w:r>
        <w:rPr>
          <w:rFonts w:hint="eastAsia" w:hAnsi="宋体"/>
          <w:color w:val="auto"/>
          <w:sz w:val="21"/>
          <w:highlight w:val="none"/>
        </w:rPr>
        <w:t>评标委员会根据原始评标记录和评标结果编写评标报告，并通过电子交易平台向采购人、采购代理机构提交。</w:t>
      </w:r>
    </w:p>
    <w:p w14:paraId="28A9ADCF">
      <w:pPr>
        <w:pStyle w:val="23"/>
        <w:spacing w:line="420" w:lineRule="exact"/>
        <w:ind w:firstLine="398" w:firstLineChars="200"/>
        <w:contextualSpacing/>
        <w:rPr>
          <w:rFonts w:hAnsi="宋体"/>
          <w:color w:val="auto"/>
          <w:sz w:val="21"/>
          <w:highlight w:val="none"/>
        </w:rPr>
      </w:pPr>
      <w:r>
        <w:rPr>
          <w:rFonts w:hint="eastAsia" w:hAnsi="宋体"/>
          <w:color w:val="auto"/>
          <w:sz w:val="21"/>
          <w:highlight w:val="none"/>
        </w:rPr>
        <w:t>2</w:t>
      </w:r>
      <w:r>
        <w:rPr>
          <w:rFonts w:hAnsi="宋体"/>
          <w:color w:val="auto"/>
          <w:sz w:val="21"/>
          <w:highlight w:val="none"/>
        </w:rPr>
        <w:t>.</w:t>
      </w:r>
      <w:r>
        <w:rPr>
          <w:rFonts w:hint="eastAsia" w:hAnsi="宋体"/>
          <w:color w:val="auto"/>
          <w:sz w:val="21"/>
          <w:highlight w:val="none"/>
        </w:rPr>
        <w:t>评标委员会将根据总得分由高到低排列次序并推荐中标候选人。得分相同的，以投标报价由低到高顺序排列。得分相同且投标报价相同的并列，投标文件满足招标文件全部实质性要求，且按照评审因素的量化指标评审得分最高的投标人为排名第一的中标候选人。</w:t>
      </w:r>
    </w:p>
    <w:p w14:paraId="673B44D8">
      <w:pPr>
        <w:jc w:val="both"/>
        <w:rPr>
          <w:color w:val="auto"/>
          <w:highlight w:val="none"/>
        </w:rPr>
      </w:pPr>
      <w:bookmarkStart w:id="149" w:name="_Toc25250"/>
    </w:p>
    <w:p w14:paraId="77E2BBBB">
      <w:pPr>
        <w:jc w:val="center"/>
        <w:rPr>
          <w:color w:val="auto"/>
          <w:highlight w:val="none"/>
        </w:rPr>
      </w:pPr>
    </w:p>
    <w:p w14:paraId="1EB6BBB9">
      <w:pPr>
        <w:jc w:val="center"/>
        <w:rPr>
          <w:color w:val="auto"/>
          <w:highlight w:val="none"/>
        </w:rPr>
      </w:pPr>
    </w:p>
    <w:p w14:paraId="20B7FF18">
      <w:pPr>
        <w:jc w:val="center"/>
        <w:rPr>
          <w:color w:val="auto"/>
          <w:highlight w:val="none"/>
        </w:rPr>
      </w:pPr>
    </w:p>
    <w:p w14:paraId="757F292A">
      <w:pPr>
        <w:jc w:val="center"/>
        <w:rPr>
          <w:color w:val="auto"/>
          <w:highlight w:val="none"/>
        </w:rPr>
      </w:pPr>
    </w:p>
    <w:p w14:paraId="2676F5CD">
      <w:pPr>
        <w:jc w:val="center"/>
        <w:rPr>
          <w:color w:val="auto"/>
          <w:highlight w:val="none"/>
        </w:rPr>
      </w:pPr>
    </w:p>
    <w:p w14:paraId="7225E025">
      <w:pPr>
        <w:jc w:val="center"/>
        <w:rPr>
          <w:color w:val="auto"/>
          <w:highlight w:val="none"/>
        </w:rPr>
      </w:pPr>
    </w:p>
    <w:p w14:paraId="0F26418D">
      <w:pPr>
        <w:jc w:val="center"/>
        <w:rPr>
          <w:color w:val="auto"/>
          <w:highlight w:val="none"/>
        </w:rPr>
      </w:pPr>
    </w:p>
    <w:p w14:paraId="576D32F2">
      <w:pPr>
        <w:jc w:val="center"/>
        <w:rPr>
          <w:color w:val="auto"/>
          <w:highlight w:val="none"/>
        </w:rPr>
      </w:pPr>
    </w:p>
    <w:p w14:paraId="4F6DD1B1">
      <w:pPr>
        <w:pStyle w:val="2"/>
        <w:jc w:val="center"/>
        <w:rPr>
          <w:color w:val="auto"/>
          <w:highlight w:val="none"/>
        </w:rPr>
      </w:pPr>
      <w:r>
        <w:rPr>
          <w:rFonts w:hint="eastAsia"/>
          <w:color w:val="auto"/>
          <w:highlight w:val="none"/>
        </w:rPr>
        <w:t>第五章  拟签订的合同文本</w:t>
      </w:r>
      <w:bookmarkEnd w:id="149"/>
    </w:p>
    <w:p w14:paraId="5E96F5D7">
      <w:pPr>
        <w:snapToGrid w:val="0"/>
        <w:jc w:val="center"/>
        <w:rPr>
          <w:rFonts w:ascii="宋体" w:hAnsi="宋体"/>
          <w:bCs/>
          <w:color w:val="auto"/>
          <w:sz w:val="32"/>
          <w:szCs w:val="32"/>
          <w:highlight w:val="none"/>
        </w:rPr>
      </w:pPr>
    </w:p>
    <w:p w14:paraId="4594A0DC">
      <w:pPr>
        <w:snapToGrid w:val="0"/>
        <w:jc w:val="center"/>
        <w:rPr>
          <w:rFonts w:ascii="宋体" w:hAnsi="宋体"/>
          <w:bCs/>
          <w:color w:val="auto"/>
          <w:sz w:val="32"/>
          <w:szCs w:val="32"/>
          <w:highlight w:val="none"/>
        </w:rPr>
      </w:pPr>
    </w:p>
    <w:p w14:paraId="304BAEB9">
      <w:pPr>
        <w:snapToGrid w:val="0"/>
        <w:jc w:val="center"/>
        <w:rPr>
          <w:rFonts w:ascii="宋体" w:hAnsi="宋体"/>
          <w:bCs/>
          <w:color w:val="auto"/>
          <w:sz w:val="32"/>
          <w:szCs w:val="32"/>
          <w:highlight w:val="none"/>
        </w:rPr>
      </w:pPr>
    </w:p>
    <w:p w14:paraId="11A63BF1">
      <w:pPr>
        <w:snapToGrid w:val="0"/>
        <w:jc w:val="center"/>
        <w:rPr>
          <w:rFonts w:ascii="宋体" w:hAnsi="宋体"/>
          <w:bCs/>
          <w:color w:val="auto"/>
          <w:sz w:val="32"/>
          <w:szCs w:val="32"/>
          <w:highlight w:val="none"/>
        </w:rPr>
      </w:pPr>
    </w:p>
    <w:p w14:paraId="1F9C1EF7">
      <w:pPr>
        <w:snapToGrid w:val="0"/>
        <w:jc w:val="center"/>
        <w:rPr>
          <w:rFonts w:ascii="宋体" w:hAnsi="宋体"/>
          <w:bCs/>
          <w:color w:val="auto"/>
          <w:sz w:val="32"/>
          <w:szCs w:val="32"/>
          <w:highlight w:val="none"/>
        </w:rPr>
      </w:pPr>
    </w:p>
    <w:p w14:paraId="21E0DB45">
      <w:pPr>
        <w:snapToGrid w:val="0"/>
        <w:jc w:val="center"/>
        <w:rPr>
          <w:rFonts w:ascii="宋体" w:hAnsi="宋体"/>
          <w:bCs/>
          <w:color w:val="auto"/>
          <w:sz w:val="32"/>
          <w:szCs w:val="32"/>
          <w:highlight w:val="none"/>
        </w:rPr>
      </w:pPr>
    </w:p>
    <w:p w14:paraId="69B73BE3">
      <w:pPr>
        <w:snapToGrid w:val="0"/>
        <w:jc w:val="center"/>
        <w:rPr>
          <w:rFonts w:ascii="宋体" w:hAnsi="宋体"/>
          <w:bCs/>
          <w:color w:val="auto"/>
          <w:sz w:val="32"/>
          <w:szCs w:val="32"/>
          <w:highlight w:val="none"/>
        </w:rPr>
      </w:pPr>
    </w:p>
    <w:p w14:paraId="306EC43E">
      <w:pPr>
        <w:snapToGrid w:val="0"/>
        <w:jc w:val="center"/>
        <w:rPr>
          <w:rFonts w:ascii="宋体" w:hAnsi="宋体"/>
          <w:bCs/>
          <w:color w:val="auto"/>
          <w:sz w:val="32"/>
          <w:szCs w:val="32"/>
          <w:highlight w:val="none"/>
        </w:rPr>
      </w:pPr>
    </w:p>
    <w:p w14:paraId="479F7581">
      <w:pPr>
        <w:snapToGrid w:val="0"/>
        <w:jc w:val="center"/>
        <w:rPr>
          <w:rFonts w:ascii="宋体" w:hAnsi="宋体"/>
          <w:bCs/>
          <w:color w:val="auto"/>
          <w:sz w:val="32"/>
          <w:szCs w:val="32"/>
          <w:highlight w:val="none"/>
        </w:rPr>
      </w:pPr>
    </w:p>
    <w:p w14:paraId="623A2FB3">
      <w:pPr>
        <w:snapToGrid w:val="0"/>
        <w:jc w:val="center"/>
        <w:rPr>
          <w:rFonts w:ascii="宋体" w:hAnsi="宋体"/>
          <w:bCs/>
          <w:color w:val="auto"/>
          <w:sz w:val="32"/>
          <w:szCs w:val="32"/>
          <w:highlight w:val="none"/>
        </w:rPr>
      </w:pPr>
    </w:p>
    <w:p w14:paraId="75F74695">
      <w:pPr>
        <w:snapToGrid w:val="0"/>
        <w:jc w:val="center"/>
        <w:rPr>
          <w:rFonts w:ascii="宋体" w:hAnsi="宋体"/>
          <w:bCs/>
          <w:color w:val="auto"/>
          <w:sz w:val="32"/>
          <w:szCs w:val="32"/>
          <w:highlight w:val="none"/>
        </w:rPr>
      </w:pPr>
    </w:p>
    <w:p w14:paraId="36E2D248">
      <w:pPr>
        <w:snapToGrid w:val="0"/>
        <w:spacing w:line="360" w:lineRule="auto"/>
        <w:rPr>
          <w:rFonts w:ascii="宋体" w:hAnsi="宋体"/>
          <w:color w:val="auto"/>
          <w:szCs w:val="21"/>
          <w:highlight w:val="none"/>
        </w:rPr>
      </w:pPr>
    </w:p>
    <w:p w14:paraId="45A492C5">
      <w:pPr>
        <w:rPr>
          <w:rFonts w:ascii="宋体" w:hAnsi="宋体" w:cs="宋体"/>
          <w:b/>
          <w:bCs/>
          <w:color w:val="auto"/>
          <w:sz w:val="30"/>
          <w:highlight w:val="none"/>
        </w:rPr>
      </w:pPr>
      <w:r>
        <w:rPr>
          <w:rFonts w:hint="eastAsia" w:ascii="宋体" w:hAnsi="宋体"/>
          <w:b/>
          <w:bCs/>
          <w:color w:val="auto"/>
          <w:sz w:val="32"/>
          <w:szCs w:val="32"/>
          <w:highlight w:val="none"/>
        </w:rPr>
        <w:br w:type="page"/>
      </w:r>
      <w:r>
        <w:rPr>
          <w:rFonts w:hint="eastAsia" w:ascii="宋体" w:hAnsi="宋体" w:cs="宋体"/>
          <w:b/>
          <w:bCs/>
          <w:color w:val="auto"/>
          <w:sz w:val="30"/>
          <w:highlight w:val="none"/>
        </w:rPr>
        <w:t>合同编号：</w:t>
      </w:r>
    </w:p>
    <w:p w14:paraId="7491B9EE">
      <w:pPr>
        <w:rPr>
          <w:rFonts w:ascii="宋体" w:hAnsi="宋体" w:cs="宋体"/>
          <w:color w:val="auto"/>
          <w:highlight w:val="none"/>
        </w:rPr>
      </w:pPr>
    </w:p>
    <w:p w14:paraId="759749C5">
      <w:pPr>
        <w:rPr>
          <w:rFonts w:ascii="宋体" w:hAnsi="宋体" w:cs="宋体"/>
          <w:color w:val="auto"/>
          <w:highlight w:val="none"/>
        </w:rPr>
      </w:pPr>
    </w:p>
    <w:p w14:paraId="797E4E57">
      <w:pPr>
        <w:jc w:val="center"/>
        <w:rPr>
          <w:rFonts w:ascii="宋体" w:hAnsi="宋体" w:cs="宋体"/>
          <w:b/>
          <w:bCs/>
          <w:color w:val="auto"/>
          <w:sz w:val="52"/>
          <w:highlight w:val="none"/>
        </w:rPr>
      </w:pPr>
      <w:r>
        <w:rPr>
          <w:rFonts w:hint="eastAsia" w:ascii="宋体" w:hAnsi="宋体" w:cs="宋体"/>
          <w:b/>
          <w:bCs/>
          <w:color w:val="auto"/>
          <w:sz w:val="52"/>
          <w:highlight w:val="none"/>
        </w:rPr>
        <w:t xml:space="preserve"> 服 务 采 购 合 同</w:t>
      </w:r>
    </w:p>
    <w:p w14:paraId="3B23CE9D">
      <w:pPr>
        <w:rPr>
          <w:rFonts w:ascii="宋体" w:hAnsi="宋体" w:cs="宋体"/>
          <w:color w:val="auto"/>
          <w:highlight w:val="none"/>
        </w:rPr>
      </w:pPr>
    </w:p>
    <w:p w14:paraId="11691424">
      <w:pPr>
        <w:spacing w:line="520" w:lineRule="exact"/>
        <w:ind w:left="1552" w:hanging="1550" w:hangingChars="444"/>
        <w:jc w:val="left"/>
        <w:rPr>
          <w:rFonts w:ascii="宋体" w:hAnsi="宋体" w:cs="宋体"/>
          <w:b/>
          <w:bCs/>
          <w:color w:val="auto"/>
          <w:sz w:val="36"/>
          <w:highlight w:val="none"/>
        </w:rPr>
      </w:pPr>
    </w:p>
    <w:p w14:paraId="3536C28D">
      <w:pPr>
        <w:spacing w:line="520" w:lineRule="exact"/>
        <w:ind w:left="1552" w:hanging="1550" w:hangingChars="444"/>
        <w:jc w:val="left"/>
        <w:rPr>
          <w:rFonts w:ascii="宋体" w:hAnsi="宋体" w:cs="宋体"/>
          <w:b/>
          <w:bCs/>
          <w:color w:val="auto"/>
          <w:sz w:val="36"/>
          <w:szCs w:val="36"/>
          <w:highlight w:val="none"/>
          <w:u w:val="thick"/>
        </w:rPr>
      </w:pPr>
      <w:r>
        <w:rPr>
          <w:rFonts w:hint="eastAsia" w:ascii="宋体" w:hAnsi="宋体" w:cs="宋体"/>
          <w:b/>
          <w:bCs/>
          <w:color w:val="auto"/>
          <w:sz w:val="36"/>
          <w:highlight w:val="none"/>
        </w:rPr>
        <w:t>项目名称：</w:t>
      </w:r>
      <w:r>
        <w:rPr>
          <w:rFonts w:hint="eastAsia" w:ascii="宋体" w:hAnsi="宋体" w:cs="宋体"/>
          <w:b/>
          <w:bCs/>
          <w:color w:val="auto"/>
          <w:sz w:val="36"/>
          <w:highlight w:val="none"/>
          <w:u w:val="single"/>
        </w:rPr>
        <w:t xml:space="preserve">                                   </w:t>
      </w:r>
      <w:r>
        <w:rPr>
          <w:rFonts w:hint="eastAsia" w:ascii="宋体" w:hAnsi="宋体" w:cs="宋体"/>
          <w:b/>
          <w:bCs/>
          <w:color w:val="auto"/>
          <w:sz w:val="36"/>
          <w:highlight w:val="none"/>
        </w:rPr>
        <w:t xml:space="preserve">   </w:t>
      </w:r>
    </w:p>
    <w:p w14:paraId="2E143E49">
      <w:pPr>
        <w:spacing w:line="520" w:lineRule="exact"/>
        <w:ind w:left="1552" w:hanging="1550" w:hangingChars="444"/>
        <w:rPr>
          <w:rFonts w:ascii="宋体" w:hAnsi="宋体" w:cs="宋体"/>
          <w:b/>
          <w:bCs/>
          <w:color w:val="auto"/>
          <w:sz w:val="36"/>
          <w:szCs w:val="36"/>
          <w:highlight w:val="none"/>
          <w:u w:val="thick"/>
        </w:rPr>
      </w:pPr>
    </w:p>
    <w:p w14:paraId="72AA3004">
      <w:pPr>
        <w:pStyle w:val="17"/>
        <w:rPr>
          <w:rFonts w:ascii="宋体" w:hAnsi="宋体" w:cs="宋体"/>
          <w:b/>
          <w:bCs/>
          <w:color w:val="auto"/>
          <w:kern w:val="2"/>
          <w:sz w:val="36"/>
          <w:highlight w:val="none"/>
        </w:rPr>
      </w:pPr>
      <w:r>
        <w:rPr>
          <w:rFonts w:hint="eastAsia" w:ascii="宋体" w:hAnsi="宋体" w:cs="宋体"/>
          <w:b/>
          <w:bCs/>
          <w:color w:val="auto"/>
          <w:kern w:val="2"/>
          <w:sz w:val="36"/>
          <w:highlight w:val="none"/>
        </w:rPr>
        <w:t>项目编号：</w:t>
      </w:r>
      <w:r>
        <w:rPr>
          <w:rFonts w:hint="eastAsia" w:ascii="宋体" w:hAnsi="宋体" w:cs="宋体"/>
          <w:b/>
          <w:bCs/>
          <w:color w:val="auto"/>
          <w:kern w:val="2"/>
          <w:sz w:val="36"/>
          <w:highlight w:val="none"/>
          <w:u w:val="single"/>
        </w:rPr>
        <w:t xml:space="preserve">                                   </w:t>
      </w:r>
    </w:p>
    <w:p w14:paraId="2573ABFA">
      <w:pPr>
        <w:pStyle w:val="17"/>
        <w:rPr>
          <w:rFonts w:ascii="宋体" w:hAnsi="宋体" w:cs="宋体"/>
          <w:color w:val="auto"/>
          <w:highlight w:val="none"/>
        </w:rPr>
      </w:pPr>
    </w:p>
    <w:p w14:paraId="0AE96EE4">
      <w:pPr>
        <w:pStyle w:val="17"/>
        <w:rPr>
          <w:rFonts w:ascii="宋体" w:hAnsi="宋体" w:cs="宋体"/>
          <w:color w:val="auto"/>
          <w:highlight w:val="none"/>
        </w:rPr>
      </w:pPr>
    </w:p>
    <w:p w14:paraId="2C2B9FE7">
      <w:pPr>
        <w:pStyle w:val="17"/>
        <w:rPr>
          <w:rFonts w:ascii="宋体" w:hAnsi="宋体" w:cs="宋体"/>
          <w:color w:val="auto"/>
          <w:highlight w:val="none"/>
        </w:rPr>
      </w:pPr>
    </w:p>
    <w:p w14:paraId="095D9814">
      <w:pPr>
        <w:spacing w:line="800" w:lineRule="exact"/>
        <w:rPr>
          <w:rFonts w:ascii="宋体" w:hAnsi="宋体" w:cs="宋体"/>
          <w:b/>
          <w:bCs/>
          <w:color w:val="auto"/>
          <w:sz w:val="36"/>
          <w:highlight w:val="none"/>
          <w:u w:val="thick"/>
        </w:rPr>
      </w:pPr>
      <w:r>
        <w:rPr>
          <w:rFonts w:hint="eastAsia" w:ascii="宋体" w:hAnsi="宋体" w:cs="宋体"/>
          <w:b/>
          <w:bCs/>
          <w:color w:val="auto"/>
          <w:sz w:val="36"/>
          <w:highlight w:val="none"/>
        </w:rPr>
        <w:t>甲    方：</w:t>
      </w:r>
      <w:r>
        <w:rPr>
          <w:rFonts w:hint="eastAsia" w:ascii="宋体" w:hAnsi="宋体" w:cs="宋体"/>
          <w:b/>
          <w:bCs/>
          <w:color w:val="auto"/>
          <w:sz w:val="36"/>
          <w:highlight w:val="none"/>
          <w:u w:val="single"/>
        </w:rPr>
        <w:t xml:space="preserve">   广西壮族自治区道路运输发展中心  </w:t>
      </w:r>
    </w:p>
    <w:p w14:paraId="45E46617">
      <w:pPr>
        <w:spacing w:line="800" w:lineRule="exact"/>
        <w:rPr>
          <w:rFonts w:ascii="宋体" w:hAnsi="宋体" w:cs="宋体"/>
          <w:b/>
          <w:bCs/>
          <w:color w:val="auto"/>
          <w:sz w:val="36"/>
          <w:highlight w:val="none"/>
        </w:rPr>
      </w:pPr>
      <w:r>
        <w:rPr>
          <w:rFonts w:hint="eastAsia" w:ascii="宋体" w:hAnsi="宋体" w:cs="宋体"/>
          <w:b/>
          <w:bCs/>
          <w:color w:val="auto"/>
          <w:sz w:val="36"/>
          <w:highlight w:val="none"/>
        </w:rPr>
        <w:t>乙    方：</w:t>
      </w:r>
      <w:r>
        <w:rPr>
          <w:rFonts w:hint="eastAsia" w:ascii="宋体" w:hAnsi="宋体" w:cs="宋体"/>
          <w:b/>
          <w:bCs/>
          <w:color w:val="auto"/>
          <w:sz w:val="36"/>
          <w:highlight w:val="none"/>
          <w:u w:val="single"/>
        </w:rPr>
        <w:t xml:space="preserve">                                   </w:t>
      </w:r>
    </w:p>
    <w:p w14:paraId="24F52CC2">
      <w:pPr>
        <w:spacing w:line="800" w:lineRule="exact"/>
        <w:rPr>
          <w:rFonts w:ascii="宋体" w:hAnsi="宋体" w:cs="宋体"/>
          <w:b/>
          <w:bCs/>
          <w:color w:val="auto"/>
          <w:sz w:val="36"/>
          <w:highlight w:val="none"/>
          <w:u w:val="single"/>
        </w:rPr>
      </w:pPr>
      <w:r>
        <w:rPr>
          <w:rFonts w:hint="eastAsia" w:ascii="宋体" w:hAnsi="宋体" w:cs="宋体"/>
          <w:b/>
          <w:bCs/>
          <w:color w:val="auto"/>
          <w:sz w:val="36"/>
          <w:highlight w:val="none"/>
        </w:rPr>
        <w:t>签订时间：</w:t>
      </w:r>
      <w:r>
        <w:rPr>
          <w:rFonts w:hint="eastAsia" w:ascii="宋体" w:hAnsi="宋体" w:cs="宋体"/>
          <w:b/>
          <w:bCs/>
          <w:color w:val="auto"/>
          <w:sz w:val="36"/>
          <w:highlight w:val="none"/>
          <w:u w:val="single"/>
        </w:rPr>
        <w:t xml:space="preserve">                                   </w:t>
      </w:r>
    </w:p>
    <w:p w14:paraId="7C13ED6A">
      <w:pPr>
        <w:spacing w:line="800" w:lineRule="exact"/>
        <w:rPr>
          <w:rFonts w:ascii="宋体" w:hAnsi="宋体" w:cs="宋体"/>
          <w:b/>
          <w:bCs/>
          <w:color w:val="auto"/>
          <w:sz w:val="36"/>
          <w:highlight w:val="none"/>
          <w:u w:val="single"/>
        </w:rPr>
      </w:pPr>
      <w:r>
        <w:rPr>
          <w:rFonts w:hint="eastAsia" w:ascii="宋体" w:hAnsi="宋体" w:cs="宋体"/>
          <w:b/>
          <w:bCs/>
          <w:color w:val="auto"/>
          <w:sz w:val="36"/>
          <w:highlight w:val="none"/>
        </w:rPr>
        <w:t>签订地点：</w:t>
      </w:r>
      <w:r>
        <w:rPr>
          <w:rFonts w:hint="eastAsia" w:ascii="宋体" w:hAnsi="宋体" w:cs="宋体"/>
          <w:b/>
          <w:bCs/>
          <w:color w:val="auto"/>
          <w:sz w:val="36"/>
          <w:highlight w:val="none"/>
          <w:u w:val="single"/>
        </w:rPr>
        <w:t xml:space="preserve">                                   </w:t>
      </w:r>
    </w:p>
    <w:p w14:paraId="28839817">
      <w:pPr>
        <w:pStyle w:val="17"/>
        <w:rPr>
          <w:rFonts w:ascii="宋体" w:hAnsi="宋体" w:cs="宋体"/>
          <w:color w:val="auto"/>
          <w:highlight w:val="none"/>
        </w:rPr>
        <w:sectPr>
          <w:headerReference r:id="rId7" w:type="first"/>
          <w:headerReference r:id="rId6" w:type="default"/>
          <w:footerReference r:id="rId8" w:type="default"/>
          <w:footerReference r:id="rId9" w:type="even"/>
          <w:pgSz w:w="11907" w:h="16840"/>
          <w:pgMar w:top="1134" w:right="1247" w:bottom="1134" w:left="1304" w:header="1134" w:footer="850" w:gutter="284"/>
          <w:paperSrc w:first="7" w:other="7"/>
          <w:cols w:space="720" w:num="1"/>
          <w:titlePg/>
          <w:docGrid w:type="linesAndChars" w:linePitch="517" w:charSpace="-2432"/>
        </w:sectPr>
      </w:pPr>
    </w:p>
    <w:p w14:paraId="3EA27311">
      <w:pPr>
        <w:spacing w:line="360" w:lineRule="auto"/>
        <w:ind w:right="800"/>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广西壮族自治区政府采购合同</w:t>
      </w:r>
    </w:p>
    <w:p w14:paraId="30567515">
      <w:pPr>
        <w:spacing w:line="360" w:lineRule="auto"/>
        <w:ind w:right="800"/>
        <w:rPr>
          <w:rFonts w:ascii="宋体" w:hAnsi="宋体" w:cs="宋体"/>
          <w:bCs/>
          <w:color w:val="auto"/>
          <w:szCs w:val="21"/>
          <w:highlight w:val="none"/>
          <w:u w:val="single"/>
        </w:rPr>
      </w:pPr>
      <w:r>
        <w:rPr>
          <w:rFonts w:hint="eastAsia" w:ascii="宋体" w:hAnsi="宋体" w:cs="宋体"/>
          <w:color w:val="auto"/>
          <w:szCs w:val="21"/>
          <w:highlight w:val="none"/>
        </w:rPr>
        <w:t>采购计划号：</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ascii="宋体" w:hAnsi="宋体" w:cs="宋体"/>
          <w:color w:val="auto"/>
          <w:szCs w:val="21"/>
          <w:highlight w:val="none"/>
        </w:rPr>
        <w:t xml:space="preserve">   </w:t>
      </w:r>
      <w:r>
        <w:rPr>
          <w:rFonts w:hint="eastAsia" w:ascii="宋体" w:hAnsi="宋体" w:cs="宋体"/>
          <w:bCs/>
          <w:color w:val="auto"/>
          <w:szCs w:val="21"/>
          <w:highlight w:val="none"/>
        </w:rPr>
        <w:t>合同编号：</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p>
    <w:p w14:paraId="2BCD6494">
      <w:pPr>
        <w:spacing w:line="360" w:lineRule="auto"/>
        <w:rPr>
          <w:rFonts w:ascii="宋体" w:hAnsi="宋体" w:cs="宋体"/>
          <w:color w:val="auto"/>
          <w:szCs w:val="21"/>
          <w:highlight w:val="none"/>
          <w:u w:val="single"/>
        </w:rPr>
      </w:pPr>
      <w:r>
        <w:rPr>
          <w:rFonts w:hint="eastAsia" w:ascii="宋体" w:hAnsi="宋体" w:cs="宋体"/>
          <w:color w:val="auto"/>
          <w:szCs w:val="21"/>
          <w:highlight w:val="none"/>
        </w:rPr>
        <w:t>采购人（甲方）：</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供应商（乙方）：</w:t>
      </w:r>
      <w:r>
        <w:rPr>
          <w:rFonts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6343651E">
      <w:pPr>
        <w:spacing w:line="360" w:lineRule="auto"/>
        <w:rPr>
          <w:rFonts w:ascii="宋体" w:hAnsi="宋体" w:cs="宋体"/>
          <w:color w:val="auto"/>
          <w:szCs w:val="21"/>
          <w:highlight w:val="none"/>
          <w:u w:val="single"/>
        </w:rPr>
      </w:pPr>
      <w:r>
        <w:rPr>
          <w:rFonts w:hint="eastAsia" w:ascii="宋体" w:hAnsi="宋体" w:cs="宋体"/>
          <w:color w:val="auto"/>
          <w:szCs w:val="21"/>
          <w:highlight w:val="none"/>
        </w:rPr>
        <w:t>项目名称：</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ascii="宋体" w:hAnsi="宋体" w:cs="宋体"/>
          <w:color w:val="auto"/>
          <w:szCs w:val="21"/>
          <w:highlight w:val="none"/>
        </w:rPr>
        <w:t xml:space="preserve">   </w:t>
      </w:r>
      <w:r>
        <w:rPr>
          <w:rFonts w:hint="eastAsia" w:ascii="宋体" w:hAnsi="宋体" w:cs="宋体"/>
          <w:color w:val="auto"/>
          <w:szCs w:val="21"/>
          <w:highlight w:val="none"/>
        </w:rPr>
        <w:t>项目编号：</w:t>
      </w:r>
      <w:r>
        <w:rPr>
          <w:rFonts w:ascii="宋体" w:hAnsi="宋体" w:cs="宋体"/>
          <w:color w:val="auto"/>
          <w:szCs w:val="21"/>
          <w:highlight w:val="none"/>
          <w:u w:val="single"/>
        </w:rPr>
        <w:t xml:space="preserve">                          </w:t>
      </w:r>
    </w:p>
    <w:p w14:paraId="3F64266A">
      <w:pPr>
        <w:spacing w:line="360" w:lineRule="auto"/>
        <w:rPr>
          <w:rFonts w:ascii="宋体" w:hAnsi="宋体" w:cs="宋体"/>
          <w:color w:val="auto"/>
          <w:szCs w:val="21"/>
          <w:highlight w:val="none"/>
          <w:u w:val="single"/>
        </w:rPr>
      </w:pPr>
      <w:r>
        <w:rPr>
          <w:rFonts w:hint="eastAsia" w:ascii="宋体" w:hAnsi="宋体" w:cs="宋体"/>
          <w:color w:val="auto"/>
          <w:szCs w:val="21"/>
          <w:highlight w:val="none"/>
        </w:rPr>
        <w:t>签订地点：</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签订时间：</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p>
    <w:p w14:paraId="76CBB9C3">
      <w:pPr>
        <w:spacing w:line="360" w:lineRule="auto"/>
        <w:rPr>
          <w:rFonts w:ascii="宋体" w:hAnsi="宋体" w:cs="宋体"/>
          <w:color w:val="auto"/>
          <w:szCs w:val="21"/>
          <w:highlight w:val="none"/>
        </w:rPr>
      </w:pPr>
      <w:r>
        <w:rPr>
          <w:rFonts w:hint="eastAsia" w:ascii="宋体" w:hAnsi="宋体" w:cs="宋体"/>
          <w:color w:val="auto"/>
          <w:szCs w:val="21"/>
          <w:highlight w:val="none"/>
        </w:rPr>
        <w:t>本合同为中小企业预留合同：</w:t>
      </w:r>
      <w:r>
        <w:rPr>
          <w:rFonts w:hint="eastAsia" w:ascii="宋体" w:hAnsi="宋体" w:cs="宋体"/>
          <w:color w:val="auto"/>
          <w:szCs w:val="21"/>
          <w:highlight w:val="none"/>
          <w:u w:val="single"/>
        </w:rPr>
        <w:t>（是/否）</w:t>
      </w:r>
      <w:r>
        <w:rPr>
          <w:rFonts w:hint="eastAsia" w:ascii="宋体" w:hAnsi="宋体" w:cs="宋体"/>
          <w:color w:val="auto"/>
          <w:szCs w:val="21"/>
          <w:highlight w:val="none"/>
        </w:rPr>
        <w:t>。</w:t>
      </w:r>
    </w:p>
    <w:p w14:paraId="445B5CFC">
      <w:pPr>
        <w:widowControl/>
        <w:adjustRightInd w:val="0"/>
        <w:snapToGrid w:val="0"/>
        <w:spacing w:line="410" w:lineRule="exact"/>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根据《中华人民共和国政府采购法》、《中华人民共和国民法典》等法律、法规规定，按照招标文件规定条款和乙方投标文件及其承诺，甲乙双方签订本合同。</w:t>
      </w:r>
    </w:p>
    <w:p w14:paraId="2364C258">
      <w:pPr>
        <w:snapToGrid w:val="0"/>
        <w:spacing w:before="120"/>
        <w:ind w:firstLine="422" w:firstLineChars="200"/>
        <w:rPr>
          <w:rFonts w:ascii="宋体" w:hAnsi="宋体" w:cs="宋体"/>
          <w:b/>
          <w:color w:val="auto"/>
          <w:szCs w:val="21"/>
          <w:highlight w:val="none"/>
        </w:rPr>
      </w:pPr>
      <w:r>
        <w:rPr>
          <w:rFonts w:hint="eastAsia" w:ascii="宋体" w:hAnsi="宋体" w:cs="宋体"/>
          <w:b/>
          <w:color w:val="auto"/>
          <w:szCs w:val="21"/>
          <w:highlight w:val="none"/>
        </w:rPr>
        <w:t>第一条　合同标的</w:t>
      </w:r>
    </w:p>
    <w:p w14:paraId="6C3DEA2B">
      <w:pPr>
        <w:snapToGrid w:val="0"/>
        <w:spacing w:before="120"/>
        <w:ind w:firstLine="420" w:firstLineChars="200"/>
        <w:rPr>
          <w:rFonts w:ascii="宋体" w:hAnsi="宋体" w:cs="宋体"/>
          <w:color w:val="auto"/>
          <w:szCs w:val="21"/>
          <w:highlight w:val="none"/>
        </w:rPr>
      </w:pPr>
      <w:r>
        <w:rPr>
          <w:rFonts w:hint="eastAsia" w:ascii="宋体" w:hAnsi="宋体" w:cs="宋体"/>
          <w:color w:val="auto"/>
          <w:szCs w:val="21"/>
          <w:highlight w:val="none"/>
        </w:rPr>
        <w:t>1、服务内容一览表</w:t>
      </w: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1731"/>
        <w:gridCol w:w="2506"/>
        <w:gridCol w:w="850"/>
        <w:gridCol w:w="760"/>
        <w:gridCol w:w="1275"/>
        <w:gridCol w:w="1295"/>
      </w:tblGrid>
      <w:tr w14:paraId="4C6C0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636" w:type="dxa"/>
            <w:vAlign w:val="center"/>
          </w:tcPr>
          <w:p w14:paraId="7C52D7E3">
            <w:pPr>
              <w:snapToGrid w:val="0"/>
              <w:spacing w:before="120"/>
              <w:jc w:val="center"/>
              <w:rPr>
                <w:rFonts w:ascii="宋体" w:hAnsi="宋体" w:cs="宋体"/>
                <w:b/>
                <w:color w:val="auto"/>
                <w:szCs w:val="21"/>
                <w:highlight w:val="none"/>
              </w:rPr>
            </w:pPr>
            <w:r>
              <w:rPr>
                <w:rFonts w:hint="eastAsia" w:ascii="宋体" w:hAnsi="宋体" w:cs="宋体"/>
                <w:b/>
                <w:color w:val="auto"/>
                <w:szCs w:val="21"/>
                <w:highlight w:val="none"/>
              </w:rPr>
              <w:t>序号</w:t>
            </w:r>
          </w:p>
        </w:tc>
        <w:tc>
          <w:tcPr>
            <w:tcW w:w="1731" w:type="dxa"/>
            <w:vAlign w:val="center"/>
          </w:tcPr>
          <w:p w14:paraId="1CB53364">
            <w:pPr>
              <w:snapToGrid w:val="0"/>
              <w:spacing w:before="120"/>
              <w:jc w:val="center"/>
              <w:rPr>
                <w:rFonts w:ascii="宋体" w:hAnsi="宋体" w:cs="宋体"/>
                <w:b/>
                <w:color w:val="auto"/>
                <w:szCs w:val="21"/>
                <w:highlight w:val="none"/>
              </w:rPr>
            </w:pPr>
            <w:r>
              <w:rPr>
                <w:rFonts w:hint="eastAsia" w:ascii="宋体" w:hAnsi="宋体" w:cs="宋体"/>
                <w:b/>
                <w:color w:val="auto"/>
                <w:szCs w:val="21"/>
                <w:highlight w:val="none"/>
              </w:rPr>
              <w:t>服务名称</w:t>
            </w:r>
          </w:p>
        </w:tc>
        <w:tc>
          <w:tcPr>
            <w:tcW w:w="2506" w:type="dxa"/>
            <w:vAlign w:val="center"/>
          </w:tcPr>
          <w:p w14:paraId="309BF489">
            <w:pPr>
              <w:snapToGrid w:val="0"/>
              <w:spacing w:before="120"/>
              <w:jc w:val="center"/>
              <w:rPr>
                <w:rFonts w:ascii="宋体" w:hAnsi="宋体" w:cs="宋体"/>
                <w:b/>
                <w:color w:val="auto"/>
                <w:szCs w:val="21"/>
                <w:highlight w:val="none"/>
              </w:rPr>
            </w:pPr>
            <w:r>
              <w:rPr>
                <w:rFonts w:hint="eastAsia" w:ascii="宋体" w:hAnsi="宋体" w:cs="宋体"/>
                <w:b/>
                <w:color w:val="auto"/>
                <w:szCs w:val="21"/>
                <w:highlight w:val="none"/>
              </w:rPr>
              <w:t>服务内容</w:t>
            </w:r>
          </w:p>
        </w:tc>
        <w:tc>
          <w:tcPr>
            <w:tcW w:w="850" w:type="dxa"/>
            <w:vAlign w:val="center"/>
          </w:tcPr>
          <w:p w14:paraId="58463F63">
            <w:pPr>
              <w:snapToGrid w:val="0"/>
              <w:spacing w:before="120"/>
              <w:jc w:val="center"/>
              <w:rPr>
                <w:rFonts w:ascii="宋体" w:hAnsi="宋体" w:cs="宋体"/>
                <w:b/>
                <w:color w:val="auto"/>
                <w:szCs w:val="21"/>
                <w:highlight w:val="none"/>
              </w:rPr>
            </w:pPr>
            <w:r>
              <w:rPr>
                <w:rFonts w:hint="eastAsia" w:ascii="宋体" w:hAnsi="宋体" w:cs="宋体"/>
                <w:b/>
                <w:color w:val="auto"/>
                <w:szCs w:val="21"/>
                <w:highlight w:val="none"/>
              </w:rPr>
              <w:t>数量</w:t>
            </w:r>
          </w:p>
        </w:tc>
        <w:tc>
          <w:tcPr>
            <w:tcW w:w="760" w:type="dxa"/>
            <w:vAlign w:val="center"/>
          </w:tcPr>
          <w:p w14:paraId="6C5FF7CF">
            <w:pPr>
              <w:snapToGrid w:val="0"/>
              <w:spacing w:before="120"/>
              <w:jc w:val="center"/>
              <w:rPr>
                <w:rFonts w:ascii="宋体" w:hAnsi="宋体" w:cs="宋体"/>
                <w:b/>
                <w:color w:val="auto"/>
                <w:szCs w:val="21"/>
                <w:highlight w:val="none"/>
              </w:rPr>
            </w:pPr>
            <w:r>
              <w:rPr>
                <w:rFonts w:hint="eastAsia" w:ascii="宋体" w:hAnsi="宋体" w:cs="宋体"/>
                <w:b/>
                <w:color w:val="auto"/>
                <w:szCs w:val="21"/>
                <w:highlight w:val="none"/>
              </w:rPr>
              <w:t>单位</w:t>
            </w:r>
          </w:p>
        </w:tc>
        <w:tc>
          <w:tcPr>
            <w:tcW w:w="1275" w:type="dxa"/>
            <w:vAlign w:val="center"/>
          </w:tcPr>
          <w:p w14:paraId="6F3793C8">
            <w:pPr>
              <w:snapToGrid w:val="0"/>
              <w:spacing w:before="120"/>
              <w:jc w:val="center"/>
              <w:rPr>
                <w:rFonts w:ascii="宋体" w:hAnsi="宋体" w:cs="宋体"/>
                <w:b/>
                <w:color w:val="auto"/>
                <w:szCs w:val="21"/>
                <w:highlight w:val="none"/>
              </w:rPr>
            </w:pPr>
            <w:r>
              <w:rPr>
                <w:rFonts w:hint="eastAsia" w:ascii="宋体" w:hAnsi="宋体" w:cs="宋体"/>
                <w:b/>
                <w:color w:val="auto"/>
                <w:szCs w:val="21"/>
                <w:highlight w:val="none"/>
              </w:rPr>
              <w:t>单价（元）</w:t>
            </w:r>
          </w:p>
        </w:tc>
        <w:tc>
          <w:tcPr>
            <w:tcW w:w="1295" w:type="dxa"/>
            <w:vAlign w:val="center"/>
          </w:tcPr>
          <w:p w14:paraId="052B2757">
            <w:pPr>
              <w:snapToGrid w:val="0"/>
              <w:spacing w:before="120"/>
              <w:jc w:val="center"/>
              <w:rPr>
                <w:rFonts w:ascii="宋体" w:hAnsi="宋体" w:cs="宋体"/>
                <w:b/>
                <w:color w:val="auto"/>
                <w:szCs w:val="21"/>
                <w:highlight w:val="none"/>
              </w:rPr>
            </w:pPr>
            <w:r>
              <w:rPr>
                <w:rFonts w:hint="eastAsia" w:ascii="宋体" w:hAnsi="宋体" w:cs="宋体"/>
                <w:b/>
                <w:color w:val="auto"/>
                <w:szCs w:val="21"/>
                <w:highlight w:val="none"/>
              </w:rPr>
              <w:t>金额（元）</w:t>
            </w:r>
          </w:p>
        </w:tc>
      </w:tr>
      <w:tr w14:paraId="4BA06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636" w:type="dxa"/>
            <w:vAlign w:val="center"/>
          </w:tcPr>
          <w:p w14:paraId="0ADFA60B">
            <w:pPr>
              <w:snapToGrid w:val="0"/>
              <w:spacing w:before="120"/>
              <w:jc w:val="center"/>
              <w:rPr>
                <w:rFonts w:ascii="宋体" w:hAnsi="宋体" w:cs="宋体"/>
                <w:color w:val="auto"/>
                <w:szCs w:val="21"/>
                <w:highlight w:val="none"/>
              </w:rPr>
            </w:pPr>
            <w:r>
              <w:rPr>
                <w:rFonts w:hint="eastAsia" w:ascii="宋体" w:hAnsi="宋体" w:cs="宋体"/>
                <w:color w:val="auto"/>
                <w:szCs w:val="21"/>
                <w:highlight w:val="none"/>
              </w:rPr>
              <w:t>1</w:t>
            </w:r>
          </w:p>
        </w:tc>
        <w:tc>
          <w:tcPr>
            <w:tcW w:w="1731" w:type="dxa"/>
            <w:vAlign w:val="center"/>
          </w:tcPr>
          <w:p w14:paraId="4FD34902">
            <w:pPr>
              <w:snapToGrid w:val="0"/>
              <w:spacing w:before="120"/>
              <w:jc w:val="center"/>
              <w:rPr>
                <w:rFonts w:ascii="宋体" w:hAnsi="宋体" w:cs="宋体"/>
                <w:color w:val="auto"/>
                <w:szCs w:val="21"/>
                <w:highlight w:val="none"/>
              </w:rPr>
            </w:pPr>
          </w:p>
        </w:tc>
        <w:tc>
          <w:tcPr>
            <w:tcW w:w="2506" w:type="dxa"/>
            <w:vAlign w:val="center"/>
          </w:tcPr>
          <w:p w14:paraId="4722C364">
            <w:pPr>
              <w:snapToGrid w:val="0"/>
              <w:spacing w:before="120"/>
              <w:jc w:val="center"/>
              <w:rPr>
                <w:rFonts w:ascii="宋体" w:hAnsi="宋体" w:cs="宋体"/>
                <w:color w:val="auto"/>
                <w:szCs w:val="21"/>
                <w:highlight w:val="none"/>
              </w:rPr>
            </w:pPr>
          </w:p>
        </w:tc>
        <w:tc>
          <w:tcPr>
            <w:tcW w:w="850" w:type="dxa"/>
            <w:vAlign w:val="center"/>
          </w:tcPr>
          <w:p w14:paraId="0E3EBEF1">
            <w:pPr>
              <w:snapToGrid w:val="0"/>
              <w:spacing w:before="120"/>
              <w:jc w:val="center"/>
              <w:rPr>
                <w:rFonts w:ascii="宋体" w:hAnsi="宋体" w:cs="宋体"/>
                <w:color w:val="auto"/>
                <w:szCs w:val="21"/>
                <w:highlight w:val="none"/>
              </w:rPr>
            </w:pPr>
          </w:p>
        </w:tc>
        <w:tc>
          <w:tcPr>
            <w:tcW w:w="760" w:type="dxa"/>
            <w:vAlign w:val="center"/>
          </w:tcPr>
          <w:p w14:paraId="5BDA9A14">
            <w:pPr>
              <w:snapToGrid w:val="0"/>
              <w:spacing w:before="120"/>
              <w:jc w:val="center"/>
              <w:rPr>
                <w:rFonts w:ascii="宋体" w:hAnsi="宋体" w:cs="宋体"/>
                <w:color w:val="auto"/>
                <w:szCs w:val="21"/>
                <w:highlight w:val="none"/>
              </w:rPr>
            </w:pPr>
          </w:p>
        </w:tc>
        <w:tc>
          <w:tcPr>
            <w:tcW w:w="1275" w:type="dxa"/>
            <w:vAlign w:val="center"/>
          </w:tcPr>
          <w:p w14:paraId="48E88828">
            <w:pPr>
              <w:snapToGrid w:val="0"/>
              <w:spacing w:before="120"/>
              <w:jc w:val="center"/>
              <w:rPr>
                <w:rFonts w:ascii="宋体" w:hAnsi="宋体" w:cs="宋体"/>
                <w:color w:val="auto"/>
                <w:szCs w:val="21"/>
                <w:highlight w:val="none"/>
              </w:rPr>
            </w:pPr>
          </w:p>
        </w:tc>
        <w:tc>
          <w:tcPr>
            <w:tcW w:w="1295" w:type="dxa"/>
            <w:vAlign w:val="center"/>
          </w:tcPr>
          <w:p w14:paraId="375068E4">
            <w:pPr>
              <w:snapToGrid w:val="0"/>
              <w:spacing w:before="120"/>
              <w:jc w:val="center"/>
              <w:rPr>
                <w:rFonts w:ascii="宋体" w:hAnsi="宋体" w:cs="宋体"/>
                <w:color w:val="auto"/>
                <w:szCs w:val="21"/>
                <w:highlight w:val="none"/>
              </w:rPr>
            </w:pPr>
          </w:p>
        </w:tc>
      </w:tr>
      <w:tr w14:paraId="1FBC7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636" w:type="dxa"/>
            <w:vAlign w:val="center"/>
          </w:tcPr>
          <w:p w14:paraId="1CCFCD76">
            <w:pPr>
              <w:snapToGrid w:val="0"/>
              <w:spacing w:before="120"/>
              <w:jc w:val="center"/>
              <w:rPr>
                <w:rFonts w:ascii="宋体" w:hAnsi="宋体" w:cs="宋体"/>
                <w:color w:val="auto"/>
                <w:szCs w:val="21"/>
                <w:highlight w:val="none"/>
              </w:rPr>
            </w:pPr>
            <w:r>
              <w:rPr>
                <w:rFonts w:hint="eastAsia" w:ascii="宋体" w:hAnsi="宋体" w:cs="宋体"/>
                <w:color w:val="auto"/>
                <w:szCs w:val="21"/>
                <w:highlight w:val="none"/>
              </w:rPr>
              <w:t>...</w:t>
            </w:r>
          </w:p>
        </w:tc>
        <w:tc>
          <w:tcPr>
            <w:tcW w:w="1731" w:type="dxa"/>
            <w:vAlign w:val="center"/>
          </w:tcPr>
          <w:p w14:paraId="471C2F54">
            <w:pPr>
              <w:snapToGrid w:val="0"/>
              <w:spacing w:before="120"/>
              <w:jc w:val="center"/>
              <w:rPr>
                <w:rFonts w:ascii="宋体" w:hAnsi="宋体" w:cs="宋体"/>
                <w:color w:val="auto"/>
                <w:szCs w:val="21"/>
                <w:highlight w:val="none"/>
              </w:rPr>
            </w:pPr>
          </w:p>
        </w:tc>
        <w:tc>
          <w:tcPr>
            <w:tcW w:w="2506" w:type="dxa"/>
            <w:vAlign w:val="center"/>
          </w:tcPr>
          <w:p w14:paraId="3A2E11B9">
            <w:pPr>
              <w:snapToGrid w:val="0"/>
              <w:spacing w:before="120"/>
              <w:jc w:val="center"/>
              <w:rPr>
                <w:rFonts w:ascii="宋体" w:hAnsi="宋体" w:cs="宋体"/>
                <w:color w:val="auto"/>
                <w:szCs w:val="21"/>
                <w:highlight w:val="none"/>
              </w:rPr>
            </w:pPr>
          </w:p>
        </w:tc>
        <w:tc>
          <w:tcPr>
            <w:tcW w:w="850" w:type="dxa"/>
            <w:vAlign w:val="center"/>
          </w:tcPr>
          <w:p w14:paraId="679656CA">
            <w:pPr>
              <w:snapToGrid w:val="0"/>
              <w:spacing w:before="120"/>
              <w:jc w:val="center"/>
              <w:rPr>
                <w:rFonts w:ascii="宋体" w:hAnsi="宋体" w:cs="宋体"/>
                <w:color w:val="auto"/>
                <w:szCs w:val="21"/>
                <w:highlight w:val="none"/>
              </w:rPr>
            </w:pPr>
          </w:p>
        </w:tc>
        <w:tc>
          <w:tcPr>
            <w:tcW w:w="760" w:type="dxa"/>
            <w:vAlign w:val="center"/>
          </w:tcPr>
          <w:p w14:paraId="723CC7E0">
            <w:pPr>
              <w:snapToGrid w:val="0"/>
              <w:spacing w:before="120"/>
              <w:jc w:val="center"/>
              <w:rPr>
                <w:rFonts w:ascii="宋体" w:hAnsi="宋体" w:cs="宋体"/>
                <w:color w:val="auto"/>
                <w:szCs w:val="21"/>
                <w:highlight w:val="none"/>
              </w:rPr>
            </w:pPr>
          </w:p>
        </w:tc>
        <w:tc>
          <w:tcPr>
            <w:tcW w:w="1275" w:type="dxa"/>
            <w:vAlign w:val="center"/>
          </w:tcPr>
          <w:p w14:paraId="6BB64992">
            <w:pPr>
              <w:snapToGrid w:val="0"/>
              <w:spacing w:before="120"/>
              <w:jc w:val="center"/>
              <w:rPr>
                <w:rFonts w:ascii="宋体" w:hAnsi="宋体" w:cs="宋体"/>
                <w:color w:val="auto"/>
                <w:szCs w:val="21"/>
                <w:highlight w:val="none"/>
              </w:rPr>
            </w:pPr>
          </w:p>
        </w:tc>
        <w:tc>
          <w:tcPr>
            <w:tcW w:w="1295" w:type="dxa"/>
            <w:vAlign w:val="center"/>
          </w:tcPr>
          <w:p w14:paraId="67D1DD81">
            <w:pPr>
              <w:snapToGrid w:val="0"/>
              <w:spacing w:before="120"/>
              <w:jc w:val="center"/>
              <w:rPr>
                <w:rFonts w:ascii="宋体" w:hAnsi="宋体" w:cs="宋体"/>
                <w:color w:val="auto"/>
                <w:szCs w:val="21"/>
                <w:highlight w:val="none"/>
              </w:rPr>
            </w:pPr>
          </w:p>
        </w:tc>
      </w:tr>
      <w:tr w14:paraId="406BC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9053" w:type="dxa"/>
            <w:gridSpan w:val="7"/>
            <w:vAlign w:val="center"/>
          </w:tcPr>
          <w:p w14:paraId="2DE19F01">
            <w:pPr>
              <w:snapToGrid w:val="0"/>
              <w:spacing w:before="120"/>
              <w:jc w:val="left"/>
              <w:rPr>
                <w:rFonts w:ascii="宋体" w:hAnsi="宋体" w:cs="宋体"/>
                <w:color w:val="auto"/>
                <w:szCs w:val="21"/>
                <w:highlight w:val="none"/>
              </w:rPr>
            </w:pPr>
            <w:r>
              <w:rPr>
                <w:rFonts w:hint="eastAsia" w:ascii="宋体" w:hAnsi="宋体" w:cs="宋体"/>
                <w:color w:val="auto"/>
                <w:szCs w:val="21"/>
                <w:highlight w:val="none"/>
              </w:rPr>
              <w:t>合计：</w:t>
            </w:r>
          </w:p>
        </w:tc>
      </w:tr>
    </w:tbl>
    <w:p w14:paraId="478F11B5">
      <w:pPr>
        <w:widowControl/>
        <w:adjustRightInd w:val="0"/>
        <w:snapToGrid w:val="0"/>
        <w:spacing w:line="410" w:lineRule="exact"/>
        <w:ind w:firstLine="525" w:firstLineChars="250"/>
        <w:jc w:val="left"/>
        <w:rPr>
          <w:rFonts w:ascii="宋体" w:hAnsi="宋体"/>
          <w:color w:val="auto"/>
          <w:kern w:val="0"/>
          <w:szCs w:val="21"/>
          <w:highlight w:val="none"/>
        </w:rPr>
      </w:pPr>
      <w:r>
        <w:rPr>
          <w:rFonts w:hint="eastAsia" w:ascii="宋体" w:hAnsi="宋体"/>
          <w:color w:val="auto"/>
          <w:kern w:val="0"/>
          <w:szCs w:val="21"/>
          <w:highlight w:val="none"/>
        </w:rPr>
        <w:t>2、合同合计金额包括但不限于满足本次投标全部采购需求所应提供的服务，以及伴随的货物和工程（如有）的价格；包含投标服务、货物、工程的成本、运输（含保险）、安装（如有）、调试、检验、技术服务、培训、税费等所有费用。如采购文件对其另有规定的，从其规定。</w:t>
      </w:r>
    </w:p>
    <w:p w14:paraId="01FE24B7">
      <w:pPr>
        <w:widowControl/>
        <w:adjustRightInd w:val="0"/>
        <w:snapToGrid w:val="0"/>
        <w:spacing w:line="410" w:lineRule="exact"/>
        <w:jc w:val="left"/>
        <w:rPr>
          <w:rFonts w:ascii="宋体" w:hAnsi="宋体"/>
          <w:color w:val="auto"/>
          <w:kern w:val="0"/>
          <w:szCs w:val="21"/>
          <w:highlight w:val="none"/>
        </w:rPr>
      </w:pPr>
      <w:r>
        <w:rPr>
          <w:rFonts w:hint="eastAsia" w:ascii="宋体" w:hAnsi="宋体"/>
          <w:color w:val="auto"/>
          <w:kern w:val="0"/>
          <w:szCs w:val="21"/>
          <w:highlight w:val="none"/>
        </w:rPr>
        <w:t>第二条 质量保证</w:t>
      </w:r>
    </w:p>
    <w:p w14:paraId="3C0BEE13">
      <w:pPr>
        <w:widowControl/>
        <w:adjustRightInd w:val="0"/>
        <w:snapToGrid w:val="0"/>
        <w:spacing w:line="410" w:lineRule="exact"/>
        <w:ind w:firstLine="525" w:firstLineChars="250"/>
        <w:jc w:val="left"/>
        <w:rPr>
          <w:rFonts w:ascii="宋体" w:hAnsi="宋体"/>
          <w:color w:val="auto"/>
          <w:kern w:val="0"/>
          <w:szCs w:val="21"/>
          <w:highlight w:val="none"/>
        </w:rPr>
      </w:pPr>
      <w:r>
        <w:rPr>
          <w:rFonts w:hint="eastAsia" w:ascii="宋体" w:hAnsi="宋体"/>
          <w:color w:val="auto"/>
          <w:kern w:val="0"/>
          <w:szCs w:val="21"/>
          <w:highlight w:val="none"/>
        </w:rPr>
        <w:t>乙方所提供的服务及服务内容必须与投标文件承诺相一致，有</w:t>
      </w:r>
      <w:r>
        <w:rPr>
          <w:rFonts w:hint="eastAsia" w:ascii="宋体" w:hAnsi="宋体" w:cs="宋体"/>
          <w:color w:val="auto"/>
          <w:kern w:val="0"/>
          <w:szCs w:val="21"/>
          <w:highlight w:val="none"/>
        </w:rPr>
        <w:t>研发、开发等相关实施团队驻场进行开发实施服务，</w:t>
      </w:r>
      <w:r>
        <w:rPr>
          <w:rFonts w:hint="eastAsia" w:ascii="宋体" w:hAnsi="宋体"/>
          <w:color w:val="auto"/>
          <w:kern w:val="0"/>
          <w:szCs w:val="21"/>
          <w:highlight w:val="none"/>
        </w:rPr>
        <w:t>有国家强制性标准的，还必须符合国家强制性标准的规定，没有国家强制性标准但有其他强制性标准的，必须符合其他强制性标准的规定。</w:t>
      </w:r>
    </w:p>
    <w:p w14:paraId="4EC6C575">
      <w:pPr>
        <w:widowControl/>
        <w:adjustRightInd w:val="0"/>
        <w:snapToGrid w:val="0"/>
        <w:spacing w:line="410" w:lineRule="exact"/>
        <w:jc w:val="left"/>
        <w:rPr>
          <w:rFonts w:ascii="宋体" w:hAnsi="宋体"/>
          <w:color w:val="auto"/>
          <w:kern w:val="0"/>
          <w:szCs w:val="21"/>
          <w:highlight w:val="none"/>
        </w:rPr>
      </w:pPr>
      <w:r>
        <w:rPr>
          <w:rFonts w:hint="eastAsia" w:ascii="宋体" w:hAnsi="宋体"/>
          <w:color w:val="auto"/>
          <w:kern w:val="0"/>
          <w:szCs w:val="21"/>
          <w:highlight w:val="none"/>
        </w:rPr>
        <w:t>第三条 权利保证</w:t>
      </w:r>
    </w:p>
    <w:p w14:paraId="071AF3AE">
      <w:pPr>
        <w:widowControl/>
        <w:adjustRightInd w:val="0"/>
        <w:snapToGrid w:val="0"/>
        <w:spacing w:line="410" w:lineRule="exact"/>
        <w:ind w:firstLine="525" w:firstLineChars="250"/>
        <w:jc w:val="left"/>
        <w:rPr>
          <w:rFonts w:ascii="宋体" w:hAnsi="宋体"/>
          <w:color w:val="auto"/>
          <w:kern w:val="0"/>
          <w:szCs w:val="21"/>
          <w:highlight w:val="none"/>
        </w:rPr>
      </w:pPr>
      <w:r>
        <w:rPr>
          <w:rFonts w:hint="eastAsia" w:ascii="宋体" w:hAnsi="宋体"/>
          <w:color w:val="auto"/>
          <w:kern w:val="0"/>
          <w:szCs w:val="21"/>
          <w:highlight w:val="none"/>
        </w:rPr>
        <w:t>1、乙方应保证所提供服务在使用时不会侵犯任何第三方的专利权、商标权、工业设计权等知识产权及其他合法权利，且所有权、处分权等没有受到任何限制。</w:t>
      </w:r>
    </w:p>
    <w:p w14:paraId="560ED177">
      <w:pPr>
        <w:widowControl/>
        <w:adjustRightInd w:val="0"/>
        <w:snapToGrid w:val="0"/>
        <w:spacing w:line="410" w:lineRule="exact"/>
        <w:ind w:firstLine="525" w:firstLineChars="250"/>
        <w:jc w:val="left"/>
        <w:rPr>
          <w:rFonts w:ascii="宋体" w:hAnsi="宋体"/>
          <w:color w:val="auto"/>
          <w:kern w:val="0"/>
          <w:szCs w:val="21"/>
          <w:highlight w:val="none"/>
        </w:rPr>
      </w:pPr>
      <w:r>
        <w:rPr>
          <w:rFonts w:hint="eastAsia" w:ascii="宋体" w:hAnsi="宋体"/>
          <w:color w:val="auto"/>
          <w:kern w:val="0"/>
          <w:szCs w:val="21"/>
          <w:highlight w:val="none"/>
        </w:rPr>
        <w:t>2、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乙方的保密义务持续有效，不因为本合同履行终止、解除或者无效而解除。</w:t>
      </w:r>
    </w:p>
    <w:p w14:paraId="3617FBE6">
      <w:pPr>
        <w:widowControl/>
        <w:adjustRightInd w:val="0"/>
        <w:snapToGrid w:val="0"/>
        <w:spacing w:line="410" w:lineRule="exact"/>
        <w:ind w:firstLine="525" w:firstLineChars="250"/>
        <w:jc w:val="left"/>
        <w:rPr>
          <w:rFonts w:ascii="宋体" w:hAnsi="宋体"/>
          <w:color w:val="auto"/>
          <w:kern w:val="0"/>
          <w:szCs w:val="21"/>
          <w:highlight w:val="none"/>
        </w:rPr>
      </w:pPr>
      <w:r>
        <w:rPr>
          <w:rFonts w:hint="eastAsia" w:ascii="宋体" w:hAnsi="宋体"/>
          <w:color w:val="auto"/>
          <w:kern w:val="0"/>
          <w:szCs w:val="21"/>
          <w:highlight w:val="none"/>
        </w:rPr>
        <w:t>3、服务期间须按照国家网络安全及信息保密安全有关管理规定做好网络安全保密工作。指定具体网络安全责任人，建立独立的管理技术团队负责项目实施过程中的网络安全管理。网络安全责任人及工作人员有变更、乙方工作人员有业务转型或乙方因自身原因有合并重组等的须提前向甲方进行书面说明，未经甲方统一，乙方不得私自将在甲方工作期间的项目任务进行分包、转包。</w:t>
      </w:r>
    </w:p>
    <w:p w14:paraId="560D591F">
      <w:pPr>
        <w:widowControl/>
        <w:adjustRightInd w:val="0"/>
        <w:snapToGrid w:val="0"/>
        <w:spacing w:line="410" w:lineRule="exact"/>
        <w:ind w:firstLine="525" w:firstLineChars="250"/>
        <w:jc w:val="left"/>
        <w:rPr>
          <w:rFonts w:ascii="宋体" w:hAnsi="宋体"/>
          <w:color w:val="auto"/>
          <w:kern w:val="0"/>
          <w:szCs w:val="21"/>
          <w:highlight w:val="none"/>
        </w:rPr>
      </w:pPr>
      <w:r>
        <w:rPr>
          <w:rFonts w:hint="eastAsia" w:ascii="宋体" w:hAnsi="宋体"/>
          <w:color w:val="auto"/>
          <w:kern w:val="0"/>
          <w:szCs w:val="21"/>
          <w:highlight w:val="none"/>
        </w:rPr>
        <w:t>4、服务期间涉及的政务数据和其他数据须分开处理，不得私自将工作中处理的数据进行变更处理。乙方在服务期间处理数据，涉及到个人信息时，须按照国家个人信息保护相关管理规定，做好数据处理存储工作。甲方具有所有权、使用权和访问权，甲方不得私自更改、访问、利用和销毁服务期间涉及到的政务数据信息。</w:t>
      </w:r>
    </w:p>
    <w:p w14:paraId="37CB6BA1">
      <w:pPr>
        <w:widowControl/>
        <w:adjustRightInd w:val="0"/>
        <w:snapToGrid w:val="0"/>
        <w:spacing w:line="410" w:lineRule="exact"/>
        <w:ind w:firstLine="525" w:firstLineChars="250"/>
        <w:jc w:val="left"/>
        <w:rPr>
          <w:rFonts w:ascii="宋体" w:hAnsi="宋体"/>
          <w:color w:val="auto"/>
          <w:kern w:val="0"/>
          <w:szCs w:val="21"/>
          <w:highlight w:val="none"/>
        </w:rPr>
      </w:pPr>
      <w:r>
        <w:rPr>
          <w:rFonts w:hint="eastAsia" w:ascii="宋体" w:hAnsi="宋体"/>
          <w:color w:val="auto"/>
          <w:kern w:val="0"/>
          <w:szCs w:val="21"/>
          <w:highlight w:val="none"/>
        </w:rPr>
        <w:t>5、做好网络安全漏洞检查，发现安全漏洞、缺陷及安全风险须及时通报甲方，并形成报告向区网信、公安部门报告，安全漏洞未经网信、公安部门同意，不得向第三人公开。</w:t>
      </w:r>
    </w:p>
    <w:p w14:paraId="41206F5C">
      <w:pPr>
        <w:widowControl/>
        <w:adjustRightInd w:val="0"/>
        <w:snapToGrid w:val="0"/>
        <w:spacing w:line="410" w:lineRule="exact"/>
        <w:ind w:firstLine="525" w:firstLineChars="250"/>
        <w:jc w:val="left"/>
        <w:rPr>
          <w:rFonts w:ascii="仿宋_GB2312" w:hAnsi="宋体" w:eastAsia="仿宋_GB2312"/>
          <w:color w:val="auto"/>
          <w:highlight w:val="none"/>
        </w:rPr>
      </w:pPr>
      <w:r>
        <w:rPr>
          <w:rFonts w:hint="eastAsia" w:ascii="宋体" w:hAnsi="宋体"/>
          <w:color w:val="auto"/>
          <w:kern w:val="0"/>
          <w:szCs w:val="21"/>
          <w:highlight w:val="none"/>
        </w:rPr>
        <w:t>6、处理数据时优先使用国产安全可信的硬件软件产品，硬软件信息系统须按照国家密码管理要求设置不限于数字字母特殊字符组合的强口令的密码。</w:t>
      </w:r>
    </w:p>
    <w:p w14:paraId="25F96C98">
      <w:pPr>
        <w:pStyle w:val="29"/>
        <w:rPr>
          <w:color w:val="auto"/>
          <w:highlight w:val="none"/>
        </w:rPr>
      </w:pPr>
    </w:p>
    <w:p w14:paraId="090CBDA9">
      <w:pPr>
        <w:widowControl/>
        <w:adjustRightInd w:val="0"/>
        <w:snapToGrid w:val="0"/>
        <w:spacing w:line="410" w:lineRule="exact"/>
        <w:jc w:val="left"/>
        <w:rPr>
          <w:rFonts w:ascii="宋体" w:hAnsi="宋体"/>
          <w:color w:val="auto"/>
          <w:kern w:val="0"/>
          <w:szCs w:val="21"/>
          <w:highlight w:val="none"/>
        </w:rPr>
      </w:pPr>
      <w:r>
        <w:rPr>
          <w:rFonts w:hint="eastAsia" w:ascii="宋体" w:hAnsi="宋体"/>
          <w:color w:val="auto"/>
          <w:kern w:val="0"/>
          <w:szCs w:val="21"/>
          <w:highlight w:val="none"/>
        </w:rPr>
        <w:t>第四条 交付和验收</w:t>
      </w:r>
    </w:p>
    <w:p w14:paraId="55E5CCD8">
      <w:pPr>
        <w:widowControl/>
        <w:adjustRightInd w:val="0"/>
        <w:snapToGrid w:val="0"/>
        <w:spacing w:line="410" w:lineRule="exact"/>
        <w:ind w:firstLine="630" w:firstLineChars="300"/>
        <w:jc w:val="left"/>
        <w:rPr>
          <w:rFonts w:ascii="宋体" w:hAnsi="宋体"/>
          <w:color w:val="auto"/>
          <w:kern w:val="0"/>
          <w:szCs w:val="21"/>
          <w:highlight w:val="none"/>
        </w:rPr>
      </w:pPr>
      <w:r>
        <w:rPr>
          <w:rFonts w:hint="eastAsia" w:ascii="宋体" w:hAnsi="宋体"/>
          <w:color w:val="auto"/>
          <w:kern w:val="0"/>
          <w:szCs w:val="21"/>
          <w:highlight w:val="none"/>
        </w:rPr>
        <w:t>1、服务期限：</w:t>
      </w:r>
      <w:r>
        <w:rPr>
          <w:rFonts w:hint="eastAsia" w:hAnsi="宋体" w:cs="宋体"/>
          <w:color w:val="auto"/>
          <w:szCs w:val="21"/>
          <w:highlight w:val="none"/>
          <w:u w:val="single"/>
        </w:rPr>
        <w:t xml:space="preserve">                                        </w:t>
      </w:r>
    </w:p>
    <w:p w14:paraId="5CFDDEE7">
      <w:pPr>
        <w:widowControl/>
        <w:adjustRightInd w:val="0"/>
        <w:snapToGrid w:val="0"/>
        <w:spacing w:line="410" w:lineRule="exact"/>
        <w:ind w:firstLine="630" w:firstLineChars="300"/>
        <w:jc w:val="left"/>
        <w:rPr>
          <w:rFonts w:ascii="宋体" w:hAnsi="宋体"/>
          <w:color w:val="auto"/>
          <w:kern w:val="0"/>
          <w:szCs w:val="21"/>
          <w:highlight w:val="none"/>
        </w:rPr>
      </w:pPr>
      <w:r>
        <w:rPr>
          <w:rFonts w:hint="eastAsia" w:ascii="宋体" w:hAnsi="宋体"/>
          <w:color w:val="auto"/>
          <w:kern w:val="0"/>
          <w:szCs w:val="21"/>
          <w:highlight w:val="none"/>
        </w:rPr>
        <w:t>2、服务地点：</w:t>
      </w:r>
      <w:r>
        <w:rPr>
          <w:rFonts w:hint="eastAsia" w:ascii="宋体" w:hAnsi="宋体"/>
          <w:color w:val="auto"/>
          <w:szCs w:val="21"/>
          <w:highlight w:val="none"/>
          <w:u w:val="single"/>
        </w:rPr>
        <w:t xml:space="preserve">                                        </w:t>
      </w:r>
    </w:p>
    <w:p w14:paraId="4D1D8BF9">
      <w:pPr>
        <w:widowControl/>
        <w:adjustRightInd w:val="0"/>
        <w:snapToGrid w:val="0"/>
        <w:spacing w:line="410" w:lineRule="exact"/>
        <w:ind w:firstLine="630" w:firstLineChars="300"/>
        <w:jc w:val="left"/>
        <w:rPr>
          <w:rFonts w:ascii="宋体" w:hAnsi="宋体"/>
          <w:color w:val="auto"/>
          <w:kern w:val="0"/>
          <w:szCs w:val="21"/>
          <w:highlight w:val="none"/>
        </w:rPr>
      </w:pPr>
      <w:r>
        <w:rPr>
          <w:rFonts w:hint="eastAsia" w:ascii="宋体" w:hAnsi="宋体"/>
          <w:color w:val="auto"/>
          <w:kern w:val="0"/>
          <w:szCs w:val="21"/>
          <w:highlight w:val="none"/>
        </w:rPr>
        <w:t>3、乙方应按投标文件的承诺向甲方提供相应的服务，并提供所服务内容的相关技术资料。</w:t>
      </w:r>
    </w:p>
    <w:p w14:paraId="2F206E81">
      <w:pPr>
        <w:widowControl/>
        <w:adjustRightInd w:val="0"/>
        <w:snapToGrid w:val="0"/>
        <w:spacing w:line="410" w:lineRule="exact"/>
        <w:ind w:firstLine="630" w:firstLineChars="300"/>
        <w:jc w:val="left"/>
        <w:rPr>
          <w:rFonts w:ascii="宋体" w:hAnsi="宋体"/>
          <w:color w:val="auto"/>
          <w:kern w:val="0"/>
          <w:szCs w:val="21"/>
          <w:highlight w:val="none"/>
        </w:rPr>
      </w:pPr>
      <w:r>
        <w:rPr>
          <w:rFonts w:hint="eastAsia" w:ascii="宋体" w:hAnsi="宋体"/>
          <w:color w:val="auto"/>
          <w:kern w:val="0"/>
          <w:szCs w:val="21"/>
          <w:highlight w:val="none"/>
        </w:rPr>
        <w:t>4、乙方提供不符合投标文件和本合同规定的服务成果，甲方有权拒绝接受。</w:t>
      </w:r>
    </w:p>
    <w:p w14:paraId="532E1B51">
      <w:pPr>
        <w:widowControl/>
        <w:adjustRightInd w:val="0"/>
        <w:snapToGrid w:val="0"/>
        <w:spacing w:line="410" w:lineRule="exact"/>
        <w:ind w:firstLine="630" w:firstLineChars="300"/>
        <w:jc w:val="left"/>
        <w:rPr>
          <w:rFonts w:ascii="宋体" w:hAnsi="宋体"/>
          <w:color w:val="auto"/>
          <w:kern w:val="0"/>
          <w:szCs w:val="21"/>
          <w:highlight w:val="none"/>
        </w:rPr>
      </w:pPr>
      <w:r>
        <w:rPr>
          <w:rFonts w:hint="eastAsia" w:ascii="宋体" w:hAnsi="宋体"/>
          <w:color w:val="auto"/>
          <w:kern w:val="0"/>
          <w:szCs w:val="21"/>
          <w:highlight w:val="none"/>
        </w:rPr>
        <w:t>5、乙方完成服务后应及时书面通知甲方进行验收，甲方应在收到通知后七个工作日内进行验收，逾期不开始验收的，乙方可视同验收合格。验收合格后由甲乙双方签署验收单并加盖采购人公章，甲乙双方各执一份。</w:t>
      </w:r>
    </w:p>
    <w:p w14:paraId="110032B7">
      <w:pPr>
        <w:widowControl/>
        <w:adjustRightInd w:val="0"/>
        <w:snapToGrid w:val="0"/>
        <w:spacing w:line="410" w:lineRule="exact"/>
        <w:ind w:firstLine="638" w:firstLineChars="304"/>
        <w:jc w:val="left"/>
        <w:rPr>
          <w:rFonts w:ascii="宋体" w:hAnsi="宋体"/>
          <w:color w:val="auto"/>
          <w:kern w:val="0"/>
          <w:szCs w:val="21"/>
          <w:highlight w:val="none"/>
        </w:rPr>
      </w:pPr>
      <w:r>
        <w:rPr>
          <w:rFonts w:hint="eastAsia" w:ascii="宋体" w:hAnsi="宋体"/>
          <w:color w:val="auto"/>
          <w:kern w:val="0"/>
          <w:szCs w:val="21"/>
          <w:highlight w:val="none"/>
        </w:rPr>
        <w:t>6、甲乙双方应按照双方合同、投标文件验收。</w:t>
      </w:r>
    </w:p>
    <w:p w14:paraId="5CF5B628">
      <w:pPr>
        <w:widowControl/>
        <w:adjustRightInd w:val="0"/>
        <w:snapToGrid w:val="0"/>
        <w:spacing w:line="410" w:lineRule="exact"/>
        <w:ind w:firstLine="638" w:firstLineChars="304"/>
        <w:jc w:val="left"/>
        <w:rPr>
          <w:rFonts w:ascii="宋体" w:hAnsi="宋体"/>
          <w:color w:val="auto"/>
          <w:kern w:val="0"/>
          <w:szCs w:val="21"/>
          <w:highlight w:val="none"/>
        </w:rPr>
      </w:pPr>
      <w:r>
        <w:rPr>
          <w:rFonts w:hint="eastAsia" w:ascii="宋体" w:hAnsi="宋体"/>
          <w:color w:val="auto"/>
          <w:kern w:val="0"/>
          <w:szCs w:val="21"/>
          <w:highlight w:val="none"/>
        </w:rPr>
        <w:t>7、甲方在初步验收或者最终验收过程中如发现乙方提供的服务成果不满足投标文件及本合同规定的，可暂缓向乙方付款，直到乙方及时完善并提交相应的服务成果且经甲方验收合格后，方可办理付款。</w:t>
      </w:r>
    </w:p>
    <w:p w14:paraId="25A6DA30">
      <w:pPr>
        <w:widowControl/>
        <w:adjustRightInd w:val="0"/>
        <w:snapToGrid w:val="0"/>
        <w:spacing w:line="410" w:lineRule="exact"/>
        <w:ind w:firstLine="638" w:firstLineChars="304"/>
        <w:jc w:val="left"/>
        <w:rPr>
          <w:rFonts w:ascii="宋体" w:hAnsi="宋体"/>
          <w:color w:val="auto"/>
          <w:kern w:val="0"/>
          <w:szCs w:val="21"/>
          <w:highlight w:val="none"/>
        </w:rPr>
      </w:pPr>
      <w:r>
        <w:rPr>
          <w:rFonts w:hint="eastAsia" w:ascii="宋体" w:hAnsi="宋体"/>
          <w:color w:val="auto"/>
          <w:kern w:val="0"/>
          <w:szCs w:val="21"/>
          <w:highlight w:val="none"/>
        </w:rPr>
        <w:t>8、甲方验收时以书面形式提出异议的，乙方应自收到甲方书面异议后五个工作日内及时予以解决，否则甲方有权不出具服务验收合格单。</w:t>
      </w:r>
    </w:p>
    <w:p w14:paraId="66C9426C">
      <w:pPr>
        <w:widowControl/>
        <w:adjustRightInd w:val="0"/>
        <w:snapToGrid w:val="0"/>
        <w:spacing w:line="410" w:lineRule="exact"/>
        <w:ind w:firstLine="525" w:firstLineChars="250"/>
        <w:jc w:val="left"/>
        <w:rPr>
          <w:rFonts w:ascii="宋体" w:hAnsi="宋体"/>
          <w:color w:val="auto"/>
          <w:kern w:val="0"/>
          <w:szCs w:val="21"/>
          <w:highlight w:val="none"/>
        </w:rPr>
      </w:pPr>
      <w:r>
        <w:rPr>
          <w:rFonts w:hint="eastAsia" w:ascii="宋体" w:hAnsi="宋体"/>
          <w:color w:val="auto"/>
          <w:kern w:val="0"/>
          <w:szCs w:val="21"/>
          <w:highlight w:val="none"/>
        </w:rPr>
        <w:t>9、甲方可对系统平台对接、接口互通、数据上报、数据校验等功能进行验证，验证结果达不到招标文件预期效果及功能不满足的，经双方协商无效后按违约处理，同时甲方有权上报相关监督管理部门，由此造成甲方损失的由乙方负责承担全部赔偿责任。</w:t>
      </w:r>
    </w:p>
    <w:p w14:paraId="4D27C843">
      <w:pPr>
        <w:widowControl/>
        <w:adjustRightInd w:val="0"/>
        <w:snapToGrid w:val="0"/>
        <w:spacing w:line="410" w:lineRule="exact"/>
        <w:ind w:firstLine="525" w:firstLineChars="250"/>
        <w:jc w:val="left"/>
        <w:rPr>
          <w:rFonts w:ascii="宋体" w:hAnsi="宋体"/>
          <w:color w:val="auto"/>
          <w:kern w:val="0"/>
          <w:szCs w:val="21"/>
          <w:highlight w:val="none"/>
        </w:rPr>
      </w:pPr>
      <w:r>
        <w:rPr>
          <w:rFonts w:hint="eastAsia" w:ascii="宋体" w:hAnsi="宋体"/>
          <w:color w:val="auto"/>
          <w:kern w:val="0"/>
          <w:szCs w:val="21"/>
          <w:highlight w:val="none"/>
        </w:rPr>
        <w:t>10、乙方交付物应包含但不限于平台系统开发的源代码、系统管理员账号、配置或操作文档、标准接口文档、数据库表结构等内容 。</w:t>
      </w:r>
    </w:p>
    <w:p w14:paraId="2A85A9AE">
      <w:pPr>
        <w:widowControl/>
        <w:adjustRightInd w:val="0"/>
        <w:snapToGrid w:val="0"/>
        <w:spacing w:line="410" w:lineRule="exact"/>
        <w:jc w:val="left"/>
        <w:rPr>
          <w:rFonts w:ascii="宋体" w:hAnsi="宋体"/>
          <w:color w:val="auto"/>
          <w:kern w:val="0"/>
          <w:szCs w:val="21"/>
          <w:highlight w:val="none"/>
        </w:rPr>
      </w:pPr>
      <w:r>
        <w:rPr>
          <w:rFonts w:hint="eastAsia" w:ascii="宋体" w:hAnsi="宋体"/>
          <w:color w:val="auto"/>
          <w:kern w:val="0"/>
          <w:szCs w:val="21"/>
          <w:highlight w:val="none"/>
        </w:rPr>
        <w:t>第五条  售后服务及培训</w:t>
      </w:r>
    </w:p>
    <w:p w14:paraId="4597D7F5">
      <w:pPr>
        <w:widowControl/>
        <w:adjustRightInd w:val="0"/>
        <w:snapToGrid w:val="0"/>
        <w:spacing w:line="410" w:lineRule="exact"/>
        <w:ind w:firstLine="525" w:firstLineChars="250"/>
        <w:jc w:val="left"/>
        <w:rPr>
          <w:rFonts w:ascii="宋体" w:hAnsi="宋体"/>
          <w:color w:val="auto"/>
          <w:kern w:val="0"/>
          <w:szCs w:val="21"/>
          <w:highlight w:val="none"/>
        </w:rPr>
      </w:pPr>
      <w:r>
        <w:rPr>
          <w:rFonts w:hint="eastAsia" w:ascii="宋体" w:hAnsi="宋体"/>
          <w:color w:val="auto"/>
          <w:kern w:val="0"/>
          <w:szCs w:val="21"/>
          <w:highlight w:val="none"/>
        </w:rPr>
        <w:t>1、乙方应按照国家有关法律法规和本合同所附的《售后服务承诺》要求为甲方提供相应的售后服务。</w:t>
      </w:r>
    </w:p>
    <w:p w14:paraId="7D60E96B">
      <w:pPr>
        <w:widowControl/>
        <w:adjustRightInd w:val="0"/>
        <w:snapToGrid w:val="0"/>
        <w:spacing w:line="410" w:lineRule="exact"/>
        <w:ind w:firstLine="525" w:firstLineChars="250"/>
        <w:jc w:val="left"/>
        <w:rPr>
          <w:rFonts w:ascii="宋体" w:hAnsi="宋体"/>
          <w:color w:val="auto"/>
          <w:kern w:val="0"/>
          <w:szCs w:val="21"/>
          <w:highlight w:val="none"/>
        </w:rPr>
      </w:pPr>
      <w:r>
        <w:rPr>
          <w:rFonts w:hint="eastAsia" w:ascii="宋体" w:hAnsi="宋体"/>
          <w:color w:val="auto"/>
          <w:kern w:val="0"/>
          <w:szCs w:val="21"/>
          <w:highlight w:val="none"/>
        </w:rPr>
        <w:t>2、甲方应提供必要测试条件（如场地、电源、水源等）。</w:t>
      </w:r>
    </w:p>
    <w:p w14:paraId="2C4367A1">
      <w:pPr>
        <w:widowControl/>
        <w:adjustRightInd w:val="0"/>
        <w:snapToGrid w:val="0"/>
        <w:spacing w:line="410" w:lineRule="exact"/>
        <w:ind w:firstLine="525" w:firstLineChars="250"/>
        <w:jc w:val="left"/>
        <w:rPr>
          <w:rFonts w:ascii="宋体" w:hAnsi="宋体"/>
          <w:color w:val="auto"/>
          <w:kern w:val="0"/>
          <w:szCs w:val="21"/>
          <w:highlight w:val="none"/>
        </w:rPr>
      </w:pPr>
      <w:r>
        <w:rPr>
          <w:rFonts w:hint="eastAsia" w:ascii="宋体" w:hAnsi="宋体"/>
          <w:color w:val="auto"/>
          <w:kern w:val="0"/>
          <w:szCs w:val="21"/>
          <w:highlight w:val="none"/>
        </w:rPr>
        <w:t>3、乙方负责甲方有关人员的培训。培训时间、地点：</w:t>
      </w:r>
      <w:r>
        <w:rPr>
          <w:rFonts w:hint="eastAsia" w:ascii="宋体" w:hAnsi="宋体"/>
          <w:color w:val="auto"/>
          <w:kern w:val="0"/>
          <w:szCs w:val="21"/>
          <w:highlight w:val="none"/>
          <w:u w:val="single"/>
        </w:rPr>
        <w:t xml:space="preserve">        /            </w:t>
      </w:r>
      <w:r>
        <w:rPr>
          <w:rFonts w:hint="eastAsia" w:ascii="宋体" w:hAnsi="宋体"/>
          <w:color w:val="auto"/>
          <w:kern w:val="0"/>
          <w:szCs w:val="21"/>
          <w:highlight w:val="none"/>
        </w:rPr>
        <w:t>。</w:t>
      </w:r>
    </w:p>
    <w:p w14:paraId="34CFD9E2">
      <w:pPr>
        <w:widowControl/>
        <w:adjustRightInd w:val="0"/>
        <w:snapToGrid w:val="0"/>
        <w:spacing w:line="410" w:lineRule="exact"/>
        <w:jc w:val="left"/>
        <w:rPr>
          <w:rFonts w:ascii="宋体" w:hAnsi="宋体"/>
          <w:color w:val="auto"/>
          <w:kern w:val="0"/>
          <w:szCs w:val="21"/>
          <w:highlight w:val="none"/>
          <w:u w:val="single"/>
        </w:rPr>
      </w:pPr>
      <w:r>
        <w:rPr>
          <w:rFonts w:hint="eastAsia" w:ascii="宋体" w:hAnsi="宋体"/>
          <w:color w:val="auto"/>
          <w:kern w:val="0"/>
          <w:szCs w:val="21"/>
          <w:highlight w:val="none"/>
        </w:rPr>
        <w:t>第六条 付款方式</w:t>
      </w:r>
    </w:p>
    <w:p w14:paraId="02636E19">
      <w:pPr>
        <w:widowControl/>
        <w:adjustRightInd w:val="0"/>
        <w:snapToGrid w:val="0"/>
        <w:spacing w:line="410" w:lineRule="exact"/>
        <w:ind w:firstLine="525" w:firstLineChars="250"/>
        <w:jc w:val="left"/>
        <w:outlineLvl w:val="0"/>
        <w:rPr>
          <w:rFonts w:ascii="宋体" w:hAnsi="宋体"/>
          <w:color w:val="auto"/>
          <w:kern w:val="0"/>
          <w:szCs w:val="21"/>
          <w:highlight w:val="none"/>
          <w:u w:val="single"/>
        </w:rPr>
      </w:pPr>
      <w:r>
        <w:rPr>
          <w:rFonts w:hint="eastAsia" w:ascii="宋体" w:hAnsi="宋体"/>
          <w:color w:val="auto"/>
          <w:kern w:val="0"/>
          <w:szCs w:val="21"/>
          <w:highlight w:val="none"/>
        </w:rPr>
        <w:t>付款方式：</w:t>
      </w:r>
    </w:p>
    <w:p w14:paraId="12B420AF">
      <w:pPr>
        <w:widowControl/>
        <w:adjustRightInd w:val="0"/>
        <w:snapToGrid w:val="0"/>
        <w:spacing w:line="410" w:lineRule="exact"/>
        <w:jc w:val="left"/>
        <w:rPr>
          <w:rFonts w:ascii="宋体" w:hAnsi="宋体"/>
          <w:color w:val="auto"/>
          <w:kern w:val="0"/>
          <w:szCs w:val="21"/>
          <w:highlight w:val="none"/>
        </w:rPr>
      </w:pPr>
      <w:r>
        <w:rPr>
          <w:rFonts w:hint="eastAsia" w:ascii="宋体" w:hAnsi="宋体"/>
          <w:color w:val="auto"/>
          <w:kern w:val="0"/>
          <w:szCs w:val="21"/>
          <w:highlight w:val="none"/>
        </w:rPr>
        <w:t>第七条 履约保证金</w:t>
      </w:r>
    </w:p>
    <w:p w14:paraId="26823386">
      <w:pPr>
        <w:spacing w:line="360" w:lineRule="auto"/>
        <w:ind w:firstLine="420" w:firstLineChars="200"/>
        <w:contextualSpacing/>
        <w:rPr>
          <w:rFonts w:hAnsi="宋体"/>
          <w:color w:val="auto"/>
          <w:szCs w:val="21"/>
          <w:highlight w:val="none"/>
        </w:rPr>
      </w:pPr>
      <w:r>
        <w:rPr>
          <w:rFonts w:hint="eastAsia"/>
          <w:color w:val="auto"/>
          <w:highlight w:val="none"/>
        </w:rPr>
        <w:t>履约保证金：乙方向甲方指定账户交纳合同金额的</w:t>
      </w:r>
      <w:r>
        <w:rPr>
          <w:rFonts w:hint="eastAsia"/>
          <w:color w:val="auto"/>
          <w:highlight w:val="none"/>
          <w:u w:val="single"/>
        </w:rPr>
        <w:t xml:space="preserve">   %</w:t>
      </w:r>
      <w:r>
        <w:rPr>
          <w:rFonts w:hint="eastAsia"/>
          <w:color w:val="auto"/>
          <w:highlight w:val="none"/>
        </w:rPr>
        <w:t>作为本项目的履约保证金。</w:t>
      </w:r>
      <w:r>
        <w:rPr>
          <w:rFonts w:hint="eastAsia" w:hAnsi="宋体"/>
          <w:color w:val="auto"/>
          <w:szCs w:val="21"/>
          <w:highlight w:val="none"/>
        </w:rPr>
        <w:t>合同签订前支付到甲方指定账户。</w:t>
      </w:r>
    </w:p>
    <w:p w14:paraId="700B2F2A">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履约保证金指定账户：</w:t>
      </w:r>
    </w:p>
    <w:p w14:paraId="0DD9244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开户名称：</w:t>
      </w:r>
      <w:r>
        <w:rPr>
          <w:rFonts w:hint="eastAsia" w:ascii="宋体" w:hAnsi="宋体" w:cs="宋体"/>
          <w:color w:val="auto"/>
          <w:szCs w:val="21"/>
          <w:highlight w:val="none"/>
          <w:u w:val="single"/>
        </w:rPr>
        <w:t>广西壮族自治区道路运输发展中心</w:t>
      </w:r>
    </w:p>
    <w:p w14:paraId="1FCC1C0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银行账户：</w:t>
      </w:r>
      <w:r>
        <w:rPr>
          <w:rFonts w:hint="eastAsia" w:ascii="宋体" w:hAnsi="宋体" w:cs="宋体"/>
          <w:color w:val="auto"/>
          <w:szCs w:val="21"/>
          <w:highlight w:val="none"/>
          <w:u w:val="single"/>
        </w:rPr>
        <w:t>2102101109221017081</w:t>
      </w:r>
    </w:p>
    <w:p w14:paraId="5F42FC9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开户银行：</w:t>
      </w:r>
      <w:r>
        <w:rPr>
          <w:rFonts w:hint="eastAsia" w:ascii="宋体" w:hAnsi="宋体" w:cs="宋体"/>
          <w:color w:val="auto"/>
          <w:szCs w:val="21"/>
          <w:highlight w:val="none"/>
          <w:u w:val="single"/>
        </w:rPr>
        <w:t>工行南宁市公园支行</w:t>
      </w:r>
    </w:p>
    <w:p w14:paraId="2C5BBD4B">
      <w:pPr>
        <w:pStyle w:val="23"/>
        <w:spacing w:line="300" w:lineRule="exact"/>
        <w:ind w:firstLine="400" w:firstLineChars="200"/>
        <w:jc w:val="left"/>
        <w:rPr>
          <w:color w:val="auto"/>
          <w:highlight w:val="none"/>
        </w:rPr>
      </w:pPr>
      <w:r>
        <w:rPr>
          <w:rFonts w:hint="eastAsia" w:hAnsi="宋体" w:cs="宋体"/>
          <w:color w:val="auto"/>
          <w:highlight w:val="none"/>
        </w:rPr>
        <w:t>行号：</w:t>
      </w:r>
      <w:r>
        <w:rPr>
          <w:rFonts w:hint="eastAsia" w:hAnsi="宋体" w:cs="宋体"/>
          <w:color w:val="auto"/>
          <w:highlight w:val="none"/>
          <w:u w:val="single"/>
        </w:rPr>
        <w:t>102611010117</w:t>
      </w:r>
    </w:p>
    <w:p w14:paraId="3F78186D">
      <w:pPr>
        <w:widowControl/>
        <w:adjustRightInd w:val="0"/>
        <w:snapToGrid w:val="0"/>
        <w:spacing w:line="410" w:lineRule="exact"/>
        <w:ind w:firstLine="420" w:firstLineChars="200"/>
        <w:jc w:val="left"/>
        <w:rPr>
          <w:rFonts w:ascii="宋体" w:hAnsi="宋体" w:cs="宋体"/>
          <w:color w:val="auto"/>
          <w:szCs w:val="21"/>
          <w:highlight w:val="none"/>
        </w:rPr>
      </w:pPr>
      <w:r>
        <w:rPr>
          <w:rFonts w:hint="eastAsia"/>
          <w:color w:val="auto"/>
          <w:highlight w:val="none"/>
        </w:rPr>
        <w:t>履约保证金退付方式、时间及条件：本项目服务期结束后三十个工作日内，由乙方向甲方提供《广西壮族自治区政府采购项目合同验收书》（详见桂财采〔2015〕22号）及付款申请，甲方在收到合格材料后十五个工作日内办理退还手续（不计利息）。</w:t>
      </w:r>
    </w:p>
    <w:p w14:paraId="69D2DBBB">
      <w:pPr>
        <w:widowControl/>
        <w:adjustRightInd w:val="0"/>
        <w:snapToGrid w:val="0"/>
        <w:spacing w:line="410" w:lineRule="exact"/>
        <w:jc w:val="left"/>
        <w:rPr>
          <w:rFonts w:ascii="宋体" w:hAnsi="宋体"/>
          <w:color w:val="auto"/>
          <w:kern w:val="0"/>
          <w:szCs w:val="21"/>
          <w:highlight w:val="none"/>
        </w:rPr>
      </w:pPr>
      <w:r>
        <w:rPr>
          <w:rFonts w:hint="eastAsia" w:ascii="宋体" w:hAnsi="宋体"/>
          <w:color w:val="auto"/>
          <w:kern w:val="0"/>
          <w:szCs w:val="21"/>
          <w:highlight w:val="none"/>
        </w:rPr>
        <w:t>第八条  税费</w:t>
      </w:r>
    </w:p>
    <w:p w14:paraId="383ACDD4">
      <w:pPr>
        <w:widowControl/>
        <w:adjustRightInd w:val="0"/>
        <w:snapToGrid w:val="0"/>
        <w:spacing w:line="410" w:lineRule="exact"/>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本合同执行中相关的一切税费均由乙方负担，合同另有约定的除外。</w:t>
      </w:r>
    </w:p>
    <w:p w14:paraId="7D6B9F0F">
      <w:pPr>
        <w:widowControl/>
        <w:adjustRightInd w:val="0"/>
        <w:snapToGrid w:val="0"/>
        <w:spacing w:line="410" w:lineRule="exact"/>
        <w:jc w:val="left"/>
        <w:rPr>
          <w:rFonts w:ascii="宋体" w:hAnsi="宋体"/>
          <w:color w:val="auto"/>
          <w:kern w:val="0"/>
          <w:szCs w:val="21"/>
          <w:highlight w:val="none"/>
        </w:rPr>
      </w:pPr>
      <w:r>
        <w:rPr>
          <w:rFonts w:hint="eastAsia" w:ascii="宋体" w:hAnsi="宋体"/>
          <w:color w:val="auto"/>
          <w:kern w:val="0"/>
          <w:szCs w:val="21"/>
          <w:highlight w:val="none"/>
        </w:rPr>
        <w:t>第九条 违约责任</w:t>
      </w:r>
    </w:p>
    <w:p w14:paraId="7481F8D0">
      <w:pPr>
        <w:widowControl/>
        <w:adjustRightInd w:val="0"/>
        <w:snapToGrid w:val="0"/>
        <w:spacing w:line="410" w:lineRule="exact"/>
        <w:ind w:firstLine="525" w:firstLineChars="250"/>
        <w:jc w:val="left"/>
        <w:rPr>
          <w:rFonts w:ascii="宋体" w:hAnsi="宋体"/>
          <w:color w:val="auto"/>
          <w:kern w:val="0"/>
          <w:szCs w:val="21"/>
          <w:highlight w:val="none"/>
        </w:rPr>
      </w:pPr>
      <w:r>
        <w:rPr>
          <w:rFonts w:hint="eastAsia" w:ascii="宋体" w:hAnsi="宋体"/>
          <w:color w:val="auto"/>
          <w:kern w:val="0"/>
          <w:szCs w:val="21"/>
          <w:highlight w:val="none"/>
        </w:rPr>
        <w:t xml:space="preserve">1、除不可抗力原因外，乙方没有按照合同规定的时间提供服务的，甲方可要求乙方支付违约金。每推迟一天按合同金额的3‰支付违约金，该违约金累计不超过合同金额的10%。                                  </w:t>
      </w:r>
    </w:p>
    <w:p w14:paraId="5DB7E147">
      <w:pPr>
        <w:widowControl/>
        <w:adjustRightInd w:val="0"/>
        <w:snapToGrid w:val="0"/>
        <w:spacing w:line="410" w:lineRule="exact"/>
        <w:ind w:firstLine="525" w:firstLineChars="250"/>
        <w:jc w:val="left"/>
        <w:rPr>
          <w:rFonts w:ascii="宋体" w:hAnsi="宋体"/>
          <w:color w:val="auto"/>
          <w:kern w:val="0"/>
          <w:szCs w:val="21"/>
          <w:highlight w:val="none"/>
        </w:rPr>
      </w:pPr>
      <w:r>
        <w:rPr>
          <w:rFonts w:hint="eastAsia" w:ascii="宋体" w:hAnsi="宋体"/>
          <w:color w:val="auto"/>
          <w:kern w:val="0"/>
          <w:szCs w:val="21"/>
          <w:highlight w:val="none"/>
        </w:rPr>
        <w:t>2、乙方提供的服务如侵犯了第三方合法权益而引发的任何纠纷或者诉讼，均由乙方负责交涉并承担全部责任。</w:t>
      </w:r>
    </w:p>
    <w:p w14:paraId="39D31F5A">
      <w:pPr>
        <w:widowControl/>
        <w:adjustRightInd w:val="0"/>
        <w:snapToGrid w:val="0"/>
        <w:spacing w:line="410" w:lineRule="exact"/>
        <w:ind w:firstLine="525" w:firstLineChars="250"/>
        <w:jc w:val="left"/>
        <w:rPr>
          <w:rFonts w:ascii="宋体" w:hAnsi="宋体"/>
          <w:color w:val="auto"/>
          <w:kern w:val="0"/>
          <w:szCs w:val="21"/>
          <w:highlight w:val="none"/>
        </w:rPr>
      </w:pPr>
      <w:r>
        <w:rPr>
          <w:rFonts w:hint="eastAsia" w:ascii="宋体" w:hAnsi="宋体"/>
          <w:color w:val="auto"/>
          <w:kern w:val="0"/>
          <w:szCs w:val="21"/>
          <w:highlight w:val="none"/>
        </w:rPr>
        <w:t>3、甲方延期付款的，每天向乙方偿付延期款额3‰滞纳金，但滞纳金累计不得超过延期款额5%。</w:t>
      </w:r>
    </w:p>
    <w:p w14:paraId="7F6E238A">
      <w:pPr>
        <w:widowControl/>
        <w:adjustRightInd w:val="0"/>
        <w:snapToGrid w:val="0"/>
        <w:spacing w:line="410" w:lineRule="exact"/>
        <w:jc w:val="left"/>
        <w:rPr>
          <w:rFonts w:ascii="宋体" w:hAnsi="宋体"/>
          <w:color w:val="auto"/>
          <w:kern w:val="0"/>
          <w:szCs w:val="21"/>
          <w:highlight w:val="none"/>
        </w:rPr>
      </w:pPr>
      <w:r>
        <w:rPr>
          <w:rFonts w:hint="eastAsia" w:ascii="宋体" w:hAnsi="宋体"/>
          <w:color w:val="auto"/>
          <w:kern w:val="0"/>
          <w:szCs w:val="21"/>
          <w:highlight w:val="none"/>
        </w:rPr>
        <w:t>第十条  不可抗力事件处理</w:t>
      </w:r>
    </w:p>
    <w:p w14:paraId="3E79C263">
      <w:pPr>
        <w:widowControl/>
        <w:adjustRightInd w:val="0"/>
        <w:snapToGrid w:val="0"/>
        <w:spacing w:line="410" w:lineRule="exact"/>
        <w:ind w:firstLine="525" w:firstLineChars="250"/>
        <w:jc w:val="left"/>
        <w:rPr>
          <w:rFonts w:ascii="宋体" w:hAnsi="宋体"/>
          <w:color w:val="auto"/>
          <w:kern w:val="0"/>
          <w:szCs w:val="21"/>
          <w:highlight w:val="none"/>
        </w:rPr>
      </w:pPr>
      <w:r>
        <w:rPr>
          <w:rFonts w:hint="eastAsia" w:ascii="宋体" w:hAnsi="宋体"/>
          <w:color w:val="auto"/>
          <w:kern w:val="0"/>
          <w:szCs w:val="21"/>
          <w:highlight w:val="none"/>
        </w:rPr>
        <w:t>1、在合同有效期内，任何一方因不可抗力事件导致不能履行合同，则合同履行期可延长，其延长期与不可抗力影响期相同。</w:t>
      </w:r>
    </w:p>
    <w:p w14:paraId="6D6CD591">
      <w:pPr>
        <w:widowControl/>
        <w:adjustRightInd w:val="0"/>
        <w:snapToGrid w:val="0"/>
        <w:spacing w:line="410" w:lineRule="exact"/>
        <w:ind w:firstLine="525" w:firstLineChars="250"/>
        <w:jc w:val="left"/>
        <w:rPr>
          <w:rFonts w:ascii="宋体" w:hAnsi="宋体"/>
          <w:color w:val="auto"/>
          <w:kern w:val="0"/>
          <w:szCs w:val="21"/>
          <w:highlight w:val="none"/>
        </w:rPr>
      </w:pPr>
      <w:r>
        <w:rPr>
          <w:rFonts w:hint="eastAsia" w:ascii="宋体" w:hAnsi="宋体"/>
          <w:color w:val="auto"/>
          <w:kern w:val="0"/>
          <w:szCs w:val="21"/>
          <w:highlight w:val="none"/>
        </w:rPr>
        <w:t>2、不可抗力事件发生后，应立即通知对方，并寄送有关权威机构出具的证明。</w:t>
      </w:r>
    </w:p>
    <w:p w14:paraId="11897E6B">
      <w:pPr>
        <w:widowControl/>
        <w:adjustRightInd w:val="0"/>
        <w:snapToGrid w:val="0"/>
        <w:spacing w:line="410" w:lineRule="exact"/>
        <w:ind w:firstLine="525" w:firstLineChars="250"/>
        <w:jc w:val="left"/>
        <w:rPr>
          <w:rFonts w:ascii="宋体" w:hAnsi="宋体"/>
          <w:color w:val="auto"/>
          <w:kern w:val="0"/>
          <w:szCs w:val="21"/>
          <w:highlight w:val="none"/>
        </w:rPr>
      </w:pPr>
      <w:r>
        <w:rPr>
          <w:rFonts w:hint="eastAsia" w:ascii="宋体" w:hAnsi="宋体"/>
          <w:color w:val="auto"/>
          <w:kern w:val="0"/>
          <w:szCs w:val="21"/>
          <w:highlight w:val="none"/>
        </w:rPr>
        <w:t>3、不可抗力事件延续一百二十天以上，双方应通过友好协商，确定是否继续履行合同。</w:t>
      </w:r>
    </w:p>
    <w:p w14:paraId="1DA3AB89">
      <w:pPr>
        <w:widowControl/>
        <w:adjustRightInd w:val="0"/>
        <w:snapToGrid w:val="0"/>
        <w:spacing w:line="410" w:lineRule="exact"/>
        <w:jc w:val="left"/>
        <w:rPr>
          <w:rFonts w:ascii="宋体" w:hAnsi="宋体"/>
          <w:color w:val="auto"/>
          <w:kern w:val="0"/>
          <w:szCs w:val="21"/>
          <w:highlight w:val="none"/>
        </w:rPr>
      </w:pPr>
      <w:r>
        <w:rPr>
          <w:rFonts w:hint="eastAsia" w:ascii="宋体" w:hAnsi="宋体"/>
          <w:color w:val="auto"/>
          <w:kern w:val="0"/>
          <w:szCs w:val="21"/>
          <w:highlight w:val="none"/>
        </w:rPr>
        <w:t>第十一条  合同争议解决</w:t>
      </w:r>
    </w:p>
    <w:p w14:paraId="364559EC">
      <w:pPr>
        <w:widowControl/>
        <w:adjustRightInd w:val="0"/>
        <w:snapToGrid w:val="0"/>
        <w:spacing w:line="410" w:lineRule="exact"/>
        <w:ind w:firstLine="525" w:firstLineChars="250"/>
        <w:jc w:val="left"/>
        <w:rPr>
          <w:rFonts w:ascii="宋体" w:hAnsi="宋体"/>
          <w:color w:val="auto"/>
          <w:kern w:val="0"/>
          <w:szCs w:val="21"/>
          <w:highlight w:val="none"/>
        </w:rPr>
      </w:pPr>
      <w:r>
        <w:rPr>
          <w:rFonts w:hint="eastAsia" w:ascii="宋体" w:hAnsi="宋体"/>
          <w:color w:val="auto"/>
          <w:kern w:val="0"/>
          <w:szCs w:val="21"/>
          <w:highlight w:val="none"/>
        </w:rPr>
        <w:t>1、因服务质量问题发生争议的，应邀请国家认可的质量检测机构进行鉴定。服务符合标准的，鉴定费由甲方承担；服务不符合标准的，鉴定费由乙方承担。</w:t>
      </w:r>
    </w:p>
    <w:p w14:paraId="0513BAB8">
      <w:pPr>
        <w:widowControl/>
        <w:adjustRightInd w:val="0"/>
        <w:snapToGrid w:val="0"/>
        <w:spacing w:line="410" w:lineRule="exact"/>
        <w:ind w:firstLine="525" w:firstLineChars="250"/>
        <w:jc w:val="left"/>
        <w:rPr>
          <w:rFonts w:ascii="宋体" w:hAnsi="宋体"/>
          <w:color w:val="auto"/>
          <w:kern w:val="0"/>
          <w:szCs w:val="21"/>
          <w:highlight w:val="none"/>
        </w:rPr>
      </w:pPr>
      <w:r>
        <w:rPr>
          <w:rFonts w:hint="eastAsia" w:ascii="宋体" w:hAnsi="宋体"/>
          <w:color w:val="auto"/>
          <w:kern w:val="0"/>
          <w:szCs w:val="21"/>
          <w:highlight w:val="none"/>
        </w:rPr>
        <w:t>2、因履行本合同引起的或者与本合同有关的争议，甲乙双方应首先通过友好协商解决，如果协商不能解决，向甲方所在地有管辖权人民法院提起诉讼。</w:t>
      </w:r>
    </w:p>
    <w:p w14:paraId="5B75CAC5">
      <w:pPr>
        <w:widowControl/>
        <w:adjustRightInd w:val="0"/>
        <w:snapToGrid w:val="0"/>
        <w:spacing w:line="410" w:lineRule="exact"/>
        <w:ind w:firstLine="525" w:firstLineChars="250"/>
        <w:jc w:val="left"/>
        <w:rPr>
          <w:rFonts w:ascii="宋体" w:hAnsi="宋体"/>
          <w:color w:val="auto"/>
          <w:kern w:val="0"/>
          <w:szCs w:val="21"/>
          <w:highlight w:val="none"/>
        </w:rPr>
      </w:pPr>
      <w:r>
        <w:rPr>
          <w:rFonts w:hint="eastAsia" w:ascii="宋体" w:hAnsi="宋体"/>
          <w:color w:val="auto"/>
          <w:kern w:val="0"/>
          <w:szCs w:val="21"/>
          <w:highlight w:val="none"/>
        </w:rPr>
        <w:t>3、诉讼期间，本合同继续履行。</w:t>
      </w:r>
    </w:p>
    <w:p w14:paraId="52722909">
      <w:pPr>
        <w:widowControl/>
        <w:adjustRightInd w:val="0"/>
        <w:snapToGrid w:val="0"/>
        <w:spacing w:line="410" w:lineRule="exact"/>
        <w:jc w:val="left"/>
        <w:rPr>
          <w:rFonts w:ascii="宋体" w:hAnsi="宋体"/>
          <w:color w:val="auto"/>
          <w:kern w:val="0"/>
          <w:szCs w:val="21"/>
          <w:highlight w:val="none"/>
        </w:rPr>
      </w:pPr>
      <w:r>
        <w:rPr>
          <w:rFonts w:hint="eastAsia" w:ascii="宋体" w:hAnsi="宋体"/>
          <w:color w:val="auto"/>
          <w:kern w:val="0"/>
          <w:szCs w:val="21"/>
          <w:highlight w:val="none"/>
        </w:rPr>
        <w:t>第十二条  合同生效及其它</w:t>
      </w:r>
    </w:p>
    <w:p w14:paraId="533B3813">
      <w:pPr>
        <w:widowControl/>
        <w:adjustRightInd w:val="0"/>
        <w:snapToGrid w:val="0"/>
        <w:spacing w:line="410" w:lineRule="exact"/>
        <w:ind w:firstLine="525" w:firstLineChars="250"/>
        <w:jc w:val="left"/>
        <w:rPr>
          <w:rFonts w:ascii="宋体" w:hAnsi="宋体"/>
          <w:color w:val="auto"/>
          <w:kern w:val="0"/>
          <w:szCs w:val="21"/>
          <w:highlight w:val="none"/>
        </w:rPr>
      </w:pPr>
      <w:r>
        <w:rPr>
          <w:rFonts w:hint="eastAsia" w:ascii="宋体" w:hAnsi="宋体"/>
          <w:color w:val="auto"/>
          <w:kern w:val="0"/>
          <w:szCs w:val="21"/>
          <w:highlight w:val="none"/>
        </w:rPr>
        <w:t>1、合同自双方法定代表人或者授权代表签字并加盖单位公章之日起生效（委托代理人签字的需后附法定代表人授权委托书，格式自拟）。</w:t>
      </w:r>
    </w:p>
    <w:p w14:paraId="5F49DFFB">
      <w:pPr>
        <w:widowControl/>
        <w:adjustRightInd w:val="0"/>
        <w:snapToGrid w:val="0"/>
        <w:spacing w:line="410" w:lineRule="exact"/>
        <w:ind w:firstLine="525" w:firstLineChars="250"/>
        <w:jc w:val="left"/>
        <w:rPr>
          <w:rFonts w:ascii="宋体" w:hAnsi="宋体"/>
          <w:color w:val="auto"/>
          <w:kern w:val="0"/>
          <w:szCs w:val="21"/>
          <w:highlight w:val="none"/>
        </w:rPr>
      </w:pPr>
      <w:r>
        <w:rPr>
          <w:rFonts w:hint="eastAsia" w:ascii="宋体" w:hAnsi="宋体"/>
          <w:color w:val="auto"/>
          <w:kern w:val="0"/>
          <w:szCs w:val="21"/>
          <w:highlight w:val="none"/>
        </w:rPr>
        <w:t>2、合同执行中涉及采购资金和采购内容修改或者补充的，最终具体支付金额以自治区审核备案结果为准，并签订补充协议，方可作为主合同不可分割的一部分。</w:t>
      </w:r>
    </w:p>
    <w:p w14:paraId="161628F1">
      <w:pPr>
        <w:widowControl/>
        <w:adjustRightInd w:val="0"/>
        <w:snapToGrid w:val="0"/>
        <w:spacing w:line="410" w:lineRule="exact"/>
        <w:ind w:firstLine="525" w:firstLineChars="250"/>
        <w:jc w:val="left"/>
        <w:rPr>
          <w:rFonts w:ascii="宋体" w:hAnsi="宋体"/>
          <w:color w:val="auto"/>
          <w:kern w:val="0"/>
          <w:szCs w:val="21"/>
          <w:highlight w:val="none"/>
        </w:rPr>
      </w:pPr>
      <w:r>
        <w:rPr>
          <w:rFonts w:hint="eastAsia" w:ascii="宋体" w:hAnsi="宋体"/>
          <w:color w:val="auto"/>
          <w:highlight w:val="none"/>
        </w:rPr>
        <w:t>3、乙方按照合同规定开发的系统知识产权归甲乙双方共有。</w:t>
      </w:r>
    </w:p>
    <w:p w14:paraId="22AD9F45">
      <w:pPr>
        <w:widowControl/>
        <w:adjustRightInd w:val="0"/>
        <w:snapToGrid w:val="0"/>
        <w:spacing w:line="410" w:lineRule="exact"/>
        <w:ind w:firstLine="525" w:firstLineChars="250"/>
        <w:jc w:val="left"/>
        <w:rPr>
          <w:rFonts w:ascii="宋体" w:hAnsi="宋体"/>
          <w:color w:val="auto"/>
          <w:kern w:val="0"/>
          <w:szCs w:val="21"/>
          <w:highlight w:val="none"/>
        </w:rPr>
      </w:pPr>
      <w:r>
        <w:rPr>
          <w:rFonts w:hint="eastAsia" w:ascii="宋体" w:hAnsi="宋体"/>
          <w:color w:val="auto"/>
          <w:kern w:val="0"/>
          <w:szCs w:val="21"/>
          <w:highlight w:val="none"/>
        </w:rPr>
        <w:t>4、本合同未尽事宜，遵照《中华人民共和国政府采购法》、《中华人民共和国民法典》有关条文执行。</w:t>
      </w:r>
    </w:p>
    <w:p w14:paraId="753F08CB">
      <w:pPr>
        <w:widowControl/>
        <w:adjustRightInd w:val="0"/>
        <w:snapToGrid w:val="0"/>
        <w:spacing w:line="410" w:lineRule="exact"/>
        <w:jc w:val="left"/>
        <w:rPr>
          <w:rFonts w:ascii="宋体" w:hAnsi="宋体"/>
          <w:color w:val="auto"/>
          <w:kern w:val="0"/>
          <w:szCs w:val="21"/>
          <w:highlight w:val="none"/>
        </w:rPr>
      </w:pPr>
      <w:r>
        <w:rPr>
          <w:rFonts w:hint="eastAsia" w:ascii="宋体" w:hAnsi="宋体"/>
          <w:color w:val="auto"/>
          <w:kern w:val="0"/>
          <w:szCs w:val="21"/>
          <w:highlight w:val="none"/>
        </w:rPr>
        <w:t>第十三条 合同的变更、终止与转让</w:t>
      </w:r>
    </w:p>
    <w:p w14:paraId="775E2892">
      <w:pPr>
        <w:widowControl/>
        <w:adjustRightInd w:val="0"/>
        <w:snapToGrid w:val="0"/>
        <w:spacing w:line="410" w:lineRule="exact"/>
        <w:ind w:firstLine="525" w:firstLineChars="250"/>
        <w:jc w:val="left"/>
        <w:rPr>
          <w:rFonts w:ascii="宋体" w:hAnsi="宋体"/>
          <w:color w:val="auto"/>
          <w:kern w:val="0"/>
          <w:szCs w:val="21"/>
          <w:highlight w:val="none"/>
        </w:rPr>
      </w:pPr>
      <w:r>
        <w:rPr>
          <w:rFonts w:hint="eastAsia" w:ascii="宋体" w:hAnsi="宋体"/>
          <w:color w:val="auto"/>
          <w:kern w:val="0"/>
          <w:szCs w:val="21"/>
          <w:highlight w:val="none"/>
        </w:rPr>
        <w:t>1、除采购文件规定的情形外，本合同一经签订，甲乙双方不得擅自变更、中止或者终止。</w:t>
      </w:r>
    </w:p>
    <w:p w14:paraId="323C4387">
      <w:pPr>
        <w:widowControl/>
        <w:adjustRightInd w:val="0"/>
        <w:snapToGrid w:val="0"/>
        <w:spacing w:line="410" w:lineRule="exact"/>
        <w:ind w:firstLine="525" w:firstLineChars="250"/>
        <w:jc w:val="left"/>
        <w:rPr>
          <w:rFonts w:ascii="宋体" w:hAnsi="宋体"/>
          <w:color w:val="auto"/>
          <w:kern w:val="0"/>
          <w:szCs w:val="21"/>
          <w:highlight w:val="none"/>
        </w:rPr>
      </w:pPr>
      <w:r>
        <w:rPr>
          <w:rFonts w:hint="eastAsia" w:ascii="宋体" w:hAnsi="宋体"/>
          <w:color w:val="auto"/>
          <w:kern w:val="0"/>
          <w:szCs w:val="21"/>
          <w:highlight w:val="none"/>
        </w:rPr>
        <w:t>2、乙方不得擅自转让其应履行的合同义务。</w:t>
      </w:r>
    </w:p>
    <w:p w14:paraId="20D6B735">
      <w:pPr>
        <w:widowControl/>
        <w:adjustRightInd w:val="0"/>
        <w:snapToGrid w:val="0"/>
        <w:spacing w:line="410" w:lineRule="exact"/>
        <w:jc w:val="left"/>
        <w:rPr>
          <w:rFonts w:ascii="宋体" w:hAnsi="宋体"/>
          <w:color w:val="auto"/>
          <w:kern w:val="0"/>
          <w:szCs w:val="21"/>
          <w:highlight w:val="none"/>
        </w:rPr>
      </w:pPr>
      <w:r>
        <w:rPr>
          <w:rFonts w:hint="eastAsia" w:ascii="宋体" w:hAnsi="宋体"/>
          <w:color w:val="auto"/>
          <w:kern w:val="0"/>
          <w:szCs w:val="21"/>
          <w:highlight w:val="none"/>
        </w:rPr>
        <w:t>第十四条 签订本合同依据</w:t>
      </w:r>
    </w:p>
    <w:p w14:paraId="165E52ED">
      <w:pPr>
        <w:widowControl/>
        <w:adjustRightInd w:val="0"/>
        <w:snapToGrid w:val="0"/>
        <w:spacing w:line="410" w:lineRule="exact"/>
        <w:ind w:firstLine="525" w:firstLineChars="250"/>
        <w:jc w:val="left"/>
        <w:rPr>
          <w:rFonts w:ascii="宋体" w:hAnsi="宋体"/>
          <w:color w:val="auto"/>
          <w:kern w:val="0"/>
          <w:szCs w:val="21"/>
          <w:highlight w:val="none"/>
        </w:rPr>
      </w:pPr>
      <w:bookmarkStart w:id="150" w:name="_Toc9541_WPSOffice_Level2"/>
      <w:bookmarkStart w:id="151" w:name="_Toc9624_WPSOffice_Level2"/>
      <w:r>
        <w:rPr>
          <w:rFonts w:hint="eastAsia" w:ascii="宋体" w:hAnsi="宋体"/>
          <w:color w:val="auto"/>
          <w:kern w:val="0"/>
          <w:szCs w:val="21"/>
          <w:highlight w:val="none"/>
        </w:rPr>
        <w:t>1、政府采购招标文件；</w:t>
      </w:r>
      <w:bookmarkEnd w:id="150"/>
      <w:bookmarkEnd w:id="151"/>
    </w:p>
    <w:p w14:paraId="396672EB">
      <w:pPr>
        <w:widowControl/>
        <w:adjustRightInd w:val="0"/>
        <w:snapToGrid w:val="0"/>
        <w:spacing w:line="410" w:lineRule="exact"/>
        <w:ind w:firstLine="525" w:firstLineChars="250"/>
        <w:jc w:val="left"/>
        <w:rPr>
          <w:rFonts w:ascii="宋体" w:hAnsi="宋体"/>
          <w:color w:val="auto"/>
          <w:kern w:val="0"/>
          <w:szCs w:val="21"/>
          <w:highlight w:val="none"/>
        </w:rPr>
      </w:pPr>
      <w:bookmarkStart w:id="152" w:name="_Toc16872_WPSOffice_Level2"/>
      <w:bookmarkStart w:id="153" w:name="_Toc25725_WPSOffice_Level2"/>
      <w:r>
        <w:rPr>
          <w:rFonts w:hint="eastAsia" w:ascii="宋体" w:hAnsi="宋体"/>
          <w:color w:val="auto"/>
          <w:kern w:val="0"/>
          <w:szCs w:val="21"/>
          <w:highlight w:val="none"/>
        </w:rPr>
        <w:t>2、乙方提供的采购投标（或应答）文件；</w:t>
      </w:r>
      <w:bookmarkEnd w:id="152"/>
      <w:bookmarkEnd w:id="153"/>
    </w:p>
    <w:p w14:paraId="07B5441D">
      <w:pPr>
        <w:widowControl/>
        <w:adjustRightInd w:val="0"/>
        <w:snapToGrid w:val="0"/>
        <w:spacing w:line="410" w:lineRule="exact"/>
        <w:ind w:firstLine="525" w:firstLineChars="250"/>
        <w:jc w:val="left"/>
        <w:rPr>
          <w:rFonts w:ascii="宋体" w:hAnsi="宋体"/>
          <w:color w:val="auto"/>
          <w:kern w:val="0"/>
          <w:szCs w:val="21"/>
          <w:highlight w:val="none"/>
        </w:rPr>
      </w:pPr>
      <w:bookmarkStart w:id="154" w:name="_Toc32077_WPSOffice_Level2"/>
      <w:bookmarkStart w:id="155" w:name="_Toc11025_WPSOffice_Level2"/>
      <w:r>
        <w:rPr>
          <w:rFonts w:hint="eastAsia" w:ascii="宋体" w:hAnsi="宋体"/>
          <w:color w:val="auto"/>
          <w:kern w:val="0"/>
          <w:szCs w:val="21"/>
          <w:highlight w:val="none"/>
        </w:rPr>
        <w:t>3、中标通知书。</w:t>
      </w:r>
      <w:bookmarkEnd w:id="154"/>
      <w:bookmarkEnd w:id="155"/>
    </w:p>
    <w:p w14:paraId="1ABAF240">
      <w:pPr>
        <w:widowControl/>
        <w:adjustRightInd w:val="0"/>
        <w:snapToGrid w:val="0"/>
        <w:spacing w:line="410" w:lineRule="exact"/>
        <w:ind w:firstLine="525" w:firstLineChars="250"/>
        <w:jc w:val="left"/>
        <w:rPr>
          <w:rFonts w:ascii="宋体" w:hAnsi="宋体"/>
          <w:color w:val="auto"/>
          <w:kern w:val="0"/>
          <w:szCs w:val="21"/>
          <w:highlight w:val="none"/>
        </w:rPr>
      </w:pPr>
      <w:r>
        <w:rPr>
          <w:rFonts w:hint="eastAsia" w:ascii="宋体" w:hAnsi="宋体"/>
          <w:color w:val="auto"/>
          <w:kern w:val="0"/>
          <w:szCs w:val="21"/>
          <w:highlight w:val="none"/>
        </w:rPr>
        <w:t>4、上述合同文件互相补充和解释。如果合同文件之间存在矛盾或者不一致之处，以上述文件的排列顺序在先者为准。</w:t>
      </w:r>
    </w:p>
    <w:p w14:paraId="42D0AB80">
      <w:pPr>
        <w:widowControl/>
        <w:adjustRightInd w:val="0"/>
        <w:snapToGrid w:val="0"/>
        <w:spacing w:line="410" w:lineRule="exact"/>
        <w:jc w:val="left"/>
        <w:rPr>
          <w:rFonts w:ascii="宋体" w:hAnsi="宋体"/>
          <w:color w:val="auto"/>
          <w:kern w:val="0"/>
          <w:szCs w:val="21"/>
          <w:highlight w:val="none"/>
        </w:rPr>
      </w:pPr>
      <w:r>
        <w:rPr>
          <w:rFonts w:hint="eastAsia" w:ascii="宋体" w:hAnsi="宋体"/>
          <w:color w:val="auto"/>
          <w:kern w:val="0"/>
          <w:szCs w:val="21"/>
          <w:highlight w:val="none"/>
        </w:rPr>
        <w:t>第十五条 本合同一式五份，具有同等法律效力，采购代理机构一份，甲乙双方各两份（可根据需要另增加）。</w:t>
      </w:r>
    </w:p>
    <w:p w14:paraId="0329A9D9">
      <w:pPr>
        <w:widowControl/>
        <w:adjustRightInd w:val="0"/>
        <w:snapToGrid w:val="0"/>
        <w:spacing w:line="410" w:lineRule="exact"/>
        <w:ind w:firstLine="630" w:firstLineChars="300"/>
        <w:jc w:val="left"/>
        <w:rPr>
          <w:rFonts w:ascii="宋体" w:hAnsi="宋体"/>
          <w:color w:val="auto"/>
          <w:kern w:val="0"/>
          <w:szCs w:val="21"/>
          <w:highlight w:val="none"/>
        </w:rPr>
      </w:pPr>
      <w:r>
        <w:rPr>
          <w:rFonts w:hint="eastAsia" w:ascii="宋体" w:hAnsi="宋体"/>
          <w:color w:val="auto"/>
          <w:kern w:val="0"/>
          <w:szCs w:val="21"/>
          <w:highlight w:val="none"/>
        </w:rPr>
        <w:t>本合同甲乙双方签字盖章后生效。</w:t>
      </w:r>
    </w:p>
    <w:tbl>
      <w:tblPr>
        <w:tblStyle w:val="47"/>
        <w:tblW w:w="0" w:type="auto"/>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2"/>
        <w:gridCol w:w="4583"/>
      </w:tblGrid>
      <w:tr w14:paraId="77433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5" w:hRule="atLeast"/>
        </w:trPr>
        <w:tc>
          <w:tcPr>
            <w:tcW w:w="4582" w:type="dxa"/>
            <w:tcBorders>
              <w:top w:val="single" w:color="auto" w:sz="4" w:space="0"/>
              <w:left w:val="single" w:color="auto" w:sz="4" w:space="0"/>
              <w:bottom w:val="single" w:color="auto" w:sz="4" w:space="0"/>
              <w:right w:val="single" w:color="auto" w:sz="4" w:space="0"/>
            </w:tcBorders>
            <w:vAlign w:val="center"/>
          </w:tcPr>
          <w:p w14:paraId="733FA642">
            <w:pPr>
              <w:widowControl/>
              <w:adjustRightInd w:val="0"/>
              <w:snapToGrid w:val="0"/>
              <w:spacing w:line="410" w:lineRule="exact"/>
              <w:jc w:val="left"/>
              <w:rPr>
                <w:rFonts w:ascii="宋体" w:hAnsi="宋体"/>
                <w:color w:val="auto"/>
                <w:szCs w:val="21"/>
                <w:highlight w:val="none"/>
              </w:rPr>
            </w:pPr>
            <w:r>
              <w:rPr>
                <w:rFonts w:hint="eastAsia" w:ascii="宋体" w:hAnsi="宋体"/>
                <w:color w:val="auto"/>
                <w:szCs w:val="21"/>
                <w:highlight w:val="none"/>
              </w:rPr>
              <w:t>甲方：（章）</w:t>
            </w:r>
          </w:p>
          <w:p w14:paraId="08A0B172">
            <w:pPr>
              <w:widowControl/>
              <w:adjustRightInd w:val="0"/>
              <w:snapToGrid w:val="0"/>
              <w:spacing w:line="410" w:lineRule="exact"/>
              <w:jc w:val="left"/>
              <w:rPr>
                <w:rFonts w:ascii="宋体" w:hAnsi="宋体"/>
                <w:color w:val="auto"/>
                <w:szCs w:val="21"/>
                <w:highlight w:val="none"/>
              </w:rPr>
            </w:pPr>
          </w:p>
          <w:p w14:paraId="69330809">
            <w:pPr>
              <w:widowControl/>
              <w:adjustRightInd w:val="0"/>
              <w:snapToGrid w:val="0"/>
              <w:spacing w:line="410" w:lineRule="exact"/>
              <w:jc w:val="right"/>
              <w:rPr>
                <w:rFonts w:ascii="宋体" w:hAnsi="宋体"/>
                <w:color w:val="auto"/>
                <w:szCs w:val="21"/>
                <w:highlight w:val="none"/>
              </w:rPr>
            </w:pPr>
            <w:r>
              <w:rPr>
                <w:rFonts w:hint="eastAsia" w:ascii="宋体" w:hAnsi="宋体"/>
                <w:color w:val="auto"/>
                <w:szCs w:val="21"/>
                <w:highlight w:val="none"/>
              </w:rPr>
              <w:t>年   月   日</w:t>
            </w:r>
          </w:p>
        </w:tc>
        <w:tc>
          <w:tcPr>
            <w:tcW w:w="4583" w:type="dxa"/>
            <w:tcBorders>
              <w:top w:val="single" w:color="auto" w:sz="4" w:space="0"/>
              <w:left w:val="nil"/>
              <w:bottom w:val="single" w:color="auto" w:sz="4" w:space="0"/>
              <w:right w:val="single" w:color="auto" w:sz="4" w:space="0"/>
            </w:tcBorders>
            <w:vAlign w:val="center"/>
          </w:tcPr>
          <w:p w14:paraId="0D2509B6">
            <w:pPr>
              <w:widowControl/>
              <w:adjustRightInd w:val="0"/>
              <w:snapToGrid w:val="0"/>
              <w:spacing w:line="410" w:lineRule="exact"/>
              <w:jc w:val="left"/>
              <w:rPr>
                <w:rFonts w:ascii="宋体" w:hAnsi="宋体"/>
                <w:color w:val="auto"/>
                <w:szCs w:val="21"/>
                <w:highlight w:val="none"/>
              </w:rPr>
            </w:pPr>
            <w:r>
              <w:rPr>
                <w:rFonts w:hint="eastAsia" w:ascii="宋体" w:hAnsi="宋体"/>
                <w:color w:val="auto"/>
                <w:szCs w:val="21"/>
                <w:highlight w:val="none"/>
              </w:rPr>
              <w:t xml:space="preserve">乙方：（章）       </w:t>
            </w:r>
          </w:p>
          <w:p w14:paraId="408C507D">
            <w:pPr>
              <w:widowControl/>
              <w:adjustRightInd w:val="0"/>
              <w:snapToGrid w:val="0"/>
              <w:spacing w:line="410" w:lineRule="exact"/>
              <w:jc w:val="left"/>
              <w:rPr>
                <w:rFonts w:ascii="宋体" w:hAnsi="宋体"/>
                <w:color w:val="auto"/>
                <w:szCs w:val="21"/>
                <w:highlight w:val="none"/>
              </w:rPr>
            </w:pPr>
          </w:p>
          <w:p w14:paraId="6C7FD16B">
            <w:pPr>
              <w:widowControl/>
              <w:adjustRightInd w:val="0"/>
              <w:snapToGrid w:val="0"/>
              <w:spacing w:line="410" w:lineRule="exact"/>
              <w:jc w:val="right"/>
              <w:rPr>
                <w:rFonts w:ascii="宋体" w:hAnsi="宋体"/>
                <w:color w:val="auto"/>
                <w:szCs w:val="21"/>
                <w:highlight w:val="none"/>
              </w:rPr>
            </w:pPr>
            <w:r>
              <w:rPr>
                <w:rFonts w:hint="eastAsia" w:ascii="宋体" w:hAnsi="宋体"/>
                <w:color w:val="auto"/>
                <w:szCs w:val="21"/>
                <w:highlight w:val="none"/>
              </w:rPr>
              <w:t xml:space="preserve"> 年   月   日</w:t>
            </w:r>
          </w:p>
        </w:tc>
      </w:tr>
      <w:tr w14:paraId="2B638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vAlign w:val="center"/>
          </w:tcPr>
          <w:p w14:paraId="145C9680">
            <w:pPr>
              <w:widowControl/>
              <w:adjustRightInd w:val="0"/>
              <w:snapToGrid w:val="0"/>
              <w:spacing w:line="410" w:lineRule="exact"/>
              <w:jc w:val="left"/>
              <w:rPr>
                <w:rFonts w:ascii="宋体" w:hAnsi="宋体"/>
                <w:color w:val="auto"/>
                <w:szCs w:val="21"/>
                <w:highlight w:val="none"/>
              </w:rPr>
            </w:pPr>
            <w:r>
              <w:rPr>
                <w:rFonts w:hint="eastAsia" w:ascii="宋体" w:hAnsi="宋体"/>
                <w:color w:val="auto"/>
                <w:szCs w:val="21"/>
                <w:highlight w:val="none"/>
              </w:rPr>
              <w:t>单位地址： </w:t>
            </w:r>
          </w:p>
        </w:tc>
        <w:tc>
          <w:tcPr>
            <w:tcW w:w="4583" w:type="dxa"/>
            <w:tcBorders>
              <w:top w:val="single" w:color="auto" w:sz="4" w:space="0"/>
              <w:left w:val="nil"/>
              <w:bottom w:val="single" w:color="auto" w:sz="4" w:space="0"/>
              <w:right w:val="single" w:color="auto" w:sz="4" w:space="0"/>
            </w:tcBorders>
            <w:vAlign w:val="center"/>
          </w:tcPr>
          <w:p w14:paraId="10363F82">
            <w:pPr>
              <w:widowControl/>
              <w:adjustRightInd w:val="0"/>
              <w:snapToGrid w:val="0"/>
              <w:spacing w:line="410" w:lineRule="exact"/>
              <w:jc w:val="left"/>
              <w:rPr>
                <w:rFonts w:ascii="宋体" w:hAnsi="宋体"/>
                <w:color w:val="auto"/>
                <w:szCs w:val="21"/>
                <w:highlight w:val="none"/>
              </w:rPr>
            </w:pPr>
            <w:r>
              <w:rPr>
                <w:rFonts w:hint="eastAsia" w:ascii="宋体" w:hAnsi="宋体"/>
                <w:color w:val="auto"/>
                <w:szCs w:val="21"/>
                <w:highlight w:val="none"/>
              </w:rPr>
              <w:t xml:space="preserve">单位地址： </w:t>
            </w:r>
          </w:p>
        </w:tc>
      </w:tr>
      <w:tr w14:paraId="10950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vAlign w:val="center"/>
          </w:tcPr>
          <w:p w14:paraId="2AF59C80">
            <w:pPr>
              <w:widowControl/>
              <w:adjustRightInd w:val="0"/>
              <w:snapToGrid w:val="0"/>
              <w:spacing w:line="410" w:lineRule="exact"/>
              <w:jc w:val="left"/>
              <w:rPr>
                <w:rFonts w:ascii="宋体" w:hAnsi="宋体"/>
                <w:color w:val="auto"/>
                <w:szCs w:val="21"/>
                <w:highlight w:val="none"/>
              </w:rPr>
            </w:pPr>
            <w:r>
              <w:rPr>
                <w:rFonts w:hint="eastAsia" w:ascii="宋体" w:hAnsi="宋体"/>
                <w:color w:val="auto"/>
                <w:szCs w:val="21"/>
                <w:highlight w:val="none"/>
              </w:rPr>
              <w:t>法定代表人：</w:t>
            </w:r>
          </w:p>
        </w:tc>
        <w:tc>
          <w:tcPr>
            <w:tcW w:w="4583" w:type="dxa"/>
            <w:tcBorders>
              <w:top w:val="single" w:color="auto" w:sz="4" w:space="0"/>
              <w:left w:val="nil"/>
              <w:bottom w:val="single" w:color="auto" w:sz="4" w:space="0"/>
              <w:right w:val="single" w:color="auto" w:sz="4" w:space="0"/>
            </w:tcBorders>
            <w:vAlign w:val="center"/>
          </w:tcPr>
          <w:p w14:paraId="738EA3BC">
            <w:pPr>
              <w:widowControl/>
              <w:adjustRightInd w:val="0"/>
              <w:snapToGrid w:val="0"/>
              <w:spacing w:line="410" w:lineRule="exact"/>
              <w:jc w:val="left"/>
              <w:rPr>
                <w:rFonts w:ascii="宋体" w:hAnsi="宋体"/>
                <w:color w:val="auto"/>
                <w:szCs w:val="21"/>
                <w:highlight w:val="none"/>
              </w:rPr>
            </w:pPr>
            <w:r>
              <w:rPr>
                <w:rFonts w:hint="eastAsia" w:ascii="宋体" w:hAnsi="宋体"/>
                <w:color w:val="auto"/>
                <w:szCs w:val="21"/>
                <w:highlight w:val="none"/>
              </w:rPr>
              <w:t>法定代表人：</w:t>
            </w:r>
          </w:p>
        </w:tc>
      </w:tr>
      <w:tr w14:paraId="6F9C1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vAlign w:val="center"/>
          </w:tcPr>
          <w:p w14:paraId="6E932644">
            <w:pPr>
              <w:widowControl/>
              <w:adjustRightInd w:val="0"/>
              <w:snapToGrid w:val="0"/>
              <w:spacing w:line="410" w:lineRule="exact"/>
              <w:jc w:val="left"/>
              <w:rPr>
                <w:rFonts w:ascii="宋体" w:hAnsi="宋体"/>
                <w:color w:val="auto"/>
                <w:szCs w:val="21"/>
                <w:highlight w:val="none"/>
              </w:rPr>
            </w:pPr>
            <w:r>
              <w:rPr>
                <w:rFonts w:hint="eastAsia" w:ascii="宋体" w:hAnsi="宋体"/>
                <w:color w:val="auto"/>
                <w:szCs w:val="21"/>
                <w:highlight w:val="none"/>
              </w:rPr>
              <w:t>委托代理人：</w:t>
            </w:r>
          </w:p>
        </w:tc>
        <w:tc>
          <w:tcPr>
            <w:tcW w:w="4583" w:type="dxa"/>
            <w:tcBorders>
              <w:top w:val="single" w:color="auto" w:sz="4" w:space="0"/>
              <w:left w:val="nil"/>
              <w:bottom w:val="single" w:color="auto" w:sz="4" w:space="0"/>
              <w:right w:val="single" w:color="auto" w:sz="4" w:space="0"/>
            </w:tcBorders>
            <w:vAlign w:val="center"/>
          </w:tcPr>
          <w:p w14:paraId="3B61713C">
            <w:pPr>
              <w:widowControl/>
              <w:adjustRightInd w:val="0"/>
              <w:snapToGrid w:val="0"/>
              <w:spacing w:line="410" w:lineRule="exact"/>
              <w:jc w:val="left"/>
              <w:rPr>
                <w:rFonts w:ascii="宋体" w:hAnsi="宋体"/>
                <w:color w:val="auto"/>
                <w:szCs w:val="21"/>
                <w:highlight w:val="none"/>
              </w:rPr>
            </w:pPr>
            <w:r>
              <w:rPr>
                <w:rFonts w:hint="eastAsia" w:ascii="宋体" w:hAnsi="宋体"/>
                <w:color w:val="auto"/>
                <w:szCs w:val="21"/>
                <w:highlight w:val="none"/>
              </w:rPr>
              <w:t>委托代理人：</w:t>
            </w:r>
          </w:p>
        </w:tc>
      </w:tr>
      <w:tr w14:paraId="0C3F9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vAlign w:val="center"/>
          </w:tcPr>
          <w:p w14:paraId="0DC34EE2">
            <w:pPr>
              <w:widowControl/>
              <w:adjustRightInd w:val="0"/>
              <w:snapToGrid w:val="0"/>
              <w:spacing w:line="410" w:lineRule="exact"/>
              <w:jc w:val="left"/>
              <w:rPr>
                <w:rFonts w:ascii="宋体" w:hAnsi="宋体"/>
                <w:color w:val="auto"/>
                <w:szCs w:val="21"/>
                <w:highlight w:val="none"/>
              </w:rPr>
            </w:pPr>
            <w:r>
              <w:rPr>
                <w:rFonts w:hint="eastAsia" w:ascii="宋体" w:hAnsi="宋体"/>
                <w:color w:val="auto"/>
                <w:szCs w:val="21"/>
                <w:highlight w:val="none"/>
              </w:rPr>
              <w:t>电话：</w:t>
            </w:r>
          </w:p>
        </w:tc>
        <w:tc>
          <w:tcPr>
            <w:tcW w:w="4583" w:type="dxa"/>
            <w:tcBorders>
              <w:top w:val="single" w:color="auto" w:sz="4" w:space="0"/>
              <w:left w:val="nil"/>
              <w:bottom w:val="single" w:color="auto" w:sz="4" w:space="0"/>
              <w:right w:val="single" w:color="auto" w:sz="4" w:space="0"/>
            </w:tcBorders>
            <w:vAlign w:val="center"/>
          </w:tcPr>
          <w:p w14:paraId="73D54405">
            <w:pPr>
              <w:widowControl/>
              <w:adjustRightInd w:val="0"/>
              <w:snapToGrid w:val="0"/>
              <w:spacing w:line="410" w:lineRule="exact"/>
              <w:jc w:val="left"/>
              <w:rPr>
                <w:rFonts w:ascii="宋体" w:hAnsi="宋体"/>
                <w:color w:val="auto"/>
                <w:szCs w:val="21"/>
                <w:highlight w:val="none"/>
              </w:rPr>
            </w:pPr>
            <w:r>
              <w:rPr>
                <w:rFonts w:hint="eastAsia" w:ascii="宋体" w:hAnsi="宋体"/>
                <w:color w:val="auto"/>
                <w:szCs w:val="21"/>
                <w:highlight w:val="none"/>
              </w:rPr>
              <w:t>电话：</w:t>
            </w:r>
          </w:p>
        </w:tc>
      </w:tr>
      <w:tr w14:paraId="5500E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vAlign w:val="center"/>
          </w:tcPr>
          <w:p w14:paraId="764BE093">
            <w:pPr>
              <w:widowControl/>
              <w:adjustRightInd w:val="0"/>
              <w:snapToGrid w:val="0"/>
              <w:spacing w:line="410" w:lineRule="exact"/>
              <w:jc w:val="left"/>
              <w:rPr>
                <w:rFonts w:ascii="宋体" w:hAnsi="宋体"/>
                <w:color w:val="auto"/>
                <w:szCs w:val="21"/>
                <w:highlight w:val="none"/>
              </w:rPr>
            </w:pPr>
            <w:r>
              <w:rPr>
                <w:rFonts w:hint="eastAsia" w:ascii="宋体" w:hAnsi="宋体"/>
                <w:color w:val="auto"/>
                <w:szCs w:val="21"/>
                <w:highlight w:val="none"/>
              </w:rPr>
              <w:t xml:space="preserve">开户银行： </w:t>
            </w:r>
          </w:p>
        </w:tc>
        <w:tc>
          <w:tcPr>
            <w:tcW w:w="4583" w:type="dxa"/>
            <w:tcBorders>
              <w:top w:val="single" w:color="auto" w:sz="4" w:space="0"/>
              <w:left w:val="nil"/>
              <w:bottom w:val="single" w:color="auto" w:sz="4" w:space="0"/>
              <w:right w:val="single" w:color="auto" w:sz="4" w:space="0"/>
            </w:tcBorders>
            <w:vAlign w:val="center"/>
          </w:tcPr>
          <w:p w14:paraId="05F8374C">
            <w:pPr>
              <w:widowControl/>
              <w:adjustRightInd w:val="0"/>
              <w:snapToGrid w:val="0"/>
              <w:spacing w:line="410" w:lineRule="exact"/>
              <w:jc w:val="left"/>
              <w:rPr>
                <w:rFonts w:ascii="宋体" w:hAnsi="宋体"/>
                <w:color w:val="auto"/>
                <w:szCs w:val="21"/>
                <w:highlight w:val="none"/>
              </w:rPr>
            </w:pPr>
            <w:r>
              <w:rPr>
                <w:rFonts w:hint="eastAsia" w:ascii="宋体" w:hAnsi="宋体"/>
                <w:color w:val="auto"/>
                <w:szCs w:val="21"/>
                <w:highlight w:val="none"/>
              </w:rPr>
              <w:t xml:space="preserve">开户银行： </w:t>
            </w:r>
          </w:p>
        </w:tc>
      </w:tr>
      <w:tr w14:paraId="33FA4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vAlign w:val="center"/>
          </w:tcPr>
          <w:p w14:paraId="7F3D2619">
            <w:pPr>
              <w:widowControl/>
              <w:adjustRightInd w:val="0"/>
              <w:snapToGrid w:val="0"/>
              <w:spacing w:line="410" w:lineRule="exact"/>
              <w:jc w:val="left"/>
              <w:rPr>
                <w:rFonts w:ascii="宋体" w:hAnsi="宋体"/>
                <w:color w:val="auto"/>
                <w:szCs w:val="21"/>
                <w:highlight w:val="none"/>
              </w:rPr>
            </w:pPr>
            <w:r>
              <w:rPr>
                <w:rFonts w:hint="eastAsia" w:ascii="宋体" w:hAnsi="宋体"/>
                <w:color w:val="auto"/>
                <w:szCs w:val="21"/>
                <w:highlight w:val="none"/>
              </w:rPr>
              <w:t>账号：</w:t>
            </w:r>
          </w:p>
        </w:tc>
        <w:tc>
          <w:tcPr>
            <w:tcW w:w="4583" w:type="dxa"/>
            <w:tcBorders>
              <w:top w:val="single" w:color="auto" w:sz="4" w:space="0"/>
              <w:left w:val="nil"/>
              <w:bottom w:val="single" w:color="auto" w:sz="4" w:space="0"/>
              <w:right w:val="single" w:color="auto" w:sz="4" w:space="0"/>
            </w:tcBorders>
            <w:vAlign w:val="center"/>
          </w:tcPr>
          <w:p w14:paraId="5E267D97">
            <w:pPr>
              <w:widowControl/>
              <w:adjustRightInd w:val="0"/>
              <w:snapToGrid w:val="0"/>
              <w:spacing w:line="410" w:lineRule="exact"/>
              <w:jc w:val="left"/>
              <w:rPr>
                <w:rFonts w:ascii="宋体" w:hAnsi="宋体"/>
                <w:color w:val="auto"/>
                <w:szCs w:val="21"/>
                <w:highlight w:val="none"/>
              </w:rPr>
            </w:pPr>
            <w:r>
              <w:rPr>
                <w:rFonts w:hint="eastAsia" w:ascii="宋体" w:hAnsi="宋体"/>
                <w:color w:val="auto"/>
                <w:szCs w:val="21"/>
                <w:highlight w:val="none"/>
              </w:rPr>
              <w:t>账号：</w:t>
            </w:r>
          </w:p>
        </w:tc>
      </w:tr>
      <w:tr w14:paraId="1151F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vAlign w:val="center"/>
          </w:tcPr>
          <w:p w14:paraId="10E272E5">
            <w:pPr>
              <w:widowControl/>
              <w:adjustRightInd w:val="0"/>
              <w:snapToGrid w:val="0"/>
              <w:spacing w:line="410" w:lineRule="exact"/>
              <w:jc w:val="left"/>
              <w:rPr>
                <w:rFonts w:ascii="宋体" w:hAnsi="宋体"/>
                <w:color w:val="auto"/>
                <w:szCs w:val="21"/>
                <w:highlight w:val="none"/>
              </w:rPr>
            </w:pPr>
            <w:r>
              <w:rPr>
                <w:rFonts w:hint="eastAsia" w:ascii="宋体" w:hAnsi="宋体" w:cs="宋体"/>
                <w:color w:val="auto"/>
                <w:szCs w:val="21"/>
                <w:highlight w:val="none"/>
              </w:rPr>
              <w:t>纳税人识别号或统一社会信用代码：</w:t>
            </w:r>
          </w:p>
        </w:tc>
        <w:tc>
          <w:tcPr>
            <w:tcW w:w="4583" w:type="dxa"/>
            <w:tcBorders>
              <w:top w:val="single" w:color="auto" w:sz="4" w:space="0"/>
              <w:left w:val="nil"/>
              <w:bottom w:val="single" w:color="auto" w:sz="4" w:space="0"/>
              <w:right w:val="single" w:color="auto" w:sz="4" w:space="0"/>
            </w:tcBorders>
            <w:vAlign w:val="center"/>
          </w:tcPr>
          <w:p w14:paraId="1224B15B">
            <w:pPr>
              <w:widowControl/>
              <w:adjustRightInd w:val="0"/>
              <w:snapToGrid w:val="0"/>
              <w:spacing w:line="410" w:lineRule="exact"/>
              <w:jc w:val="left"/>
              <w:rPr>
                <w:rFonts w:ascii="宋体" w:hAnsi="宋体"/>
                <w:color w:val="auto"/>
                <w:szCs w:val="21"/>
                <w:highlight w:val="none"/>
              </w:rPr>
            </w:pPr>
            <w:r>
              <w:rPr>
                <w:rFonts w:hint="eastAsia" w:ascii="宋体" w:hAnsi="宋体" w:cs="宋体"/>
                <w:color w:val="auto"/>
                <w:szCs w:val="21"/>
                <w:highlight w:val="none"/>
              </w:rPr>
              <w:t>纳税人识别号或统一社会信用代码：</w:t>
            </w:r>
          </w:p>
        </w:tc>
      </w:tr>
      <w:tr w14:paraId="5F6DD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vAlign w:val="center"/>
          </w:tcPr>
          <w:p w14:paraId="481F839B">
            <w:pPr>
              <w:widowControl/>
              <w:adjustRightInd w:val="0"/>
              <w:snapToGrid w:val="0"/>
              <w:spacing w:line="410" w:lineRule="exact"/>
              <w:jc w:val="left"/>
              <w:rPr>
                <w:rFonts w:ascii="宋体" w:hAnsi="宋体"/>
                <w:color w:val="auto"/>
                <w:szCs w:val="21"/>
                <w:highlight w:val="none"/>
              </w:rPr>
            </w:pPr>
            <w:r>
              <w:rPr>
                <w:rFonts w:hint="eastAsia" w:ascii="宋体" w:hAnsi="宋体"/>
                <w:color w:val="auto"/>
                <w:szCs w:val="21"/>
                <w:highlight w:val="none"/>
              </w:rPr>
              <w:t>邮政编码：</w:t>
            </w:r>
          </w:p>
        </w:tc>
        <w:tc>
          <w:tcPr>
            <w:tcW w:w="4583" w:type="dxa"/>
            <w:tcBorders>
              <w:top w:val="single" w:color="auto" w:sz="4" w:space="0"/>
              <w:left w:val="nil"/>
              <w:bottom w:val="single" w:color="auto" w:sz="4" w:space="0"/>
              <w:right w:val="single" w:color="auto" w:sz="4" w:space="0"/>
            </w:tcBorders>
            <w:vAlign w:val="center"/>
          </w:tcPr>
          <w:p w14:paraId="027D93F3">
            <w:pPr>
              <w:widowControl/>
              <w:adjustRightInd w:val="0"/>
              <w:snapToGrid w:val="0"/>
              <w:spacing w:line="410" w:lineRule="exact"/>
              <w:jc w:val="left"/>
              <w:rPr>
                <w:rFonts w:ascii="宋体" w:hAnsi="宋体"/>
                <w:color w:val="auto"/>
                <w:szCs w:val="21"/>
                <w:highlight w:val="none"/>
              </w:rPr>
            </w:pPr>
            <w:r>
              <w:rPr>
                <w:rFonts w:hint="eastAsia" w:ascii="宋体" w:hAnsi="宋体"/>
                <w:color w:val="auto"/>
                <w:szCs w:val="21"/>
                <w:highlight w:val="none"/>
              </w:rPr>
              <w:t>邮政编码：</w:t>
            </w:r>
          </w:p>
        </w:tc>
      </w:tr>
    </w:tbl>
    <w:p w14:paraId="74701C11">
      <w:pPr>
        <w:pStyle w:val="2"/>
        <w:jc w:val="center"/>
        <w:rPr>
          <w:color w:val="auto"/>
          <w:highlight w:val="none"/>
        </w:rPr>
      </w:pPr>
      <w:bookmarkStart w:id="156" w:name="_Toc25289"/>
    </w:p>
    <w:p w14:paraId="28299A6B">
      <w:pPr>
        <w:widowControl/>
        <w:jc w:val="left"/>
        <w:rPr>
          <w:b/>
          <w:bCs/>
          <w:color w:val="auto"/>
          <w:kern w:val="44"/>
          <w:sz w:val="44"/>
          <w:szCs w:val="44"/>
          <w:highlight w:val="none"/>
        </w:rPr>
      </w:pPr>
      <w:r>
        <w:rPr>
          <w:color w:val="auto"/>
          <w:highlight w:val="none"/>
        </w:rPr>
        <w:br w:type="page"/>
      </w:r>
    </w:p>
    <w:p w14:paraId="7B3421D0">
      <w:pPr>
        <w:pStyle w:val="2"/>
        <w:jc w:val="center"/>
        <w:rPr>
          <w:color w:val="auto"/>
          <w:highlight w:val="none"/>
        </w:rPr>
      </w:pPr>
    </w:p>
    <w:p w14:paraId="66D4F132">
      <w:pPr>
        <w:pStyle w:val="2"/>
        <w:jc w:val="center"/>
        <w:rPr>
          <w:color w:val="auto"/>
          <w:highlight w:val="none"/>
        </w:rPr>
      </w:pPr>
    </w:p>
    <w:p w14:paraId="3E9C2829">
      <w:pPr>
        <w:pStyle w:val="2"/>
        <w:jc w:val="center"/>
        <w:rPr>
          <w:color w:val="auto"/>
          <w:highlight w:val="none"/>
        </w:rPr>
      </w:pPr>
    </w:p>
    <w:p w14:paraId="5374BD85">
      <w:pPr>
        <w:pStyle w:val="2"/>
        <w:jc w:val="center"/>
        <w:rPr>
          <w:color w:val="auto"/>
          <w:highlight w:val="none"/>
        </w:rPr>
      </w:pPr>
      <w:r>
        <w:rPr>
          <w:rFonts w:hint="eastAsia"/>
          <w:color w:val="auto"/>
          <w:highlight w:val="none"/>
        </w:rPr>
        <w:t>第六章  投标文件格式</w:t>
      </w:r>
      <w:bookmarkEnd w:id="156"/>
    </w:p>
    <w:p w14:paraId="2135F39B">
      <w:pPr>
        <w:snapToGrid w:val="0"/>
        <w:spacing w:before="50" w:after="50"/>
        <w:rPr>
          <w:rFonts w:ascii="宋体" w:hAnsi="宋体"/>
          <w:color w:val="auto"/>
          <w:sz w:val="32"/>
          <w:szCs w:val="20"/>
          <w:highlight w:val="none"/>
        </w:rPr>
      </w:pPr>
    </w:p>
    <w:p w14:paraId="3D0A23C4">
      <w:pPr>
        <w:snapToGrid w:val="0"/>
        <w:spacing w:before="50" w:after="50"/>
        <w:rPr>
          <w:rFonts w:ascii="宋体" w:hAnsi="宋体"/>
          <w:color w:val="auto"/>
          <w:sz w:val="32"/>
          <w:szCs w:val="20"/>
          <w:highlight w:val="none"/>
        </w:rPr>
      </w:pPr>
    </w:p>
    <w:p w14:paraId="6E9AF4BE">
      <w:pPr>
        <w:snapToGrid w:val="0"/>
        <w:spacing w:before="50" w:after="50"/>
        <w:rPr>
          <w:rFonts w:ascii="宋体" w:hAnsi="宋体"/>
          <w:color w:val="auto"/>
          <w:sz w:val="32"/>
          <w:szCs w:val="20"/>
          <w:highlight w:val="none"/>
        </w:rPr>
      </w:pPr>
    </w:p>
    <w:p w14:paraId="299B7C3C">
      <w:pPr>
        <w:snapToGrid w:val="0"/>
        <w:spacing w:before="50" w:after="50"/>
        <w:rPr>
          <w:rFonts w:ascii="宋体" w:hAnsi="宋体"/>
          <w:color w:val="auto"/>
          <w:sz w:val="32"/>
          <w:szCs w:val="20"/>
          <w:highlight w:val="none"/>
        </w:rPr>
      </w:pPr>
    </w:p>
    <w:p w14:paraId="4C9B2E32">
      <w:pPr>
        <w:snapToGrid w:val="0"/>
        <w:spacing w:before="50" w:after="50"/>
        <w:rPr>
          <w:rFonts w:ascii="宋体" w:hAnsi="宋体"/>
          <w:color w:val="auto"/>
          <w:sz w:val="32"/>
          <w:szCs w:val="20"/>
          <w:highlight w:val="none"/>
        </w:rPr>
      </w:pPr>
    </w:p>
    <w:p w14:paraId="57C4B19B">
      <w:pPr>
        <w:snapToGrid w:val="0"/>
        <w:spacing w:before="50" w:after="50"/>
        <w:rPr>
          <w:rFonts w:ascii="宋体" w:hAnsi="宋体"/>
          <w:color w:val="auto"/>
          <w:sz w:val="32"/>
          <w:szCs w:val="20"/>
          <w:highlight w:val="none"/>
        </w:rPr>
      </w:pPr>
    </w:p>
    <w:p w14:paraId="65CDF22B">
      <w:pPr>
        <w:snapToGrid w:val="0"/>
        <w:spacing w:before="50" w:after="50"/>
        <w:rPr>
          <w:rFonts w:ascii="宋体" w:hAnsi="宋体"/>
          <w:color w:val="auto"/>
          <w:sz w:val="32"/>
          <w:szCs w:val="20"/>
          <w:highlight w:val="none"/>
        </w:rPr>
      </w:pPr>
    </w:p>
    <w:p w14:paraId="67D35590">
      <w:pPr>
        <w:snapToGrid w:val="0"/>
        <w:spacing w:before="50" w:after="50"/>
        <w:rPr>
          <w:rFonts w:ascii="宋体" w:hAnsi="宋体"/>
          <w:color w:val="auto"/>
          <w:sz w:val="32"/>
          <w:szCs w:val="20"/>
          <w:highlight w:val="none"/>
        </w:rPr>
      </w:pPr>
    </w:p>
    <w:p w14:paraId="47E4360D">
      <w:pPr>
        <w:snapToGrid w:val="0"/>
        <w:spacing w:before="50" w:after="50"/>
        <w:rPr>
          <w:rFonts w:ascii="宋体" w:hAnsi="宋体"/>
          <w:color w:val="auto"/>
          <w:sz w:val="32"/>
          <w:szCs w:val="20"/>
          <w:highlight w:val="none"/>
        </w:rPr>
      </w:pPr>
    </w:p>
    <w:p w14:paraId="6691FADD">
      <w:pPr>
        <w:snapToGrid w:val="0"/>
        <w:spacing w:before="50" w:after="50"/>
        <w:rPr>
          <w:rFonts w:ascii="宋体" w:hAnsi="宋体"/>
          <w:color w:val="auto"/>
          <w:sz w:val="32"/>
          <w:szCs w:val="20"/>
          <w:highlight w:val="none"/>
        </w:rPr>
      </w:pPr>
    </w:p>
    <w:p w14:paraId="4913FE3F">
      <w:pPr>
        <w:snapToGrid w:val="0"/>
        <w:spacing w:before="50" w:after="50"/>
        <w:rPr>
          <w:rFonts w:ascii="宋体" w:hAnsi="宋体"/>
          <w:color w:val="auto"/>
          <w:sz w:val="32"/>
          <w:szCs w:val="20"/>
          <w:highlight w:val="none"/>
        </w:rPr>
      </w:pPr>
    </w:p>
    <w:p w14:paraId="7D9B1813">
      <w:pPr>
        <w:outlineLvl w:val="1"/>
        <w:rPr>
          <w:b/>
          <w:color w:val="auto"/>
          <w:sz w:val="28"/>
          <w:szCs w:val="28"/>
          <w:highlight w:val="none"/>
        </w:rPr>
      </w:pPr>
      <w:r>
        <w:rPr>
          <w:color w:val="auto"/>
          <w:sz w:val="32"/>
          <w:szCs w:val="20"/>
          <w:highlight w:val="none"/>
        </w:rPr>
        <w:br w:type="page"/>
      </w:r>
      <w:bookmarkStart w:id="157" w:name="_Toc19686836"/>
      <w:bookmarkStart w:id="158" w:name="_Toc254970698"/>
      <w:bookmarkStart w:id="159" w:name="_Toc254970557"/>
      <w:r>
        <w:rPr>
          <w:rFonts w:hint="eastAsia"/>
          <w:b/>
          <w:color w:val="auto"/>
          <w:sz w:val="28"/>
          <w:szCs w:val="28"/>
          <w:highlight w:val="none"/>
        </w:rPr>
        <w:t>一、报价文件格式</w:t>
      </w:r>
      <w:bookmarkEnd w:id="157"/>
    </w:p>
    <w:p w14:paraId="16F3455A">
      <w:pPr>
        <w:snapToGrid w:val="0"/>
        <w:spacing w:before="120" w:beforeLines="50" w:after="50" w:line="360" w:lineRule="auto"/>
        <w:ind w:left="142"/>
        <w:jc w:val="left"/>
        <w:outlineLvl w:val="2"/>
        <w:rPr>
          <w:rFonts w:ascii="宋体" w:hAnsi="宋体"/>
          <w:color w:val="auto"/>
          <w:sz w:val="24"/>
          <w:szCs w:val="20"/>
          <w:highlight w:val="none"/>
        </w:rPr>
      </w:pPr>
      <w:r>
        <w:rPr>
          <w:rFonts w:hint="eastAsia" w:ascii="宋体" w:hAnsi="宋体"/>
          <w:b/>
          <w:color w:val="auto"/>
          <w:sz w:val="24"/>
          <w:highlight w:val="none"/>
        </w:rPr>
        <w:t xml:space="preserve">1. 报价文件封面格式： </w:t>
      </w:r>
    </w:p>
    <w:p w14:paraId="3ADBCFE1">
      <w:pPr>
        <w:snapToGrid w:val="0"/>
        <w:spacing w:before="120" w:beforeLines="50" w:after="50" w:line="360" w:lineRule="auto"/>
        <w:ind w:left="142"/>
        <w:jc w:val="center"/>
        <w:rPr>
          <w:rFonts w:ascii="宋体" w:hAnsi="宋体" w:eastAsia="方正小标宋简体"/>
          <w:bCs/>
          <w:color w:val="auto"/>
          <w:sz w:val="48"/>
          <w:szCs w:val="48"/>
          <w:highlight w:val="none"/>
        </w:rPr>
      </w:pPr>
      <w:r>
        <w:rPr>
          <w:rFonts w:hint="eastAsia" w:ascii="宋体" w:hAnsi="宋体" w:eastAsia="方正小标宋简体"/>
          <w:bCs/>
          <w:color w:val="auto"/>
          <w:sz w:val="48"/>
          <w:szCs w:val="48"/>
          <w:highlight w:val="none"/>
        </w:rPr>
        <w:t>电子投标文件</w:t>
      </w:r>
    </w:p>
    <w:p w14:paraId="529A6277">
      <w:pPr>
        <w:snapToGrid w:val="0"/>
        <w:spacing w:before="120" w:beforeLines="50" w:after="50" w:line="400" w:lineRule="exact"/>
        <w:rPr>
          <w:rFonts w:ascii="宋体" w:hAnsi="宋体"/>
          <w:bCs/>
          <w:color w:val="auto"/>
          <w:sz w:val="32"/>
          <w:szCs w:val="20"/>
          <w:highlight w:val="none"/>
        </w:rPr>
      </w:pPr>
      <w:r>
        <w:rPr>
          <w:rFonts w:hint="eastAsia" w:ascii="宋体" w:hAnsi="宋体"/>
          <w:color w:val="auto"/>
          <w:sz w:val="24"/>
          <w:highlight w:val="none"/>
        </w:rPr>
        <w:t xml:space="preserve">                 </w:t>
      </w:r>
    </w:p>
    <w:p w14:paraId="490298F6">
      <w:pPr>
        <w:snapToGrid w:val="0"/>
        <w:spacing w:before="120" w:beforeLines="50" w:after="50" w:line="400" w:lineRule="exact"/>
        <w:jc w:val="center"/>
        <w:rPr>
          <w:rFonts w:ascii="宋体" w:hAnsi="宋体"/>
          <w:bCs/>
          <w:color w:val="auto"/>
          <w:sz w:val="24"/>
          <w:szCs w:val="20"/>
          <w:highlight w:val="none"/>
        </w:rPr>
      </w:pPr>
    </w:p>
    <w:p w14:paraId="0C192778">
      <w:pPr>
        <w:snapToGrid w:val="0"/>
        <w:spacing w:before="120" w:beforeLines="50" w:after="50" w:line="400" w:lineRule="exact"/>
        <w:jc w:val="center"/>
        <w:rPr>
          <w:rFonts w:ascii="宋体" w:hAnsi="宋体"/>
          <w:b/>
          <w:bCs/>
          <w:color w:val="auto"/>
          <w:sz w:val="32"/>
          <w:szCs w:val="32"/>
          <w:highlight w:val="none"/>
        </w:rPr>
      </w:pPr>
      <w:r>
        <w:rPr>
          <w:rFonts w:hint="eastAsia" w:ascii="宋体" w:hAnsi="宋体"/>
          <w:b/>
          <w:bCs/>
          <w:color w:val="auto"/>
          <w:sz w:val="32"/>
          <w:szCs w:val="32"/>
          <w:highlight w:val="none"/>
        </w:rPr>
        <w:t>报价文件</w:t>
      </w:r>
    </w:p>
    <w:p w14:paraId="7A7D9BE1">
      <w:pPr>
        <w:snapToGrid w:val="0"/>
        <w:spacing w:before="120" w:beforeLines="50" w:after="50" w:line="400" w:lineRule="exact"/>
        <w:rPr>
          <w:rFonts w:ascii="宋体" w:hAnsi="宋体"/>
          <w:bCs/>
          <w:color w:val="auto"/>
          <w:sz w:val="24"/>
          <w:szCs w:val="20"/>
          <w:highlight w:val="none"/>
        </w:rPr>
      </w:pPr>
    </w:p>
    <w:p w14:paraId="7DDE1DCD">
      <w:pPr>
        <w:snapToGrid w:val="0"/>
        <w:spacing w:before="120" w:beforeLines="50" w:after="50" w:line="400" w:lineRule="exact"/>
        <w:rPr>
          <w:rFonts w:ascii="宋体" w:hAnsi="宋体"/>
          <w:bCs/>
          <w:color w:val="auto"/>
          <w:sz w:val="24"/>
          <w:szCs w:val="20"/>
          <w:highlight w:val="none"/>
        </w:rPr>
      </w:pPr>
    </w:p>
    <w:p w14:paraId="7BD34FEF">
      <w:pPr>
        <w:snapToGrid w:val="0"/>
        <w:spacing w:before="120" w:beforeLines="50" w:after="50" w:line="400" w:lineRule="exact"/>
        <w:rPr>
          <w:rFonts w:ascii="宋体" w:hAnsi="宋体"/>
          <w:bCs/>
          <w:color w:val="auto"/>
          <w:sz w:val="24"/>
          <w:szCs w:val="20"/>
          <w:highlight w:val="none"/>
        </w:rPr>
      </w:pPr>
    </w:p>
    <w:p w14:paraId="57115336">
      <w:pPr>
        <w:snapToGrid w:val="0"/>
        <w:spacing w:before="120" w:beforeLines="50" w:after="50" w:line="400" w:lineRule="exact"/>
        <w:rPr>
          <w:rFonts w:ascii="宋体" w:hAnsi="宋体"/>
          <w:bCs/>
          <w:color w:val="auto"/>
          <w:sz w:val="24"/>
          <w:szCs w:val="20"/>
          <w:highlight w:val="none"/>
        </w:rPr>
      </w:pPr>
    </w:p>
    <w:p w14:paraId="76AFDE00">
      <w:pPr>
        <w:snapToGrid w:val="0"/>
        <w:spacing w:before="120"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 xml:space="preserve">项目名称： </w:t>
      </w:r>
    </w:p>
    <w:p w14:paraId="2CC8FBB2">
      <w:pPr>
        <w:snapToGrid w:val="0"/>
        <w:spacing w:before="120" w:beforeLines="50" w:after="50" w:line="400" w:lineRule="exact"/>
        <w:ind w:firstLine="360" w:firstLineChars="150"/>
        <w:rPr>
          <w:rFonts w:ascii="宋体" w:hAnsi="宋体"/>
          <w:bCs/>
          <w:color w:val="auto"/>
          <w:sz w:val="24"/>
          <w:highlight w:val="none"/>
        </w:rPr>
      </w:pPr>
    </w:p>
    <w:p w14:paraId="13D0A473">
      <w:pPr>
        <w:snapToGrid w:val="0"/>
        <w:spacing w:before="120"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 xml:space="preserve">项目编号： </w:t>
      </w:r>
    </w:p>
    <w:p w14:paraId="27BD1C9C">
      <w:pPr>
        <w:snapToGrid w:val="0"/>
        <w:spacing w:before="120" w:beforeLines="50" w:after="50" w:line="400" w:lineRule="exact"/>
        <w:ind w:firstLine="360" w:firstLineChars="150"/>
        <w:rPr>
          <w:rFonts w:ascii="宋体" w:hAnsi="宋体"/>
          <w:bCs/>
          <w:color w:val="auto"/>
          <w:sz w:val="24"/>
          <w:highlight w:val="none"/>
        </w:rPr>
      </w:pPr>
    </w:p>
    <w:p w14:paraId="123E2E17">
      <w:pPr>
        <w:snapToGrid w:val="0"/>
        <w:spacing w:before="120"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所投分标：</w:t>
      </w:r>
    </w:p>
    <w:p w14:paraId="5DD7C538">
      <w:pPr>
        <w:snapToGrid w:val="0"/>
        <w:spacing w:before="120" w:beforeLines="50" w:after="50" w:line="400" w:lineRule="exact"/>
        <w:ind w:firstLine="360" w:firstLineChars="150"/>
        <w:rPr>
          <w:rFonts w:ascii="宋体" w:hAnsi="宋体"/>
          <w:bCs/>
          <w:color w:val="auto"/>
          <w:sz w:val="24"/>
          <w:highlight w:val="none"/>
        </w:rPr>
      </w:pPr>
    </w:p>
    <w:p w14:paraId="1343E65B">
      <w:pPr>
        <w:snapToGrid w:val="0"/>
        <w:spacing w:before="120"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投标人名称：</w:t>
      </w:r>
    </w:p>
    <w:p w14:paraId="21F3CFF2">
      <w:pPr>
        <w:snapToGrid w:val="0"/>
        <w:spacing w:before="120" w:beforeLines="50" w:after="50" w:line="400" w:lineRule="exact"/>
        <w:ind w:firstLine="360" w:firstLineChars="150"/>
        <w:rPr>
          <w:rFonts w:ascii="宋体" w:hAnsi="宋体"/>
          <w:bCs/>
          <w:color w:val="auto"/>
          <w:sz w:val="24"/>
          <w:highlight w:val="none"/>
        </w:rPr>
      </w:pPr>
    </w:p>
    <w:p w14:paraId="166A83ED">
      <w:pPr>
        <w:snapToGrid w:val="0"/>
        <w:spacing w:before="120"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投标人地址：</w:t>
      </w:r>
    </w:p>
    <w:p w14:paraId="2BBF0792">
      <w:pPr>
        <w:pStyle w:val="7"/>
        <w:snapToGrid w:val="0"/>
        <w:spacing w:before="50" w:after="50" w:line="400" w:lineRule="exact"/>
        <w:ind w:firstLine="960" w:firstLineChars="400"/>
        <w:rPr>
          <w:rFonts w:ascii="宋体" w:hAnsi="宋体"/>
          <w:bCs/>
          <w:color w:val="auto"/>
          <w:sz w:val="24"/>
          <w:szCs w:val="24"/>
          <w:highlight w:val="none"/>
        </w:rPr>
      </w:pPr>
    </w:p>
    <w:p w14:paraId="55E476B1">
      <w:pPr>
        <w:snapToGrid w:val="0"/>
        <w:spacing w:before="120" w:beforeLines="50" w:after="50" w:line="400" w:lineRule="exact"/>
        <w:rPr>
          <w:rFonts w:ascii="宋体" w:hAnsi="宋体"/>
          <w:color w:val="auto"/>
          <w:sz w:val="30"/>
          <w:szCs w:val="20"/>
          <w:highlight w:val="none"/>
        </w:rPr>
      </w:pPr>
      <w:r>
        <w:rPr>
          <w:rFonts w:hint="eastAsia" w:ascii="宋体" w:hAnsi="宋体"/>
          <w:color w:val="auto"/>
          <w:sz w:val="24"/>
          <w:highlight w:val="none"/>
        </w:rPr>
        <w:t xml:space="preserve">                                   年  月  日</w:t>
      </w:r>
    </w:p>
    <w:p w14:paraId="35C0F631">
      <w:pPr>
        <w:snapToGrid w:val="0"/>
        <w:spacing w:before="120" w:beforeLines="50" w:after="50" w:line="360" w:lineRule="auto"/>
        <w:jc w:val="left"/>
        <w:outlineLvl w:val="2"/>
        <w:rPr>
          <w:rFonts w:ascii="宋体" w:hAnsi="宋体"/>
          <w:color w:val="auto"/>
          <w:sz w:val="24"/>
          <w:szCs w:val="20"/>
          <w:highlight w:val="none"/>
        </w:rPr>
      </w:pPr>
      <w:r>
        <w:rPr>
          <w:rFonts w:ascii="宋体" w:hAnsi="宋体"/>
          <w:b/>
          <w:color w:val="auto"/>
          <w:sz w:val="24"/>
          <w:highlight w:val="none"/>
        </w:rPr>
        <w:br w:type="page"/>
      </w:r>
      <w:r>
        <w:rPr>
          <w:rFonts w:hint="eastAsia" w:ascii="宋体" w:hAnsi="宋体"/>
          <w:b/>
          <w:color w:val="auto"/>
          <w:sz w:val="24"/>
          <w:highlight w:val="none"/>
        </w:rPr>
        <w:t>2.</w:t>
      </w:r>
      <w:r>
        <w:rPr>
          <w:rFonts w:hint="eastAsia" w:ascii="宋体" w:hAnsi="宋体"/>
          <w:b/>
          <w:bCs/>
          <w:color w:val="auto"/>
          <w:sz w:val="24"/>
          <w:highlight w:val="none"/>
        </w:rPr>
        <w:t>报价文件目录</w:t>
      </w:r>
    </w:p>
    <w:p w14:paraId="647E28DD">
      <w:pPr>
        <w:snapToGrid w:val="0"/>
        <w:spacing w:before="50" w:after="120" w:afterLines="50" w:line="360" w:lineRule="auto"/>
        <w:jc w:val="left"/>
        <w:rPr>
          <w:rFonts w:ascii="宋体" w:hAnsi="宋体"/>
          <w:b/>
          <w:color w:val="auto"/>
          <w:sz w:val="24"/>
          <w:highlight w:val="none"/>
        </w:rPr>
      </w:pPr>
      <w:r>
        <w:rPr>
          <w:rFonts w:hint="eastAsia" w:ascii="宋体" w:hAnsi="宋体"/>
          <w:color w:val="auto"/>
          <w:szCs w:val="21"/>
          <w:highlight w:val="none"/>
        </w:rPr>
        <w:t>根据招标文件规定及投标人提供的材料自行编写目录。</w:t>
      </w:r>
    </w:p>
    <w:p w14:paraId="3F687C6F">
      <w:pPr>
        <w:snapToGrid w:val="0"/>
        <w:spacing w:before="120" w:beforeLines="50" w:after="50"/>
        <w:rPr>
          <w:rFonts w:ascii="宋体" w:hAnsi="宋体"/>
          <w:b/>
          <w:color w:val="auto"/>
          <w:sz w:val="24"/>
          <w:highlight w:val="none"/>
        </w:rPr>
      </w:pPr>
    </w:p>
    <w:p w14:paraId="1FFA54C8">
      <w:pPr>
        <w:snapToGrid w:val="0"/>
        <w:spacing w:before="120" w:beforeLines="50" w:after="50"/>
        <w:rPr>
          <w:rFonts w:ascii="宋体" w:hAnsi="宋体"/>
          <w:b/>
          <w:color w:val="auto"/>
          <w:sz w:val="24"/>
          <w:highlight w:val="none"/>
        </w:rPr>
      </w:pPr>
    </w:p>
    <w:p w14:paraId="2EC198DB">
      <w:pPr>
        <w:snapToGrid w:val="0"/>
        <w:spacing w:before="120" w:beforeLines="50" w:after="50"/>
        <w:rPr>
          <w:rFonts w:ascii="宋体" w:hAnsi="宋体"/>
          <w:b/>
          <w:color w:val="auto"/>
          <w:sz w:val="24"/>
          <w:highlight w:val="none"/>
        </w:rPr>
      </w:pPr>
    </w:p>
    <w:p w14:paraId="41939EBB">
      <w:pPr>
        <w:snapToGrid w:val="0"/>
        <w:spacing w:before="120" w:beforeLines="50" w:after="50"/>
        <w:ind w:left="142"/>
        <w:jc w:val="left"/>
        <w:outlineLvl w:val="2"/>
        <w:rPr>
          <w:rFonts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4"/>
          <w:highlight w:val="none"/>
        </w:rPr>
        <w:t>3. 投标函格式：</w:t>
      </w:r>
    </w:p>
    <w:p w14:paraId="185EDAFB">
      <w:pPr>
        <w:snapToGrid w:val="0"/>
        <w:spacing w:before="120" w:beforeLines="50" w:after="50" w:line="320" w:lineRule="exact"/>
        <w:jc w:val="center"/>
        <w:rPr>
          <w:rFonts w:ascii="宋体" w:hAnsi="宋体"/>
          <w:b/>
          <w:color w:val="auto"/>
          <w:sz w:val="32"/>
          <w:szCs w:val="32"/>
          <w:highlight w:val="none"/>
        </w:rPr>
      </w:pPr>
      <w:r>
        <w:rPr>
          <w:rFonts w:hint="eastAsia" w:ascii="宋体" w:hAnsi="宋体"/>
          <w:b/>
          <w:color w:val="auto"/>
          <w:sz w:val="32"/>
          <w:szCs w:val="32"/>
          <w:highlight w:val="none"/>
        </w:rPr>
        <w:t>投 标 函</w:t>
      </w:r>
    </w:p>
    <w:p w14:paraId="12188381">
      <w:pPr>
        <w:snapToGrid w:val="0"/>
        <w:spacing w:before="120" w:beforeLines="50" w:after="50" w:line="320" w:lineRule="exact"/>
        <w:jc w:val="center"/>
        <w:rPr>
          <w:rFonts w:ascii="宋体" w:hAnsi="宋体"/>
          <w:b/>
          <w:color w:val="auto"/>
          <w:sz w:val="24"/>
          <w:szCs w:val="20"/>
          <w:highlight w:val="none"/>
        </w:rPr>
      </w:pPr>
    </w:p>
    <w:p w14:paraId="77A90661">
      <w:pPr>
        <w:snapToGrid w:val="0"/>
        <w:spacing w:before="120" w:beforeLines="50" w:after="50" w:line="320" w:lineRule="exact"/>
        <w:jc w:val="center"/>
        <w:rPr>
          <w:rFonts w:ascii="宋体" w:hAnsi="宋体"/>
          <w:b/>
          <w:color w:val="auto"/>
          <w:sz w:val="24"/>
          <w:szCs w:val="20"/>
          <w:highlight w:val="none"/>
        </w:rPr>
      </w:pPr>
    </w:p>
    <w:p w14:paraId="7B86ABA1">
      <w:pPr>
        <w:snapToGrid w:val="0"/>
        <w:spacing w:before="120" w:beforeLines="50" w:after="50" w:line="320" w:lineRule="exact"/>
        <w:jc w:val="center"/>
        <w:rPr>
          <w:rFonts w:ascii="宋体" w:hAnsi="宋体"/>
          <w:b/>
          <w:color w:val="auto"/>
          <w:sz w:val="24"/>
          <w:szCs w:val="20"/>
          <w:highlight w:val="none"/>
        </w:rPr>
      </w:pPr>
    </w:p>
    <w:p w14:paraId="1BAEE632">
      <w:pPr>
        <w:snapToGrid w:val="0"/>
        <w:spacing w:line="360" w:lineRule="auto"/>
        <w:rPr>
          <w:rFonts w:ascii="宋体" w:hAnsi="宋体"/>
          <w:color w:val="auto"/>
          <w:sz w:val="24"/>
          <w:highlight w:val="none"/>
        </w:rPr>
      </w:pPr>
      <w:r>
        <w:rPr>
          <w:rFonts w:hint="eastAsia" w:ascii="宋体" w:hAnsi="宋体"/>
          <w:color w:val="auto"/>
          <w:sz w:val="24"/>
          <w:highlight w:val="none"/>
        </w:rPr>
        <w:t>致：</w:t>
      </w:r>
      <w:r>
        <w:rPr>
          <w:rFonts w:hint="eastAsia" w:ascii="宋体" w:hAnsi="宋体"/>
          <w:color w:val="auto"/>
          <w:sz w:val="24"/>
          <w:highlight w:val="none"/>
          <w:u w:val="single"/>
        </w:rPr>
        <w:t>采购人名称</w:t>
      </w:r>
      <w:r>
        <w:rPr>
          <w:rFonts w:hint="eastAsia" w:ascii="宋体" w:hAnsi="宋体"/>
          <w:color w:val="auto"/>
          <w:sz w:val="24"/>
          <w:highlight w:val="none"/>
        </w:rPr>
        <w:t>：</w:t>
      </w:r>
    </w:p>
    <w:p w14:paraId="31937AC8">
      <w:pPr>
        <w:snapToGrid w:val="0"/>
        <w:spacing w:line="360" w:lineRule="auto"/>
        <w:ind w:firstLine="480"/>
        <w:rPr>
          <w:rFonts w:ascii="宋体" w:hAnsi="宋体"/>
          <w:color w:val="auto"/>
          <w:sz w:val="24"/>
          <w:highlight w:val="none"/>
        </w:rPr>
      </w:pPr>
      <w:r>
        <w:rPr>
          <w:rFonts w:hint="eastAsia" w:ascii="宋体" w:hAnsi="宋体"/>
          <w:color w:val="auto"/>
          <w:sz w:val="24"/>
          <w:highlight w:val="none"/>
        </w:rPr>
        <w:t>根据贵方</w:t>
      </w:r>
      <w:r>
        <w:rPr>
          <w:rFonts w:hint="eastAsia" w:ascii="宋体" w:hAnsi="宋体"/>
          <w:color w:val="auto"/>
          <w:sz w:val="24"/>
          <w:highlight w:val="none"/>
          <w:u w:val="single"/>
        </w:rPr>
        <w:t xml:space="preserve"> 项目名称</w:t>
      </w:r>
      <w:r>
        <w:rPr>
          <w:rFonts w:hint="eastAsia" w:ascii="宋体" w:hAnsi="宋体"/>
          <w:color w:val="auto"/>
          <w:sz w:val="24"/>
          <w:highlight w:val="none"/>
        </w:rPr>
        <w:t>（项目编号：</w:t>
      </w:r>
      <w:r>
        <w:rPr>
          <w:rFonts w:hint="eastAsia" w:ascii="宋体" w:hAnsi="宋体"/>
          <w:color w:val="auto"/>
          <w:sz w:val="24"/>
          <w:highlight w:val="none"/>
          <w:u w:val="single"/>
        </w:rPr>
        <w:t xml:space="preserve">             </w:t>
      </w:r>
      <w:r>
        <w:rPr>
          <w:rFonts w:hint="eastAsia" w:ascii="宋体" w:hAnsi="宋体"/>
          <w:color w:val="auto"/>
          <w:sz w:val="24"/>
          <w:highlight w:val="none"/>
        </w:rPr>
        <w:t>）的招标文件，签字代表______</w:t>
      </w:r>
      <w:r>
        <w:rPr>
          <w:rFonts w:hint="eastAsia" w:ascii="宋体" w:hAnsi="宋体"/>
          <w:color w:val="auto"/>
          <w:sz w:val="24"/>
          <w:highlight w:val="none"/>
          <w:u w:val="single"/>
        </w:rPr>
        <w:t xml:space="preserve">     </w:t>
      </w:r>
      <w:r>
        <w:rPr>
          <w:rFonts w:hint="eastAsia" w:ascii="宋体" w:hAnsi="宋体"/>
          <w:color w:val="auto"/>
          <w:sz w:val="24"/>
          <w:highlight w:val="none"/>
        </w:rPr>
        <w:t>（姓名）经正式授权并代表投标人</w:t>
      </w:r>
      <w:r>
        <w:rPr>
          <w:rFonts w:hint="eastAsia" w:ascii="宋体" w:hAnsi="宋体"/>
          <w:color w:val="auto"/>
          <w:sz w:val="24"/>
          <w:highlight w:val="none"/>
          <w:u w:val="single"/>
        </w:rPr>
        <w:t xml:space="preserve">              </w:t>
      </w:r>
      <w:r>
        <w:rPr>
          <w:rFonts w:hint="eastAsia" w:ascii="宋体" w:hAnsi="宋体"/>
          <w:color w:val="auto"/>
          <w:sz w:val="24"/>
          <w:highlight w:val="none"/>
        </w:rPr>
        <w:t>（投标人名称）提交投标文件。</w:t>
      </w:r>
    </w:p>
    <w:p w14:paraId="6574FF23">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据此函，我方宣布同意如下：</w:t>
      </w:r>
    </w:p>
    <w:p w14:paraId="7436B0C2">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1.我方已详细审查全部“招标文件”，包括修改文件（如有的话）以及全部参考资料和有关附件，已经了解我方对于招标文件、采购过程、采购结果有依法进行询问、质疑、投诉的权利及相关渠道和要求。</w:t>
      </w:r>
    </w:p>
    <w:p w14:paraId="062A31A7">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2.我方在投标之前已经完全理解并接受招标文件的各项规定和要求，对招标文件的合理性、合法性不再有异议。</w:t>
      </w:r>
    </w:p>
    <w:p w14:paraId="48652C2E">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3.本投标有效期自投标截止之日起</w:t>
      </w:r>
      <w:r>
        <w:rPr>
          <w:rFonts w:hint="eastAsia" w:ascii="宋体" w:hAnsi="宋体"/>
          <w:color w:val="auto"/>
          <w:sz w:val="24"/>
          <w:highlight w:val="none"/>
          <w:u w:val="single"/>
        </w:rPr>
        <w:t>90</w:t>
      </w:r>
      <w:r>
        <w:rPr>
          <w:rFonts w:hint="eastAsia" w:ascii="宋体" w:hAnsi="宋体"/>
          <w:color w:val="auto"/>
          <w:sz w:val="24"/>
          <w:highlight w:val="none"/>
        </w:rPr>
        <w:t>日。</w:t>
      </w:r>
    </w:p>
    <w:p w14:paraId="284AEF27">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4.如中标，本投标文件至本项目合同履行完毕止均保持有效，我方将按“招标文件”及政府采购法律、法规的规定履行合同责任和义务。</w:t>
      </w:r>
    </w:p>
    <w:p w14:paraId="140222B9">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5.我方同意按照贵方要求提供与投标有关的一切数据或者资料。</w:t>
      </w:r>
    </w:p>
    <w:p w14:paraId="4F50BF06">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6.我方向贵方提交的所有投标文件、资料都是准确的和真实的。</w:t>
      </w:r>
    </w:p>
    <w:p w14:paraId="2CB5E3CF">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7.以上事项如有虚假或者隐瞒，我方愿意承担一切后果，并不再寻求任何旨在减轻或者免除法律责任的辩解。</w:t>
      </w:r>
    </w:p>
    <w:p w14:paraId="6E4DD5C7">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8.根据</w:t>
      </w:r>
      <w:r>
        <w:rPr>
          <w:rFonts w:ascii="宋体" w:hAnsi="宋体"/>
          <w:color w:val="auto"/>
          <w:sz w:val="24"/>
          <w:highlight w:val="none"/>
        </w:rPr>
        <w:t>《中华人民共和国政府采购法实施条例》第五十条要求对政府采购合同进行公告</w:t>
      </w:r>
      <w:r>
        <w:rPr>
          <w:rFonts w:hint="eastAsia" w:ascii="宋体" w:hAnsi="宋体"/>
          <w:color w:val="auto"/>
          <w:sz w:val="24"/>
          <w:highlight w:val="none"/>
        </w:rPr>
        <w:t>，</w:t>
      </w:r>
      <w:r>
        <w:rPr>
          <w:rFonts w:ascii="宋体" w:hAnsi="宋体"/>
          <w:color w:val="auto"/>
          <w:sz w:val="24"/>
          <w:highlight w:val="none"/>
        </w:rPr>
        <w:t>但政府采购合同中涉及国家秘密、商业秘密的内容除外。</w:t>
      </w:r>
      <w:r>
        <w:rPr>
          <w:rFonts w:hint="eastAsia" w:ascii="宋体" w:hAnsi="宋体"/>
          <w:color w:val="auto"/>
          <w:sz w:val="24"/>
          <w:highlight w:val="none"/>
        </w:rPr>
        <w:t>我方就对本次投标文件进行注明如下：（两项内容中必须选择一项）</w:t>
      </w:r>
    </w:p>
    <w:p w14:paraId="43340514">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□我方本次投标文件</w:t>
      </w:r>
      <w:r>
        <w:rPr>
          <w:rFonts w:ascii="宋体" w:hAnsi="宋体" w:cs="宋体"/>
          <w:color w:val="auto"/>
          <w:kern w:val="0"/>
          <w:sz w:val="24"/>
          <w:highlight w:val="none"/>
        </w:rPr>
        <w:t>内容中</w:t>
      </w:r>
      <w:r>
        <w:rPr>
          <w:rFonts w:hint="eastAsia" w:ascii="宋体" w:hAnsi="宋体"/>
          <w:color w:val="auto"/>
          <w:sz w:val="24"/>
          <w:highlight w:val="none"/>
        </w:rPr>
        <w:t>未</w:t>
      </w:r>
      <w:r>
        <w:rPr>
          <w:rFonts w:ascii="宋体" w:hAnsi="宋体" w:cs="宋体"/>
          <w:color w:val="auto"/>
          <w:kern w:val="0"/>
          <w:sz w:val="24"/>
          <w:highlight w:val="none"/>
        </w:rPr>
        <w:t>涉及商业秘密</w:t>
      </w:r>
      <w:r>
        <w:rPr>
          <w:rFonts w:hint="eastAsia" w:ascii="宋体" w:hAnsi="宋体" w:cs="宋体"/>
          <w:color w:val="auto"/>
          <w:kern w:val="0"/>
          <w:sz w:val="24"/>
          <w:highlight w:val="none"/>
        </w:rPr>
        <w:t>；</w:t>
      </w:r>
    </w:p>
    <w:p w14:paraId="0A7B1456">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□我方本次投标文件</w:t>
      </w:r>
      <w:r>
        <w:rPr>
          <w:rFonts w:ascii="宋体" w:hAnsi="宋体" w:cs="宋体"/>
          <w:color w:val="auto"/>
          <w:kern w:val="0"/>
          <w:sz w:val="24"/>
          <w:highlight w:val="none"/>
        </w:rPr>
        <w:t>涉及商业秘密</w:t>
      </w:r>
      <w:r>
        <w:rPr>
          <w:rFonts w:hint="eastAsia" w:ascii="宋体" w:hAnsi="宋体" w:cs="宋体"/>
          <w:color w:val="auto"/>
          <w:kern w:val="0"/>
          <w:sz w:val="24"/>
          <w:highlight w:val="none"/>
        </w:rPr>
        <w:t>的</w:t>
      </w:r>
      <w:r>
        <w:rPr>
          <w:rFonts w:ascii="宋体" w:hAnsi="宋体" w:cs="宋体"/>
          <w:color w:val="auto"/>
          <w:kern w:val="0"/>
          <w:sz w:val="24"/>
          <w:highlight w:val="none"/>
        </w:rPr>
        <w:t>内容</w:t>
      </w:r>
      <w:r>
        <w:rPr>
          <w:rFonts w:hint="eastAsia" w:ascii="宋体" w:hAnsi="宋体" w:cs="宋体"/>
          <w:color w:val="auto"/>
          <w:kern w:val="0"/>
          <w:sz w:val="24"/>
          <w:highlight w:val="none"/>
        </w:rPr>
        <w:t>有：</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668C2F53">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9.与本项目有关的一切正式往来信函请寄：</w:t>
      </w:r>
    </w:p>
    <w:p w14:paraId="47BDF677">
      <w:pPr>
        <w:snapToGrid w:val="0"/>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rPr>
        <w:t>地址：</w:t>
      </w:r>
      <w:r>
        <w:rPr>
          <w:rFonts w:hint="eastAsia" w:ascii="宋体" w:hAnsi="宋体"/>
          <w:color w:val="auto"/>
          <w:sz w:val="24"/>
          <w:highlight w:val="none"/>
          <w:u w:val="single"/>
        </w:rPr>
        <w:t xml:space="preserve">          </w:t>
      </w:r>
      <w:r>
        <w:rPr>
          <w:rFonts w:hint="eastAsia" w:ascii="宋体" w:hAnsi="宋体"/>
          <w:color w:val="auto"/>
          <w:sz w:val="24"/>
          <w:highlight w:val="none"/>
        </w:rPr>
        <w:t>邮编：</w:t>
      </w:r>
      <w:r>
        <w:rPr>
          <w:rFonts w:hint="eastAsia" w:ascii="宋体" w:hAnsi="宋体"/>
          <w:color w:val="auto"/>
          <w:sz w:val="24"/>
          <w:highlight w:val="none"/>
          <w:u w:val="single"/>
        </w:rPr>
        <w:t xml:space="preserve">            </w:t>
      </w:r>
    </w:p>
    <w:p w14:paraId="4F3615DA">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联系人：</w:t>
      </w:r>
      <w:r>
        <w:rPr>
          <w:rFonts w:hint="eastAsia" w:ascii="宋体" w:hAnsi="宋体"/>
          <w:color w:val="auto"/>
          <w:sz w:val="24"/>
          <w:highlight w:val="none"/>
          <w:u w:val="single"/>
        </w:rPr>
        <w:t xml:space="preserve">        </w:t>
      </w:r>
      <w:r>
        <w:rPr>
          <w:rFonts w:hint="eastAsia" w:ascii="宋体" w:hAnsi="宋体"/>
          <w:color w:val="auto"/>
          <w:sz w:val="24"/>
          <w:highlight w:val="none"/>
        </w:rPr>
        <w:t>电话：</w:t>
      </w:r>
      <w:r>
        <w:rPr>
          <w:rFonts w:hint="eastAsia" w:ascii="宋体" w:hAnsi="宋体"/>
          <w:color w:val="auto"/>
          <w:sz w:val="24"/>
          <w:highlight w:val="none"/>
          <w:u w:val="single"/>
        </w:rPr>
        <w:t xml:space="preserve">        </w:t>
      </w:r>
      <w:r>
        <w:rPr>
          <w:rFonts w:hint="eastAsia" w:ascii="宋体" w:hAnsi="宋体"/>
          <w:color w:val="auto"/>
          <w:sz w:val="24"/>
          <w:highlight w:val="none"/>
        </w:rPr>
        <w:t>传真：</w:t>
      </w:r>
      <w:r>
        <w:rPr>
          <w:rFonts w:hint="eastAsia" w:ascii="宋体" w:hAnsi="宋体"/>
          <w:color w:val="auto"/>
          <w:sz w:val="24"/>
          <w:highlight w:val="none"/>
          <w:u w:val="single"/>
        </w:rPr>
        <w:t xml:space="preserve">          </w:t>
      </w:r>
      <w:r>
        <w:rPr>
          <w:rFonts w:hint="eastAsia" w:ascii="宋体" w:hAnsi="宋体"/>
          <w:color w:val="auto"/>
          <w:sz w:val="24"/>
          <w:highlight w:val="none"/>
        </w:rPr>
        <w:t>电子邮箱：</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p>
    <w:p w14:paraId="752BEFC6">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投标人名称：</w:t>
      </w:r>
      <w:r>
        <w:rPr>
          <w:rFonts w:hint="eastAsia" w:ascii="宋体" w:hAnsi="宋体"/>
          <w:color w:val="auto"/>
          <w:sz w:val="24"/>
          <w:highlight w:val="none"/>
          <w:u w:val="single"/>
        </w:rPr>
        <w:t xml:space="preserve">                </w:t>
      </w:r>
    </w:p>
    <w:p w14:paraId="3E7AD48C">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开户银行：</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银行账号：</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14:paraId="2B6EE844">
      <w:pPr>
        <w:snapToGrid w:val="0"/>
        <w:spacing w:line="360" w:lineRule="auto"/>
        <w:ind w:firstLine="480" w:firstLineChars="200"/>
        <w:jc w:val="left"/>
        <w:rPr>
          <w:rFonts w:ascii="宋体" w:hAnsi="宋体"/>
          <w:color w:val="auto"/>
          <w:sz w:val="24"/>
          <w:highlight w:val="none"/>
        </w:rPr>
      </w:pPr>
    </w:p>
    <w:p w14:paraId="7974231E">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 xml:space="preserve">               法定代表人或者委托代理人（签字或者电子签名）：_______ </w:t>
      </w:r>
    </w:p>
    <w:p w14:paraId="75D8CC00">
      <w:pPr>
        <w:pStyle w:val="23"/>
        <w:snapToGrid w:val="0"/>
        <w:spacing w:before="295" w:after="295" w:line="360" w:lineRule="auto"/>
        <w:jc w:val="center"/>
        <w:rPr>
          <w:rFonts w:hAnsi="宋体"/>
          <w:color w:val="auto"/>
          <w:sz w:val="24"/>
          <w:szCs w:val="24"/>
          <w:highlight w:val="none"/>
          <w:u w:val="single"/>
        </w:rPr>
      </w:pPr>
      <w:r>
        <w:rPr>
          <w:rFonts w:hint="eastAsia" w:hAnsi="宋体"/>
          <w:color w:val="auto"/>
          <w:sz w:val="24"/>
          <w:highlight w:val="none"/>
        </w:rPr>
        <w:t xml:space="preserve"> </w:t>
      </w:r>
      <w:r>
        <w:rPr>
          <w:rFonts w:hAnsi="宋体"/>
          <w:color w:val="auto"/>
          <w:sz w:val="24"/>
          <w:highlight w:val="none"/>
        </w:rPr>
        <w:t xml:space="preserve">                                    </w:t>
      </w:r>
      <w:r>
        <w:rPr>
          <w:rFonts w:hint="eastAsia" w:hAnsi="宋体"/>
          <w:color w:val="auto"/>
          <w:sz w:val="24"/>
          <w:highlight w:val="none"/>
        </w:rPr>
        <w:t>投标人名称（电子签章）：</w:t>
      </w:r>
      <w:r>
        <w:rPr>
          <w:rFonts w:hint="eastAsia" w:hAnsi="宋体"/>
          <w:color w:val="auto"/>
          <w:sz w:val="24"/>
          <w:highlight w:val="none"/>
          <w:u w:val="single"/>
        </w:rPr>
        <w:t xml:space="preserve">          </w:t>
      </w:r>
    </w:p>
    <w:p w14:paraId="47E2F48B">
      <w:pPr>
        <w:pStyle w:val="23"/>
        <w:snapToGrid w:val="0"/>
        <w:spacing w:before="295" w:after="295" w:line="360" w:lineRule="auto"/>
        <w:rPr>
          <w:rFonts w:hAnsi="宋体"/>
          <w:color w:val="auto"/>
          <w:sz w:val="24"/>
          <w:highlight w:val="none"/>
        </w:rPr>
      </w:pPr>
      <w:r>
        <w:rPr>
          <w:rFonts w:hint="eastAsia" w:hAnsi="宋体"/>
          <w:color w:val="auto"/>
          <w:sz w:val="24"/>
          <w:szCs w:val="24"/>
          <w:highlight w:val="none"/>
        </w:rPr>
        <w:t xml:space="preserve">                                                </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w:t>
      </w:r>
    </w:p>
    <w:p w14:paraId="0D0C20D7">
      <w:pPr>
        <w:snapToGrid w:val="0"/>
        <w:spacing w:before="120" w:beforeLines="50" w:after="50"/>
        <w:jc w:val="left"/>
        <w:outlineLvl w:val="2"/>
        <w:rPr>
          <w:rFonts w:ascii="宋体" w:hAnsi="宋体"/>
          <w:b/>
          <w:color w:val="auto"/>
          <w:sz w:val="24"/>
          <w:szCs w:val="20"/>
          <w:highlight w:val="none"/>
        </w:rPr>
      </w:pPr>
      <w:r>
        <w:rPr>
          <w:rFonts w:hAnsi="宋体"/>
          <w:color w:val="auto"/>
          <w:highlight w:val="none"/>
          <w:u w:val="single"/>
        </w:rPr>
        <w:br w:type="page"/>
      </w:r>
      <w:r>
        <w:rPr>
          <w:rFonts w:hint="eastAsia" w:ascii="宋体" w:hAnsi="宋体"/>
          <w:b/>
          <w:color w:val="auto"/>
          <w:sz w:val="24"/>
          <w:highlight w:val="none"/>
        </w:rPr>
        <w:t>4. 开标一览表</w:t>
      </w:r>
    </w:p>
    <w:p w14:paraId="1B3D69D5">
      <w:pPr>
        <w:snapToGrid w:val="0"/>
        <w:spacing w:before="50" w:after="50"/>
        <w:jc w:val="center"/>
        <w:rPr>
          <w:rFonts w:ascii="宋体" w:hAnsi="宋体"/>
          <w:b/>
          <w:color w:val="auto"/>
          <w:sz w:val="30"/>
          <w:highlight w:val="none"/>
        </w:rPr>
      </w:pPr>
      <w:r>
        <w:rPr>
          <w:rFonts w:hint="eastAsia" w:ascii="宋体" w:hAnsi="宋体"/>
          <w:b/>
          <w:color w:val="auto"/>
          <w:sz w:val="30"/>
          <w:highlight w:val="none"/>
        </w:rPr>
        <w:t>开标一览表</w:t>
      </w:r>
    </w:p>
    <w:p w14:paraId="58751391">
      <w:pPr>
        <w:snapToGrid w:val="0"/>
        <w:spacing w:before="50" w:after="50"/>
        <w:jc w:val="center"/>
        <w:rPr>
          <w:rFonts w:ascii="宋体" w:hAnsi="宋体"/>
          <w:b/>
          <w:color w:val="auto"/>
          <w:sz w:val="30"/>
          <w:szCs w:val="20"/>
          <w:highlight w:val="none"/>
        </w:rPr>
      </w:pPr>
    </w:p>
    <w:p w14:paraId="38A75C63">
      <w:pPr>
        <w:snapToGrid w:val="0"/>
        <w:spacing w:before="50" w:after="50" w:line="360" w:lineRule="auto"/>
        <w:rPr>
          <w:rFonts w:ascii="宋体" w:hAnsi="宋体"/>
          <w:color w:val="auto"/>
          <w:sz w:val="24"/>
          <w:highlight w:val="none"/>
          <w:u w:val="single"/>
        </w:rPr>
      </w:pPr>
      <w:r>
        <w:rPr>
          <w:rFonts w:hint="eastAsia" w:ascii="宋体" w:hAnsi="宋体"/>
          <w:color w:val="auto"/>
          <w:sz w:val="24"/>
          <w:highlight w:val="none"/>
        </w:rPr>
        <w:t>项目名称：</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 xml:space="preserve">         </w:t>
      </w:r>
      <w:r>
        <w:rPr>
          <w:rFonts w:hint="eastAsia" w:ascii="宋体" w:hAnsi="宋体"/>
          <w:color w:val="auto"/>
          <w:sz w:val="24"/>
          <w:highlight w:val="none"/>
        </w:rPr>
        <w:t>项目编号：</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分标：</w:t>
      </w:r>
      <w:r>
        <w:rPr>
          <w:rFonts w:hint="eastAsia" w:ascii="宋体" w:hAnsi="宋体"/>
          <w:color w:val="auto"/>
          <w:sz w:val="24"/>
          <w:highlight w:val="none"/>
          <w:u w:val="single"/>
        </w:rPr>
        <w:t xml:space="preserve">           </w:t>
      </w:r>
    </w:p>
    <w:p w14:paraId="5F445B6E">
      <w:pPr>
        <w:snapToGrid w:val="0"/>
        <w:spacing w:before="50" w:after="50" w:line="360" w:lineRule="auto"/>
        <w:rPr>
          <w:rFonts w:ascii="宋体" w:hAnsi="宋体"/>
          <w:color w:val="auto"/>
          <w:sz w:val="24"/>
          <w:highlight w:val="none"/>
        </w:rPr>
      </w:pPr>
      <w:r>
        <w:rPr>
          <w:rFonts w:hint="eastAsia" w:ascii="宋体" w:hAnsi="宋体"/>
          <w:color w:val="auto"/>
          <w:sz w:val="24"/>
          <w:highlight w:val="none"/>
        </w:rPr>
        <w:t>投标人名称：</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单位：元</w:t>
      </w:r>
    </w:p>
    <w:tbl>
      <w:tblPr>
        <w:tblStyle w:val="4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4"/>
        <w:gridCol w:w="2152"/>
        <w:gridCol w:w="2147"/>
        <w:gridCol w:w="1054"/>
        <w:gridCol w:w="1054"/>
        <w:gridCol w:w="1064"/>
      </w:tblGrid>
      <w:tr w14:paraId="07197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center"/>
        </w:trPr>
        <w:tc>
          <w:tcPr>
            <w:tcW w:w="619" w:type="pct"/>
            <w:tcBorders>
              <w:top w:val="single" w:color="auto" w:sz="4" w:space="0"/>
              <w:left w:val="single" w:color="auto" w:sz="4" w:space="0"/>
              <w:bottom w:val="single" w:color="auto" w:sz="4" w:space="0"/>
              <w:right w:val="single" w:color="auto" w:sz="4" w:space="0"/>
            </w:tcBorders>
            <w:vAlign w:val="center"/>
          </w:tcPr>
          <w:p w14:paraId="4F7AB65F">
            <w:pPr>
              <w:spacing w:line="360" w:lineRule="auto"/>
              <w:jc w:val="center"/>
              <w:rPr>
                <w:rFonts w:ascii="宋体" w:hAnsi="宋体" w:cs="仿宋_GB2312"/>
                <w:color w:val="auto"/>
                <w:sz w:val="24"/>
                <w:highlight w:val="none"/>
              </w:rPr>
            </w:pPr>
            <w:r>
              <w:rPr>
                <w:rFonts w:ascii="宋体" w:hAnsi="宋体" w:cs="仿宋_GB2312"/>
                <w:color w:val="auto"/>
                <w:sz w:val="24"/>
                <w:highlight w:val="none"/>
              </w:rPr>
              <w:t>序号</w:t>
            </w:r>
          </w:p>
        </w:tc>
        <w:tc>
          <w:tcPr>
            <w:tcW w:w="1262" w:type="pct"/>
            <w:tcBorders>
              <w:top w:val="single" w:color="auto" w:sz="4" w:space="0"/>
              <w:left w:val="single" w:color="auto" w:sz="4" w:space="0"/>
              <w:bottom w:val="single" w:color="auto" w:sz="4" w:space="0"/>
              <w:right w:val="single" w:color="auto" w:sz="4" w:space="0"/>
            </w:tcBorders>
            <w:vAlign w:val="center"/>
          </w:tcPr>
          <w:p w14:paraId="608D3D9C">
            <w:pPr>
              <w:spacing w:line="360" w:lineRule="auto"/>
              <w:jc w:val="center"/>
              <w:rPr>
                <w:rFonts w:ascii="宋体" w:hAnsi="宋体" w:cs="仿宋_GB2312"/>
                <w:color w:val="auto"/>
                <w:sz w:val="24"/>
                <w:highlight w:val="none"/>
              </w:rPr>
            </w:pPr>
            <w:r>
              <w:rPr>
                <w:rFonts w:hint="eastAsia" w:ascii="宋体" w:hAnsi="宋体"/>
                <w:b/>
                <w:color w:val="auto"/>
                <w:sz w:val="24"/>
                <w:highlight w:val="none"/>
              </w:rPr>
              <w:t>标的的名称</w:t>
            </w:r>
          </w:p>
        </w:tc>
        <w:tc>
          <w:tcPr>
            <w:tcW w:w="1259" w:type="pct"/>
            <w:tcBorders>
              <w:top w:val="single" w:color="auto" w:sz="4" w:space="0"/>
              <w:left w:val="single" w:color="auto" w:sz="4" w:space="0"/>
              <w:bottom w:val="single" w:color="auto" w:sz="4" w:space="0"/>
              <w:right w:val="single" w:color="auto" w:sz="4" w:space="0"/>
            </w:tcBorders>
            <w:vAlign w:val="center"/>
          </w:tcPr>
          <w:p w14:paraId="12EB0234">
            <w:pPr>
              <w:spacing w:line="360" w:lineRule="auto"/>
              <w:jc w:val="center"/>
              <w:rPr>
                <w:rFonts w:ascii="宋体" w:hAnsi="宋体" w:cs="仿宋_GB2312"/>
                <w:color w:val="auto"/>
                <w:sz w:val="24"/>
                <w:highlight w:val="none"/>
              </w:rPr>
            </w:pPr>
            <w:r>
              <w:rPr>
                <w:rFonts w:hint="eastAsia" w:ascii="宋体" w:hAnsi="宋体" w:cs="仿宋_GB2312"/>
                <w:color w:val="auto"/>
                <w:sz w:val="24"/>
                <w:highlight w:val="none"/>
              </w:rPr>
              <w:t>数量及单位</w:t>
            </w:r>
          </w:p>
        </w:tc>
        <w:tc>
          <w:tcPr>
            <w:tcW w:w="618" w:type="pct"/>
            <w:tcBorders>
              <w:top w:val="single" w:color="auto" w:sz="4" w:space="0"/>
              <w:left w:val="single" w:color="auto" w:sz="4" w:space="0"/>
              <w:bottom w:val="single" w:color="auto" w:sz="4" w:space="0"/>
              <w:right w:val="single" w:color="auto" w:sz="4" w:space="0"/>
            </w:tcBorders>
            <w:vAlign w:val="center"/>
          </w:tcPr>
          <w:p w14:paraId="4033444F">
            <w:pPr>
              <w:spacing w:line="360" w:lineRule="auto"/>
              <w:jc w:val="center"/>
              <w:rPr>
                <w:rFonts w:ascii="宋体" w:hAnsi="宋体" w:cs="仿宋_GB2312"/>
                <w:color w:val="auto"/>
                <w:sz w:val="24"/>
                <w:highlight w:val="none"/>
              </w:rPr>
            </w:pPr>
            <w:r>
              <w:rPr>
                <w:rFonts w:hint="eastAsia" w:ascii="宋体" w:hAnsi="宋体" w:cs="仿宋_GB2312"/>
                <w:color w:val="auto"/>
                <w:sz w:val="24"/>
                <w:highlight w:val="none"/>
              </w:rPr>
              <w:t>单价</w:t>
            </w:r>
          </w:p>
        </w:tc>
        <w:tc>
          <w:tcPr>
            <w:tcW w:w="618" w:type="pct"/>
            <w:tcBorders>
              <w:top w:val="single" w:color="auto" w:sz="4" w:space="0"/>
              <w:left w:val="single" w:color="auto" w:sz="4" w:space="0"/>
              <w:bottom w:val="single" w:color="auto" w:sz="4" w:space="0"/>
              <w:right w:val="single" w:color="auto" w:sz="4" w:space="0"/>
            </w:tcBorders>
            <w:vAlign w:val="center"/>
          </w:tcPr>
          <w:p w14:paraId="173C1AA3">
            <w:pPr>
              <w:spacing w:line="360" w:lineRule="auto"/>
              <w:jc w:val="center"/>
              <w:rPr>
                <w:rFonts w:ascii="宋体" w:hAnsi="宋体" w:cs="仿宋_GB2312"/>
                <w:color w:val="auto"/>
                <w:sz w:val="24"/>
                <w:highlight w:val="none"/>
              </w:rPr>
            </w:pPr>
            <w:r>
              <w:rPr>
                <w:rFonts w:hint="eastAsia" w:ascii="宋体" w:hAnsi="宋体" w:cs="仿宋_GB2312"/>
                <w:color w:val="auto"/>
                <w:sz w:val="24"/>
                <w:highlight w:val="none"/>
              </w:rPr>
              <w:t>总价</w:t>
            </w:r>
          </w:p>
        </w:tc>
        <w:tc>
          <w:tcPr>
            <w:tcW w:w="621" w:type="pct"/>
            <w:tcBorders>
              <w:top w:val="single" w:color="auto" w:sz="4" w:space="0"/>
              <w:left w:val="single" w:color="auto" w:sz="4" w:space="0"/>
              <w:bottom w:val="single" w:color="auto" w:sz="4" w:space="0"/>
              <w:right w:val="single" w:color="auto" w:sz="4" w:space="0"/>
            </w:tcBorders>
            <w:vAlign w:val="center"/>
          </w:tcPr>
          <w:p w14:paraId="5A4C3FA0">
            <w:pPr>
              <w:spacing w:line="360" w:lineRule="auto"/>
              <w:jc w:val="center"/>
              <w:rPr>
                <w:rFonts w:ascii="宋体" w:hAnsi="宋体" w:cs="仿宋_GB2312"/>
                <w:color w:val="auto"/>
                <w:sz w:val="24"/>
                <w:highlight w:val="none"/>
              </w:rPr>
            </w:pPr>
            <w:r>
              <w:rPr>
                <w:rFonts w:ascii="宋体" w:hAnsi="宋体" w:cs="仿宋_GB2312"/>
                <w:color w:val="auto"/>
                <w:sz w:val="24"/>
                <w:highlight w:val="none"/>
              </w:rPr>
              <w:t>备注</w:t>
            </w:r>
          </w:p>
        </w:tc>
      </w:tr>
      <w:tr w14:paraId="0F9E0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619" w:type="pct"/>
            <w:tcBorders>
              <w:top w:val="single" w:color="auto" w:sz="4" w:space="0"/>
              <w:left w:val="single" w:color="auto" w:sz="4" w:space="0"/>
              <w:bottom w:val="single" w:color="auto" w:sz="4" w:space="0"/>
              <w:right w:val="single" w:color="auto" w:sz="4" w:space="0"/>
            </w:tcBorders>
            <w:vAlign w:val="center"/>
          </w:tcPr>
          <w:p w14:paraId="42BF4A1E">
            <w:pPr>
              <w:spacing w:line="360" w:lineRule="auto"/>
              <w:jc w:val="center"/>
              <w:rPr>
                <w:rFonts w:ascii="宋体" w:hAnsi="宋体" w:cs="仿宋_GB2312"/>
                <w:color w:val="auto"/>
                <w:sz w:val="24"/>
                <w:highlight w:val="none"/>
              </w:rPr>
            </w:pPr>
            <w:r>
              <w:rPr>
                <w:rFonts w:ascii="宋体" w:hAnsi="宋体" w:cs="仿宋_GB2312"/>
                <w:color w:val="auto"/>
                <w:sz w:val="24"/>
                <w:highlight w:val="none"/>
              </w:rPr>
              <w:t>1</w:t>
            </w:r>
          </w:p>
        </w:tc>
        <w:tc>
          <w:tcPr>
            <w:tcW w:w="1262" w:type="pct"/>
            <w:tcBorders>
              <w:top w:val="single" w:color="auto" w:sz="4" w:space="0"/>
              <w:left w:val="single" w:color="auto" w:sz="4" w:space="0"/>
              <w:bottom w:val="single" w:color="auto" w:sz="4" w:space="0"/>
              <w:right w:val="single" w:color="auto" w:sz="4" w:space="0"/>
            </w:tcBorders>
            <w:vAlign w:val="center"/>
          </w:tcPr>
          <w:p w14:paraId="237A9E17">
            <w:pPr>
              <w:spacing w:line="360" w:lineRule="auto"/>
              <w:jc w:val="center"/>
              <w:rPr>
                <w:rFonts w:ascii="宋体" w:hAnsi="宋体" w:cs="仿宋_GB2312"/>
                <w:color w:val="auto"/>
                <w:sz w:val="24"/>
                <w:highlight w:val="none"/>
              </w:rPr>
            </w:pPr>
          </w:p>
        </w:tc>
        <w:tc>
          <w:tcPr>
            <w:tcW w:w="1259" w:type="pct"/>
            <w:tcBorders>
              <w:top w:val="single" w:color="auto" w:sz="4" w:space="0"/>
              <w:left w:val="single" w:color="auto" w:sz="4" w:space="0"/>
              <w:bottom w:val="single" w:color="auto" w:sz="4" w:space="0"/>
              <w:right w:val="single" w:color="auto" w:sz="4" w:space="0"/>
            </w:tcBorders>
            <w:vAlign w:val="center"/>
          </w:tcPr>
          <w:p w14:paraId="699C7B3D">
            <w:pPr>
              <w:spacing w:line="360" w:lineRule="auto"/>
              <w:rPr>
                <w:rFonts w:ascii="宋体" w:hAnsi="宋体" w:cs="仿宋_GB2312"/>
                <w:color w:val="auto"/>
                <w:sz w:val="24"/>
                <w:highlight w:val="none"/>
              </w:rPr>
            </w:pPr>
          </w:p>
        </w:tc>
        <w:tc>
          <w:tcPr>
            <w:tcW w:w="618" w:type="pct"/>
            <w:tcBorders>
              <w:top w:val="single" w:color="auto" w:sz="4" w:space="0"/>
              <w:left w:val="single" w:color="auto" w:sz="4" w:space="0"/>
              <w:bottom w:val="single" w:color="auto" w:sz="4" w:space="0"/>
              <w:right w:val="single" w:color="auto" w:sz="4" w:space="0"/>
            </w:tcBorders>
          </w:tcPr>
          <w:p w14:paraId="590007AA">
            <w:pPr>
              <w:spacing w:line="360" w:lineRule="auto"/>
              <w:rPr>
                <w:rFonts w:ascii="宋体" w:hAnsi="宋体" w:cs="仿宋_GB2312"/>
                <w:color w:val="auto"/>
                <w:sz w:val="24"/>
                <w:highlight w:val="none"/>
              </w:rPr>
            </w:pPr>
          </w:p>
        </w:tc>
        <w:tc>
          <w:tcPr>
            <w:tcW w:w="618" w:type="pct"/>
            <w:tcBorders>
              <w:top w:val="single" w:color="auto" w:sz="4" w:space="0"/>
              <w:left w:val="single" w:color="auto" w:sz="4" w:space="0"/>
              <w:bottom w:val="single" w:color="auto" w:sz="4" w:space="0"/>
              <w:right w:val="single" w:color="auto" w:sz="4" w:space="0"/>
            </w:tcBorders>
          </w:tcPr>
          <w:p w14:paraId="6D2F4E19">
            <w:pPr>
              <w:spacing w:line="360" w:lineRule="auto"/>
              <w:rPr>
                <w:rFonts w:ascii="宋体" w:hAnsi="宋体" w:cs="仿宋_GB2312"/>
                <w:color w:val="auto"/>
                <w:sz w:val="24"/>
                <w:highlight w:val="none"/>
              </w:rPr>
            </w:pPr>
          </w:p>
        </w:tc>
        <w:tc>
          <w:tcPr>
            <w:tcW w:w="621" w:type="pct"/>
            <w:tcBorders>
              <w:top w:val="single" w:color="auto" w:sz="4" w:space="0"/>
              <w:left w:val="single" w:color="auto" w:sz="4" w:space="0"/>
              <w:bottom w:val="single" w:color="auto" w:sz="4" w:space="0"/>
              <w:right w:val="single" w:color="auto" w:sz="4" w:space="0"/>
            </w:tcBorders>
            <w:vAlign w:val="center"/>
          </w:tcPr>
          <w:p w14:paraId="686E1D5A">
            <w:pPr>
              <w:spacing w:line="360" w:lineRule="auto"/>
              <w:rPr>
                <w:rFonts w:ascii="宋体" w:hAnsi="宋体" w:cs="仿宋_GB2312"/>
                <w:color w:val="auto"/>
                <w:sz w:val="24"/>
                <w:highlight w:val="none"/>
              </w:rPr>
            </w:pPr>
          </w:p>
        </w:tc>
      </w:tr>
      <w:tr w14:paraId="586EE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7" w:hRule="atLeast"/>
          <w:jc w:val="center"/>
        </w:trPr>
        <w:tc>
          <w:tcPr>
            <w:tcW w:w="619" w:type="pct"/>
            <w:tcBorders>
              <w:top w:val="single" w:color="auto" w:sz="4" w:space="0"/>
              <w:left w:val="single" w:color="auto" w:sz="4" w:space="0"/>
              <w:bottom w:val="single" w:color="auto" w:sz="4" w:space="0"/>
              <w:right w:val="single" w:color="auto" w:sz="4" w:space="0"/>
            </w:tcBorders>
            <w:vAlign w:val="center"/>
          </w:tcPr>
          <w:p w14:paraId="48E0C002">
            <w:pPr>
              <w:spacing w:line="360" w:lineRule="auto"/>
              <w:jc w:val="center"/>
              <w:rPr>
                <w:rFonts w:ascii="宋体" w:hAnsi="宋体" w:cs="仿宋_GB2312"/>
                <w:color w:val="auto"/>
                <w:sz w:val="24"/>
                <w:highlight w:val="none"/>
              </w:rPr>
            </w:pPr>
            <w:r>
              <w:rPr>
                <w:rFonts w:hint="eastAsia" w:ascii="宋体" w:hAnsi="宋体"/>
                <w:b/>
                <w:color w:val="auto"/>
                <w:sz w:val="24"/>
                <w:highlight w:val="none"/>
              </w:rPr>
              <w:t>……</w:t>
            </w:r>
          </w:p>
        </w:tc>
        <w:tc>
          <w:tcPr>
            <w:tcW w:w="1262" w:type="pct"/>
            <w:tcBorders>
              <w:top w:val="single" w:color="auto" w:sz="4" w:space="0"/>
              <w:left w:val="single" w:color="auto" w:sz="4" w:space="0"/>
              <w:bottom w:val="single" w:color="auto" w:sz="4" w:space="0"/>
              <w:right w:val="single" w:color="auto" w:sz="4" w:space="0"/>
            </w:tcBorders>
            <w:vAlign w:val="center"/>
          </w:tcPr>
          <w:p w14:paraId="152EADE2">
            <w:pPr>
              <w:spacing w:line="360" w:lineRule="auto"/>
              <w:jc w:val="center"/>
              <w:rPr>
                <w:rFonts w:ascii="宋体" w:hAnsi="宋体" w:cs="仿宋_GB2312"/>
                <w:color w:val="auto"/>
                <w:sz w:val="24"/>
                <w:highlight w:val="none"/>
              </w:rPr>
            </w:pPr>
            <w:r>
              <w:rPr>
                <w:rFonts w:hint="eastAsia" w:ascii="宋体" w:hAnsi="宋体"/>
                <w:b/>
                <w:color w:val="auto"/>
                <w:sz w:val="24"/>
                <w:highlight w:val="none"/>
              </w:rPr>
              <w:t>……</w:t>
            </w:r>
          </w:p>
        </w:tc>
        <w:tc>
          <w:tcPr>
            <w:tcW w:w="1259" w:type="pct"/>
            <w:tcBorders>
              <w:top w:val="single" w:color="auto" w:sz="4" w:space="0"/>
              <w:left w:val="single" w:color="auto" w:sz="4" w:space="0"/>
              <w:bottom w:val="single" w:color="auto" w:sz="4" w:space="0"/>
              <w:right w:val="single" w:color="auto" w:sz="4" w:space="0"/>
            </w:tcBorders>
            <w:vAlign w:val="center"/>
          </w:tcPr>
          <w:p w14:paraId="769A0246">
            <w:pPr>
              <w:spacing w:line="360" w:lineRule="auto"/>
              <w:rPr>
                <w:rFonts w:ascii="宋体" w:hAnsi="宋体" w:cs="仿宋_GB2312"/>
                <w:color w:val="auto"/>
                <w:sz w:val="24"/>
                <w:highlight w:val="none"/>
              </w:rPr>
            </w:pPr>
          </w:p>
        </w:tc>
        <w:tc>
          <w:tcPr>
            <w:tcW w:w="618" w:type="pct"/>
            <w:tcBorders>
              <w:top w:val="single" w:color="auto" w:sz="4" w:space="0"/>
              <w:left w:val="single" w:color="auto" w:sz="4" w:space="0"/>
              <w:bottom w:val="single" w:color="auto" w:sz="4" w:space="0"/>
              <w:right w:val="single" w:color="auto" w:sz="4" w:space="0"/>
            </w:tcBorders>
          </w:tcPr>
          <w:p w14:paraId="505BD760">
            <w:pPr>
              <w:spacing w:line="360" w:lineRule="auto"/>
              <w:rPr>
                <w:rFonts w:ascii="宋体" w:hAnsi="宋体" w:cs="仿宋_GB2312"/>
                <w:color w:val="auto"/>
                <w:sz w:val="24"/>
                <w:highlight w:val="none"/>
              </w:rPr>
            </w:pPr>
          </w:p>
        </w:tc>
        <w:tc>
          <w:tcPr>
            <w:tcW w:w="618" w:type="pct"/>
            <w:tcBorders>
              <w:top w:val="single" w:color="auto" w:sz="4" w:space="0"/>
              <w:left w:val="single" w:color="auto" w:sz="4" w:space="0"/>
              <w:bottom w:val="single" w:color="auto" w:sz="4" w:space="0"/>
              <w:right w:val="single" w:color="auto" w:sz="4" w:space="0"/>
            </w:tcBorders>
          </w:tcPr>
          <w:p w14:paraId="60607500">
            <w:pPr>
              <w:spacing w:line="360" w:lineRule="auto"/>
              <w:rPr>
                <w:rFonts w:ascii="宋体" w:hAnsi="宋体" w:cs="仿宋_GB2312"/>
                <w:color w:val="auto"/>
                <w:sz w:val="24"/>
                <w:highlight w:val="none"/>
              </w:rPr>
            </w:pPr>
          </w:p>
        </w:tc>
        <w:tc>
          <w:tcPr>
            <w:tcW w:w="621" w:type="pct"/>
            <w:tcBorders>
              <w:top w:val="single" w:color="auto" w:sz="4" w:space="0"/>
              <w:left w:val="single" w:color="auto" w:sz="4" w:space="0"/>
              <w:bottom w:val="single" w:color="auto" w:sz="4" w:space="0"/>
              <w:right w:val="single" w:color="auto" w:sz="4" w:space="0"/>
            </w:tcBorders>
            <w:vAlign w:val="center"/>
          </w:tcPr>
          <w:p w14:paraId="78970806">
            <w:pPr>
              <w:spacing w:line="360" w:lineRule="auto"/>
              <w:rPr>
                <w:rFonts w:ascii="宋体" w:hAnsi="宋体" w:cs="仿宋_GB2312"/>
                <w:color w:val="auto"/>
                <w:sz w:val="24"/>
                <w:highlight w:val="none"/>
              </w:rPr>
            </w:pPr>
          </w:p>
        </w:tc>
      </w:tr>
      <w:tr w14:paraId="6779F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jc w:val="center"/>
        </w:trPr>
        <w:tc>
          <w:tcPr>
            <w:tcW w:w="5000" w:type="pct"/>
            <w:gridSpan w:val="6"/>
            <w:tcBorders>
              <w:top w:val="single" w:color="auto" w:sz="4" w:space="0"/>
              <w:left w:val="single" w:color="auto" w:sz="4" w:space="0"/>
              <w:bottom w:val="single" w:color="auto" w:sz="4" w:space="0"/>
              <w:right w:val="single" w:color="auto" w:sz="4" w:space="0"/>
            </w:tcBorders>
            <w:vAlign w:val="center"/>
          </w:tcPr>
          <w:p w14:paraId="5C1A0929">
            <w:pPr>
              <w:snapToGrid w:val="0"/>
              <w:spacing w:before="50" w:after="50" w:line="360" w:lineRule="auto"/>
              <w:rPr>
                <w:rFonts w:ascii="宋体" w:hAnsi="宋体" w:cs="仿宋_GB2312"/>
                <w:color w:val="auto"/>
                <w:sz w:val="24"/>
                <w:highlight w:val="none"/>
              </w:rPr>
            </w:pPr>
            <w:r>
              <w:rPr>
                <w:rFonts w:hint="eastAsia" w:ascii="宋体" w:hAnsi="宋体" w:cs="仿宋_GB2312"/>
                <w:color w:val="auto"/>
                <w:sz w:val="24"/>
                <w:highlight w:val="none"/>
              </w:rPr>
              <w:t>合计金额大写：人民币</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w:t>
            </w:r>
          </w:p>
        </w:tc>
      </w:tr>
    </w:tbl>
    <w:p w14:paraId="3544B284">
      <w:pPr>
        <w:snapToGrid w:val="0"/>
        <w:spacing w:before="50" w:after="50" w:line="360" w:lineRule="auto"/>
        <w:rPr>
          <w:rFonts w:ascii="宋体" w:hAnsi="宋体"/>
          <w:color w:val="auto"/>
          <w:sz w:val="24"/>
          <w:highlight w:val="none"/>
        </w:rPr>
      </w:pPr>
    </w:p>
    <w:p w14:paraId="423FA651">
      <w:pPr>
        <w:snapToGrid w:val="0"/>
        <w:spacing w:line="360" w:lineRule="auto"/>
        <w:jc w:val="left"/>
        <w:rPr>
          <w:rFonts w:ascii="宋体" w:hAnsi="宋体"/>
          <w:color w:val="auto"/>
          <w:sz w:val="24"/>
          <w:highlight w:val="none"/>
        </w:rPr>
      </w:pPr>
      <w:r>
        <w:rPr>
          <w:rFonts w:hint="eastAsia" w:ascii="宋体" w:hAnsi="宋体"/>
          <w:color w:val="auto"/>
          <w:sz w:val="24"/>
          <w:highlight w:val="none"/>
        </w:rPr>
        <w:t xml:space="preserve">注: </w:t>
      </w:r>
    </w:p>
    <w:p w14:paraId="0DAB8674">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1.投标人的开标一览表必须加盖投标人电子签章并由</w:t>
      </w:r>
      <w:r>
        <w:rPr>
          <w:rFonts w:ascii="宋体" w:hAnsi="宋体"/>
          <w:color w:val="auto"/>
          <w:sz w:val="24"/>
          <w:highlight w:val="none"/>
        </w:rPr>
        <w:t>法定代表人或者委托代理人</w:t>
      </w:r>
      <w:r>
        <w:rPr>
          <w:rFonts w:hint="eastAsia" w:ascii="宋体" w:hAnsi="宋体"/>
          <w:color w:val="auto"/>
          <w:sz w:val="24"/>
          <w:highlight w:val="none"/>
        </w:rPr>
        <w:t>签字或者电子签名，</w:t>
      </w:r>
      <w:r>
        <w:rPr>
          <w:rFonts w:hint="eastAsia" w:ascii="宋体" w:hAnsi="宋体"/>
          <w:b/>
          <w:color w:val="auto"/>
          <w:sz w:val="24"/>
          <w:highlight w:val="none"/>
        </w:rPr>
        <w:t>否则其投标作无效标处理</w:t>
      </w:r>
      <w:r>
        <w:rPr>
          <w:rFonts w:hint="eastAsia" w:ascii="宋体" w:hAnsi="宋体"/>
          <w:color w:val="auto"/>
          <w:sz w:val="24"/>
          <w:highlight w:val="none"/>
        </w:rPr>
        <w:t>。</w:t>
      </w:r>
    </w:p>
    <w:p w14:paraId="1BD35CEB">
      <w:pPr>
        <w:snapToGrid w:val="0"/>
        <w:spacing w:line="360" w:lineRule="auto"/>
        <w:ind w:firstLine="480" w:firstLineChars="200"/>
        <w:jc w:val="left"/>
        <w:rPr>
          <w:rFonts w:ascii="宋体" w:hAnsi="宋体"/>
          <w:b/>
          <w:color w:val="auto"/>
          <w:sz w:val="24"/>
          <w:highlight w:val="none"/>
        </w:rPr>
      </w:pPr>
      <w:r>
        <w:rPr>
          <w:rFonts w:hint="eastAsia" w:ascii="宋体" w:hAnsi="宋体"/>
          <w:bCs/>
          <w:color w:val="auto"/>
          <w:sz w:val="24"/>
          <w:highlight w:val="none"/>
        </w:rPr>
        <w:t>2.</w:t>
      </w:r>
      <w:r>
        <w:rPr>
          <w:rFonts w:hint="eastAsia" w:ascii="宋体" w:hAnsi="宋体"/>
          <w:color w:val="auto"/>
          <w:sz w:val="24"/>
          <w:highlight w:val="none"/>
        </w:rPr>
        <w:t>报价一经涂改，应在涂改处加盖投标人公章</w:t>
      </w:r>
      <w:r>
        <w:rPr>
          <w:rFonts w:hint="eastAsia" w:ascii="宋体" w:hAnsi="宋体" w:cs="仿宋_GB2312"/>
          <w:color w:val="auto"/>
          <w:sz w:val="24"/>
          <w:highlight w:val="none"/>
        </w:rPr>
        <w:t>或者加盖电子签章</w:t>
      </w:r>
      <w:r>
        <w:rPr>
          <w:rFonts w:hint="eastAsia" w:ascii="宋体" w:hAnsi="宋体"/>
          <w:color w:val="auto"/>
          <w:sz w:val="24"/>
          <w:highlight w:val="none"/>
        </w:rPr>
        <w:t>或者由法定代表人或者委托代理人签字（或者电子签名）</w:t>
      </w:r>
      <w:r>
        <w:rPr>
          <w:rFonts w:hint="eastAsia" w:ascii="宋体" w:hAnsi="宋体"/>
          <w:b/>
          <w:color w:val="auto"/>
          <w:sz w:val="24"/>
          <w:highlight w:val="none"/>
        </w:rPr>
        <w:t>，否则其投标作无效标处理。</w:t>
      </w:r>
    </w:p>
    <w:p w14:paraId="0AF3D5DA">
      <w:pPr>
        <w:snapToGrid w:val="0"/>
        <w:spacing w:line="360" w:lineRule="auto"/>
        <w:ind w:firstLine="480" w:firstLineChars="200"/>
        <w:jc w:val="left"/>
        <w:rPr>
          <w:rFonts w:ascii="宋体" w:hAnsi="宋体"/>
          <w:b/>
          <w:color w:val="auto"/>
          <w:sz w:val="24"/>
          <w:highlight w:val="none"/>
        </w:rPr>
      </w:pPr>
      <w:r>
        <w:rPr>
          <w:rFonts w:hint="eastAsia" w:ascii="宋体" w:hAnsi="宋体"/>
          <w:bCs/>
          <w:color w:val="auto"/>
          <w:sz w:val="24"/>
          <w:highlight w:val="none"/>
        </w:rPr>
        <w:t>3.</w:t>
      </w:r>
      <w:r>
        <w:rPr>
          <w:rFonts w:hint="eastAsia" w:ascii="宋体" w:hAnsi="宋体"/>
          <w:color w:val="auto"/>
          <w:sz w:val="24"/>
          <w:highlight w:val="none"/>
        </w:rPr>
        <w:t>如有多分标，按分标分别提供开标一览表，</w:t>
      </w:r>
      <w:r>
        <w:rPr>
          <w:rFonts w:hint="eastAsia" w:ascii="宋体" w:hAnsi="宋体"/>
          <w:b/>
          <w:color w:val="auto"/>
          <w:sz w:val="24"/>
          <w:highlight w:val="none"/>
        </w:rPr>
        <w:t>否则投标无效。</w:t>
      </w:r>
    </w:p>
    <w:p w14:paraId="59C69A54">
      <w:pPr>
        <w:spacing w:line="360" w:lineRule="auto"/>
        <w:rPr>
          <w:color w:val="auto"/>
          <w:kern w:val="0"/>
          <w:sz w:val="24"/>
          <w:highlight w:val="none"/>
        </w:rPr>
      </w:pPr>
    </w:p>
    <w:p w14:paraId="6B8FD0D2">
      <w:pPr>
        <w:pStyle w:val="29"/>
        <w:rPr>
          <w:rFonts w:ascii="宋体" w:hAnsi="宋体" w:cs="宋体"/>
          <w:color w:val="auto"/>
          <w:highlight w:val="none"/>
        </w:rPr>
      </w:pPr>
      <w:r>
        <w:rPr>
          <w:rFonts w:hint="eastAsia" w:ascii="宋体" w:hAnsi="宋体"/>
          <w:color w:val="auto"/>
          <w:sz w:val="24"/>
          <w:highlight w:val="none"/>
        </w:rPr>
        <w:t xml:space="preserve">                         </w:t>
      </w:r>
    </w:p>
    <w:p w14:paraId="4E9C90CF">
      <w:pPr>
        <w:snapToGrid w:val="0"/>
        <w:spacing w:line="360" w:lineRule="auto"/>
        <w:ind w:left="-2" w:leftChars="-1" w:right="-817" w:rightChars="-389"/>
        <w:rPr>
          <w:rFonts w:ascii="宋体" w:hAnsi="宋体"/>
          <w:color w:val="auto"/>
          <w:sz w:val="24"/>
          <w:highlight w:val="none"/>
          <w:u w:val="single"/>
        </w:rPr>
      </w:pPr>
      <w:r>
        <w:rPr>
          <w:rFonts w:hint="eastAsia" w:ascii="宋体" w:hAnsi="宋体"/>
          <w:color w:val="auto"/>
          <w:sz w:val="24"/>
          <w:highlight w:val="none"/>
        </w:rPr>
        <w:t xml:space="preserve">         法定代表人或者委托代理人（签字或者电子签名）： </w:t>
      </w:r>
      <w:r>
        <w:rPr>
          <w:rFonts w:hint="eastAsia" w:ascii="宋体" w:hAnsi="宋体"/>
          <w:color w:val="auto"/>
          <w:sz w:val="24"/>
          <w:highlight w:val="none"/>
          <w:u w:val="single"/>
        </w:rPr>
        <w:t xml:space="preserve">              </w:t>
      </w:r>
    </w:p>
    <w:p w14:paraId="1CC26758">
      <w:pPr>
        <w:snapToGrid w:val="0"/>
        <w:spacing w:line="360" w:lineRule="auto"/>
        <w:ind w:left="-3" w:leftChars="-15" w:right="-817" w:rightChars="-389" w:hanging="28" w:hangingChars="12"/>
        <w:rPr>
          <w:rFonts w:ascii="宋体" w:hAnsi="宋体"/>
          <w:color w:val="auto"/>
          <w:sz w:val="24"/>
          <w:highlight w:val="none"/>
          <w:u w:val="single"/>
        </w:rPr>
      </w:pPr>
      <w:r>
        <w:rPr>
          <w:rFonts w:hint="eastAsia" w:ascii="宋体" w:hAnsi="宋体"/>
          <w:color w:val="auto"/>
          <w:sz w:val="24"/>
          <w:highlight w:val="none"/>
        </w:rPr>
        <w:t xml:space="preserve">                           投标人名称（电子签章）：</w:t>
      </w:r>
      <w:r>
        <w:rPr>
          <w:rFonts w:hint="eastAsia" w:ascii="宋体" w:hAnsi="宋体"/>
          <w:color w:val="auto"/>
          <w:sz w:val="24"/>
          <w:highlight w:val="none"/>
          <w:u w:val="single"/>
        </w:rPr>
        <w:t xml:space="preserve">                 </w:t>
      </w:r>
    </w:p>
    <w:p w14:paraId="75D81894">
      <w:pPr>
        <w:snapToGrid w:val="0"/>
        <w:spacing w:line="360" w:lineRule="auto"/>
        <w:ind w:left="-3" w:leftChars="-15" w:right="-817" w:rightChars="-389" w:hanging="28" w:hangingChars="12"/>
        <w:rPr>
          <w:rFonts w:ascii="宋体" w:hAnsi="宋体"/>
          <w:color w:val="auto"/>
          <w:szCs w:val="21"/>
          <w:highlight w:val="none"/>
        </w:rPr>
      </w:pPr>
      <w:r>
        <w:rPr>
          <w:rFonts w:hint="eastAsia" w:ascii="宋体" w:hAnsi="宋体"/>
          <w:color w:val="auto"/>
          <w:sz w:val="24"/>
          <w:highlight w:val="none"/>
        </w:rPr>
        <w:t xml:space="preserve">                           日期：    年   月   日</w:t>
      </w:r>
    </w:p>
    <w:p w14:paraId="7B6DBC20">
      <w:pPr>
        <w:snapToGrid w:val="0"/>
        <w:spacing w:line="360" w:lineRule="auto"/>
        <w:ind w:left="-6" w:leftChars="-15" w:right="-817" w:rightChars="-389" w:hanging="25" w:hangingChars="12"/>
        <w:rPr>
          <w:rFonts w:ascii="宋体" w:hAnsi="宋体"/>
          <w:color w:val="auto"/>
          <w:szCs w:val="21"/>
          <w:highlight w:val="none"/>
        </w:rPr>
      </w:pPr>
    </w:p>
    <w:p w14:paraId="22B352CE">
      <w:pPr>
        <w:rPr>
          <w:rFonts w:ascii="宋体" w:hAnsi="宋体"/>
          <w:color w:val="auto"/>
          <w:sz w:val="24"/>
          <w:highlight w:val="none"/>
        </w:rPr>
      </w:pPr>
      <w:r>
        <w:rPr>
          <w:rFonts w:ascii="宋体" w:hAnsi="宋体"/>
          <w:color w:val="auto"/>
          <w:sz w:val="24"/>
          <w:highlight w:val="none"/>
        </w:rPr>
        <w:br w:type="page"/>
      </w:r>
    </w:p>
    <w:p w14:paraId="3DA8B385">
      <w:pPr>
        <w:snapToGrid w:val="0"/>
        <w:spacing w:line="360" w:lineRule="auto"/>
        <w:ind w:left="3" w:leftChars="-15" w:right="-817" w:rightChars="-389" w:hanging="34" w:hangingChars="12"/>
        <w:rPr>
          <w:b/>
          <w:color w:val="auto"/>
          <w:sz w:val="28"/>
          <w:szCs w:val="28"/>
          <w:highlight w:val="none"/>
        </w:rPr>
      </w:pPr>
      <w:bookmarkStart w:id="160" w:name="_Toc19686837"/>
      <w:r>
        <w:rPr>
          <w:rFonts w:hint="eastAsia"/>
          <w:b/>
          <w:color w:val="auto"/>
          <w:sz w:val="28"/>
          <w:szCs w:val="28"/>
          <w:highlight w:val="none"/>
        </w:rPr>
        <w:t>二、资格证明文件格式</w:t>
      </w:r>
      <w:bookmarkEnd w:id="158"/>
      <w:bookmarkEnd w:id="159"/>
      <w:bookmarkEnd w:id="160"/>
    </w:p>
    <w:p w14:paraId="3A2D58A9">
      <w:pPr>
        <w:snapToGrid w:val="0"/>
        <w:spacing w:before="120" w:beforeLines="50" w:after="50" w:line="360" w:lineRule="auto"/>
        <w:jc w:val="left"/>
        <w:outlineLvl w:val="2"/>
        <w:rPr>
          <w:rFonts w:ascii="宋体" w:hAnsi="宋体"/>
          <w:b/>
          <w:color w:val="auto"/>
          <w:sz w:val="24"/>
          <w:highlight w:val="none"/>
        </w:rPr>
      </w:pPr>
      <w:r>
        <w:rPr>
          <w:rFonts w:hint="eastAsia" w:ascii="宋体" w:hAnsi="宋体"/>
          <w:b/>
          <w:color w:val="auto"/>
          <w:sz w:val="24"/>
          <w:highlight w:val="none"/>
        </w:rPr>
        <w:t xml:space="preserve">1.资格证明文件封面格式： </w:t>
      </w:r>
    </w:p>
    <w:p w14:paraId="2A48D3C3">
      <w:pPr>
        <w:snapToGrid w:val="0"/>
        <w:spacing w:before="120" w:beforeLines="50" w:after="50"/>
        <w:jc w:val="center"/>
        <w:rPr>
          <w:rFonts w:ascii="宋体" w:hAnsi="宋体" w:eastAsia="方正小标宋简体"/>
          <w:bCs/>
          <w:color w:val="auto"/>
          <w:sz w:val="48"/>
          <w:szCs w:val="48"/>
          <w:highlight w:val="none"/>
        </w:rPr>
      </w:pPr>
      <w:r>
        <w:rPr>
          <w:rFonts w:hint="eastAsia" w:ascii="宋体" w:hAnsi="宋体" w:eastAsia="方正小标宋简体"/>
          <w:bCs/>
          <w:color w:val="auto"/>
          <w:sz w:val="48"/>
          <w:szCs w:val="48"/>
          <w:highlight w:val="none"/>
        </w:rPr>
        <w:t>电子投标文件</w:t>
      </w:r>
    </w:p>
    <w:p w14:paraId="72835174">
      <w:pPr>
        <w:snapToGrid w:val="0"/>
        <w:spacing w:before="120" w:beforeLines="50" w:after="50"/>
        <w:rPr>
          <w:rFonts w:ascii="宋体" w:hAnsi="宋体"/>
          <w:color w:val="auto"/>
          <w:sz w:val="24"/>
          <w:szCs w:val="20"/>
          <w:highlight w:val="none"/>
        </w:rPr>
      </w:pPr>
      <w:r>
        <w:rPr>
          <w:rFonts w:hint="eastAsia" w:ascii="宋体" w:hAnsi="宋体"/>
          <w:color w:val="auto"/>
          <w:sz w:val="24"/>
          <w:highlight w:val="none"/>
        </w:rPr>
        <w:t xml:space="preserve">                 </w:t>
      </w:r>
    </w:p>
    <w:p w14:paraId="524B06B5">
      <w:pPr>
        <w:snapToGrid w:val="0"/>
        <w:spacing w:before="120" w:beforeLines="50" w:after="50"/>
        <w:jc w:val="center"/>
        <w:rPr>
          <w:rFonts w:ascii="宋体" w:hAnsi="宋体"/>
          <w:b/>
          <w:color w:val="auto"/>
          <w:sz w:val="24"/>
          <w:szCs w:val="20"/>
          <w:highlight w:val="none"/>
        </w:rPr>
      </w:pPr>
      <w:r>
        <w:rPr>
          <w:rFonts w:hint="eastAsia" w:ascii="宋体" w:hAnsi="宋体"/>
          <w:b/>
          <w:color w:val="auto"/>
          <w:sz w:val="32"/>
          <w:szCs w:val="32"/>
          <w:highlight w:val="none"/>
        </w:rPr>
        <w:t>资格证明文件</w:t>
      </w:r>
    </w:p>
    <w:p w14:paraId="7A071195">
      <w:pPr>
        <w:snapToGrid w:val="0"/>
        <w:spacing w:before="120" w:beforeLines="50" w:after="50"/>
        <w:rPr>
          <w:rFonts w:ascii="宋体" w:hAnsi="宋体"/>
          <w:bCs/>
          <w:color w:val="auto"/>
          <w:sz w:val="24"/>
          <w:szCs w:val="20"/>
          <w:highlight w:val="none"/>
        </w:rPr>
      </w:pPr>
    </w:p>
    <w:p w14:paraId="268D9726">
      <w:pPr>
        <w:snapToGrid w:val="0"/>
        <w:spacing w:before="120" w:beforeLines="50" w:after="50"/>
        <w:rPr>
          <w:rFonts w:ascii="宋体" w:hAnsi="宋体"/>
          <w:bCs/>
          <w:color w:val="auto"/>
          <w:sz w:val="24"/>
          <w:szCs w:val="20"/>
          <w:highlight w:val="none"/>
        </w:rPr>
      </w:pPr>
    </w:p>
    <w:p w14:paraId="1621755F">
      <w:pPr>
        <w:snapToGrid w:val="0"/>
        <w:spacing w:before="120" w:beforeLines="50" w:after="50"/>
        <w:rPr>
          <w:rFonts w:ascii="宋体" w:hAnsi="宋体"/>
          <w:bCs/>
          <w:color w:val="auto"/>
          <w:sz w:val="24"/>
          <w:szCs w:val="20"/>
          <w:highlight w:val="none"/>
        </w:rPr>
      </w:pPr>
    </w:p>
    <w:p w14:paraId="012E01BA">
      <w:pPr>
        <w:snapToGrid w:val="0"/>
        <w:spacing w:before="120" w:beforeLines="50" w:after="50"/>
        <w:rPr>
          <w:rFonts w:ascii="宋体" w:hAnsi="宋体"/>
          <w:bCs/>
          <w:color w:val="auto"/>
          <w:sz w:val="24"/>
          <w:szCs w:val="20"/>
          <w:highlight w:val="none"/>
        </w:rPr>
      </w:pPr>
    </w:p>
    <w:p w14:paraId="4EE05E2C">
      <w:pPr>
        <w:snapToGrid w:val="0"/>
        <w:spacing w:before="120" w:beforeLines="50" w:after="50"/>
        <w:rPr>
          <w:rFonts w:ascii="宋体" w:hAnsi="宋体"/>
          <w:bCs/>
          <w:color w:val="auto"/>
          <w:sz w:val="24"/>
          <w:szCs w:val="20"/>
          <w:highlight w:val="none"/>
        </w:rPr>
      </w:pPr>
    </w:p>
    <w:p w14:paraId="014AFB93">
      <w:pPr>
        <w:snapToGrid w:val="0"/>
        <w:spacing w:before="120" w:beforeLines="50" w:after="50"/>
        <w:rPr>
          <w:rFonts w:ascii="宋体" w:hAnsi="宋体"/>
          <w:bCs/>
          <w:color w:val="auto"/>
          <w:sz w:val="24"/>
          <w:szCs w:val="20"/>
          <w:highlight w:val="none"/>
        </w:rPr>
      </w:pPr>
    </w:p>
    <w:p w14:paraId="60D95868">
      <w:pPr>
        <w:snapToGrid w:val="0"/>
        <w:spacing w:before="120" w:beforeLines="50" w:after="50"/>
        <w:rPr>
          <w:rFonts w:ascii="宋体" w:hAnsi="宋体"/>
          <w:bCs/>
          <w:color w:val="auto"/>
          <w:sz w:val="24"/>
          <w:szCs w:val="20"/>
          <w:highlight w:val="none"/>
        </w:rPr>
      </w:pPr>
    </w:p>
    <w:p w14:paraId="16FB24F4">
      <w:pPr>
        <w:snapToGrid w:val="0"/>
        <w:spacing w:before="120" w:beforeLines="50" w:after="50"/>
        <w:ind w:firstLine="540" w:firstLineChars="225"/>
        <w:rPr>
          <w:rFonts w:ascii="宋体" w:hAnsi="宋体"/>
          <w:bCs/>
          <w:color w:val="auto"/>
          <w:sz w:val="24"/>
          <w:highlight w:val="none"/>
        </w:rPr>
      </w:pPr>
      <w:r>
        <w:rPr>
          <w:rFonts w:hint="eastAsia" w:ascii="宋体" w:hAnsi="宋体"/>
          <w:bCs/>
          <w:color w:val="auto"/>
          <w:sz w:val="24"/>
          <w:highlight w:val="none"/>
        </w:rPr>
        <w:t>项目名称：</w:t>
      </w:r>
    </w:p>
    <w:p w14:paraId="6983F6C6">
      <w:pPr>
        <w:snapToGrid w:val="0"/>
        <w:spacing w:before="120" w:beforeLines="50" w:after="50"/>
        <w:ind w:firstLine="540" w:firstLineChars="225"/>
        <w:rPr>
          <w:rFonts w:ascii="宋体" w:hAnsi="宋体"/>
          <w:bCs/>
          <w:color w:val="auto"/>
          <w:sz w:val="24"/>
          <w:szCs w:val="20"/>
          <w:highlight w:val="none"/>
        </w:rPr>
      </w:pPr>
    </w:p>
    <w:p w14:paraId="5A98460C">
      <w:pPr>
        <w:snapToGrid w:val="0"/>
        <w:spacing w:before="120" w:beforeLines="50" w:after="50"/>
        <w:ind w:firstLine="540" w:firstLineChars="225"/>
        <w:rPr>
          <w:rFonts w:ascii="宋体" w:hAnsi="宋体"/>
          <w:bCs/>
          <w:color w:val="auto"/>
          <w:sz w:val="24"/>
          <w:highlight w:val="none"/>
        </w:rPr>
      </w:pPr>
      <w:r>
        <w:rPr>
          <w:rFonts w:hint="eastAsia" w:ascii="宋体" w:hAnsi="宋体"/>
          <w:bCs/>
          <w:color w:val="auto"/>
          <w:sz w:val="24"/>
          <w:highlight w:val="none"/>
        </w:rPr>
        <w:t>项目编号：</w:t>
      </w:r>
    </w:p>
    <w:p w14:paraId="57C9B3D1">
      <w:pPr>
        <w:snapToGrid w:val="0"/>
        <w:spacing w:before="120" w:beforeLines="50" w:after="50"/>
        <w:ind w:firstLine="540" w:firstLineChars="225"/>
        <w:rPr>
          <w:rFonts w:ascii="宋体" w:hAnsi="宋体"/>
          <w:bCs/>
          <w:color w:val="auto"/>
          <w:sz w:val="24"/>
          <w:szCs w:val="20"/>
          <w:highlight w:val="none"/>
        </w:rPr>
      </w:pPr>
      <w:r>
        <w:rPr>
          <w:rFonts w:hint="eastAsia" w:ascii="宋体" w:hAnsi="宋体"/>
          <w:bCs/>
          <w:color w:val="auto"/>
          <w:sz w:val="24"/>
          <w:highlight w:val="none"/>
        </w:rPr>
        <w:t xml:space="preserve"> </w:t>
      </w:r>
    </w:p>
    <w:p w14:paraId="34568CED">
      <w:pPr>
        <w:snapToGrid w:val="0"/>
        <w:spacing w:before="120" w:beforeLines="50" w:after="50"/>
        <w:ind w:firstLine="540" w:firstLineChars="225"/>
        <w:rPr>
          <w:rFonts w:ascii="宋体" w:hAnsi="宋体"/>
          <w:bCs/>
          <w:color w:val="auto"/>
          <w:sz w:val="24"/>
          <w:highlight w:val="none"/>
        </w:rPr>
      </w:pPr>
      <w:r>
        <w:rPr>
          <w:rFonts w:hint="eastAsia" w:ascii="宋体" w:hAnsi="宋体"/>
          <w:bCs/>
          <w:color w:val="auto"/>
          <w:sz w:val="24"/>
          <w:highlight w:val="none"/>
        </w:rPr>
        <w:t>所投分标：</w:t>
      </w:r>
    </w:p>
    <w:p w14:paraId="530308CA">
      <w:pPr>
        <w:pStyle w:val="7"/>
        <w:snapToGrid w:val="0"/>
        <w:spacing w:before="50" w:after="50"/>
        <w:ind w:firstLine="540" w:firstLineChars="225"/>
        <w:rPr>
          <w:rFonts w:ascii="宋体" w:hAnsi="宋体"/>
          <w:bCs/>
          <w:color w:val="auto"/>
          <w:sz w:val="24"/>
          <w:szCs w:val="24"/>
          <w:highlight w:val="none"/>
        </w:rPr>
      </w:pPr>
    </w:p>
    <w:p w14:paraId="6E35B392">
      <w:pPr>
        <w:pStyle w:val="7"/>
        <w:snapToGrid w:val="0"/>
        <w:spacing w:before="50" w:after="50"/>
        <w:ind w:firstLine="540" w:firstLineChars="225"/>
        <w:rPr>
          <w:rFonts w:ascii="宋体" w:hAnsi="宋体"/>
          <w:bCs/>
          <w:color w:val="auto"/>
          <w:sz w:val="24"/>
          <w:szCs w:val="24"/>
          <w:highlight w:val="none"/>
        </w:rPr>
      </w:pPr>
      <w:r>
        <w:rPr>
          <w:rFonts w:hint="eastAsia" w:ascii="宋体" w:hAnsi="宋体"/>
          <w:bCs/>
          <w:color w:val="auto"/>
          <w:sz w:val="24"/>
          <w:szCs w:val="24"/>
          <w:highlight w:val="none"/>
        </w:rPr>
        <w:t>投标人名称：</w:t>
      </w:r>
    </w:p>
    <w:p w14:paraId="6C76322F">
      <w:pPr>
        <w:pStyle w:val="7"/>
        <w:snapToGrid w:val="0"/>
        <w:spacing w:before="50" w:after="50"/>
        <w:ind w:firstLine="540" w:firstLineChars="225"/>
        <w:rPr>
          <w:rFonts w:ascii="宋体" w:hAnsi="宋体"/>
          <w:bCs/>
          <w:color w:val="auto"/>
          <w:sz w:val="24"/>
          <w:szCs w:val="24"/>
          <w:highlight w:val="none"/>
        </w:rPr>
      </w:pPr>
    </w:p>
    <w:p w14:paraId="44FB8D02">
      <w:pPr>
        <w:pStyle w:val="7"/>
        <w:snapToGrid w:val="0"/>
        <w:spacing w:before="50" w:after="50"/>
        <w:ind w:firstLine="960" w:firstLineChars="400"/>
        <w:rPr>
          <w:rFonts w:ascii="宋体" w:hAnsi="宋体"/>
          <w:bCs/>
          <w:color w:val="auto"/>
          <w:sz w:val="24"/>
          <w:szCs w:val="24"/>
          <w:highlight w:val="none"/>
        </w:rPr>
      </w:pPr>
    </w:p>
    <w:p w14:paraId="2032BEC4">
      <w:pPr>
        <w:snapToGrid w:val="0"/>
        <w:spacing w:before="120" w:beforeLines="50" w:after="50"/>
        <w:ind w:firstLine="645"/>
        <w:jc w:val="center"/>
        <w:rPr>
          <w:rFonts w:ascii="宋体" w:hAnsi="宋体"/>
          <w:color w:val="auto"/>
          <w:sz w:val="24"/>
          <w:highlight w:val="none"/>
        </w:rPr>
      </w:pPr>
      <w:r>
        <w:rPr>
          <w:rFonts w:hint="eastAsia" w:ascii="宋体" w:hAnsi="宋体"/>
          <w:color w:val="auto"/>
          <w:sz w:val="24"/>
          <w:highlight w:val="none"/>
        </w:rPr>
        <w:t>年  月  日</w:t>
      </w:r>
    </w:p>
    <w:p w14:paraId="1FEAAE4D">
      <w:pPr>
        <w:snapToGrid w:val="0"/>
        <w:spacing w:before="120" w:beforeLines="50" w:after="50"/>
        <w:rPr>
          <w:rFonts w:ascii="宋体" w:hAnsi="宋体"/>
          <w:color w:val="auto"/>
          <w:sz w:val="24"/>
          <w:szCs w:val="20"/>
          <w:highlight w:val="none"/>
        </w:rPr>
      </w:pPr>
      <w:r>
        <w:rPr>
          <w:rFonts w:ascii="宋体" w:hAnsi="宋体"/>
          <w:color w:val="auto"/>
          <w:sz w:val="24"/>
          <w:szCs w:val="20"/>
          <w:highlight w:val="none"/>
        </w:rPr>
        <w:t xml:space="preserve"> </w:t>
      </w:r>
    </w:p>
    <w:p w14:paraId="0BB6CC5D">
      <w:pPr>
        <w:snapToGrid w:val="0"/>
        <w:spacing w:before="120" w:beforeLines="50" w:after="50"/>
        <w:rPr>
          <w:rFonts w:ascii="宋体" w:hAnsi="宋体"/>
          <w:color w:val="auto"/>
          <w:sz w:val="24"/>
          <w:szCs w:val="20"/>
          <w:highlight w:val="none"/>
        </w:rPr>
      </w:pPr>
    </w:p>
    <w:p w14:paraId="3371D01E">
      <w:pPr>
        <w:snapToGrid w:val="0"/>
        <w:spacing w:before="120" w:beforeLines="50" w:after="50" w:line="360" w:lineRule="auto"/>
        <w:jc w:val="left"/>
        <w:outlineLvl w:val="2"/>
        <w:rPr>
          <w:rFonts w:ascii="宋体" w:hAnsi="宋体"/>
          <w:color w:val="auto"/>
          <w:sz w:val="24"/>
          <w:szCs w:val="20"/>
          <w:highlight w:val="none"/>
        </w:rPr>
      </w:pPr>
      <w:r>
        <w:rPr>
          <w:rFonts w:ascii="宋体" w:hAnsi="宋体"/>
          <w:b/>
          <w:bCs/>
          <w:color w:val="auto"/>
          <w:sz w:val="24"/>
          <w:highlight w:val="none"/>
        </w:rPr>
        <w:br w:type="page"/>
      </w:r>
      <w:r>
        <w:rPr>
          <w:rFonts w:hint="eastAsia" w:ascii="宋体" w:hAnsi="宋体"/>
          <w:b/>
          <w:bCs/>
          <w:color w:val="auto"/>
          <w:sz w:val="24"/>
          <w:highlight w:val="none"/>
        </w:rPr>
        <w:t>2.资格证明文件目录</w:t>
      </w:r>
    </w:p>
    <w:p w14:paraId="7F733C43">
      <w:pPr>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根据招标文件规定及投标人提供的材料自行编写目录。</w:t>
      </w:r>
    </w:p>
    <w:p w14:paraId="34365E8D">
      <w:pPr>
        <w:snapToGrid w:val="0"/>
        <w:spacing w:before="50" w:after="120" w:afterLines="50"/>
        <w:jc w:val="left"/>
        <w:rPr>
          <w:rFonts w:ascii="宋体" w:hAnsi="宋体"/>
          <w:color w:val="auto"/>
          <w:sz w:val="24"/>
          <w:highlight w:val="none"/>
        </w:rPr>
      </w:pPr>
    </w:p>
    <w:p w14:paraId="0A841166">
      <w:pPr>
        <w:snapToGrid w:val="0"/>
        <w:spacing w:before="50" w:after="120" w:afterLines="50"/>
        <w:jc w:val="left"/>
        <w:rPr>
          <w:rFonts w:ascii="宋体" w:hAnsi="宋体"/>
          <w:color w:val="auto"/>
          <w:sz w:val="24"/>
          <w:highlight w:val="none"/>
        </w:rPr>
      </w:pPr>
    </w:p>
    <w:p w14:paraId="1B13F6DB">
      <w:pPr>
        <w:snapToGrid w:val="0"/>
        <w:spacing w:before="120" w:beforeLines="50" w:after="50"/>
        <w:jc w:val="left"/>
        <w:outlineLvl w:val="2"/>
        <w:rPr>
          <w:rFonts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4"/>
          <w:highlight w:val="none"/>
        </w:rPr>
        <w:t>3.</w:t>
      </w:r>
      <w:r>
        <w:rPr>
          <w:rFonts w:hint="eastAsia" w:ascii="宋体" w:hAnsi="宋体"/>
          <w:b/>
          <w:color w:val="auto"/>
          <w:sz w:val="28"/>
          <w:szCs w:val="28"/>
          <w:highlight w:val="none"/>
        </w:rPr>
        <w:t>投标人直接控股股东信息表</w:t>
      </w:r>
    </w:p>
    <w:p w14:paraId="2C6E0606">
      <w:pPr>
        <w:snapToGrid w:val="0"/>
        <w:spacing w:before="50" w:after="120" w:afterLines="50"/>
        <w:jc w:val="center"/>
        <w:rPr>
          <w:rFonts w:ascii="宋体" w:hAnsi="宋体"/>
          <w:b/>
          <w:color w:val="auto"/>
          <w:sz w:val="28"/>
          <w:szCs w:val="28"/>
          <w:highlight w:val="none"/>
        </w:rPr>
      </w:pPr>
    </w:p>
    <w:p w14:paraId="716520E2">
      <w:pPr>
        <w:snapToGrid w:val="0"/>
        <w:spacing w:before="50" w:after="120" w:afterLines="50" w:line="360" w:lineRule="auto"/>
        <w:jc w:val="center"/>
        <w:rPr>
          <w:rFonts w:ascii="宋体" w:hAnsi="宋体"/>
          <w:b/>
          <w:color w:val="auto"/>
          <w:sz w:val="32"/>
          <w:szCs w:val="32"/>
          <w:highlight w:val="none"/>
        </w:rPr>
      </w:pPr>
      <w:r>
        <w:rPr>
          <w:rFonts w:hint="eastAsia" w:ascii="宋体" w:hAnsi="宋体"/>
          <w:b/>
          <w:color w:val="auto"/>
          <w:sz w:val="32"/>
          <w:szCs w:val="32"/>
          <w:highlight w:val="none"/>
        </w:rPr>
        <w:t>投标人直接控股股东信息表</w:t>
      </w:r>
    </w:p>
    <w:tbl>
      <w:tblPr>
        <w:tblStyle w:val="47"/>
        <w:tblW w:w="0" w:type="auto"/>
        <w:tblInd w:w="0" w:type="dxa"/>
        <w:shd w:val="clear" w:color="auto" w:fill="FBFBFB"/>
        <w:tblLayout w:type="fixed"/>
        <w:tblCellMar>
          <w:top w:w="0" w:type="dxa"/>
          <w:left w:w="0" w:type="dxa"/>
          <w:bottom w:w="0" w:type="dxa"/>
          <w:right w:w="0" w:type="dxa"/>
        </w:tblCellMar>
      </w:tblPr>
      <w:tblGrid>
        <w:gridCol w:w="726"/>
        <w:gridCol w:w="1992"/>
        <w:gridCol w:w="1087"/>
        <w:gridCol w:w="3267"/>
        <w:gridCol w:w="1245"/>
      </w:tblGrid>
      <w:tr w14:paraId="1AFC5B3B">
        <w:tblPrEx>
          <w:shd w:val="clear" w:color="auto" w:fill="FBFBFB"/>
          <w:tblCellMar>
            <w:top w:w="0" w:type="dxa"/>
            <w:left w:w="0" w:type="dxa"/>
            <w:bottom w:w="0" w:type="dxa"/>
            <w:right w:w="0" w:type="dxa"/>
          </w:tblCellMar>
        </w:tblPrEx>
        <w:trPr>
          <w:trHeight w:val="1170" w:hRule="atLeast"/>
          <w:tblHeader/>
        </w:trPr>
        <w:tc>
          <w:tcPr>
            <w:tcW w:w="726"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E62C68E">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1992"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601D623">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087"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CBC232C">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3267"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55C26B3">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124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6127C4CC">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4950F677">
        <w:tblPrEx>
          <w:shd w:val="clear" w:color="auto" w:fill="FBFBFB"/>
          <w:tblCellMar>
            <w:top w:w="0" w:type="dxa"/>
            <w:left w:w="0" w:type="dxa"/>
            <w:bottom w:w="0" w:type="dxa"/>
            <w:right w:w="0" w:type="dxa"/>
          </w:tblCellMar>
        </w:tblPrEx>
        <w:trPr>
          <w:trHeight w:val="708" w:hRule="atLeast"/>
        </w:trPr>
        <w:tc>
          <w:tcPr>
            <w:tcW w:w="726"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2C6B078">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199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20303A7">
            <w:pPr>
              <w:spacing w:line="360" w:lineRule="auto"/>
              <w:jc w:val="center"/>
              <w:rPr>
                <w:rFonts w:ascii="宋体" w:hAnsi="宋体" w:cs="宋体"/>
                <w:color w:val="auto"/>
                <w:kern w:val="0"/>
                <w:sz w:val="24"/>
                <w:highlight w:val="none"/>
              </w:rPr>
            </w:pPr>
          </w:p>
        </w:tc>
        <w:tc>
          <w:tcPr>
            <w:tcW w:w="108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65F3C18">
            <w:pPr>
              <w:spacing w:line="360" w:lineRule="auto"/>
              <w:jc w:val="center"/>
              <w:rPr>
                <w:rFonts w:ascii="宋体" w:hAnsi="宋体" w:cs="宋体"/>
                <w:color w:val="auto"/>
                <w:kern w:val="0"/>
                <w:sz w:val="24"/>
                <w:highlight w:val="none"/>
              </w:rPr>
            </w:pPr>
          </w:p>
        </w:tc>
        <w:tc>
          <w:tcPr>
            <w:tcW w:w="326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16A753E">
            <w:pPr>
              <w:spacing w:line="360" w:lineRule="auto"/>
              <w:jc w:val="center"/>
              <w:rPr>
                <w:rFonts w:ascii="宋体" w:hAnsi="宋体" w:cs="宋体"/>
                <w:color w:val="auto"/>
                <w:kern w:val="0"/>
                <w:sz w:val="24"/>
                <w:highlight w:val="none"/>
              </w:rPr>
            </w:pPr>
          </w:p>
        </w:tc>
        <w:tc>
          <w:tcPr>
            <w:tcW w:w="124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C121863">
            <w:pPr>
              <w:spacing w:line="360" w:lineRule="auto"/>
              <w:jc w:val="center"/>
              <w:rPr>
                <w:rFonts w:ascii="宋体" w:hAnsi="宋体" w:cs="宋体"/>
                <w:color w:val="auto"/>
                <w:kern w:val="0"/>
                <w:sz w:val="24"/>
                <w:highlight w:val="none"/>
              </w:rPr>
            </w:pPr>
          </w:p>
        </w:tc>
      </w:tr>
      <w:tr w14:paraId="51461C52">
        <w:tblPrEx>
          <w:shd w:val="clear" w:color="auto" w:fill="FBFBFB"/>
          <w:tblCellMar>
            <w:top w:w="0" w:type="dxa"/>
            <w:left w:w="0" w:type="dxa"/>
            <w:bottom w:w="0" w:type="dxa"/>
            <w:right w:w="0" w:type="dxa"/>
          </w:tblCellMar>
        </w:tblPrEx>
        <w:trPr>
          <w:trHeight w:val="708" w:hRule="atLeast"/>
        </w:trPr>
        <w:tc>
          <w:tcPr>
            <w:tcW w:w="726"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C5F0F50">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199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DE6517E">
            <w:pPr>
              <w:spacing w:line="360" w:lineRule="auto"/>
              <w:jc w:val="center"/>
              <w:rPr>
                <w:rFonts w:ascii="宋体" w:hAnsi="宋体" w:cs="宋体"/>
                <w:color w:val="auto"/>
                <w:kern w:val="0"/>
                <w:sz w:val="24"/>
                <w:highlight w:val="none"/>
              </w:rPr>
            </w:pPr>
          </w:p>
        </w:tc>
        <w:tc>
          <w:tcPr>
            <w:tcW w:w="108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DDAA10D">
            <w:pPr>
              <w:spacing w:line="360" w:lineRule="auto"/>
              <w:jc w:val="center"/>
              <w:rPr>
                <w:rFonts w:ascii="宋体" w:hAnsi="宋体" w:cs="宋体"/>
                <w:color w:val="auto"/>
                <w:kern w:val="0"/>
                <w:sz w:val="24"/>
                <w:highlight w:val="none"/>
              </w:rPr>
            </w:pPr>
          </w:p>
        </w:tc>
        <w:tc>
          <w:tcPr>
            <w:tcW w:w="326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2C3C040">
            <w:pPr>
              <w:spacing w:line="360" w:lineRule="auto"/>
              <w:jc w:val="center"/>
              <w:rPr>
                <w:rFonts w:ascii="宋体" w:hAnsi="宋体" w:cs="宋体"/>
                <w:color w:val="auto"/>
                <w:kern w:val="0"/>
                <w:sz w:val="24"/>
                <w:highlight w:val="none"/>
              </w:rPr>
            </w:pPr>
          </w:p>
        </w:tc>
        <w:tc>
          <w:tcPr>
            <w:tcW w:w="124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A59ADFF">
            <w:pPr>
              <w:spacing w:line="360" w:lineRule="auto"/>
              <w:jc w:val="center"/>
              <w:rPr>
                <w:rFonts w:ascii="宋体" w:hAnsi="宋体" w:cs="宋体"/>
                <w:color w:val="auto"/>
                <w:kern w:val="0"/>
                <w:sz w:val="24"/>
                <w:highlight w:val="none"/>
              </w:rPr>
            </w:pPr>
          </w:p>
        </w:tc>
      </w:tr>
      <w:tr w14:paraId="2A1AA1DB">
        <w:tblPrEx>
          <w:shd w:val="clear" w:color="auto" w:fill="FBFBFB"/>
          <w:tblCellMar>
            <w:top w:w="0" w:type="dxa"/>
            <w:left w:w="0" w:type="dxa"/>
            <w:bottom w:w="0" w:type="dxa"/>
            <w:right w:w="0" w:type="dxa"/>
          </w:tblCellMar>
        </w:tblPrEx>
        <w:trPr>
          <w:trHeight w:val="708" w:hRule="atLeast"/>
        </w:trPr>
        <w:tc>
          <w:tcPr>
            <w:tcW w:w="726"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D0CD1A9">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199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868BA6C">
            <w:pPr>
              <w:spacing w:line="360" w:lineRule="auto"/>
              <w:jc w:val="center"/>
              <w:rPr>
                <w:rFonts w:ascii="宋体" w:hAnsi="宋体" w:cs="宋体"/>
                <w:color w:val="auto"/>
                <w:kern w:val="0"/>
                <w:sz w:val="24"/>
                <w:highlight w:val="none"/>
              </w:rPr>
            </w:pPr>
          </w:p>
        </w:tc>
        <w:tc>
          <w:tcPr>
            <w:tcW w:w="108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D946EB9">
            <w:pPr>
              <w:spacing w:line="360" w:lineRule="auto"/>
              <w:jc w:val="center"/>
              <w:rPr>
                <w:rFonts w:ascii="宋体" w:hAnsi="宋体" w:cs="宋体"/>
                <w:color w:val="auto"/>
                <w:kern w:val="0"/>
                <w:sz w:val="24"/>
                <w:highlight w:val="none"/>
              </w:rPr>
            </w:pPr>
          </w:p>
        </w:tc>
        <w:tc>
          <w:tcPr>
            <w:tcW w:w="326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18E8FF2">
            <w:pPr>
              <w:spacing w:line="360" w:lineRule="auto"/>
              <w:jc w:val="center"/>
              <w:rPr>
                <w:rFonts w:ascii="宋体" w:hAnsi="宋体" w:cs="宋体"/>
                <w:color w:val="auto"/>
                <w:kern w:val="0"/>
                <w:sz w:val="24"/>
                <w:highlight w:val="none"/>
              </w:rPr>
            </w:pPr>
          </w:p>
        </w:tc>
        <w:tc>
          <w:tcPr>
            <w:tcW w:w="124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74293D1">
            <w:pPr>
              <w:spacing w:line="360" w:lineRule="auto"/>
              <w:jc w:val="center"/>
              <w:rPr>
                <w:rFonts w:ascii="宋体" w:hAnsi="宋体" w:cs="宋体"/>
                <w:color w:val="auto"/>
                <w:kern w:val="0"/>
                <w:sz w:val="24"/>
                <w:highlight w:val="none"/>
              </w:rPr>
            </w:pPr>
          </w:p>
        </w:tc>
      </w:tr>
      <w:tr w14:paraId="5D8A9B8E">
        <w:tblPrEx>
          <w:shd w:val="clear" w:color="auto" w:fill="FBFBFB"/>
          <w:tblCellMar>
            <w:top w:w="0" w:type="dxa"/>
            <w:left w:w="0" w:type="dxa"/>
            <w:bottom w:w="0" w:type="dxa"/>
            <w:right w:w="0" w:type="dxa"/>
          </w:tblCellMar>
        </w:tblPrEx>
        <w:trPr>
          <w:trHeight w:val="718" w:hRule="atLeast"/>
        </w:trPr>
        <w:tc>
          <w:tcPr>
            <w:tcW w:w="726"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11C1374">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199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FFDE82F">
            <w:pPr>
              <w:spacing w:line="360" w:lineRule="auto"/>
              <w:jc w:val="center"/>
              <w:rPr>
                <w:rFonts w:ascii="宋体" w:hAnsi="宋体" w:cs="宋体"/>
                <w:color w:val="auto"/>
                <w:kern w:val="0"/>
                <w:sz w:val="24"/>
                <w:highlight w:val="none"/>
              </w:rPr>
            </w:pPr>
          </w:p>
        </w:tc>
        <w:tc>
          <w:tcPr>
            <w:tcW w:w="108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1439574">
            <w:pPr>
              <w:spacing w:line="360" w:lineRule="auto"/>
              <w:jc w:val="center"/>
              <w:rPr>
                <w:rFonts w:ascii="宋体" w:hAnsi="宋体" w:cs="宋体"/>
                <w:color w:val="auto"/>
                <w:kern w:val="0"/>
                <w:sz w:val="24"/>
                <w:highlight w:val="none"/>
              </w:rPr>
            </w:pPr>
          </w:p>
        </w:tc>
        <w:tc>
          <w:tcPr>
            <w:tcW w:w="326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017A120">
            <w:pPr>
              <w:spacing w:line="360" w:lineRule="auto"/>
              <w:jc w:val="center"/>
              <w:rPr>
                <w:rFonts w:ascii="宋体" w:hAnsi="宋体" w:cs="宋体"/>
                <w:color w:val="auto"/>
                <w:kern w:val="0"/>
                <w:sz w:val="24"/>
                <w:highlight w:val="none"/>
              </w:rPr>
            </w:pPr>
          </w:p>
        </w:tc>
        <w:tc>
          <w:tcPr>
            <w:tcW w:w="124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46BCA1F">
            <w:pPr>
              <w:spacing w:line="360" w:lineRule="auto"/>
              <w:jc w:val="center"/>
              <w:rPr>
                <w:rFonts w:ascii="宋体" w:hAnsi="宋体" w:cs="宋体"/>
                <w:color w:val="auto"/>
                <w:kern w:val="0"/>
                <w:sz w:val="24"/>
                <w:highlight w:val="none"/>
              </w:rPr>
            </w:pPr>
          </w:p>
        </w:tc>
      </w:tr>
    </w:tbl>
    <w:p w14:paraId="56E64CA6">
      <w:pPr>
        <w:snapToGrid w:val="0"/>
        <w:spacing w:line="360" w:lineRule="auto"/>
        <w:jc w:val="left"/>
        <w:rPr>
          <w:rFonts w:ascii="宋体" w:hAnsi="宋体"/>
          <w:color w:val="auto"/>
          <w:sz w:val="24"/>
          <w:highlight w:val="none"/>
        </w:rPr>
      </w:pPr>
      <w:r>
        <w:rPr>
          <w:rFonts w:hint="eastAsia" w:ascii="宋体" w:hAnsi="宋体"/>
          <w:color w:val="auto"/>
          <w:sz w:val="24"/>
          <w:highlight w:val="none"/>
        </w:rPr>
        <w:t>注：</w:t>
      </w:r>
    </w:p>
    <w:p w14:paraId="15D1718B">
      <w:pPr>
        <w:snapToGrid w:val="0"/>
        <w:spacing w:line="360" w:lineRule="auto"/>
        <w:jc w:val="left"/>
        <w:rPr>
          <w:rFonts w:ascii="宋体" w:hAnsi="宋体"/>
          <w:color w:val="auto"/>
          <w:sz w:val="24"/>
          <w:highlight w:val="none"/>
        </w:rPr>
      </w:pPr>
      <w:r>
        <w:rPr>
          <w:rFonts w:hint="eastAsia" w:ascii="宋体" w:hAnsi="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2CF3011D">
      <w:pPr>
        <w:snapToGrid w:val="0"/>
        <w:spacing w:line="360" w:lineRule="auto"/>
        <w:jc w:val="left"/>
        <w:rPr>
          <w:rFonts w:ascii="宋体" w:hAnsi="宋体"/>
          <w:color w:val="auto"/>
          <w:sz w:val="24"/>
          <w:highlight w:val="none"/>
        </w:rPr>
      </w:pPr>
      <w:r>
        <w:rPr>
          <w:rFonts w:hint="eastAsia" w:ascii="宋体" w:hAnsi="宋体"/>
          <w:color w:val="auto"/>
          <w:sz w:val="24"/>
          <w:highlight w:val="none"/>
        </w:rPr>
        <w:t>2.本表所指的控股关系仅限于直接控股关系，不包括间接的控股关系。公司实际控制人与公司之间的关系不属于本表所指的直接控股关系。</w:t>
      </w:r>
    </w:p>
    <w:p w14:paraId="06C5851B">
      <w:pPr>
        <w:snapToGrid w:val="0"/>
        <w:spacing w:line="360" w:lineRule="auto"/>
        <w:jc w:val="left"/>
        <w:rPr>
          <w:rFonts w:ascii="宋体" w:hAnsi="宋体"/>
          <w:color w:val="auto"/>
          <w:sz w:val="24"/>
          <w:highlight w:val="none"/>
        </w:rPr>
      </w:pPr>
      <w:r>
        <w:rPr>
          <w:rFonts w:hint="eastAsia" w:ascii="宋体" w:hAnsi="宋体"/>
          <w:color w:val="auto"/>
          <w:sz w:val="24"/>
          <w:highlight w:val="none"/>
        </w:rPr>
        <w:t>3.供应商不存在直接控股股东的，则在“</w:t>
      </w:r>
      <w:r>
        <w:rPr>
          <w:rFonts w:hint="eastAsia" w:ascii="宋体" w:hAnsi="宋体" w:cs="宋体"/>
          <w:b/>
          <w:bCs/>
          <w:color w:val="auto"/>
          <w:kern w:val="0"/>
          <w:sz w:val="24"/>
          <w:highlight w:val="none"/>
        </w:rPr>
        <w:t>直接控股股东名称</w:t>
      </w:r>
      <w:r>
        <w:rPr>
          <w:rFonts w:hint="eastAsia" w:ascii="宋体" w:hAnsi="宋体"/>
          <w:color w:val="auto"/>
          <w:sz w:val="24"/>
          <w:highlight w:val="none"/>
        </w:rPr>
        <w:t>”中填“无”。</w:t>
      </w:r>
    </w:p>
    <w:p w14:paraId="6B80B0AC">
      <w:pPr>
        <w:snapToGrid w:val="0"/>
        <w:spacing w:line="360" w:lineRule="auto"/>
        <w:jc w:val="left"/>
        <w:rPr>
          <w:rFonts w:ascii="宋体" w:hAnsi="宋体"/>
          <w:color w:val="auto"/>
          <w:sz w:val="24"/>
          <w:highlight w:val="none"/>
        </w:rPr>
      </w:pPr>
    </w:p>
    <w:p w14:paraId="1D48A228">
      <w:pPr>
        <w:snapToGrid w:val="0"/>
        <w:spacing w:line="360" w:lineRule="auto"/>
        <w:jc w:val="left"/>
        <w:rPr>
          <w:rFonts w:ascii="宋体" w:hAnsi="宋体"/>
          <w:color w:val="auto"/>
          <w:sz w:val="24"/>
          <w:highlight w:val="none"/>
        </w:rPr>
      </w:pPr>
    </w:p>
    <w:p w14:paraId="33A42255">
      <w:pPr>
        <w:snapToGrid w:val="0"/>
        <w:spacing w:line="360" w:lineRule="auto"/>
        <w:jc w:val="left"/>
        <w:rPr>
          <w:rFonts w:ascii="宋体" w:hAnsi="宋体"/>
          <w:color w:val="auto"/>
          <w:sz w:val="24"/>
          <w:highlight w:val="none"/>
        </w:rPr>
      </w:pPr>
    </w:p>
    <w:p w14:paraId="4A508FC1">
      <w:pPr>
        <w:snapToGrid w:val="0"/>
        <w:spacing w:line="360" w:lineRule="auto"/>
        <w:ind w:left="-2" w:leftChars="-1" w:right="-817" w:rightChars="-389"/>
        <w:rPr>
          <w:rFonts w:ascii="宋体" w:hAnsi="宋体"/>
          <w:color w:val="auto"/>
          <w:sz w:val="24"/>
          <w:highlight w:val="none"/>
        </w:rPr>
      </w:pPr>
      <w:r>
        <w:rPr>
          <w:rFonts w:hint="eastAsia" w:ascii="宋体" w:hAnsi="宋体"/>
          <w:color w:val="auto"/>
          <w:sz w:val="24"/>
          <w:highlight w:val="none"/>
        </w:rPr>
        <w:t xml:space="preserve">             法定代表人或者委托代理人（签字或者电子签名）：</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14:paraId="38A9895C">
      <w:pPr>
        <w:snapToGrid w:val="0"/>
        <w:spacing w:line="360" w:lineRule="auto"/>
        <w:ind w:left="-3" w:leftChars="-15" w:right="-817" w:rightChars="-389" w:hanging="28" w:hangingChars="12"/>
        <w:rPr>
          <w:rFonts w:ascii="宋体" w:hAnsi="宋体"/>
          <w:color w:val="auto"/>
          <w:sz w:val="24"/>
          <w:highlight w:val="none"/>
          <w:u w:val="single"/>
        </w:rPr>
      </w:pPr>
      <w:r>
        <w:rPr>
          <w:rFonts w:hint="eastAsia" w:ascii="宋体" w:hAnsi="宋体"/>
          <w:color w:val="auto"/>
          <w:sz w:val="24"/>
          <w:highlight w:val="none"/>
        </w:rPr>
        <w:t xml:space="preserve">                                    投标人名称（电子签章）：</w:t>
      </w:r>
      <w:r>
        <w:rPr>
          <w:rFonts w:hint="eastAsia" w:ascii="宋体" w:hAnsi="宋体"/>
          <w:color w:val="auto"/>
          <w:sz w:val="24"/>
          <w:highlight w:val="none"/>
          <w:u w:val="single"/>
        </w:rPr>
        <w:t xml:space="preserve">             </w:t>
      </w:r>
    </w:p>
    <w:p w14:paraId="2885B0A3">
      <w:pPr>
        <w:snapToGrid w:val="0"/>
        <w:spacing w:line="360" w:lineRule="auto"/>
        <w:jc w:val="left"/>
        <w:rPr>
          <w:rFonts w:ascii="宋体" w:hAnsi="宋体"/>
          <w:color w:val="auto"/>
          <w:szCs w:val="21"/>
          <w:highlight w:val="none"/>
        </w:rPr>
      </w:pPr>
      <w:r>
        <w:rPr>
          <w:rFonts w:hint="eastAsia" w:ascii="宋体" w:hAnsi="宋体"/>
          <w:color w:val="auto"/>
          <w:sz w:val="24"/>
          <w:highlight w:val="none"/>
        </w:rPr>
        <w:t xml:space="preserve">                                    日期：    年   月   日</w:t>
      </w:r>
    </w:p>
    <w:p w14:paraId="24B4D0FF">
      <w:pPr>
        <w:snapToGrid w:val="0"/>
        <w:jc w:val="center"/>
        <w:rPr>
          <w:rFonts w:ascii="宋体" w:hAnsi="宋体"/>
          <w:b/>
          <w:color w:val="auto"/>
          <w:sz w:val="28"/>
          <w:szCs w:val="28"/>
          <w:highlight w:val="none"/>
        </w:rPr>
      </w:pPr>
    </w:p>
    <w:p w14:paraId="3084CB50">
      <w:pPr>
        <w:snapToGrid w:val="0"/>
        <w:spacing w:line="360" w:lineRule="auto"/>
        <w:jc w:val="left"/>
        <w:outlineLvl w:val="2"/>
        <w:rPr>
          <w:rFonts w:ascii="宋体" w:hAnsi="宋体"/>
          <w:b/>
          <w:color w:val="auto"/>
          <w:sz w:val="32"/>
          <w:szCs w:val="32"/>
          <w:highlight w:val="none"/>
        </w:rPr>
      </w:pPr>
      <w:r>
        <w:rPr>
          <w:rFonts w:hint="eastAsia" w:ascii="宋体" w:hAnsi="宋体"/>
          <w:b/>
          <w:color w:val="auto"/>
          <w:sz w:val="32"/>
          <w:szCs w:val="32"/>
          <w:highlight w:val="none"/>
        </w:rPr>
        <w:br w:type="page"/>
      </w:r>
      <w:r>
        <w:rPr>
          <w:rFonts w:hint="eastAsia" w:ascii="宋体" w:hAnsi="宋体"/>
          <w:b/>
          <w:color w:val="auto"/>
          <w:sz w:val="24"/>
          <w:highlight w:val="none"/>
        </w:rPr>
        <w:t>4.</w:t>
      </w:r>
      <w:r>
        <w:rPr>
          <w:color w:val="auto"/>
          <w:highlight w:val="none"/>
        </w:rPr>
        <w:t xml:space="preserve"> </w:t>
      </w:r>
      <w:r>
        <w:rPr>
          <w:rFonts w:hint="eastAsia" w:ascii="宋体" w:hAnsi="宋体"/>
          <w:b/>
          <w:color w:val="auto"/>
          <w:sz w:val="28"/>
          <w:szCs w:val="28"/>
          <w:highlight w:val="none"/>
        </w:rPr>
        <w:t>投标人直接管理关系信息表</w:t>
      </w:r>
    </w:p>
    <w:p w14:paraId="138B73CB">
      <w:pPr>
        <w:snapToGrid w:val="0"/>
        <w:spacing w:line="360" w:lineRule="auto"/>
        <w:jc w:val="center"/>
        <w:rPr>
          <w:rFonts w:ascii="宋体" w:hAnsi="宋体"/>
          <w:color w:val="auto"/>
          <w:sz w:val="32"/>
          <w:szCs w:val="32"/>
          <w:highlight w:val="none"/>
        </w:rPr>
      </w:pPr>
      <w:r>
        <w:rPr>
          <w:rFonts w:hint="eastAsia" w:ascii="宋体" w:hAnsi="宋体"/>
          <w:b/>
          <w:color w:val="auto"/>
          <w:sz w:val="32"/>
          <w:szCs w:val="32"/>
          <w:highlight w:val="none"/>
        </w:rPr>
        <w:t>投标人直接管理关系信息表</w:t>
      </w:r>
    </w:p>
    <w:tbl>
      <w:tblPr>
        <w:tblStyle w:val="47"/>
        <w:tblW w:w="8697" w:type="dxa"/>
        <w:tblInd w:w="0" w:type="dxa"/>
        <w:shd w:val="clear" w:color="auto" w:fill="FBFBFB"/>
        <w:tblLayout w:type="fixed"/>
        <w:tblCellMar>
          <w:top w:w="0" w:type="dxa"/>
          <w:left w:w="0" w:type="dxa"/>
          <w:bottom w:w="0" w:type="dxa"/>
          <w:right w:w="0" w:type="dxa"/>
        </w:tblCellMar>
      </w:tblPr>
      <w:tblGrid>
        <w:gridCol w:w="905"/>
        <w:gridCol w:w="2396"/>
        <w:gridCol w:w="3536"/>
        <w:gridCol w:w="1860"/>
      </w:tblGrid>
      <w:tr w14:paraId="6DDF26B7">
        <w:tblPrEx>
          <w:shd w:val="clear" w:color="auto" w:fill="FBFBFB"/>
          <w:tblCellMar>
            <w:top w:w="0" w:type="dxa"/>
            <w:left w:w="0" w:type="dxa"/>
            <w:bottom w:w="0" w:type="dxa"/>
            <w:right w:w="0" w:type="dxa"/>
          </w:tblCellMar>
        </w:tblPrEx>
        <w:trPr>
          <w:trHeight w:val="742" w:hRule="atLeast"/>
          <w:tblHeader/>
        </w:trPr>
        <w:tc>
          <w:tcPr>
            <w:tcW w:w="90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4FA0BB8">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396"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01DA7AF">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536"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E179D73">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1860"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A3F2274">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72FEF57E">
        <w:tblPrEx>
          <w:shd w:val="clear" w:color="auto" w:fill="FBFBFB"/>
          <w:tblCellMar>
            <w:top w:w="0" w:type="dxa"/>
            <w:left w:w="0" w:type="dxa"/>
            <w:bottom w:w="0" w:type="dxa"/>
            <w:right w:w="0" w:type="dxa"/>
          </w:tblCellMar>
        </w:tblPrEx>
        <w:trPr>
          <w:trHeight w:val="742" w:hRule="atLeast"/>
        </w:trPr>
        <w:tc>
          <w:tcPr>
            <w:tcW w:w="9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7AE93ED">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396"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EF15922">
            <w:pPr>
              <w:spacing w:line="360" w:lineRule="auto"/>
              <w:jc w:val="center"/>
              <w:rPr>
                <w:rFonts w:ascii="宋体" w:hAnsi="宋体" w:cs="宋体"/>
                <w:color w:val="auto"/>
                <w:kern w:val="0"/>
                <w:sz w:val="24"/>
                <w:highlight w:val="none"/>
              </w:rPr>
            </w:pPr>
          </w:p>
        </w:tc>
        <w:tc>
          <w:tcPr>
            <w:tcW w:w="3536"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09DE3DB">
            <w:pPr>
              <w:spacing w:line="360" w:lineRule="auto"/>
              <w:jc w:val="center"/>
              <w:rPr>
                <w:rFonts w:ascii="宋体" w:hAnsi="宋体" w:cs="宋体"/>
                <w:color w:val="auto"/>
                <w:kern w:val="0"/>
                <w:sz w:val="24"/>
                <w:highlight w:val="none"/>
              </w:rPr>
            </w:pPr>
          </w:p>
        </w:tc>
        <w:tc>
          <w:tcPr>
            <w:tcW w:w="186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9EB1C4F">
            <w:pPr>
              <w:spacing w:line="360" w:lineRule="auto"/>
              <w:jc w:val="center"/>
              <w:rPr>
                <w:rFonts w:ascii="宋体" w:hAnsi="宋体" w:cs="宋体"/>
                <w:color w:val="auto"/>
                <w:kern w:val="0"/>
                <w:sz w:val="24"/>
                <w:highlight w:val="none"/>
              </w:rPr>
            </w:pPr>
          </w:p>
        </w:tc>
      </w:tr>
      <w:tr w14:paraId="0CF74B02">
        <w:tblPrEx>
          <w:shd w:val="clear" w:color="auto" w:fill="FBFBFB"/>
          <w:tblCellMar>
            <w:top w:w="0" w:type="dxa"/>
            <w:left w:w="0" w:type="dxa"/>
            <w:bottom w:w="0" w:type="dxa"/>
            <w:right w:w="0" w:type="dxa"/>
          </w:tblCellMar>
        </w:tblPrEx>
        <w:trPr>
          <w:trHeight w:val="742" w:hRule="atLeast"/>
        </w:trPr>
        <w:tc>
          <w:tcPr>
            <w:tcW w:w="9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C8D7B8A">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396"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B91FA91">
            <w:pPr>
              <w:spacing w:line="360" w:lineRule="auto"/>
              <w:jc w:val="center"/>
              <w:rPr>
                <w:rFonts w:ascii="宋体" w:hAnsi="宋体" w:cs="宋体"/>
                <w:color w:val="auto"/>
                <w:kern w:val="0"/>
                <w:sz w:val="24"/>
                <w:highlight w:val="none"/>
              </w:rPr>
            </w:pPr>
          </w:p>
        </w:tc>
        <w:tc>
          <w:tcPr>
            <w:tcW w:w="3536"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2FDAD19">
            <w:pPr>
              <w:spacing w:line="360" w:lineRule="auto"/>
              <w:jc w:val="center"/>
              <w:rPr>
                <w:rFonts w:ascii="宋体" w:hAnsi="宋体" w:cs="宋体"/>
                <w:color w:val="auto"/>
                <w:kern w:val="0"/>
                <w:sz w:val="24"/>
                <w:highlight w:val="none"/>
              </w:rPr>
            </w:pPr>
          </w:p>
        </w:tc>
        <w:tc>
          <w:tcPr>
            <w:tcW w:w="186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5E6EB80">
            <w:pPr>
              <w:spacing w:line="360" w:lineRule="auto"/>
              <w:jc w:val="center"/>
              <w:rPr>
                <w:rFonts w:ascii="宋体" w:hAnsi="宋体" w:cs="宋体"/>
                <w:color w:val="auto"/>
                <w:kern w:val="0"/>
                <w:sz w:val="24"/>
                <w:highlight w:val="none"/>
              </w:rPr>
            </w:pPr>
          </w:p>
        </w:tc>
      </w:tr>
      <w:tr w14:paraId="4EF7B445">
        <w:tblPrEx>
          <w:shd w:val="clear" w:color="auto" w:fill="FBFBFB"/>
          <w:tblCellMar>
            <w:top w:w="0" w:type="dxa"/>
            <w:left w:w="0" w:type="dxa"/>
            <w:bottom w:w="0" w:type="dxa"/>
            <w:right w:w="0" w:type="dxa"/>
          </w:tblCellMar>
        </w:tblPrEx>
        <w:trPr>
          <w:trHeight w:val="742" w:hRule="atLeast"/>
        </w:trPr>
        <w:tc>
          <w:tcPr>
            <w:tcW w:w="9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B641E9A">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396"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911082F">
            <w:pPr>
              <w:spacing w:line="360" w:lineRule="auto"/>
              <w:jc w:val="center"/>
              <w:rPr>
                <w:rFonts w:ascii="宋体" w:hAnsi="宋体" w:cs="宋体"/>
                <w:color w:val="auto"/>
                <w:kern w:val="0"/>
                <w:sz w:val="24"/>
                <w:highlight w:val="none"/>
              </w:rPr>
            </w:pPr>
          </w:p>
        </w:tc>
        <w:tc>
          <w:tcPr>
            <w:tcW w:w="3536"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24BC753">
            <w:pPr>
              <w:spacing w:line="360" w:lineRule="auto"/>
              <w:jc w:val="center"/>
              <w:rPr>
                <w:rFonts w:ascii="宋体" w:hAnsi="宋体" w:cs="宋体"/>
                <w:color w:val="auto"/>
                <w:kern w:val="0"/>
                <w:sz w:val="24"/>
                <w:highlight w:val="none"/>
              </w:rPr>
            </w:pPr>
          </w:p>
        </w:tc>
        <w:tc>
          <w:tcPr>
            <w:tcW w:w="186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68B657D">
            <w:pPr>
              <w:spacing w:line="360" w:lineRule="auto"/>
              <w:jc w:val="center"/>
              <w:rPr>
                <w:rFonts w:ascii="宋体" w:hAnsi="宋体" w:cs="宋体"/>
                <w:color w:val="auto"/>
                <w:kern w:val="0"/>
                <w:sz w:val="24"/>
                <w:highlight w:val="none"/>
              </w:rPr>
            </w:pPr>
          </w:p>
        </w:tc>
      </w:tr>
      <w:tr w14:paraId="6385D9FF">
        <w:tblPrEx>
          <w:shd w:val="clear" w:color="auto" w:fill="FBFBFB"/>
          <w:tblCellMar>
            <w:top w:w="0" w:type="dxa"/>
            <w:left w:w="0" w:type="dxa"/>
            <w:bottom w:w="0" w:type="dxa"/>
            <w:right w:w="0" w:type="dxa"/>
          </w:tblCellMar>
        </w:tblPrEx>
        <w:trPr>
          <w:trHeight w:val="752" w:hRule="atLeast"/>
        </w:trPr>
        <w:tc>
          <w:tcPr>
            <w:tcW w:w="9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9237F82">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396"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1C53829">
            <w:pPr>
              <w:spacing w:line="360" w:lineRule="auto"/>
              <w:jc w:val="center"/>
              <w:rPr>
                <w:rFonts w:ascii="宋体" w:hAnsi="宋体" w:cs="宋体"/>
                <w:color w:val="auto"/>
                <w:kern w:val="0"/>
                <w:sz w:val="24"/>
                <w:highlight w:val="none"/>
              </w:rPr>
            </w:pPr>
          </w:p>
        </w:tc>
        <w:tc>
          <w:tcPr>
            <w:tcW w:w="3536"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D313D0F">
            <w:pPr>
              <w:spacing w:line="360" w:lineRule="auto"/>
              <w:jc w:val="center"/>
              <w:rPr>
                <w:rFonts w:ascii="宋体" w:hAnsi="宋体" w:cs="宋体"/>
                <w:color w:val="auto"/>
                <w:kern w:val="0"/>
                <w:sz w:val="24"/>
                <w:highlight w:val="none"/>
              </w:rPr>
            </w:pPr>
          </w:p>
        </w:tc>
        <w:tc>
          <w:tcPr>
            <w:tcW w:w="186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C7F3901">
            <w:pPr>
              <w:spacing w:line="360" w:lineRule="auto"/>
              <w:jc w:val="center"/>
              <w:rPr>
                <w:rFonts w:ascii="宋体" w:hAnsi="宋体" w:cs="宋体"/>
                <w:color w:val="auto"/>
                <w:kern w:val="0"/>
                <w:sz w:val="24"/>
                <w:highlight w:val="none"/>
              </w:rPr>
            </w:pPr>
          </w:p>
        </w:tc>
      </w:tr>
    </w:tbl>
    <w:p w14:paraId="691C0F95">
      <w:pPr>
        <w:snapToGrid w:val="0"/>
        <w:spacing w:line="360" w:lineRule="auto"/>
        <w:jc w:val="left"/>
        <w:rPr>
          <w:rFonts w:ascii="宋体" w:hAnsi="宋体"/>
          <w:color w:val="auto"/>
          <w:sz w:val="24"/>
          <w:highlight w:val="none"/>
        </w:rPr>
      </w:pPr>
      <w:r>
        <w:rPr>
          <w:rFonts w:hint="eastAsia" w:ascii="宋体" w:hAnsi="宋体"/>
          <w:color w:val="auto"/>
          <w:sz w:val="24"/>
          <w:highlight w:val="none"/>
        </w:rPr>
        <w:t>注：</w:t>
      </w:r>
    </w:p>
    <w:p w14:paraId="58B4C4E3">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1.管理关系：是指不具有出资持股关系的其他单位之间存在的管理与被管理关系，如一些上下级关系的事业单位和团体组织。</w:t>
      </w:r>
    </w:p>
    <w:p w14:paraId="28E25A5A">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w:t>
      </w:r>
      <w:r>
        <w:rPr>
          <w:rFonts w:hint="eastAsia" w:ascii="宋体" w:hAnsi="宋体"/>
          <w:color w:val="auto"/>
          <w:spacing w:val="-6"/>
          <w:sz w:val="24"/>
          <w:highlight w:val="none"/>
        </w:rPr>
        <w:t>本表所指的管理关系仅限于直接管理关系，不包括间接的管理关系。</w:t>
      </w:r>
    </w:p>
    <w:p w14:paraId="41680DC0">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3.供应商不存在直接管理关系的，则在“</w:t>
      </w:r>
      <w:r>
        <w:rPr>
          <w:rFonts w:hint="eastAsia" w:ascii="宋体" w:hAnsi="宋体" w:cs="宋体"/>
          <w:b/>
          <w:bCs/>
          <w:color w:val="auto"/>
          <w:kern w:val="0"/>
          <w:sz w:val="24"/>
          <w:highlight w:val="none"/>
        </w:rPr>
        <w:t>直接管理关系单位名称</w:t>
      </w:r>
      <w:r>
        <w:rPr>
          <w:rFonts w:hint="eastAsia" w:ascii="宋体" w:hAnsi="宋体"/>
          <w:color w:val="auto"/>
          <w:sz w:val="24"/>
          <w:highlight w:val="none"/>
        </w:rPr>
        <w:t>”中填“无”。</w:t>
      </w:r>
    </w:p>
    <w:p w14:paraId="727D7CE9">
      <w:pPr>
        <w:snapToGrid w:val="0"/>
        <w:spacing w:line="360" w:lineRule="auto"/>
        <w:jc w:val="left"/>
        <w:rPr>
          <w:rFonts w:ascii="宋体" w:hAnsi="宋体"/>
          <w:color w:val="auto"/>
          <w:sz w:val="24"/>
          <w:highlight w:val="none"/>
        </w:rPr>
      </w:pPr>
    </w:p>
    <w:p w14:paraId="59A6B476">
      <w:pPr>
        <w:snapToGrid w:val="0"/>
        <w:spacing w:line="360" w:lineRule="auto"/>
        <w:jc w:val="left"/>
        <w:rPr>
          <w:rFonts w:ascii="宋体" w:hAnsi="宋体"/>
          <w:color w:val="auto"/>
          <w:sz w:val="24"/>
          <w:highlight w:val="none"/>
        </w:rPr>
      </w:pPr>
    </w:p>
    <w:p w14:paraId="61C51B7B">
      <w:pPr>
        <w:snapToGrid w:val="0"/>
        <w:spacing w:line="360" w:lineRule="auto"/>
        <w:jc w:val="left"/>
        <w:rPr>
          <w:rFonts w:ascii="宋体" w:hAnsi="宋体"/>
          <w:color w:val="auto"/>
          <w:sz w:val="24"/>
          <w:highlight w:val="none"/>
        </w:rPr>
      </w:pPr>
    </w:p>
    <w:p w14:paraId="4FAE40D0">
      <w:pPr>
        <w:snapToGrid w:val="0"/>
        <w:spacing w:line="360" w:lineRule="auto"/>
        <w:jc w:val="left"/>
        <w:rPr>
          <w:color w:val="auto"/>
          <w:sz w:val="24"/>
          <w:highlight w:val="none"/>
        </w:rPr>
      </w:pPr>
    </w:p>
    <w:p w14:paraId="15D054E2">
      <w:pPr>
        <w:snapToGrid w:val="0"/>
        <w:spacing w:line="360" w:lineRule="auto"/>
        <w:ind w:left="-2" w:leftChars="-1" w:right="-817" w:rightChars="-389"/>
        <w:rPr>
          <w:rFonts w:ascii="宋体" w:hAnsi="宋体"/>
          <w:color w:val="auto"/>
          <w:sz w:val="24"/>
          <w:highlight w:val="none"/>
        </w:rPr>
      </w:pPr>
      <w:r>
        <w:rPr>
          <w:rFonts w:hint="eastAsia" w:ascii="宋体" w:hAnsi="宋体"/>
          <w:color w:val="auto"/>
          <w:sz w:val="24"/>
          <w:highlight w:val="none"/>
        </w:rPr>
        <w:t xml:space="preserve">            法定代表人或者委托代理人（签字或者电子签名）：</w:t>
      </w:r>
    </w:p>
    <w:p w14:paraId="4B991010">
      <w:pPr>
        <w:snapToGrid w:val="0"/>
        <w:spacing w:line="360" w:lineRule="auto"/>
        <w:ind w:left="-3" w:leftChars="-15" w:right="-817" w:rightChars="-389" w:hanging="28" w:hangingChars="12"/>
        <w:rPr>
          <w:rFonts w:ascii="宋体" w:hAnsi="宋体"/>
          <w:color w:val="auto"/>
          <w:sz w:val="24"/>
          <w:highlight w:val="none"/>
        </w:rPr>
      </w:pPr>
      <w:r>
        <w:rPr>
          <w:rFonts w:hint="eastAsia" w:ascii="宋体" w:hAnsi="宋体"/>
          <w:color w:val="auto"/>
          <w:sz w:val="24"/>
          <w:highlight w:val="none"/>
        </w:rPr>
        <w:t xml:space="preserve">                                  投标人名称（电子签章）：</w:t>
      </w:r>
    </w:p>
    <w:p w14:paraId="4BDFE733">
      <w:pPr>
        <w:snapToGrid w:val="0"/>
        <w:spacing w:line="360" w:lineRule="auto"/>
        <w:ind w:right="480" w:firstLine="240" w:firstLineChars="100"/>
        <w:jc w:val="left"/>
        <w:rPr>
          <w:rFonts w:ascii="宋体" w:hAnsi="宋体"/>
          <w:color w:val="auto"/>
          <w:szCs w:val="21"/>
          <w:highlight w:val="none"/>
        </w:rPr>
      </w:pPr>
      <w:r>
        <w:rPr>
          <w:rFonts w:hint="eastAsia" w:ascii="宋体" w:hAnsi="宋体"/>
          <w:color w:val="auto"/>
          <w:sz w:val="24"/>
          <w:highlight w:val="none"/>
        </w:rPr>
        <w:t xml:space="preserve">                                日期：    年   月   日</w:t>
      </w:r>
    </w:p>
    <w:p w14:paraId="6B5418E8">
      <w:pPr>
        <w:snapToGrid w:val="0"/>
        <w:spacing w:before="120" w:beforeLines="50" w:after="50"/>
        <w:jc w:val="left"/>
        <w:rPr>
          <w:rFonts w:ascii="宋体" w:hAnsi="宋体"/>
          <w:color w:val="auto"/>
          <w:sz w:val="24"/>
          <w:highlight w:val="none"/>
        </w:rPr>
      </w:pPr>
    </w:p>
    <w:p w14:paraId="52149ADD">
      <w:pPr>
        <w:snapToGrid w:val="0"/>
        <w:spacing w:before="50" w:after="120" w:afterLines="50"/>
        <w:jc w:val="left"/>
        <w:rPr>
          <w:rFonts w:ascii="宋体" w:hAnsi="宋体"/>
          <w:color w:val="auto"/>
          <w:szCs w:val="21"/>
          <w:highlight w:val="none"/>
        </w:rPr>
      </w:pPr>
    </w:p>
    <w:p w14:paraId="304AC8F7">
      <w:pPr>
        <w:snapToGrid w:val="0"/>
        <w:spacing w:before="120" w:beforeLines="50" w:after="50"/>
        <w:jc w:val="left"/>
        <w:rPr>
          <w:rFonts w:ascii="宋体" w:hAnsi="宋体"/>
          <w:b/>
          <w:color w:val="auto"/>
          <w:sz w:val="24"/>
          <w:szCs w:val="20"/>
          <w:highlight w:val="none"/>
        </w:rPr>
      </w:pPr>
    </w:p>
    <w:p w14:paraId="7534FB82">
      <w:pPr>
        <w:snapToGrid w:val="0"/>
        <w:spacing w:before="120" w:beforeLines="50" w:after="50"/>
        <w:ind w:left="142"/>
        <w:jc w:val="left"/>
        <w:rPr>
          <w:rFonts w:ascii="宋体" w:hAnsi="宋体"/>
          <w:b/>
          <w:color w:val="auto"/>
          <w:sz w:val="24"/>
          <w:highlight w:val="none"/>
        </w:rPr>
      </w:pPr>
    </w:p>
    <w:p w14:paraId="7301279A">
      <w:pPr>
        <w:snapToGrid w:val="0"/>
        <w:spacing w:before="120" w:beforeLines="50" w:after="50"/>
        <w:ind w:left="142"/>
        <w:jc w:val="left"/>
        <w:rPr>
          <w:rFonts w:ascii="宋体" w:hAnsi="宋体"/>
          <w:b/>
          <w:color w:val="auto"/>
          <w:sz w:val="24"/>
          <w:highlight w:val="none"/>
        </w:rPr>
      </w:pPr>
    </w:p>
    <w:p w14:paraId="72DA02DB">
      <w:pPr>
        <w:snapToGrid w:val="0"/>
        <w:spacing w:before="120" w:beforeLines="50" w:after="50"/>
        <w:ind w:left="142"/>
        <w:jc w:val="left"/>
        <w:outlineLvl w:val="2"/>
        <w:rPr>
          <w:rFonts w:ascii="宋体" w:hAnsi="宋体"/>
          <w:b/>
          <w:color w:val="auto"/>
          <w:sz w:val="24"/>
          <w:szCs w:val="20"/>
          <w:highlight w:val="none"/>
        </w:rPr>
      </w:pPr>
      <w:r>
        <w:rPr>
          <w:rFonts w:hint="eastAsia" w:ascii="宋体" w:hAnsi="宋体"/>
          <w:b/>
          <w:color w:val="auto"/>
          <w:sz w:val="24"/>
          <w:highlight w:val="none"/>
        </w:rPr>
        <w:t>5.投标声明</w:t>
      </w:r>
    </w:p>
    <w:p w14:paraId="4A20B3D9">
      <w:pPr>
        <w:snapToGrid w:val="0"/>
        <w:spacing w:before="50" w:after="120" w:afterLines="50"/>
        <w:jc w:val="left"/>
        <w:rPr>
          <w:rFonts w:ascii="宋体" w:hAnsi="宋体"/>
          <w:color w:val="auto"/>
          <w:highlight w:val="none"/>
        </w:rPr>
      </w:pPr>
    </w:p>
    <w:p w14:paraId="01402E58">
      <w:pPr>
        <w:snapToGrid w:val="0"/>
        <w:spacing w:before="50" w:after="120" w:afterLines="50"/>
        <w:jc w:val="center"/>
        <w:rPr>
          <w:rFonts w:ascii="宋体" w:hAnsi="宋体"/>
          <w:b/>
          <w:color w:val="auto"/>
          <w:sz w:val="32"/>
          <w:szCs w:val="32"/>
          <w:highlight w:val="none"/>
        </w:rPr>
      </w:pPr>
      <w:r>
        <w:rPr>
          <w:rFonts w:hint="eastAsia" w:ascii="宋体" w:hAnsi="宋体"/>
          <w:b/>
          <w:color w:val="auto"/>
          <w:sz w:val="32"/>
          <w:szCs w:val="32"/>
          <w:highlight w:val="none"/>
        </w:rPr>
        <w:t>投标声明</w:t>
      </w:r>
    </w:p>
    <w:p w14:paraId="5113A913">
      <w:pPr>
        <w:spacing w:line="400" w:lineRule="exact"/>
        <w:contextualSpacing/>
        <w:jc w:val="left"/>
        <w:rPr>
          <w:color w:val="auto"/>
          <w:sz w:val="24"/>
          <w:highlight w:val="none"/>
          <w:u w:val="single"/>
        </w:rPr>
      </w:pPr>
      <w:r>
        <w:rPr>
          <w:rFonts w:hint="eastAsia"/>
          <w:color w:val="auto"/>
          <w:sz w:val="24"/>
          <w:highlight w:val="none"/>
          <w:u w:val="single"/>
        </w:rPr>
        <w:t xml:space="preserve">（采购人名称）： </w:t>
      </w:r>
    </w:p>
    <w:p w14:paraId="13149C62">
      <w:pPr>
        <w:spacing w:line="400" w:lineRule="exact"/>
        <w:ind w:firstLine="523" w:firstLineChars="218"/>
        <w:contextualSpacing/>
        <w:jc w:val="left"/>
        <w:rPr>
          <w:rFonts w:ascii="宋体" w:hAnsi="宋体"/>
          <w:color w:val="auto"/>
          <w:sz w:val="24"/>
          <w:highlight w:val="none"/>
        </w:rPr>
      </w:pPr>
      <w:r>
        <w:rPr>
          <w:rFonts w:hint="eastAsia" w:ascii="宋体" w:hAnsi="宋体"/>
          <w:color w:val="auto"/>
          <w:sz w:val="24"/>
          <w:highlight w:val="none"/>
        </w:rPr>
        <w:t>我方参加贵单位组织</w:t>
      </w:r>
      <w:r>
        <w:rPr>
          <w:rFonts w:hint="eastAsia" w:ascii="宋体" w:hAnsi="宋体"/>
          <w:color w:val="auto"/>
          <w:sz w:val="24"/>
          <w:highlight w:val="none"/>
          <w:u w:val="single"/>
        </w:rPr>
        <w:t xml:space="preserve">             </w:t>
      </w:r>
      <w:r>
        <w:rPr>
          <w:rFonts w:hint="eastAsia" w:ascii="宋体" w:hAnsi="宋体"/>
          <w:color w:val="auto"/>
          <w:sz w:val="24"/>
          <w:highlight w:val="none"/>
        </w:rPr>
        <w:t>项目（项目编号：</w:t>
      </w:r>
      <w:r>
        <w:rPr>
          <w:rFonts w:hint="eastAsia" w:ascii="宋体" w:hAnsi="宋体"/>
          <w:color w:val="auto"/>
          <w:sz w:val="24"/>
          <w:highlight w:val="none"/>
          <w:u w:val="single"/>
        </w:rPr>
        <w:t xml:space="preserve">       </w:t>
      </w:r>
      <w:r>
        <w:rPr>
          <w:rFonts w:hint="eastAsia" w:ascii="宋体" w:hAnsi="宋体"/>
          <w:color w:val="auto"/>
          <w:sz w:val="24"/>
          <w:highlight w:val="none"/>
        </w:rPr>
        <w:t>）的政府采购活动。我方在此郑重声明：</w:t>
      </w:r>
    </w:p>
    <w:p w14:paraId="309FED7B">
      <w:pPr>
        <w:spacing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1.我方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406240F3">
      <w:pPr>
        <w:spacing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2.我方不是为本次采购项目提供整体设计、规范编制或者项目管理、监理、检测等服务的供应商。</w:t>
      </w:r>
    </w:p>
    <w:p w14:paraId="67048F38">
      <w:pPr>
        <w:spacing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3. 我方承诺符合《中华人民共和国政府采购法》第二十二条规定：</w:t>
      </w:r>
    </w:p>
    <w:p w14:paraId="2D3FC5C7">
      <w:pPr>
        <w:spacing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（一）具有独立承担民事责任的能力；</w:t>
      </w:r>
    </w:p>
    <w:p w14:paraId="131887CC">
      <w:pPr>
        <w:spacing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（二）具有良好的商业信誉和健全的财务会计制度；</w:t>
      </w:r>
    </w:p>
    <w:p w14:paraId="72DC851F">
      <w:pPr>
        <w:spacing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（三）具有履行合同所必需的设备和专业技术能力；</w:t>
      </w:r>
    </w:p>
    <w:p w14:paraId="761B2B43">
      <w:pPr>
        <w:spacing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（四）有依法缴纳税收和社会保障资金的良好记录；</w:t>
      </w:r>
    </w:p>
    <w:p w14:paraId="06226299">
      <w:pPr>
        <w:spacing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（五）参加政府采购活动前三年内，在经营活动中没有重大违法记录；</w:t>
      </w:r>
    </w:p>
    <w:p w14:paraId="28F7D2A7">
      <w:pPr>
        <w:spacing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（六）法律、行政法规规定的其他条件。</w:t>
      </w:r>
    </w:p>
    <w:p w14:paraId="7214801A">
      <w:pPr>
        <w:spacing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4.以上事项如有虚假或者隐瞒，我方愿意承担一切后果，并不再寻求任何旨在减轻或者免除法律责任的辩解。</w:t>
      </w:r>
    </w:p>
    <w:p w14:paraId="1014D1B9">
      <w:pPr>
        <w:spacing w:line="400" w:lineRule="exact"/>
        <w:contextualSpacing/>
        <w:jc w:val="left"/>
        <w:rPr>
          <w:rFonts w:ascii="宋体" w:hAnsi="宋体"/>
          <w:color w:val="auto"/>
          <w:sz w:val="24"/>
          <w:highlight w:val="none"/>
        </w:rPr>
      </w:pPr>
      <w:r>
        <w:rPr>
          <w:rFonts w:hint="eastAsia" w:ascii="宋体" w:hAnsi="宋体"/>
          <w:color w:val="auto"/>
          <w:sz w:val="24"/>
          <w:highlight w:val="none"/>
        </w:rPr>
        <w:t xml:space="preserve">    特此承诺。</w:t>
      </w:r>
    </w:p>
    <w:p w14:paraId="46328CCE">
      <w:pPr>
        <w:snapToGrid w:val="0"/>
        <w:spacing w:before="50" w:after="50"/>
        <w:ind w:firstLine="1063" w:firstLineChars="441"/>
        <w:rPr>
          <w:rFonts w:ascii="宋体" w:hAnsi="宋体"/>
          <w:b/>
          <w:color w:val="auto"/>
          <w:sz w:val="24"/>
          <w:highlight w:val="none"/>
        </w:rPr>
      </w:pPr>
    </w:p>
    <w:p w14:paraId="1E96C4D6">
      <w:pPr>
        <w:snapToGrid w:val="0"/>
        <w:spacing w:before="50" w:after="50"/>
        <w:ind w:firstLine="1058" w:firstLineChars="441"/>
        <w:rPr>
          <w:rFonts w:ascii="宋体" w:hAnsi="宋体"/>
          <w:color w:val="auto"/>
          <w:spacing w:val="20"/>
          <w:sz w:val="24"/>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（签字或者电子签名）：</w:t>
      </w:r>
      <w:r>
        <w:rPr>
          <w:rFonts w:hint="eastAsia" w:ascii="宋体" w:hAnsi="宋体"/>
          <w:color w:val="auto"/>
          <w:spacing w:val="20"/>
          <w:sz w:val="24"/>
          <w:highlight w:val="none"/>
          <w:u w:val="single"/>
        </w:rPr>
        <w:t xml:space="preserve">        </w:t>
      </w:r>
    </w:p>
    <w:p w14:paraId="0A146BD2">
      <w:pPr>
        <w:spacing w:line="400" w:lineRule="exact"/>
        <w:contextualSpacing/>
        <w:jc w:val="left"/>
        <w:rPr>
          <w:rFonts w:ascii="宋体" w:hAnsi="宋体"/>
          <w:color w:val="auto"/>
          <w:sz w:val="24"/>
          <w:highlight w:val="none"/>
        </w:rPr>
      </w:pPr>
    </w:p>
    <w:p w14:paraId="6C62B37F">
      <w:pPr>
        <w:spacing w:line="400" w:lineRule="exact"/>
        <w:contextualSpacing/>
        <w:jc w:val="left"/>
        <w:rPr>
          <w:rFonts w:ascii="宋体" w:hAnsi="宋体"/>
          <w:color w:val="auto"/>
          <w:sz w:val="24"/>
          <w:highlight w:val="none"/>
        </w:rPr>
      </w:pPr>
      <w:r>
        <w:rPr>
          <w:rFonts w:hint="eastAsia" w:ascii="宋体" w:hAnsi="宋体"/>
          <w:color w:val="auto"/>
          <w:sz w:val="24"/>
          <w:highlight w:val="none"/>
        </w:rPr>
        <w:t xml:space="preserve">                             投标人名称（电子签章）：</w:t>
      </w:r>
      <w:r>
        <w:rPr>
          <w:rFonts w:hint="eastAsia" w:ascii="宋体" w:hAnsi="宋体"/>
          <w:color w:val="auto"/>
          <w:sz w:val="24"/>
          <w:highlight w:val="none"/>
          <w:u w:val="single"/>
        </w:rPr>
        <w:t xml:space="preserve">                 </w:t>
      </w:r>
    </w:p>
    <w:p w14:paraId="3375ACBE">
      <w:pPr>
        <w:spacing w:line="400" w:lineRule="exact"/>
        <w:contextualSpacing/>
        <w:jc w:val="left"/>
        <w:rPr>
          <w:rFonts w:ascii="宋体" w:hAnsi="宋体"/>
          <w:color w:val="auto"/>
          <w:sz w:val="24"/>
          <w:highlight w:val="none"/>
        </w:rPr>
      </w:pPr>
      <w:r>
        <w:rPr>
          <w:rFonts w:hint="eastAsia" w:ascii="宋体" w:hAnsi="宋体"/>
          <w:color w:val="auto"/>
          <w:sz w:val="24"/>
          <w:highlight w:val="none"/>
        </w:rPr>
        <w:t xml:space="preserve">                                                  年    月    日</w:t>
      </w:r>
    </w:p>
    <w:p w14:paraId="70C5232E">
      <w:pPr>
        <w:rPr>
          <w:color w:val="auto"/>
          <w:highlight w:val="none"/>
        </w:rPr>
      </w:pPr>
      <w:r>
        <w:rPr>
          <w:rFonts w:hint="eastAsia"/>
          <w:color w:val="auto"/>
          <w:highlight w:val="none"/>
        </w:rPr>
        <w:br w:type="page"/>
      </w:r>
    </w:p>
    <w:p w14:paraId="60A45C4E">
      <w:pPr>
        <w:snapToGrid w:val="0"/>
        <w:spacing w:before="120" w:beforeLines="50" w:after="50"/>
        <w:ind w:left="142"/>
        <w:jc w:val="left"/>
        <w:outlineLvl w:val="2"/>
        <w:rPr>
          <w:rFonts w:eastAsia="仿宋_GB2312"/>
          <w:color w:val="auto"/>
          <w:highlight w:val="none"/>
        </w:rPr>
      </w:pPr>
      <w:r>
        <w:rPr>
          <w:rFonts w:hint="eastAsia" w:ascii="宋体" w:hAnsi="宋体"/>
          <w:b/>
          <w:color w:val="auto"/>
          <w:sz w:val="24"/>
          <w:highlight w:val="none"/>
        </w:rPr>
        <w:t>6.提供中小微企业声明函或残疾人福利性单位声明函或监狱企业证明文件。</w:t>
      </w:r>
    </w:p>
    <w:p w14:paraId="779AC942">
      <w:pPr>
        <w:jc w:val="center"/>
        <w:rPr>
          <w:rFonts w:ascii="宋体" w:hAnsi="宋体" w:cs="宋体"/>
          <w:color w:val="auto"/>
          <w:sz w:val="44"/>
          <w:szCs w:val="44"/>
          <w:highlight w:val="none"/>
        </w:rPr>
      </w:pPr>
    </w:p>
    <w:p w14:paraId="213F79AC">
      <w:pPr>
        <w:jc w:val="center"/>
        <w:rPr>
          <w:color w:val="auto"/>
          <w:highlight w:val="none"/>
        </w:rPr>
      </w:pPr>
      <w:r>
        <w:rPr>
          <w:rFonts w:hint="eastAsia" w:ascii="宋体" w:hAnsi="宋体" w:cs="宋体"/>
          <w:color w:val="auto"/>
          <w:sz w:val="44"/>
          <w:szCs w:val="44"/>
          <w:highlight w:val="none"/>
        </w:rPr>
        <w:t>中小企业声明函（服务）</w:t>
      </w:r>
    </w:p>
    <w:p w14:paraId="57D3ABA5">
      <w:pPr>
        <w:jc w:val="center"/>
        <w:rPr>
          <w:rFonts w:ascii="宋体" w:hAnsi="宋体" w:cs="宋体"/>
          <w:color w:val="auto"/>
          <w:sz w:val="44"/>
          <w:szCs w:val="44"/>
          <w:highlight w:val="none"/>
        </w:rPr>
      </w:pPr>
    </w:p>
    <w:p w14:paraId="135214B1">
      <w:pPr>
        <w:pStyle w:val="18"/>
        <w:spacing w:line="400" w:lineRule="exact"/>
        <w:ind w:firstLine="720" w:firstLineChars="300"/>
        <w:rPr>
          <w:rFonts w:ascii="宋体" w:hAnsi="宋体" w:eastAsia="宋体" w:cs="宋体"/>
          <w:b/>
          <w:bCs/>
          <w:color w:val="auto"/>
          <w:sz w:val="24"/>
          <w:highlight w:val="none"/>
        </w:rPr>
      </w:pPr>
      <w:r>
        <w:rPr>
          <w:rFonts w:hint="eastAsia" w:ascii="宋体" w:hAnsi="宋体" w:eastAsia="宋体" w:cs="宋体"/>
          <w:color w:val="auto"/>
          <w:sz w:val="24"/>
          <w:szCs w:val="24"/>
          <w:highlight w:val="none"/>
        </w:rPr>
        <w:t>说明：本声明函主要供参加政府采购活动的中小企业填写，非中小企业无需填写。</w:t>
      </w:r>
    </w:p>
    <w:p w14:paraId="0C4EC617">
      <w:pPr>
        <w:pStyle w:val="17"/>
        <w:spacing w:line="500" w:lineRule="exact"/>
        <w:ind w:right="142" w:firstLine="705" w:firstLineChars="294"/>
        <w:rPr>
          <w:rFonts w:ascii="宋体" w:hAnsi="宋体" w:cs="宋体"/>
          <w:color w:val="auto"/>
          <w:highlight w:val="none"/>
        </w:rPr>
      </w:pPr>
      <w:r>
        <w:rPr>
          <w:rFonts w:hint="eastAsia" w:ascii="宋体" w:hAnsi="宋体" w:cs="宋体"/>
          <w:color w:val="auto"/>
          <w:highlight w:val="none"/>
        </w:rPr>
        <w:t>本公司（联合体）郑重声明，根据《政府采购促进中小企业发展管理办法》（财库﹝2020﹞46号）的规定，本公司（联合体）参加</w:t>
      </w:r>
      <w:r>
        <w:rPr>
          <w:rFonts w:hint="eastAsia" w:ascii="宋体" w:hAnsi="宋体" w:cs="宋体"/>
          <w:color w:val="auto"/>
          <w:highlight w:val="none"/>
          <w:u w:val="single"/>
        </w:rPr>
        <w:t>（单位名称）</w:t>
      </w:r>
      <w:r>
        <w:rPr>
          <w:rFonts w:hint="eastAsia" w:ascii="宋体" w:hAnsi="宋体" w:cs="宋体"/>
          <w:color w:val="auto"/>
          <w:highlight w:val="none"/>
        </w:rPr>
        <w:t>的</w:t>
      </w:r>
      <w:r>
        <w:rPr>
          <w:rFonts w:hint="eastAsia" w:ascii="宋体" w:hAnsi="宋体" w:cs="宋体"/>
          <w:color w:val="auto"/>
          <w:highlight w:val="none"/>
          <w:u w:val="single"/>
        </w:rPr>
        <w:t>（项目名称）</w:t>
      </w:r>
      <w:r>
        <w:rPr>
          <w:rFonts w:hint="eastAsia" w:ascii="宋体" w:hAnsi="宋体" w:cs="宋体"/>
          <w:color w:val="auto"/>
          <w:highlight w:val="none"/>
        </w:rPr>
        <w:t>采购活动，服务全部由符合政策要求的中小企业承接。相关企业（含联合体中的中小企业、签订分包意向协议的中小企业）的具体情况如下：</w:t>
      </w:r>
    </w:p>
    <w:p w14:paraId="0F35F5CB">
      <w:pPr>
        <w:tabs>
          <w:tab w:val="left" w:pos="1384"/>
          <w:tab w:val="left" w:pos="4562"/>
          <w:tab w:val="left" w:pos="6803"/>
        </w:tabs>
        <w:spacing w:before="13" w:line="500" w:lineRule="exact"/>
        <w:ind w:right="142" w:firstLine="772" w:firstLineChars="322"/>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u w:val="single"/>
        </w:rPr>
        <w:t>（标的名称）</w:t>
      </w:r>
      <w:r>
        <w:rPr>
          <w:rFonts w:hint="eastAsia" w:ascii="宋体" w:hAnsi="宋体" w:cs="宋体"/>
          <w:color w:val="auto"/>
          <w:sz w:val="24"/>
          <w:highlight w:val="none"/>
        </w:rPr>
        <w:t>，属于</w:t>
      </w:r>
      <w:r>
        <w:rPr>
          <w:rFonts w:hint="eastAsia" w:ascii="宋体" w:hAnsi="宋体" w:cs="宋体"/>
          <w:color w:val="auto"/>
          <w:sz w:val="24"/>
          <w:highlight w:val="none"/>
          <w:u w:val="single"/>
        </w:rPr>
        <w:t>（采购文件中明确的所属行业）</w:t>
      </w:r>
      <w:r>
        <w:rPr>
          <w:rFonts w:hint="eastAsia" w:ascii="宋体" w:hAnsi="宋体" w:cs="宋体"/>
          <w:color w:val="auto"/>
          <w:sz w:val="24"/>
          <w:highlight w:val="none"/>
        </w:rPr>
        <w:t>；</w:t>
      </w:r>
      <w:r>
        <w:rPr>
          <w:rFonts w:hint="eastAsia" w:ascii="宋体" w:hAnsi="宋体" w:cs="宋体"/>
          <w:color w:val="auto"/>
          <w:kern w:val="24"/>
          <w:sz w:val="24"/>
          <w:highlight w:val="none"/>
        </w:rPr>
        <w:t>承接企业</w:t>
      </w:r>
      <w:r>
        <w:rPr>
          <w:rFonts w:hint="eastAsia" w:ascii="宋体" w:hAnsi="宋体" w:cs="宋体"/>
          <w:color w:val="auto"/>
          <w:sz w:val="24"/>
          <w:highlight w:val="none"/>
        </w:rPr>
        <w:t>为</w:t>
      </w:r>
      <w:r>
        <w:rPr>
          <w:rFonts w:hint="eastAsia" w:ascii="宋体" w:hAnsi="宋体" w:cs="宋体"/>
          <w:color w:val="auto"/>
          <w:sz w:val="24"/>
          <w:highlight w:val="none"/>
          <w:u w:val="single"/>
        </w:rPr>
        <w:t>（企业名称）</w:t>
      </w:r>
      <w:r>
        <w:rPr>
          <w:rFonts w:hint="eastAsia" w:ascii="宋体" w:hAnsi="宋体" w:cs="宋体"/>
          <w:color w:val="auto"/>
          <w:sz w:val="24"/>
          <w:highlight w:val="none"/>
        </w:rPr>
        <w:t>，从业人员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（中型企业、小型企业、微型企业）</w:t>
      </w:r>
      <w:r>
        <w:rPr>
          <w:rFonts w:hint="eastAsia" w:ascii="宋体" w:hAnsi="宋体" w:cs="宋体"/>
          <w:color w:val="auto"/>
          <w:sz w:val="24"/>
          <w:highlight w:val="none"/>
        </w:rPr>
        <w:t>；</w:t>
      </w:r>
    </w:p>
    <w:p w14:paraId="6D0E2534">
      <w:pPr>
        <w:tabs>
          <w:tab w:val="left" w:pos="1065"/>
          <w:tab w:val="left" w:pos="4262"/>
          <w:tab w:val="left" w:pos="6477"/>
        </w:tabs>
        <w:spacing w:before="20" w:line="500" w:lineRule="exact"/>
        <w:ind w:right="84" w:firstLine="772" w:firstLineChars="322"/>
        <w:rPr>
          <w:rFonts w:ascii="宋体" w:hAnsi="宋体" w:cs="宋体"/>
          <w:color w:val="auto"/>
          <w:sz w:val="24"/>
          <w:highlight w:val="none"/>
          <w:u w:val="single"/>
        </w:rPr>
      </w:pPr>
      <w:r>
        <w:rPr>
          <w:rFonts w:hint="eastAsia" w:ascii="宋体" w:hAnsi="宋体" w:cs="宋体"/>
          <w:color w:val="auto"/>
          <w:sz w:val="24"/>
          <w:highlight w:val="none"/>
        </w:rPr>
        <w:t>2.</w:t>
      </w:r>
      <w:r>
        <w:rPr>
          <w:rFonts w:hint="eastAsia" w:ascii="宋体" w:hAnsi="宋体" w:cs="宋体"/>
          <w:color w:val="auto"/>
          <w:sz w:val="24"/>
          <w:highlight w:val="none"/>
          <w:u w:val="single"/>
        </w:rPr>
        <w:t>（标的名称）</w:t>
      </w:r>
      <w:r>
        <w:rPr>
          <w:rFonts w:hint="eastAsia" w:ascii="宋体" w:hAnsi="宋体" w:cs="宋体"/>
          <w:color w:val="auto"/>
          <w:sz w:val="24"/>
          <w:highlight w:val="none"/>
        </w:rPr>
        <w:t>，属于</w:t>
      </w:r>
      <w:r>
        <w:rPr>
          <w:rFonts w:hint="eastAsia" w:ascii="宋体" w:hAnsi="宋体" w:cs="宋体"/>
          <w:color w:val="auto"/>
          <w:sz w:val="24"/>
          <w:highlight w:val="none"/>
          <w:u w:val="single"/>
        </w:rPr>
        <w:t>（采购文件中明确的所属行业）</w:t>
      </w:r>
      <w:r>
        <w:rPr>
          <w:rFonts w:hint="eastAsia" w:ascii="宋体" w:hAnsi="宋体" w:cs="宋体"/>
          <w:color w:val="auto"/>
          <w:sz w:val="24"/>
          <w:highlight w:val="none"/>
        </w:rPr>
        <w:t>；</w:t>
      </w:r>
      <w:r>
        <w:rPr>
          <w:rFonts w:hint="eastAsia" w:ascii="宋体" w:hAnsi="宋体" w:cs="宋体"/>
          <w:color w:val="auto"/>
          <w:kern w:val="24"/>
          <w:sz w:val="24"/>
          <w:highlight w:val="none"/>
        </w:rPr>
        <w:t>承接企业</w:t>
      </w:r>
      <w:r>
        <w:rPr>
          <w:rFonts w:hint="eastAsia" w:ascii="宋体" w:hAnsi="宋体" w:cs="宋体"/>
          <w:color w:val="auto"/>
          <w:sz w:val="24"/>
          <w:highlight w:val="none"/>
        </w:rPr>
        <w:t>为</w:t>
      </w:r>
      <w:r>
        <w:rPr>
          <w:rFonts w:hint="eastAsia" w:ascii="宋体" w:hAnsi="宋体" w:cs="宋体"/>
          <w:color w:val="auto"/>
          <w:sz w:val="24"/>
          <w:highlight w:val="none"/>
          <w:u w:val="single"/>
        </w:rPr>
        <w:t>（企业名称）</w:t>
      </w:r>
      <w:r>
        <w:rPr>
          <w:rFonts w:hint="eastAsia" w:ascii="宋体" w:hAnsi="宋体" w:cs="宋体"/>
          <w:color w:val="auto"/>
          <w:sz w:val="24"/>
          <w:highlight w:val="none"/>
        </w:rPr>
        <w:t>，从业人员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（中型企业、小型企业、微型企业）</w:t>
      </w:r>
      <w:r>
        <w:rPr>
          <w:rFonts w:hint="eastAsia" w:ascii="宋体" w:hAnsi="宋体" w:cs="宋体"/>
          <w:color w:val="auto"/>
          <w:sz w:val="24"/>
          <w:highlight w:val="none"/>
        </w:rPr>
        <w:t>；</w:t>
      </w:r>
    </w:p>
    <w:p w14:paraId="6CAE5ED8">
      <w:pPr>
        <w:pStyle w:val="17"/>
        <w:spacing w:before="34" w:line="500" w:lineRule="exact"/>
        <w:ind w:right="142" w:firstLine="705" w:firstLineChars="294"/>
        <w:rPr>
          <w:rFonts w:ascii="宋体" w:hAnsi="宋体" w:cs="宋体"/>
          <w:color w:val="auto"/>
          <w:highlight w:val="none"/>
        </w:rPr>
      </w:pPr>
      <w:r>
        <w:rPr>
          <w:rFonts w:hint="eastAsia" w:ascii="宋体" w:hAnsi="宋体" w:cs="宋体"/>
          <w:color w:val="auto"/>
          <w:highlight w:val="none"/>
        </w:rPr>
        <w:t xml:space="preserve">…… </w:t>
      </w:r>
    </w:p>
    <w:p w14:paraId="4CAA0A5A">
      <w:pPr>
        <w:pStyle w:val="17"/>
        <w:spacing w:before="34" w:line="500" w:lineRule="exact"/>
        <w:ind w:right="142" w:firstLine="705" w:firstLineChars="294"/>
        <w:rPr>
          <w:rFonts w:ascii="宋体" w:hAnsi="宋体" w:cs="宋体"/>
          <w:color w:val="auto"/>
          <w:highlight w:val="none"/>
        </w:rPr>
      </w:pPr>
      <w:r>
        <w:rPr>
          <w:rFonts w:hint="eastAsia" w:ascii="宋体" w:hAnsi="宋体" w:cs="宋体"/>
          <w:color w:val="auto"/>
          <w:highlight w:val="none"/>
        </w:rPr>
        <w:t>以上企业，不属于大企业的分支机构，不存在控股股东为大企业的情形，也不存在与大企业的负责人为同一人的情形。</w:t>
      </w:r>
    </w:p>
    <w:p w14:paraId="66227E89">
      <w:pPr>
        <w:pStyle w:val="17"/>
        <w:spacing w:before="25" w:line="500" w:lineRule="exact"/>
        <w:ind w:right="142" w:firstLine="705" w:firstLineChars="294"/>
        <w:rPr>
          <w:rFonts w:ascii="宋体" w:hAnsi="宋体" w:cs="宋体"/>
          <w:color w:val="auto"/>
          <w:highlight w:val="none"/>
        </w:rPr>
      </w:pPr>
      <w:r>
        <w:rPr>
          <w:rFonts w:hint="eastAsia" w:ascii="宋体" w:hAnsi="宋体" w:cs="宋体"/>
          <w:color w:val="auto"/>
          <w:highlight w:val="none"/>
        </w:rPr>
        <w:t>本企业对上述声明内容的真实性负责。如有虚假，将依法承担相应责任。</w:t>
      </w:r>
    </w:p>
    <w:p w14:paraId="48C4FB9D">
      <w:pPr>
        <w:pStyle w:val="17"/>
        <w:spacing w:before="56" w:line="500" w:lineRule="exact"/>
        <w:ind w:right="1808" w:firstLine="705" w:firstLineChars="294"/>
        <w:rPr>
          <w:rFonts w:ascii="宋体" w:hAnsi="宋体" w:cs="宋体"/>
          <w:color w:val="auto"/>
          <w:highlight w:val="none"/>
        </w:rPr>
      </w:pPr>
    </w:p>
    <w:p w14:paraId="5E8CDC01">
      <w:pPr>
        <w:pStyle w:val="17"/>
        <w:spacing w:before="56" w:line="500" w:lineRule="exact"/>
        <w:ind w:right="650" w:firstLine="5625" w:firstLineChars="2344"/>
        <w:rPr>
          <w:rFonts w:ascii="宋体" w:hAnsi="宋体" w:cs="宋体"/>
          <w:color w:val="auto"/>
          <w:highlight w:val="none"/>
        </w:rPr>
      </w:pPr>
      <w:r>
        <w:rPr>
          <w:rFonts w:hint="eastAsia" w:ascii="宋体" w:hAnsi="宋体" w:cs="宋体"/>
          <w:color w:val="auto"/>
          <w:highlight w:val="none"/>
        </w:rPr>
        <w:t xml:space="preserve">企业名称（章）： </w:t>
      </w:r>
    </w:p>
    <w:p w14:paraId="614D5AD4">
      <w:pPr>
        <w:pStyle w:val="17"/>
        <w:spacing w:before="56" w:line="500" w:lineRule="exact"/>
        <w:ind w:right="1808" w:firstLine="5625" w:firstLineChars="2344"/>
        <w:rPr>
          <w:rFonts w:ascii="宋体" w:hAnsi="宋体" w:cs="宋体"/>
          <w:color w:val="auto"/>
          <w:highlight w:val="none"/>
        </w:rPr>
      </w:pPr>
      <w:r>
        <w:rPr>
          <w:rFonts w:hint="eastAsia" w:ascii="宋体" w:hAnsi="宋体" w:cs="宋体"/>
          <w:color w:val="auto"/>
          <w:highlight w:val="none"/>
        </w:rPr>
        <w:t>日 期：</w:t>
      </w:r>
    </w:p>
    <w:p w14:paraId="1B619F47">
      <w:pPr>
        <w:spacing w:line="520" w:lineRule="exact"/>
        <w:ind w:firstLine="0" w:firstLineChars="0"/>
        <w:jc w:val="left"/>
        <w:rPr>
          <w:rFonts w:ascii="仿宋_GB2312" w:hAnsi="仿宋" w:eastAsia="仿宋_GB2312"/>
          <w:color w:val="auto"/>
          <w:szCs w:val="21"/>
          <w:highlight w:val="none"/>
        </w:rPr>
      </w:pPr>
      <w:r>
        <w:rPr>
          <w:rFonts w:hint="eastAsia" w:ascii="宋体" w:hAnsi="宋体" w:cs="宋体"/>
          <w:color w:val="auto"/>
          <w:sz w:val="24"/>
          <w:highlight w:val="none"/>
        </w:rPr>
        <w:t>注：享受《政府采购促进中小企业发展管理办法》（财库〔2020〕46号）规定的中小企业扶持政策的，采购人、采购代理机构应当随成交结果公开中标供应商的《中小企业声明函》。从业人员、营业收入、资产总额填报上一年度数据，无上一年度数据的新成立企业可不填报。</w:t>
      </w:r>
    </w:p>
    <w:p w14:paraId="190833E7">
      <w:pPr>
        <w:snapToGrid w:val="0"/>
        <w:spacing w:before="120" w:beforeLines="50" w:after="50"/>
        <w:ind w:left="142"/>
        <w:jc w:val="left"/>
        <w:rPr>
          <w:rFonts w:ascii="宋体" w:hAnsi="宋体"/>
          <w:b/>
          <w:color w:val="auto"/>
          <w:sz w:val="24"/>
          <w:highlight w:val="none"/>
        </w:rPr>
      </w:pPr>
      <w:r>
        <w:rPr>
          <w:rFonts w:hint="eastAsia" w:ascii="宋体" w:hAnsi="宋体"/>
          <w:b/>
          <w:color w:val="auto"/>
          <w:sz w:val="24"/>
          <w:highlight w:val="none"/>
        </w:rPr>
        <w:t>残疾人福利性单位声明函格式</w:t>
      </w:r>
    </w:p>
    <w:p w14:paraId="09F886C2">
      <w:pPr>
        <w:spacing w:line="588" w:lineRule="exact"/>
        <w:jc w:val="center"/>
        <w:rPr>
          <w:rFonts w:ascii="仿宋_GB2312" w:eastAsia="仿宋_GB2312"/>
          <w:b/>
          <w:color w:val="auto"/>
          <w:spacing w:val="6"/>
          <w:sz w:val="32"/>
          <w:szCs w:val="32"/>
          <w:highlight w:val="none"/>
        </w:rPr>
      </w:pPr>
    </w:p>
    <w:p w14:paraId="0764B663">
      <w:pPr>
        <w:spacing w:line="588" w:lineRule="exact"/>
        <w:jc w:val="center"/>
        <w:rPr>
          <w:rFonts w:ascii="方正小标宋简体" w:hAnsi="方正小标宋简体" w:eastAsia="方正小标宋简体" w:cs="方正小标宋简体"/>
          <w:bCs/>
          <w:color w:val="auto"/>
          <w:spacing w:val="6"/>
          <w:sz w:val="44"/>
          <w:szCs w:val="44"/>
          <w:highlight w:val="none"/>
        </w:rPr>
      </w:pPr>
      <w:r>
        <w:rPr>
          <w:rFonts w:hint="eastAsia" w:ascii="方正小标宋简体" w:hAnsi="方正小标宋简体" w:eastAsia="方正小标宋简体" w:cs="方正小标宋简体"/>
          <w:bCs/>
          <w:color w:val="auto"/>
          <w:spacing w:val="6"/>
          <w:sz w:val="44"/>
          <w:szCs w:val="44"/>
          <w:highlight w:val="none"/>
        </w:rPr>
        <w:t>残疾人福利性单位声明函</w:t>
      </w:r>
    </w:p>
    <w:p w14:paraId="4924892B">
      <w:pPr>
        <w:spacing w:line="360" w:lineRule="auto"/>
        <w:contextualSpacing/>
        <w:rPr>
          <w:rFonts w:ascii="仿宋_GB2312" w:eastAsia="仿宋_GB2312"/>
          <w:bCs/>
          <w:color w:val="auto"/>
          <w:spacing w:val="6"/>
          <w:sz w:val="30"/>
          <w:szCs w:val="30"/>
          <w:highlight w:val="none"/>
        </w:rPr>
      </w:pPr>
    </w:p>
    <w:p w14:paraId="5FD1DA77">
      <w:pPr>
        <w:spacing w:line="360" w:lineRule="auto"/>
        <w:ind w:firstLine="504" w:firstLineChars="200"/>
        <w:contextualSpacing/>
        <w:rPr>
          <w:rFonts w:ascii="宋体" w:hAnsi="宋体"/>
          <w:color w:val="auto"/>
          <w:spacing w:val="6"/>
          <w:sz w:val="24"/>
          <w:highlight w:val="none"/>
        </w:rPr>
      </w:pPr>
      <w:r>
        <w:rPr>
          <w:rFonts w:hint="eastAsia" w:ascii="宋体" w:hAnsi="宋体"/>
          <w:color w:val="auto"/>
          <w:spacing w:val="6"/>
          <w:sz w:val="24"/>
          <w:highlight w:val="none"/>
        </w:rPr>
        <w:t>本单位郑重声明，根据《财政部 民政部 中国残疾人联合会关于促进残疾人就业政府采购政策的通知》（财库</w:t>
      </w:r>
      <w:r>
        <w:rPr>
          <w:rFonts w:hint="eastAsia" w:ascii="宋体" w:hAnsi="宋体"/>
          <w:color w:val="auto"/>
          <w:sz w:val="24"/>
          <w:highlight w:val="none"/>
        </w:rPr>
        <w:t>〔2017〕 141</w:t>
      </w:r>
      <w:r>
        <w:rPr>
          <w:rFonts w:hint="eastAsia" w:ascii="宋体" w:hAnsi="宋体"/>
          <w:color w:val="auto"/>
          <w:spacing w:val="6"/>
          <w:sz w:val="24"/>
          <w:highlight w:val="none"/>
        </w:rPr>
        <w:t>号）的规定，本单位为符合条件的残疾人福利性单位，且本单位参加______单位的______项目采购活动提供本单位制造的货物（由本单位承担工程/提供服务），或者提供其他残</w:t>
      </w:r>
      <w:r>
        <w:rPr>
          <w:rFonts w:hint="eastAsia" w:ascii="宋体" w:hAnsi="宋体"/>
          <w:color w:val="auto"/>
          <w:spacing w:val="-6"/>
          <w:sz w:val="24"/>
          <w:highlight w:val="none"/>
        </w:rPr>
        <w:t>疾人福利性单位制造的货物（不包括使用非残疾人福利性单位注册商标的货物）。</w:t>
      </w:r>
    </w:p>
    <w:p w14:paraId="3FA3CD8A">
      <w:pPr>
        <w:spacing w:line="360" w:lineRule="auto"/>
        <w:ind w:firstLine="504" w:firstLineChars="200"/>
        <w:contextualSpacing/>
        <w:rPr>
          <w:rFonts w:ascii="宋体" w:hAnsi="宋体"/>
          <w:color w:val="auto"/>
          <w:spacing w:val="6"/>
          <w:sz w:val="24"/>
          <w:highlight w:val="none"/>
        </w:rPr>
      </w:pPr>
      <w:r>
        <w:rPr>
          <w:rFonts w:hint="eastAsia" w:ascii="宋体" w:hAnsi="宋体"/>
          <w:color w:val="auto"/>
          <w:spacing w:val="6"/>
          <w:sz w:val="24"/>
          <w:highlight w:val="none"/>
        </w:rPr>
        <w:t>本单位对上述声明的真实性负责。如有虚假，将依法承担相应责任。</w:t>
      </w:r>
    </w:p>
    <w:p w14:paraId="71142F20">
      <w:pPr>
        <w:spacing w:line="360" w:lineRule="auto"/>
        <w:contextualSpacing/>
        <w:rPr>
          <w:rFonts w:ascii="宋体" w:hAnsi="宋体"/>
          <w:color w:val="auto"/>
          <w:spacing w:val="6"/>
          <w:sz w:val="24"/>
          <w:highlight w:val="none"/>
        </w:rPr>
      </w:pPr>
    </w:p>
    <w:p w14:paraId="0878DD77">
      <w:pPr>
        <w:tabs>
          <w:tab w:val="left" w:pos="4860"/>
        </w:tabs>
        <w:spacing w:line="360" w:lineRule="auto"/>
        <w:ind w:right="1560" w:firstLine="504" w:firstLineChars="200"/>
        <w:contextualSpacing/>
        <w:jc w:val="center"/>
        <w:rPr>
          <w:rFonts w:ascii="宋体" w:hAnsi="宋体"/>
          <w:color w:val="auto"/>
          <w:spacing w:val="6"/>
          <w:sz w:val="24"/>
          <w:highlight w:val="none"/>
        </w:rPr>
      </w:pPr>
      <w:r>
        <w:rPr>
          <w:rFonts w:hint="eastAsia" w:ascii="宋体" w:hAnsi="宋体"/>
          <w:color w:val="auto"/>
          <w:spacing w:val="6"/>
          <w:sz w:val="24"/>
          <w:highlight w:val="none"/>
        </w:rPr>
        <w:t>单位名称（盖公章）：</w:t>
      </w:r>
    </w:p>
    <w:p w14:paraId="38576129">
      <w:pPr>
        <w:tabs>
          <w:tab w:val="left" w:pos="4860"/>
        </w:tabs>
        <w:spacing w:line="360" w:lineRule="auto"/>
        <w:ind w:right="1560" w:firstLine="504" w:firstLineChars="200"/>
        <w:contextualSpacing/>
        <w:jc w:val="center"/>
        <w:rPr>
          <w:rFonts w:ascii="宋体" w:hAnsi="宋体"/>
          <w:color w:val="auto"/>
          <w:sz w:val="24"/>
          <w:highlight w:val="none"/>
        </w:rPr>
      </w:pPr>
      <w:r>
        <w:rPr>
          <w:rFonts w:hint="eastAsia" w:ascii="宋体" w:hAnsi="宋体"/>
          <w:color w:val="auto"/>
          <w:spacing w:val="6"/>
          <w:sz w:val="24"/>
          <w:highlight w:val="none"/>
        </w:rPr>
        <w:t>日  期：</w:t>
      </w:r>
    </w:p>
    <w:p w14:paraId="517CD786">
      <w:pPr>
        <w:spacing w:line="400" w:lineRule="exact"/>
        <w:contextualSpacing/>
        <w:jc w:val="left"/>
        <w:rPr>
          <w:rFonts w:ascii="宋体" w:hAnsi="宋体"/>
          <w:color w:val="auto"/>
          <w:sz w:val="24"/>
          <w:highlight w:val="none"/>
        </w:rPr>
      </w:pPr>
      <w:r>
        <w:rPr>
          <w:rFonts w:hint="eastAsia" w:ascii="宋体" w:hAnsi="宋体"/>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039E6F51">
      <w:pPr>
        <w:spacing w:line="400" w:lineRule="exact"/>
        <w:contextualSpacing/>
        <w:jc w:val="left"/>
        <w:rPr>
          <w:rFonts w:ascii="宋体" w:hAnsi="宋体"/>
          <w:color w:val="auto"/>
          <w:sz w:val="24"/>
          <w:highlight w:val="none"/>
        </w:rPr>
      </w:pPr>
    </w:p>
    <w:p w14:paraId="13BAAF1D">
      <w:pPr>
        <w:spacing w:line="600" w:lineRule="exact"/>
        <w:jc w:val="center"/>
        <w:rPr>
          <w:rFonts w:ascii="宋体" w:hAnsi="宋体" w:cs="宋体"/>
          <w:b/>
          <w:bCs/>
          <w:color w:val="auto"/>
          <w:sz w:val="32"/>
          <w:szCs w:val="32"/>
          <w:highlight w:val="none"/>
        </w:rPr>
      </w:pPr>
      <w:bookmarkStart w:id="161" w:name="_Toc19686838"/>
      <w:r>
        <w:rPr>
          <w:rFonts w:hint="eastAsia" w:ascii="宋体" w:hAnsi="宋体" w:cs="宋体"/>
          <w:b/>
          <w:bCs/>
          <w:color w:val="auto"/>
          <w:sz w:val="32"/>
          <w:szCs w:val="32"/>
          <w:highlight w:val="none"/>
        </w:rPr>
        <w:t>属于监狱企业证明文件</w:t>
      </w:r>
    </w:p>
    <w:p w14:paraId="536CC8EF">
      <w:pPr>
        <w:spacing w:line="600" w:lineRule="exact"/>
        <w:jc w:val="left"/>
        <w:rPr>
          <w:rFonts w:ascii="宋体" w:hAnsi="宋体" w:cs="宋体"/>
          <w:color w:val="auto"/>
          <w:kern w:val="0"/>
          <w:sz w:val="24"/>
          <w:highlight w:val="none"/>
          <w:lang w:val="zh-CN"/>
        </w:rPr>
      </w:pPr>
    </w:p>
    <w:p w14:paraId="5BEC20E0">
      <w:pPr>
        <w:spacing w:line="360" w:lineRule="auto"/>
        <w:ind w:firstLine="504" w:firstLineChars="200"/>
        <w:contextualSpacing/>
        <w:rPr>
          <w:rFonts w:ascii="宋体" w:hAnsi="宋体"/>
          <w:color w:val="auto"/>
          <w:spacing w:val="6"/>
          <w:sz w:val="24"/>
          <w:highlight w:val="none"/>
          <w:lang w:val="zh-CN"/>
        </w:rPr>
      </w:pPr>
      <w:r>
        <w:rPr>
          <w:rFonts w:hint="eastAsia" w:ascii="宋体" w:hAnsi="宋体"/>
          <w:color w:val="auto"/>
          <w:spacing w:val="6"/>
          <w:sz w:val="24"/>
          <w:highlight w:val="none"/>
          <w:lang w:val="zh-CN"/>
        </w:rPr>
        <w:t>由省级以上监狱管理局、戒毒管理局（含新疆生产建设兵团）出具的属于监狱企业证明文件复印件(电子签章)</w:t>
      </w:r>
    </w:p>
    <w:p w14:paraId="60EBF7F6">
      <w:pPr>
        <w:spacing w:line="360" w:lineRule="auto"/>
        <w:ind w:firstLine="504" w:firstLineChars="200"/>
        <w:contextualSpacing/>
        <w:rPr>
          <w:rFonts w:ascii="宋体" w:hAnsi="宋体"/>
          <w:color w:val="auto"/>
          <w:spacing w:val="6"/>
          <w:sz w:val="24"/>
          <w:highlight w:val="none"/>
        </w:rPr>
      </w:pPr>
      <w:r>
        <w:rPr>
          <w:rFonts w:hint="eastAsia" w:ascii="宋体" w:hAnsi="宋体"/>
          <w:color w:val="auto"/>
          <w:spacing w:val="6"/>
          <w:sz w:val="24"/>
          <w:highlight w:val="none"/>
        </w:rPr>
        <w:t>注明：</w:t>
      </w:r>
    </w:p>
    <w:p w14:paraId="3B60AC1C">
      <w:pPr>
        <w:spacing w:line="360" w:lineRule="auto"/>
        <w:ind w:firstLine="504" w:firstLineChars="200"/>
        <w:contextualSpacing/>
        <w:rPr>
          <w:b/>
          <w:color w:val="auto"/>
          <w:sz w:val="28"/>
          <w:szCs w:val="28"/>
          <w:highlight w:val="none"/>
        </w:rPr>
      </w:pPr>
      <w:r>
        <w:rPr>
          <w:rFonts w:hint="eastAsia" w:ascii="宋体" w:hAnsi="宋体"/>
          <w:color w:val="auto"/>
          <w:spacing w:val="6"/>
          <w:sz w:val="24"/>
          <w:highlight w:val="none"/>
        </w:rPr>
        <w:t>根据《关于政府采购支持监狱企业发展有关问题的通知》（财库[2014]68号）的规定，由省级以上监狱管理局、戒毒管理局（含新疆生产建设兵团）出具的属于监狱企业证的，视同为小型和微型企业，依法享受中小企业优惠政策。请根据自己的真实情况提供由省级以上监狱管理局、戒毒管理局（含新疆生产建设兵团）出具的属于监狱企业证的，采购人或者采购代理机构在公告中标结果时，同时公告其监狱企业证明文件，接受社会监督。</w:t>
      </w:r>
      <w:r>
        <w:rPr>
          <w:rFonts w:hint="eastAsia"/>
          <w:b/>
          <w:color w:val="auto"/>
          <w:sz w:val="28"/>
          <w:szCs w:val="28"/>
          <w:highlight w:val="none"/>
        </w:rPr>
        <w:br w:type="page"/>
      </w:r>
      <w:r>
        <w:rPr>
          <w:rFonts w:hint="eastAsia"/>
          <w:b/>
          <w:color w:val="auto"/>
          <w:sz w:val="28"/>
          <w:szCs w:val="28"/>
          <w:highlight w:val="none"/>
        </w:rPr>
        <w:t>三、商务及技术文件格式</w:t>
      </w:r>
      <w:bookmarkEnd w:id="161"/>
    </w:p>
    <w:p w14:paraId="55E77303">
      <w:pPr>
        <w:snapToGrid w:val="0"/>
        <w:spacing w:before="120" w:beforeLines="50" w:after="50" w:line="360" w:lineRule="auto"/>
        <w:jc w:val="left"/>
        <w:outlineLvl w:val="2"/>
        <w:rPr>
          <w:rFonts w:ascii="宋体" w:hAnsi="宋体"/>
          <w:b/>
          <w:color w:val="auto"/>
          <w:sz w:val="24"/>
          <w:highlight w:val="none"/>
        </w:rPr>
      </w:pPr>
      <w:r>
        <w:rPr>
          <w:rFonts w:hint="eastAsia" w:ascii="宋体" w:hAnsi="宋体"/>
          <w:b/>
          <w:color w:val="auto"/>
          <w:sz w:val="24"/>
          <w:highlight w:val="none"/>
        </w:rPr>
        <w:t xml:space="preserve">1.商务及技术文件封面格式： </w:t>
      </w:r>
    </w:p>
    <w:p w14:paraId="160EE845">
      <w:pPr>
        <w:snapToGrid w:val="0"/>
        <w:spacing w:before="120" w:beforeLines="50" w:after="50"/>
        <w:jc w:val="center"/>
        <w:rPr>
          <w:rFonts w:ascii="宋体" w:hAnsi="宋体"/>
          <w:color w:val="auto"/>
          <w:sz w:val="24"/>
          <w:highlight w:val="none"/>
        </w:rPr>
      </w:pPr>
      <w:r>
        <w:rPr>
          <w:rFonts w:hint="eastAsia" w:ascii="宋体" w:hAnsi="宋体" w:eastAsia="方正小标宋简体"/>
          <w:bCs/>
          <w:color w:val="auto"/>
          <w:sz w:val="48"/>
          <w:szCs w:val="48"/>
          <w:highlight w:val="none"/>
        </w:rPr>
        <w:t>电子投标文件</w:t>
      </w:r>
    </w:p>
    <w:p w14:paraId="48AE2D6F">
      <w:pPr>
        <w:snapToGrid w:val="0"/>
        <w:spacing w:before="120" w:beforeLines="50" w:after="50"/>
        <w:rPr>
          <w:rFonts w:ascii="宋体" w:hAnsi="宋体"/>
          <w:color w:val="auto"/>
          <w:sz w:val="24"/>
          <w:szCs w:val="20"/>
          <w:highlight w:val="none"/>
        </w:rPr>
      </w:pPr>
      <w:r>
        <w:rPr>
          <w:rFonts w:hint="eastAsia" w:ascii="宋体" w:hAnsi="宋体"/>
          <w:color w:val="auto"/>
          <w:sz w:val="24"/>
          <w:highlight w:val="none"/>
        </w:rPr>
        <w:t xml:space="preserve">                </w:t>
      </w:r>
    </w:p>
    <w:p w14:paraId="7EF549BF">
      <w:pPr>
        <w:snapToGrid w:val="0"/>
        <w:spacing w:before="120" w:beforeLines="50" w:after="50"/>
        <w:jc w:val="center"/>
        <w:rPr>
          <w:rFonts w:ascii="宋体" w:hAnsi="宋体"/>
          <w:b/>
          <w:color w:val="auto"/>
          <w:sz w:val="24"/>
          <w:szCs w:val="20"/>
          <w:highlight w:val="none"/>
        </w:rPr>
      </w:pPr>
      <w:r>
        <w:rPr>
          <w:rFonts w:hint="eastAsia" w:ascii="宋体" w:hAnsi="宋体"/>
          <w:b/>
          <w:color w:val="auto"/>
          <w:sz w:val="32"/>
          <w:szCs w:val="32"/>
          <w:highlight w:val="none"/>
        </w:rPr>
        <w:t>商务及技术文件</w:t>
      </w:r>
    </w:p>
    <w:p w14:paraId="0BC47AA7">
      <w:pPr>
        <w:snapToGrid w:val="0"/>
        <w:spacing w:before="120" w:beforeLines="50" w:after="50"/>
        <w:rPr>
          <w:rFonts w:ascii="宋体" w:hAnsi="宋体"/>
          <w:bCs/>
          <w:color w:val="auto"/>
          <w:sz w:val="24"/>
          <w:szCs w:val="20"/>
          <w:highlight w:val="none"/>
        </w:rPr>
      </w:pPr>
    </w:p>
    <w:p w14:paraId="240C3520">
      <w:pPr>
        <w:snapToGrid w:val="0"/>
        <w:spacing w:before="120" w:beforeLines="50" w:after="50"/>
        <w:ind w:firstLine="540" w:firstLineChars="225"/>
        <w:rPr>
          <w:rFonts w:ascii="宋体" w:hAnsi="宋体"/>
          <w:bCs/>
          <w:color w:val="auto"/>
          <w:sz w:val="24"/>
          <w:highlight w:val="none"/>
        </w:rPr>
      </w:pPr>
      <w:r>
        <w:rPr>
          <w:rFonts w:hint="eastAsia" w:ascii="宋体" w:hAnsi="宋体"/>
          <w:bCs/>
          <w:color w:val="auto"/>
          <w:sz w:val="24"/>
          <w:highlight w:val="none"/>
        </w:rPr>
        <w:t>项目名称：</w:t>
      </w:r>
    </w:p>
    <w:p w14:paraId="08465CE4">
      <w:pPr>
        <w:snapToGrid w:val="0"/>
        <w:spacing w:before="120" w:beforeLines="50" w:after="50"/>
        <w:ind w:firstLine="540" w:firstLineChars="225"/>
        <w:rPr>
          <w:rFonts w:ascii="宋体" w:hAnsi="宋体"/>
          <w:bCs/>
          <w:color w:val="auto"/>
          <w:sz w:val="24"/>
          <w:szCs w:val="20"/>
          <w:highlight w:val="none"/>
        </w:rPr>
      </w:pPr>
    </w:p>
    <w:p w14:paraId="33CC4FEB">
      <w:pPr>
        <w:snapToGrid w:val="0"/>
        <w:spacing w:before="120" w:beforeLines="50" w:after="50"/>
        <w:ind w:firstLine="540" w:firstLineChars="225"/>
        <w:rPr>
          <w:rFonts w:ascii="宋体" w:hAnsi="宋体"/>
          <w:bCs/>
          <w:color w:val="auto"/>
          <w:sz w:val="24"/>
          <w:highlight w:val="none"/>
        </w:rPr>
      </w:pPr>
      <w:r>
        <w:rPr>
          <w:rFonts w:hint="eastAsia" w:ascii="宋体" w:hAnsi="宋体"/>
          <w:bCs/>
          <w:color w:val="auto"/>
          <w:sz w:val="24"/>
          <w:highlight w:val="none"/>
        </w:rPr>
        <w:t>项目编号：</w:t>
      </w:r>
    </w:p>
    <w:p w14:paraId="18B9A1EA">
      <w:pPr>
        <w:snapToGrid w:val="0"/>
        <w:spacing w:before="120" w:beforeLines="50" w:after="50"/>
        <w:ind w:firstLine="540" w:firstLineChars="225"/>
        <w:rPr>
          <w:rFonts w:ascii="宋体" w:hAnsi="宋体"/>
          <w:bCs/>
          <w:color w:val="auto"/>
          <w:sz w:val="24"/>
          <w:szCs w:val="20"/>
          <w:highlight w:val="none"/>
        </w:rPr>
      </w:pPr>
      <w:r>
        <w:rPr>
          <w:rFonts w:hint="eastAsia" w:ascii="宋体" w:hAnsi="宋体"/>
          <w:bCs/>
          <w:color w:val="auto"/>
          <w:sz w:val="24"/>
          <w:highlight w:val="none"/>
        </w:rPr>
        <w:t xml:space="preserve"> </w:t>
      </w:r>
    </w:p>
    <w:p w14:paraId="68FFDA9D">
      <w:pPr>
        <w:snapToGrid w:val="0"/>
        <w:spacing w:before="120" w:beforeLines="50" w:after="50"/>
        <w:ind w:firstLine="540" w:firstLineChars="225"/>
        <w:rPr>
          <w:rFonts w:ascii="宋体" w:hAnsi="宋体"/>
          <w:bCs/>
          <w:color w:val="auto"/>
          <w:sz w:val="24"/>
          <w:highlight w:val="none"/>
        </w:rPr>
      </w:pPr>
      <w:r>
        <w:rPr>
          <w:rFonts w:hint="eastAsia" w:ascii="宋体" w:hAnsi="宋体"/>
          <w:bCs/>
          <w:color w:val="auto"/>
          <w:sz w:val="24"/>
          <w:highlight w:val="none"/>
        </w:rPr>
        <w:t>所投分标：</w:t>
      </w:r>
    </w:p>
    <w:p w14:paraId="40F0518F">
      <w:pPr>
        <w:snapToGrid w:val="0"/>
        <w:spacing w:before="120" w:beforeLines="50" w:after="50"/>
        <w:ind w:firstLine="540" w:firstLineChars="225"/>
        <w:rPr>
          <w:rFonts w:ascii="宋体" w:hAnsi="宋体"/>
          <w:bCs/>
          <w:color w:val="auto"/>
          <w:sz w:val="24"/>
          <w:szCs w:val="20"/>
          <w:highlight w:val="none"/>
        </w:rPr>
      </w:pPr>
    </w:p>
    <w:p w14:paraId="4192BC0C">
      <w:pPr>
        <w:pStyle w:val="7"/>
        <w:snapToGrid w:val="0"/>
        <w:spacing w:before="50" w:after="50"/>
        <w:ind w:firstLine="540" w:firstLineChars="225"/>
        <w:rPr>
          <w:rFonts w:ascii="宋体" w:hAnsi="宋体"/>
          <w:bCs/>
          <w:color w:val="auto"/>
          <w:sz w:val="24"/>
          <w:szCs w:val="24"/>
          <w:highlight w:val="none"/>
        </w:rPr>
      </w:pPr>
      <w:r>
        <w:rPr>
          <w:rFonts w:hint="eastAsia" w:ascii="宋体" w:hAnsi="宋体"/>
          <w:bCs/>
          <w:color w:val="auto"/>
          <w:sz w:val="24"/>
          <w:szCs w:val="24"/>
          <w:highlight w:val="none"/>
        </w:rPr>
        <w:t>投标人名称：</w:t>
      </w:r>
    </w:p>
    <w:p w14:paraId="61AA82A2">
      <w:pPr>
        <w:pStyle w:val="7"/>
        <w:snapToGrid w:val="0"/>
        <w:spacing w:before="50" w:after="50"/>
        <w:ind w:firstLine="540" w:firstLineChars="225"/>
        <w:rPr>
          <w:rFonts w:ascii="宋体" w:hAnsi="宋体"/>
          <w:bCs/>
          <w:color w:val="auto"/>
          <w:sz w:val="24"/>
          <w:szCs w:val="24"/>
          <w:highlight w:val="none"/>
        </w:rPr>
      </w:pPr>
    </w:p>
    <w:p w14:paraId="07B59742">
      <w:pPr>
        <w:pStyle w:val="7"/>
        <w:snapToGrid w:val="0"/>
        <w:spacing w:before="50" w:after="50"/>
        <w:ind w:firstLine="540" w:firstLineChars="225"/>
        <w:rPr>
          <w:rFonts w:ascii="宋体" w:hAnsi="宋体"/>
          <w:bCs/>
          <w:color w:val="auto"/>
          <w:sz w:val="24"/>
          <w:szCs w:val="24"/>
          <w:highlight w:val="none"/>
        </w:rPr>
      </w:pPr>
      <w:r>
        <w:rPr>
          <w:rFonts w:hint="eastAsia" w:ascii="宋体" w:hAnsi="宋体"/>
          <w:bCs/>
          <w:color w:val="auto"/>
          <w:sz w:val="24"/>
          <w:szCs w:val="24"/>
          <w:highlight w:val="none"/>
        </w:rPr>
        <w:t>投标人地址：</w:t>
      </w:r>
    </w:p>
    <w:p w14:paraId="198618C2">
      <w:pPr>
        <w:pStyle w:val="7"/>
        <w:snapToGrid w:val="0"/>
        <w:spacing w:before="50" w:after="50"/>
        <w:ind w:firstLine="960" w:firstLineChars="400"/>
        <w:rPr>
          <w:rFonts w:ascii="宋体" w:hAnsi="宋体"/>
          <w:bCs/>
          <w:color w:val="auto"/>
          <w:sz w:val="24"/>
          <w:szCs w:val="24"/>
          <w:highlight w:val="none"/>
        </w:rPr>
      </w:pPr>
    </w:p>
    <w:p w14:paraId="0531070F">
      <w:pPr>
        <w:snapToGrid w:val="0"/>
        <w:spacing w:before="120" w:beforeLines="50" w:after="50"/>
        <w:ind w:firstLine="645"/>
        <w:rPr>
          <w:rFonts w:ascii="宋体" w:hAnsi="宋体"/>
          <w:color w:val="auto"/>
          <w:sz w:val="24"/>
          <w:highlight w:val="none"/>
        </w:rPr>
      </w:pPr>
      <w:r>
        <w:rPr>
          <w:rFonts w:hint="eastAsia" w:ascii="宋体" w:hAnsi="宋体"/>
          <w:color w:val="auto"/>
          <w:sz w:val="24"/>
          <w:highlight w:val="none"/>
        </w:rPr>
        <w:t xml:space="preserve">                        年  月  日</w:t>
      </w:r>
    </w:p>
    <w:p w14:paraId="4A2B6068">
      <w:pPr>
        <w:snapToGrid w:val="0"/>
        <w:spacing w:before="120" w:beforeLines="50" w:after="50"/>
        <w:rPr>
          <w:rFonts w:ascii="宋体" w:hAnsi="宋体"/>
          <w:color w:val="auto"/>
          <w:sz w:val="24"/>
          <w:szCs w:val="20"/>
          <w:highlight w:val="none"/>
        </w:rPr>
      </w:pPr>
      <w:r>
        <w:rPr>
          <w:rFonts w:ascii="宋体" w:hAnsi="宋体"/>
          <w:color w:val="auto"/>
          <w:sz w:val="24"/>
          <w:szCs w:val="20"/>
          <w:highlight w:val="none"/>
        </w:rPr>
        <w:t xml:space="preserve"> </w:t>
      </w:r>
    </w:p>
    <w:p w14:paraId="16783E3B">
      <w:pPr>
        <w:snapToGrid w:val="0"/>
        <w:spacing w:line="360" w:lineRule="auto"/>
        <w:jc w:val="left"/>
        <w:outlineLvl w:val="2"/>
        <w:rPr>
          <w:rFonts w:ascii="宋体" w:hAnsi="宋体"/>
          <w:b/>
          <w:bCs/>
          <w:color w:val="auto"/>
          <w:sz w:val="28"/>
          <w:szCs w:val="28"/>
          <w:highlight w:val="none"/>
        </w:rPr>
      </w:pPr>
      <w:r>
        <w:rPr>
          <w:rFonts w:ascii="宋体" w:hAnsi="宋体"/>
          <w:color w:val="auto"/>
          <w:sz w:val="24"/>
          <w:szCs w:val="20"/>
          <w:highlight w:val="none"/>
        </w:rPr>
        <w:br w:type="page"/>
      </w:r>
      <w:r>
        <w:rPr>
          <w:rFonts w:hint="eastAsia" w:ascii="宋体" w:hAnsi="宋体"/>
          <w:b/>
          <w:bCs/>
          <w:color w:val="auto"/>
          <w:sz w:val="28"/>
          <w:szCs w:val="28"/>
          <w:highlight w:val="none"/>
        </w:rPr>
        <w:t>2.商务及技术文件目录</w:t>
      </w:r>
    </w:p>
    <w:p w14:paraId="6EA16368">
      <w:pPr>
        <w:snapToGrid w:val="0"/>
        <w:spacing w:before="50" w:after="120" w:afterLines="50" w:line="360" w:lineRule="auto"/>
        <w:jc w:val="left"/>
        <w:rPr>
          <w:rFonts w:ascii="微软雅黑" w:hAnsi="微软雅黑" w:eastAsia="微软雅黑"/>
          <w:b/>
          <w:bCs/>
          <w:color w:val="auto"/>
          <w:sz w:val="24"/>
          <w:highlight w:val="none"/>
        </w:rPr>
      </w:pPr>
      <w:r>
        <w:rPr>
          <w:rFonts w:hint="eastAsia" w:ascii="宋体" w:hAnsi="宋体"/>
          <w:color w:val="auto"/>
          <w:szCs w:val="21"/>
          <w:highlight w:val="none"/>
        </w:rPr>
        <w:t>根据招标文件规定及投标人提供的材料自行编写目录。</w:t>
      </w:r>
    </w:p>
    <w:p w14:paraId="3913D6A4">
      <w:pPr>
        <w:snapToGrid w:val="0"/>
        <w:spacing w:before="50" w:after="120" w:afterLines="50"/>
        <w:jc w:val="left"/>
        <w:rPr>
          <w:rFonts w:ascii="宋体" w:hAnsi="宋体"/>
          <w:color w:val="auto"/>
          <w:highlight w:val="none"/>
        </w:rPr>
      </w:pPr>
    </w:p>
    <w:p w14:paraId="74D7B3CB">
      <w:pPr>
        <w:snapToGrid w:val="0"/>
        <w:spacing w:before="120" w:beforeLines="50" w:after="50"/>
        <w:jc w:val="left"/>
        <w:outlineLvl w:val="2"/>
        <w:rPr>
          <w:rFonts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4"/>
          <w:highlight w:val="none"/>
        </w:rPr>
        <w:t>3.投标人参加本项目无围标串标行为的承诺</w:t>
      </w:r>
    </w:p>
    <w:p w14:paraId="49C46FD1">
      <w:pPr>
        <w:snapToGrid w:val="0"/>
        <w:spacing w:before="120" w:beforeLines="50" w:after="50"/>
        <w:jc w:val="left"/>
        <w:rPr>
          <w:rFonts w:ascii="宋体" w:hAnsi="宋体"/>
          <w:b/>
          <w:color w:val="auto"/>
          <w:sz w:val="24"/>
          <w:highlight w:val="none"/>
        </w:rPr>
      </w:pPr>
    </w:p>
    <w:p w14:paraId="2DF2B34A">
      <w:pPr>
        <w:snapToGrid w:val="0"/>
        <w:spacing w:before="120" w:beforeLines="50" w:after="50"/>
        <w:ind w:left="420"/>
        <w:jc w:val="center"/>
        <w:rPr>
          <w:rFonts w:ascii="宋体" w:hAnsi="宋体"/>
          <w:b/>
          <w:color w:val="auto"/>
          <w:spacing w:val="-17"/>
          <w:sz w:val="32"/>
          <w:szCs w:val="32"/>
          <w:highlight w:val="none"/>
        </w:rPr>
      </w:pPr>
      <w:r>
        <w:rPr>
          <w:rFonts w:hint="eastAsia" w:ascii="宋体" w:hAnsi="宋体" w:cs="宋体"/>
          <w:bCs/>
          <w:color w:val="auto"/>
          <w:spacing w:val="-17"/>
          <w:sz w:val="44"/>
          <w:szCs w:val="44"/>
          <w:highlight w:val="none"/>
        </w:rPr>
        <w:t>投标人参加本项目无围标串标行为的承诺函</w:t>
      </w:r>
    </w:p>
    <w:p w14:paraId="52D0A65C">
      <w:pPr>
        <w:snapToGrid w:val="0"/>
        <w:spacing w:before="120" w:beforeLines="50" w:after="50"/>
        <w:rPr>
          <w:rFonts w:ascii="宋体" w:hAnsi="宋体"/>
          <w:b/>
          <w:color w:val="auto"/>
          <w:sz w:val="24"/>
          <w:highlight w:val="none"/>
        </w:rPr>
      </w:pPr>
    </w:p>
    <w:p w14:paraId="4FA736CC">
      <w:pPr>
        <w:spacing w:line="400" w:lineRule="exact"/>
        <w:contextualSpacing/>
        <w:jc w:val="left"/>
        <w:rPr>
          <w:rFonts w:ascii="宋体" w:hAnsi="宋体"/>
          <w:b/>
          <w:color w:val="auto"/>
          <w:sz w:val="24"/>
          <w:highlight w:val="none"/>
        </w:rPr>
      </w:pPr>
      <w:r>
        <w:rPr>
          <w:rFonts w:hint="eastAsia" w:ascii="宋体" w:hAnsi="宋体"/>
          <w:b/>
          <w:color w:val="auto"/>
          <w:sz w:val="24"/>
          <w:highlight w:val="none"/>
        </w:rPr>
        <w:t>一、我方承诺无下列相互串通投标的情形：</w:t>
      </w:r>
    </w:p>
    <w:p w14:paraId="3FFCB8BB">
      <w:pPr>
        <w:spacing w:line="400" w:lineRule="exact"/>
        <w:ind w:firstLine="470" w:firstLineChars="196"/>
        <w:contextualSpacing/>
        <w:jc w:val="left"/>
        <w:rPr>
          <w:rFonts w:ascii="宋体" w:hAnsi="宋体"/>
          <w:color w:val="auto"/>
          <w:sz w:val="24"/>
          <w:highlight w:val="none"/>
        </w:rPr>
      </w:pPr>
      <w:r>
        <w:rPr>
          <w:rFonts w:hint="eastAsia" w:ascii="宋体" w:hAnsi="宋体"/>
          <w:color w:val="auto"/>
          <w:sz w:val="24"/>
          <w:highlight w:val="none"/>
        </w:rPr>
        <w:t xml:space="preserve">1.不同投标人的投标文件由同一单位或者个人编制； </w:t>
      </w:r>
    </w:p>
    <w:p w14:paraId="6955A97C">
      <w:pPr>
        <w:spacing w:line="400" w:lineRule="exact"/>
        <w:ind w:firstLine="470" w:firstLineChars="196"/>
        <w:contextualSpacing/>
        <w:jc w:val="left"/>
        <w:rPr>
          <w:rFonts w:ascii="宋体" w:hAnsi="宋体"/>
          <w:color w:val="auto"/>
          <w:sz w:val="24"/>
          <w:highlight w:val="none"/>
        </w:rPr>
      </w:pPr>
      <w:r>
        <w:rPr>
          <w:rFonts w:hint="eastAsia" w:ascii="宋体" w:hAnsi="宋体"/>
          <w:color w:val="auto"/>
          <w:sz w:val="24"/>
          <w:highlight w:val="none"/>
        </w:rPr>
        <w:t>2.不同投标人委托同一单位或者个人办理投标事宜；</w:t>
      </w:r>
    </w:p>
    <w:p w14:paraId="75109AFA">
      <w:pPr>
        <w:spacing w:line="400" w:lineRule="exact"/>
        <w:ind w:firstLine="470" w:firstLineChars="196"/>
        <w:contextualSpacing/>
        <w:jc w:val="left"/>
        <w:rPr>
          <w:rFonts w:ascii="宋体" w:hAnsi="宋体"/>
          <w:color w:val="auto"/>
          <w:sz w:val="24"/>
          <w:highlight w:val="none"/>
        </w:rPr>
      </w:pPr>
      <w:r>
        <w:rPr>
          <w:rFonts w:hint="eastAsia" w:ascii="宋体" w:hAnsi="宋体"/>
          <w:color w:val="auto"/>
          <w:sz w:val="24"/>
          <w:highlight w:val="none"/>
        </w:rPr>
        <w:t>3.不同的投标人的投标文件载明的项目管理员为同一个人；</w:t>
      </w:r>
    </w:p>
    <w:p w14:paraId="633AC561">
      <w:pPr>
        <w:spacing w:line="400" w:lineRule="exact"/>
        <w:ind w:firstLine="470" w:firstLineChars="196"/>
        <w:contextualSpacing/>
        <w:jc w:val="left"/>
        <w:rPr>
          <w:rFonts w:ascii="宋体" w:hAnsi="宋体"/>
          <w:color w:val="auto"/>
          <w:sz w:val="24"/>
          <w:highlight w:val="none"/>
        </w:rPr>
      </w:pPr>
      <w:r>
        <w:rPr>
          <w:rFonts w:hint="eastAsia" w:ascii="宋体" w:hAnsi="宋体"/>
          <w:color w:val="auto"/>
          <w:sz w:val="24"/>
          <w:highlight w:val="none"/>
        </w:rPr>
        <w:t>4.不同投标人的投标文件异常一致或者投标报价呈规律性差异；</w:t>
      </w:r>
    </w:p>
    <w:p w14:paraId="1FCD580E">
      <w:pPr>
        <w:spacing w:line="400" w:lineRule="exact"/>
        <w:ind w:firstLine="470" w:firstLineChars="196"/>
        <w:contextualSpacing/>
        <w:jc w:val="left"/>
        <w:rPr>
          <w:rFonts w:ascii="宋体" w:hAnsi="宋体"/>
          <w:color w:val="auto"/>
          <w:sz w:val="24"/>
          <w:highlight w:val="none"/>
        </w:rPr>
      </w:pPr>
      <w:r>
        <w:rPr>
          <w:rFonts w:hint="eastAsia" w:ascii="宋体" w:hAnsi="宋体"/>
          <w:color w:val="auto"/>
          <w:sz w:val="24"/>
          <w:highlight w:val="none"/>
        </w:rPr>
        <w:t>5.不同投标人的投标文件相互混装；</w:t>
      </w:r>
    </w:p>
    <w:p w14:paraId="6008F332">
      <w:pPr>
        <w:spacing w:line="400" w:lineRule="exact"/>
        <w:ind w:firstLine="470" w:firstLineChars="196"/>
        <w:contextualSpacing/>
        <w:jc w:val="left"/>
        <w:rPr>
          <w:rFonts w:ascii="宋体" w:hAnsi="宋体"/>
          <w:color w:val="auto"/>
          <w:sz w:val="24"/>
          <w:highlight w:val="none"/>
        </w:rPr>
      </w:pPr>
      <w:r>
        <w:rPr>
          <w:rFonts w:hint="eastAsia" w:ascii="宋体" w:hAnsi="宋体"/>
          <w:color w:val="auto"/>
          <w:sz w:val="24"/>
          <w:highlight w:val="none"/>
        </w:rPr>
        <w:t>6.不同投标人的投标保证金从同一单位或者个人账户转出。</w:t>
      </w:r>
    </w:p>
    <w:p w14:paraId="185ADBF6">
      <w:pPr>
        <w:spacing w:line="400" w:lineRule="exact"/>
        <w:contextualSpacing/>
        <w:jc w:val="left"/>
        <w:rPr>
          <w:rFonts w:ascii="宋体" w:hAnsi="宋体"/>
          <w:color w:val="auto"/>
          <w:sz w:val="24"/>
          <w:highlight w:val="none"/>
        </w:rPr>
      </w:pPr>
      <w:r>
        <w:rPr>
          <w:rFonts w:hint="eastAsia" w:ascii="宋体" w:hAnsi="宋体"/>
          <w:b/>
          <w:color w:val="auto"/>
          <w:sz w:val="24"/>
          <w:highlight w:val="none"/>
        </w:rPr>
        <w:t>二、我方承诺无下列恶意串通的情形：</w:t>
      </w:r>
    </w:p>
    <w:p w14:paraId="602761FA">
      <w:pPr>
        <w:spacing w:line="400" w:lineRule="exact"/>
        <w:ind w:firstLine="470" w:firstLineChars="196"/>
        <w:contextualSpacing/>
        <w:jc w:val="left"/>
        <w:rPr>
          <w:rFonts w:ascii="宋体" w:hAnsi="宋体"/>
          <w:color w:val="auto"/>
          <w:sz w:val="24"/>
          <w:highlight w:val="none"/>
        </w:rPr>
      </w:pPr>
      <w:r>
        <w:rPr>
          <w:rFonts w:hint="eastAsia" w:ascii="宋体" w:hAnsi="宋体"/>
          <w:color w:val="auto"/>
          <w:sz w:val="24"/>
          <w:highlight w:val="none"/>
        </w:rPr>
        <w:t>1.投标人直接或者间接从采购人或者采购代理机构处获得其他投标人的相关信息并修改其投标文件或者响应文件；</w:t>
      </w:r>
    </w:p>
    <w:p w14:paraId="35D5D739">
      <w:pPr>
        <w:spacing w:line="400" w:lineRule="exact"/>
        <w:ind w:firstLine="470" w:firstLineChars="196"/>
        <w:contextualSpacing/>
        <w:jc w:val="left"/>
        <w:rPr>
          <w:rFonts w:ascii="宋体" w:hAnsi="宋体"/>
          <w:color w:val="auto"/>
          <w:sz w:val="24"/>
          <w:highlight w:val="none"/>
        </w:rPr>
      </w:pPr>
      <w:r>
        <w:rPr>
          <w:rFonts w:hint="eastAsia" w:ascii="宋体" w:hAnsi="宋体"/>
          <w:color w:val="auto"/>
          <w:sz w:val="24"/>
          <w:highlight w:val="none"/>
        </w:rPr>
        <w:t>2.投标人按照采购人或者采购代理机构的授意撤换、修改投标文件或者响应文件；</w:t>
      </w:r>
    </w:p>
    <w:p w14:paraId="75DBD39E">
      <w:pPr>
        <w:spacing w:line="400" w:lineRule="exact"/>
        <w:ind w:firstLine="470" w:firstLineChars="196"/>
        <w:contextualSpacing/>
        <w:jc w:val="left"/>
        <w:rPr>
          <w:rFonts w:ascii="宋体" w:hAnsi="宋体"/>
          <w:color w:val="auto"/>
          <w:sz w:val="24"/>
          <w:highlight w:val="none"/>
        </w:rPr>
      </w:pPr>
      <w:r>
        <w:rPr>
          <w:rFonts w:hint="eastAsia" w:ascii="宋体" w:hAnsi="宋体"/>
          <w:color w:val="auto"/>
          <w:sz w:val="24"/>
          <w:highlight w:val="none"/>
        </w:rPr>
        <w:t>3.投标人之间协商报价、技术方案等投标文件或者响应文件的实质性内容；</w:t>
      </w:r>
    </w:p>
    <w:p w14:paraId="62A1757C">
      <w:pPr>
        <w:spacing w:line="400" w:lineRule="exact"/>
        <w:ind w:firstLine="470" w:firstLineChars="196"/>
        <w:contextualSpacing/>
        <w:jc w:val="left"/>
        <w:rPr>
          <w:rFonts w:ascii="宋体" w:hAnsi="宋体"/>
          <w:color w:val="auto"/>
          <w:sz w:val="24"/>
          <w:highlight w:val="none"/>
        </w:rPr>
      </w:pPr>
      <w:r>
        <w:rPr>
          <w:rFonts w:hint="eastAsia" w:ascii="宋体" w:hAnsi="宋体"/>
          <w:color w:val="auto"/>
          <w:sz w:val="24"/>
          <w:highlight w:val="none"/>
        </w:rPr>
        <w:t>4.属于同一集团、协会、商会等组织成员的投标人按照该组织要求协同参加政府采购活动；</w:t>
      </w:r>
    </w:p>
    <w:p w14:paraId="0326CA44">
      <w:pPr>
        <w:spacing w:line="400" w:lineRule="exact"/>
        <w:ind w:firstLine="470" w:firstLineChars="196"/>
        <w:contextualSpacing/>
        <w:jc w:val="left"/>
        <w:rPr>
          <w:rFonts w:ascii="宋体" w:hAnsi="宋体"/>
          <w:color w:val="auto"/>
          <w:sz w:val="24"/>
          <w:highlight w:val="none"/>
        </w:rPr>
      </w:pPr>
      <w:r>
        <w:rPr>
          <w:rFonts w:hint="eastAsia" w:ascii="宋体" w:hAnsi="宋体"/>
          <w:color w:val="auto"/>
          <w:sz w:val="24"/>
          <w:highlight w:val="none"/>
        </w:rPr>
        <w:t>5.投标人之间事先约定一致抬高或者压低投标报价，或者在招标项目中事先约定轮流以高价位或者低价位中标，或者事先约定由某一特定投标人中标，然后再参加投标；</w:t>
      </w:r>
    </w:p>
    <w:p w14:paraId="663FF57F">
      <w:pPr>
        <w:spacing w:line="400" w:lineRule="exact"/>
        <w:ind w:firstLine="470" w:firstLineChars="196"/>
        <w:contextualSpacing/>
        <w:jc w:val="left"/>
        <w:rPr>
          <w:rFonts w:ascii="宋体" w:hAnsi="宋体"/>
          <w:color w:val="auto"/>
          <w:sz w:val="24"/>
          <w:highlight w:val="none"/>
        </w:rPr>
      </w:pPr>
      <w:r>
        <w:rPr>
          <w:rFonts w:hint="eastAsia" w:ascii="宋体" w:hAnsi="宋体"/>
          <w:color w:val="auto"/>
          <w:sz w:val="24"/>
          <w:highlight w:val="none"/>
        </w:rPr>
        <w:t>6.投标人之间商定部分投标人放弃参加政府采购活动或者放弃中标；</w:t>
      </w:r>
    </w:p>
    <w:p w14:paraId="50F48CC5">
      <w:pPr>
        <w:spacing w:line="400" w:lineRule="exact"/>
        <w:ind w:firstLine="470" w:firstLineChars="196"/>
        <w:contextualSpacing/>
        <w:jc w:val="left"/>
        <w:rPr>
          <w:rFonts w:ascii="宋体" w:hAnsi="宋体"/>
          <w:color w:val="auto"/>
          <w:sz w:val="24"/>
          <w:highlight w:val="none"/>
        </w:rPr>
      </w:pPr>
      <w:r>
        <w:rPr>
          <w:rFonts w:hint="eastAsia" w:ascii="宋体" w:hAnsi="宋体"/>
          <w:color w:val="auto"/>
          <w:sz w:val="24"/>
          <w:highlight w:val="none"/>
        </w:rPr>
        <w:t>7.投标人与采购人或者采购代理机构之间、投标人相互之间，为谋求特定投标人中标或者排斥其他投标人的其他串通行为。</w:t>
      </w:r>
    </w:p>
    <w:p w14:paraId="09B1267F">
      <w:pPr>
        <w:spacing w:line="400" w:lineRule="exact"/>
        <w:ind w:firstLine="472" w:firstLineChars="196"/>
        <w:contextualSpacing/>
        <w:jc w:val="left"/>
        <w:rPr>
          <w:rFonts w:ascii="宋体" w:hAnsi="宋体"/>
          <w:b/>
          <w:color w:val="auto"/>
          <w:sz w:val="24"/>
          <w:highlight w:val="none"/>
        </w:rPr>
      </w:pPr>
      <w:r>
        <w:rPr>
          <w:rFonts w:hint="eastAsia" w:ascii="宋体" w:hAnsi="宋体"/>
          <w:b/>
          <w:color w:val="auto"/>
          <w:sz w:val="24"/>
          <w:highlight w:val="none"/>
        </w:rPr>
        <w:t>以上情形一经核查属实，我方愿意承担一切后果，并不再寻求任何旨在减轻或者免除法律责任的辩解。</w:t>
      </w:r>
    </w:p>
    <w:p w14:paraId="3B0CEA55">
      <w:pPr>
        <w:spacing w:line="400" w:lineRule="exact"/>
        <w:ind w:firstLine="472" w:firstLineChars="196"/>
        <w:contextualSpacing/>
        <w:jc w:val="left"/>
        <w:rPr>
          <w:rFonts w:ascii="宋体" w:hAnsi="宋体"/>
          <w:b/>
          <w:color w:val="auto"/>
          <w:sz w:val="24"/>
          <w:highlight w:val="none"/>
        </w:rPr>
      </w:pPr>
    </w:p>
    <w:p w14:paraId="779E0F8E">
      <w:pPr>
        <w:pStyle w:val="23"/>
        <w:spacing w:line="440" w:lineRule="exact"/>
        <w:ind w:firstLine="960" w:firstLineChars="400"/>
        <w:rPr>
          <w:rFonts w:hAnsi="宋体"/>
          <w:color w:val="auto"/>
          <w:sz w:val="24"/>
          <w:szCs w:val="24"/>
          <w:highlight w:val="none"/>
        </w:rPr>
      </w:pPr>
      <w:r>
        <w:rPr>
          <w:rFonts w:hint="eastAsia" w:hAnsi="宋体"/>
          <w:color w:val="auto"/>
          <w:sz w:val="24"/>
          <w:highlight w:val="none"/>
        </w:rPr>
        <w:t>法定代表人或者委托代理人</w:t>
      </w:r>
      <w:r>
        <w:rPr>
          <w:rFonts w:hint="eastAsia" w:hAnsi="宋体"/>
          <w:color w:val="auto"/>
          <w:spacing w:val="20"/>
          <w:sz w:val="24"/>
          <w:highlight w:val="none"/>
        </w:rPr>
        <w:t>（签字或者电子签名）：</w:t>
      </w:r>
      <w:r>
        <w:rPr>
          <w:rFonts w:hint="eastAsia" w:hAnsi="宋体"/>
          <w:color w:val="auto"/>
          <w:spacing w:val="20"/>
          <w:sz w:val="24"/>
          <w:highlight w:val="none"/>
          <w:u w:val="single"/>
        </w:rPr>
        <w:t xml:space="preserve">        </w:t>
      </w:r>
    </w:p>
    <w:p w14:paraId="0E31CF4C">
      <w:pPr>
        <w:pStyle w:val="23"/>
        <w:spacing w:line="440" w:lineRule="exact"/>
        <w:ind w:firstLine="960" w:firstLineChars="400"/>
        <w:rPr>
          <w:rFonts w:hAnsi="宋体"/>
          <w:color w:val="auto"/>
          <w:sz w:val="24"/>
          <w:szCs w:val="24"/>
          <w:highlight w:val="none"/>
        </w:rPr>
      </w:pPr>
      <w:r>
        <w:rPr>
          <w:rFonts w:hint="eastAsia" w:hAnsi="宋体"/>
          <w:color w:val="auto"/>
          <w:sz w:val="24"/>
          <w:szCs w:val="24"/>
          <w:highlight w:val="none"/>
        </w:rPr>
        <w:t xml:space="preserve"> </w:t>
      </w:r>
      <w:r>
        <w:rPr>
          <w:rFonts w:hAnsi="宋体"/>
          <w:color w:val="auto"/>
          <w:sz w:val="24"/>
          <w:szCs w:val="24"/>
          <w:highlight w:val="none"/>
        </w:rPr>
        <w:t xml:space="preserve">                        </w:t>
      </w:r>
      <w:r>
        <w:rPr>
          <w:rFonts w:hint="eastAsia" w:hAnsi="宋体"/>
          <w:color w:val="auto"/>
          <w:sz w:val="24"/>
          <w:szCs w:val="24"/>
          <w:highlight w:val="none"/>
        </w:rPr>
        <w:t>投标人名称（电子签章）</w:t>
      </w:r>
      <w:r>
        <w:rPr>
          <w:rFonts w:hint="eastAsia" w:hAnsi="宋体"/>
          <w:color w:val="auto"/>
          <w:spacing w:val="20"/>
          <w:sz w:val="24"/>
          <w:highlight w:val="none"/>
        </w:rPr>
        <w:t>：</w:t>
      </w:r>
      <w:r>
        <w:rPr>
          <w:rFonts w:hint="eastAsia" w:hAnsi="宋体"/>
          <w:color w:val="auto"/>
          <w:spacing w:val="20"/>
          <w:sz w:val="24"/>
          <w:highlight w:val="none"/>
          <w:u w:val="single"/>
        </w:rPr>
        <w:t xml:space="preserve">        </w:t>
      </w:r>
    </w:p>
    <w:p w14:paraId="1EDCEF4F">
      <w:pPr>
        <w:pStyle w:val="23"/>
        <w:spacing w:line="400" w:lineRule="exact"/>
        <w:contextualSpacing/>
        <w:jc w:val="center"/>
        <w:rPr>
          <w:rFonts w:hAnsi="宋体"/>
          <w:color w:val="auto"/>
          <w:sz w:val="24"/>
          <w:szCs w:val="24"/>
          <w:highlight w:val="none"/>
        </w:rPr>
      </w:pPr>
    </w:p>
    <w:p w14:paraId="3E7699AD">
      <w:pPr>
        <w:pStyle w:val="23"/>
        <w:spacing w:line="400" w:lineRule="exact"/>
        <w:contextualSpacing/>
        <w:rPr>
          <w:rFonts w:hAnsi="宋体"/>
          <w:color w:val="auto"/>
          <w:sz w:val="24"/>
          <w:highlight w:val="none"/>
        </w:rPr>
      </w:pPr>
      <w:r>
        <w:rPr>
          <w:rFonts w:hint="eastAsia" w:hAnsi="宋体"/>
          <w:color w:val="auto"/>
          <w:sz w:val="24"/>
          <w:highlight w:val="none"/>
        </w:rPr>
        <w:t xml:space="preserve">                                                </w:t>
      </w:r>
      <w:r>
        <w:rPr>
          <w:rFonts w:hint="eastAsia" w:hAnsi="宋体"/>
          <w:color w:val="auto"/>
          <w:sz w:val="24"/>
          <w:highlight w:val="none"/>
          <w:u w:val="single"/>
        </w:rPr>
        <w:t xml:space="preserve">      </w:t>
      </w:r>
      <w:r>
        <w:rPr>
          <w:rFonts w:hint="eastAsia" w:hAnsi="宋体"/>
          <w:color w:val="auto"/>
          <w:sz w:val="24"/>
          <w:highlight w:val="none"/>
        </w:rPr>
        <w:t>年</w:t>
      </w:r>
      <w:r>
        <w:rPr>
          <w:rFonts w:hint="eastAsia" w:hAnsi="宋体"/>
          <w:color w:val="auto"/>
          <w:sz w:val="24"/>
          <w:highlight w:val="none"/>
          <w:u w:val="single"/>
        </w:rPr>
        <w:t xml:space="preserve">    </w:t>
      </w:r>
      <w:r>
        <w:rPr>
          <w:rFonts w:hint="eastAsia" w:hAnsi="宋体"/>
          <w:color w:val="auto"/>
          <w:sz w:val="24"/>
          <w:highlight w:val="none"/>
        </w:rPr>
        <w:t>月</w:t>
      </w:r>
      <w:r>
        <w:rPr>
          <w:rFonts w:hint="eastAsia" w:hAnsi="宋体"/>
          <w:color w:val="auto"/>
          <w:sz w:val="24"/>
          <w:highlight w:val="none"/>
          <w:u w:val="single"/>
        </w:rPr>
        <w:t xml:space="preserve">     </w:t>
      </w:r>
      <w:r>
        <w:rPr>
          <w:rFonts w:hint="eastAsia" w:hAnsi="宋体"/>
          <w:color w:val="auto"/>
          <w:sz w:val="24"/>
          <w:highlight w:val="none"/>
        </w:rPr>
        <w:t>日</w:t>
      </w:r>
    </w:p>
    <w:p w14:paraId="5CFB5A5A">
      <w:pPr>
        <w:snapToGrid w:val="0"/>
        <w:spacing w:before="120" w:beforeLines="50" w:after="50"/>
        <w:ind w:firstLine="472" w:firstLineChars="196"/>
        <w:jc w:val="left"/>
        <w:outlineLvl w:val="2"/>
        <w:rPr>
          <w:rFonts w:ascii="宋体" w:hAnsi="宋体"/>
          <w:b/>
          <w:color w:val="auto"/>
          <w:sz w:val="24"/>
          <w:szCs w:val="20"/>
          <w:highlight w:val="none"/>
        </w:rPr>
      </w:pPr>
      <w:r>
        <w:rPr>
          <w:rFonts w:ascii="宋体" w:hAnsi="宋体"/>
          <w:b/>
          <w:color w:val="auto"/>
          <w:sz w:val="24"/>
          <w:highlight w:val="none"/>
        </w:rPr>
        <w:br w:type="page"/>
      </w:r>
      <w:r>
        <w:rPr>
          <w:rFonts w:hint="eastAsia" w:ascii="宋体" w:hAnsi="宋体"/>
          <w:b/>
          <w:color w:val="auto"/>
          <w:sz w:val="24"/>
          <w:highlight w:val="none"/>
        </w:rPr>
        <w:t>4.法定代表人身份证明</w:t>
      </w:r>
    </w:p>
    <w:p w14:paraId="5CC57842">
      <w:pPr>
        <w:spacing w:before="240" w:beforeLines="100" w:after="120" w:afterLines="50"/>
        <w:ind w:left="540"/>
        <w:jc w:val="center"/>
        <w:rPr>
          <w:rFonts w:ascii="宋体" w:hAnsi="Courier New"/>
          <w:b/>
          <w:color w:val="auto"/>
          <w:sz w:val="32"/>
          <w:szCs w:val="32"/>
          <w:highlight w:val="none"/>
        </w:rPr>
      </w:pPr>
    </w:p>
    <w:p w14:paraId="25932398">
      <w:pPr>
        <w:spacing w:before="240" w:beforeLines="100" w:after="120" w:afterLines="50"/>
        <w:ind w:left="540"/>
        <w:jc w:val="center"/>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法定代表人身份证明</w:t>
      </w:r>
    </w:p>
    <w:p w14:paraId="773C1CC5">
      <w:pPr>
        <w:spacing w:line="500" w:lineRule="exact"/>
        <w:ind w:left="540"/>
        <w:rPr>
          <w:rFonts w:ascii="宋体" w:hAnsi="宋体"/>
          <w:color w:val="auto"/>
          <w:sz w:val="24"/>
          <w:highlight w:val="none"/>
        </w:rPr>
      </w:pPr>
      <w:r>
        <w:rPr>
          <w:rFonts w:hint="eastAsia" w:ascii="宋体" w:hAnsi="宋体"/>
          <w:color w:val="auto"/>
          <w:sz w:val="24"/>
          <w:highlight w:val="none"/>
        </w:rPr>
        <w:t>投 标 人：</w:t>
      </w:r>
      <w:r>
        <w:rPr>
          <w:rFonts w:hint="eastAsia" w:ascii="宋体" w:hAnsi="宋体"/>
          <w:color w:val="auto"/>
          <w:sz w:val="24"/>
          <w:highlight w:val="none"/>
          <w:u w:val="single"/>
        </w:rPr>
        <w:t xml:space="preserve">                                                        </w:t>
      </w:r>
    </w:p>
    <w:p w14:paraId="46790F1D">
      <w:pPr>
        <w:spacing w:line="500" w:lineRule="exact"/>
        <w:ind w:left="540"/>
        <w:rPr>
          <w:rFonts w:ascii="宋体" w:hAnsi="宋体"/>
          <w:color w:val="auto"/>
          <w:sz w:val="24"/>
          <w:highlight w:val="none"/>
        </w:rPr>
      </w:pPr>
      <w:r>
        <w:rPr>
          <w:rFonts w:hint="eastAsia" w:ascii="宋体" w:hAnsi="宋体"/>
          <w:color w:val="auto"/>
          <w:sz w:val="24"/>
          <w:highlight w:val="none"/>
        </w:rPr>
        <w:t>地    址：</w:t>
      </w:r>
      <w:r>
        <w:rPr>
          <w:rFonts w:hint="eastAsia" w:ascii="宋体" w:hAnsi="宋体"/>
          <w:color w:val="auto"/>
          <w:sz w:val="24"/>
          <w:highlight w:val="none"/>
          <w:u w:val="single"/>
        </w:rPr>
        <w:t xml:space="preserve">                                                        </w:t>
      </w:r>
    </w:p>
    <w:p w14:paraId="2521F712">
      <w:pPr>
        <w:spacing w:line="500" w:lineRule="exact"/>
        <w:ind w:left="540"/>
        <w:rPr>
          <w:rFonts w:ascii="宋体" w:hAnsi="宋体"/>
          <w:color w:val="auto"/>
          <w:sz w:val="24"/>
          <w:highlight w:val="none"/>
        </w:rPr>
      </w:pPr>
      <w:r>
        <w:rPr>
          <w:rFonts w:hint="eastAsia" w:ascii="宋体" w:hAnsi="宋体"/>
          <w:color w:val="auto"/>
          <w:sz w:val="24"/>
          <w:highlight w:val="none"/>
        </w:rPr>
        <w:t>姓    名：</w:t>
      </w:r>
      <w:r>
        <w:rPr>
          <w:rFonts w:hint="eastAsia" w:ascii="宋体" w:hAnsi="宋体"/>
          <w:color w:val="auto"/>
          <w:sz w:val="24"/>
          <w:highlight w:val="none"/>
          <w:u w:val="single"/>
        </w:rPr>
        <w:t xml:space="preserve">                          </w:t>
      </w:r>
      <w:r>
        <w:rPr>
          <w:rFonts w:hint="eastAsia" w:ascii="宋体" w:hAnsi="宋体"/>
          <w:color w:val="auto"/>
          <w:sz w:val="24"/>
          <w:highlight w:val="none"/>
        </w:rPr>
        <w:t>性      别：</w:t>
      </w:r>
      <w:r>
        <w:rPr>
          <w:rFonts w:hint="eastAsia" w:ascii="宋体" w:hAnsi="宋体"/>
          <w:color w:val="auto"/>
          <w:sz w:val="24"/>
          <w:highlight w:val="none"/>
          <w:u w:val="single"/>
        </w:rPr>
        <w:t xml:space="preserve">                </w:t>
      </w:r>
    </w:p>
    <w:p w14:paraId="695E625A">
      <w:pPr>
        <w:spacing w:line="500" w:lineRule="exact"/>
        <w:ind w:left="540"/>
        <w:rPr>
          <w:rFonts w:ascii="宋体" w:hAnsi="宋体"/>
          <w:color w:val="auto"/>
          <w:sz w:val="24"/>
          <w:highlight w:val="none"/>
          <w:u w:val="single"/>
        </w:rPr>
      </w:pPr>
      <w:r>
        <w:rPr>
          <w:rFonts w:hint="eastAsia" w:ascii="宋体" w:hAnsi="宋体"/>
          <w:color w:val="auto"/>
          <w:sz w:val="24"/>
          <w:highlight w:val="none"/>
        </w:rPr>
        <w:t>年    龄：</w:t>
      </w:r>
      <w:r>
        <w:rPr>
          <w:rFonts w:hint="eastAsia" w:ascii="宋体" w:hAnsi="宋体"/>
          <w:color w:val="auto"/>
          <w:sz w:val="24"/>
          <w:highlight w:val="none"/>
          <w:u w:val="single"/>
        </w:rPr>
        <w:t xml:space="preserve">                          </w:t>
      </w:r>
      <w:r>
        <w:rPr>
          <w:rFonts w:hint="eastAsia" w:ascii="宋体" w:hAnsi="宋体"/>
          <w:color w:val="auto"/>
          <w:sz w:val="24"/>
          <w:highlight w:val="none"/>
        </w:rPr>
        <w:t>职      务：</w:t>
      </w:r>
      <w:r>
        <w:rPr>
          <w:rFonts w:hint="eastAsia" w:ascii="宋体" w:hAnsi="宋体"/>
          <w:color w:val="auto"/>
          <w:sz w:val="24"/>
          <w:highlight w:val="none"/>
          <w:u w:val="single"/>
        </w:rPr>
        <w:t xml:space="preserve">                </w:t>
      </w:r>
    </w:p>
    <w:p w14:paraId="1FE43AB4">
      <w:pPr>
        <w:spacing w:line="500" w:lineRule="exact"/>
        <w:ind w:left="540"/>
        <w:rPr>
          <w:rFonts w:ascii="宋体" w:hAnsi="宋体"/>
          <w:color w:val="auto"/>
          <w:sz w:val="24"/>
          <w:highlight w:val="none"/>
        </w:rPr>
      </w:pPr>
      <w:r>
        <w:rPr>
          <w:rFonts w:hint="eastAsia" w:ascii="宋体" w:hAnsi="宋体"/>
          <w:color w:val="auto"/>
          <w:sz w:val="24"/>
          <w:highlight w:val="none"/>
        </w:rPr>
        <w:t>身份证</w:t>
      </w:r>
      <w:r>
        <w:rPr>
          <w:rFonts w:hint="eastAsia"/>
          <w:color w:val="auto"/>
          <w:sz w:val="24"/>
          <w:highlight w:val="none"/>
        </w:rPr>
        <w:t>号码：</w:t>
      </w:r>
      <w:r>
        <w:rPr>
          <w:rFonts w:hint="eastAsia"/>
          <w:color w:val="auto"/>
          <w:sz w:val="24"/>
          <w:highlight w:val="none"/>
          <w:u w:val="single"/>
        </w:rPr>
        <w:t xml:space="preserve">                                 </w:t>
      </w:r>
    </w:p>
    <w:p w14:paraId="54E70219">
      <w:pPr>
        <w:spacing w:line="500" w:lineRule="exact"/>
        <w:ind w:left="540"/>
        <w:rPr>
          <w:rFonts w:ascii="宋体" w:hAnsi="宋体"/>
          <w:color w:val="auto"/>
          <w:sz w:val="24"/>
          <w:highlight w:val="none"/>
        </w:rPr>
      </w:pPr>
      <w:r>
        <w:rPr>
          <w:rFonts w:hint="eastAsia" w:ascii="宋体" w:hAnsi="宋体"/>
          <w:color w:val="auto"/>
          <w:sz w:val="24"/>
          <w:highlight w:val="none"/>
        </w:rPr>
        <w:t>系</w:t>
      </w:r>
      <w:r>
        <w:rPr>
          <w:rFonts w:hint="eastAsia" w:ascii="宋体" w:hAnsi="宋体"/>
          <w:color w:val="auto"/>
          <w:sz w:val="24"/>
          <w:highlight w:val="none"/>
          <w:u w:val="single"/>
        </w:rPr>
        <w:t xml:space="preserve">            （投标人名称）              </w:t>
      </w:r>
      <w:r>
        <w:rPr>
          <w:rFonts w:hint="eastAsia" w:ascii="宋体" w:hAnsi="宋体"/>
          <w:color w:val="auto"/>
          <w:sz w:val="24"/>
          <w:highlight w:val="none"/>
        </w:rPr>
        <w:t>的法定代表人。</w:t>
      </w:r>
    </w:p>
    <w:p w14:paraId="6FD5F286">
      <w:pPr>
        <w:spacing w:line="500" w:lineRule="exact"/>
        <w:ind w:left="540"/>
        <w:rPr>
          <w:rFonts w:ascii="宋体" w:hAnsi="宋体"/>
          <w:color w:val="auto"/>
          <w:sz w:val="24"/>
          <w:highlight w:val="none"/>
        </w:rPr>
      </w:pPr>
      <w:r>
        <w:rPr>
          <w:rFonts w:hint="eastAsia" w:ascii="宋体" w:hAnsi="宋体"/>
          <w:color w:val="auto"/>
          <w:sz w:val="24"/>
          <w:highlight w:val="none"/>
        </w:rPr>
        <w:t>特此证明。</w:t>
      </w:r>
    </w:p>
    <w:p w14:paraId="10FCFD9E">
      <w:pPr>
        <w:spacing w:line="500" w:lineRule="exact"/>
        <w:ind w:left="540"/>
        <w:rPr>
          <w:rFonts w:ascii="宋体" w:hAnsi="宋体"/>
          <w:color w:val="auto"/>
          <w:sz w:val="24"/>
          <w:highlight w:val="none"/>
        </w:rPr>
      </w:pPr>
    </w:p>
    <w:p w14:paraId="7A393B3B">
      <w:pPr>
        <w:spacing w:line="500" w:lineRule="exact"/>
        <w:ind w:left="540"/>
        <w:rPr>
          <w:rFonts w:ascii="宋体" w:hAnsi="宋体"/>
          <w:color w:val="auto"/>
          <w:sz w:val="24"/>
          <w:highlight w:val="none"/>
        </w:rPr>
      </w:pPr>
    </w:p>
    <w:p w14:paraId="3E0E711F">
      <w:pPr>
        <w:spacing w:line="500" w:lineRule="exact"/>
        <w:ind w:left="540"/>
        <w:rPr>
          <w:rFonts w:ascii="宋体" w:hAnsi="宋体"/>
          <w:color w:val="auto"/>
          <w:sz w:val="24"/>
          <w:highlight w:val="none"/>
        </w:rPr>
      </w:pPr>
      <w:r>
        <w:rPr>
          <w:rFonts w:hint="eastAsia" w:ascii="宋体" w:hAnsi="宋体"/>
          <w:color w:val="auto"/>
          <w:sz w:val="24"/>
          <w:highlight w:val="none"/>
        </w:rPr>
        <w:t>附件：法定代表人有效身份证正反面复印件</w:t>
      </w:r>
    </w:p>
    <w:p w14:paraId="72A05518">
      <w:pPr>
        <w:spacing w:line="500" w:lineRule="exact"/>
        <w:ind w:left="540"/>
        <w:rPr>
          <w:rFonts w:ascii="宋体" w:hAnsi="宋体"/>
          <w:color w:val="auto"/>
          <w:sz w:val="24"/>
          <w:highlight w:val="none"/>
        </w:rPr>
      </w:pPr>
    </w:p>
    <w:p w14:paraId="741F4461">
      <w:pPr>
        <w:spacing w:line="500" w:lineRule="exact"/>
        <w:ind w:left="540"/>
        <w:jc w:val="center"/>
        <w:rPr>
          <w:rFonts w:ascii="宋体" w:hAnsi="宋体"/>
          <w:color w:val="auto"/>
          <w:sz w:val="24"/>
          <w:highlight w:val="none"/>
          <w:u w:val="single"/>
        </w:rPr>
      </w:pPr>
      <w:r>
        <w:rPr>
          <w:rFonts w:hint="eastAsia" w:ascii="宋体" w:hAnsi="宋体"/>
          <w:color w:val="auto"/>
          <w:sz w:val="24"/>
          <w:highlight w:val="none"/>
        </w:rPr>
        <w:t>投标人名称（电子签章）：</w:t>
      </w:r>
      <w:r>
        <w:rPr>
          <w:rFonts w:hint="eastAsia" w:ascii="宋体" w:hAnsi="宋体"/>
          <w:color w:val="auto"/>
          <w:sz w:val="24"/>
          <w:highlight w:val="none"/>
          <w:u w:val="single"/>
        </w:rPr>
        <w:t xml:space="preserve">                    </w:t>
      </w:r>
    </w:p>
    <w:p w14:paraId="0E398370">
      <w:pPr>
        <w:snapToGrid w:val="0"/>
        <w:spacing w:before="120" w:beforeLines="50" w:after="50"/>
        <w:ind w:left="540"/>
        <w:jc w:val="right"/>
        <w:rPr>
          <w:rFonts w:ascii="宋体" w:hAnsi="宋体"/>
          <w:color w:val="auto"/>
          <w:sz w:val="24"/>
          <w:highlight w:val="none"/>
        </w:rPr>
      </w:pP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1088165B">
      <w:pPr>
        <w:snapToGrid w:val="0"/>
        <w:spacing w:before="120" w:beforeLines="50" w:after="50"/>
        <w:jc w:val="center"/>
        <w:rPr>
          <w:rFonts w:ascii="宋体" w:hAnsi="宋体"/>
          <w:b/>
          <w:color w:val="auto"/>
          <w:sz w:val="24"/>
          <w:highlight w:val="none"/>
        </w:rPr>
      </w:pPr>
    </w:p>
    <w:p w14:paraId="6E2CACC6">
      <w:pPr>
        <w:snapToGrid w:val="0"/>
        <w:spacing w:before="120" w:beforeLines="50" w:after="50"/>
        <w:jc w:val="left"/>
        <w:rPr>
          <w:rFonts w:ascii="宋体" w:hAnsi="宋体"/>
          <w:b/>
          <w:color w:val="auto"/>
          <w:sz w:val="24"/>
          <w:szCs w:val="20"/>
          <w:highlight w:val="none"/>
        </w:rPr>
      </w:pPr>
      <w:r>
        <w:rPr>
          <w:rFonts w:hint="eastAsia" w:ascii="宋体" w:hAnsi="宋体"/>
          <w:color w:val="auto"/>
          <w:sz w:val="24"/>
          <w:highlight w:val="none"/>
        </w:rPr>
        <w:t>注：自然人投标的无需提供</w:t>
      </w:r>
    </w:p>
    <w:p w14:paraId="2A4623A2">
      <w:pPr>
        <w:snapToGrid w:val="0"/>
        <w:spacing w:before="120" w:beforeLines="50" w:after="50"/>
        <w:jc w:val="left"/>
        <w:outlineLvl w:val="2"/>
        <w:rPr>
          <w:rFonts w:ascii="宋体" w:hAnsi="宋体"/>
          <w:b/>
          <w:color w:val="auto"/>
          <w:sz w:val="24"/>
          <w:szCs w:val="20"/>
          <w:highlight w:val="none"/>
        </w:rPr>
      </w:pPr>
      <w:r>
        <w:rPr>
          <w:rFonts w:ascii="宋体" w:hAnsi="宋体"/>
          <w:b/>
          <w:color w:val="auto"/>
          <w:sz w:val="24"/>
          <w:highlight w:val="none"/>
        </w:rPr>
        <w:br w:type="page"/>
      </w:r>
      <w:r>
        <w:rPr>
          <w:rFonts w:hint="eastAsia" w:ascii="宋体" w:hAnsi="宋体"/>
          <w:b/>
          <w:color w:val="auto"/>
          <w:sz w:val="24"/>
          <w:highlight w:val="none"/>
        </w:rPr>
        <w:t>5.授权委托书格式</w:t>
      </w:r>
    </w:p>
    <w:p w14:paraId="217BDC82">
      <w:pPr>
        <w:snapToGrid w:val="0"/>
        <w:spacing w:before="120" w:beforeLines="50" w:after="50"/>
        <w:jc w:val="center"/>
        <w:rPr>
          <w:rFonts w:ascii="宋体" w:hAnsi="宋体"/>
          <w:b/>
          <w:color w:val="auto"/>
          <w:sz w:val="44"/>
          <w:szCs w:val="44"/>
          <w:highlight w:val="none"/>
        </w:rPr>
      </w:pPr>
    </w:p>
    <w:p w14:paraId="7B4D6536">
      <w:pPr>
        <w:snapToGrid w:val="0"/>
        <w:spacing w:before="120" w:beforeLines="50" w:after="50"/>
        <w:jc w:val="center"/>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授权委托书</w:t>
      </w:r>
    </w:p>
    <w:p w14:paraId="550194F9">
      <w:pPr>
        <w:snapToGrid w:val="0"/>
        <w:spacing w:before="120" w:beforeLines="50" w:after="50"/>
        <w:jc w:val="center"/>
        <w:rPr>
          <w:rFonts w:ascii="宋体" w:hAnsi="宋体"/>
          <w:b/>
          <w:color w:val="auto"/>
          <w:sz w:val="32"/>
          <w:szCs w:val="32"/>
          <w:highlight w:val="none"/>
        </w:rPr>
      </w:pPr>
      <w:r>
        <w:rPr>
          <w:rFonts w:hint="eastAsia" w:ascii="宋体" w:hAnsi="宋体"/>
          <w:b/>
          <w:color w:val="auto"/>
          <w:sz w:val="32"/>
          <w:szCs w:val="32"/>
          <w:highlight w:val="none"/>
        </w:rPr>
        <w:t>（非联合体投标格式）</w:t>
      </w:r>
    </w:p>
    <w:p w14:paraId="6731EE53">
      <w:pPr>
        <w:snapToGrid w:val="0"/>
        <w:spacing w:before="120" w:beforeLines="50" w:after="50"/>
        <w:jc w:val="center"/>
        <w:rPr>
          <w:rFonts w:ascii="宋体" w:hAnsi="宋体"/>
          <w:b/>
          <w:color w:val="auto"/>
          <w:sz w:val="24"/>
          <w:highlight w:val="none"/>
        </w:rPr>
      </w:pPr>
      <w:r>
        <w:rPr>
          <w:rFonts w:hint="eastAsia" w:ascii="宋体" w:hAnsi="宋体"/>
          <w:b/>
          <w:color w:val="auto"/>
          <w:sz w:val="32"/>
          <w:szCs w:val="32"/>
          <w:highlight w:val="none"/>
        </w:rPr>
        <w:t>（如有委托时）</w:t>
      </w:r>
    </w:p>
    <w:p w14:paraId="5186418F">
      <w:pPr>
        <w:snapToGrid w:val="0"/>
        <w:spacing w:before="120" w:beforeLines="50" w:after="50"/>
        <w:jc w:val="center"/>
        <w:rPr>
          <w:rFonts w:ascii="宋体" w:hAnsi="宋体"/>
          <w:b/>
          <w:color w:val="auto"/>
          <w:sz w:val="24"/>
          <w:highlight w:val="none"/>
        </w:rPr>
      </w:pPr>
    </w:p>
    <w:p w14:paraId="658EB583">
      <w:pPr>
        <w:spacing w:line="360" w:lineRule="auto"/>
        <w:contextualSpacing/>
        <w:rPr>
          <w:rFonts w:ascii="宋体" w:hAnsi="宋体"/>
          <w:b/>
          <w:bCs/>
          <w:color w:val="auto"/>
          <w:sz w:val="24"/>
          <w:highlight w:val="none"/>
        </w:rPr>
      </w:pPr>
      <w:r>
        <w:rPr>
          <w:rFonts w:hint="eastAsia" w:ascii="宋体" w:hAnsi="宋体"/>
          <w:bCs/>
          <w:color w:val="auto"/>
          <w:sz w:val="24"/>
          <w:highlight w:val="none"/>
        </w:rPr>
        <w:t>致：</w:t>
      </w:r>
      <w:r>
        <w:rPr>
          <w:rFonts w:hint="eastAsia" w:ascii="宋体" w:hAnsi="宋体"/>
          <w:color w:val="auto"/>
          <w:sz w:val="24"/>
          <w:highlight w:val="none"/>
          <w:u w:val="single"/>
        </w:rPr>
        <w:t>采购人名称</w:t>
      </w:r>
      <w:r>
        <w:rPr>
          <w:rFonts w:hint="eastAsia" w:ascii="宋体" w:hAnsi="宋体"/>
          <w:color w:val="auto"/>
          <w:sz w:val="24"/>
          <w:highlight w:val="none"/>
        </w:rPr>
        <w:t>：</w:t>
      </w:r>
    </w:p>
    <w:p w14:paraId="4EB9651B">
      <w:pPr>
        <w:spacing w:line="360" w:lineRule="auto"/>
        <w:ind w:firstLine="566" w:firstLineChars="236"/>
        <w:contextualSpacing/>
        <w:rPr>
          <w:rFonts w:ascii="宋体" w:hAnsi="宋体"/>
          <w:color w:val="auto"/>
          <w:sz w:val="24"/>
          <w:highlight w:val="none"/>
        </w:rPr>
      </w:pPr>
      <w:r>
        <w:rPr>
          <w:rFonts w:hint="eastAsia" w:ascii="宋体" w:hAnsi="宋体"/>
          <w:color w:val="auto"/>
          <w:sz w:val="24"/>
          <w:highlight w:val="none"/>
        </w:rPr>
        <w:t>我</w:t>
      </w:r>
      <w:r>
        <w:rPr>
          <w:rFonts w:hint="eastAsia" w:ascii="宋体" w:hAnsi="宋体"/>
          <w:color w:val="auto"/>
          <w:sz w:val="24"/>
          <w:highlight w:val="none"/>
          <w:u w:val="single"/>
        </w:rPr>
        <w:t xml:space="preserve">       </w:t>
      </w:r>
      <w:r>
        <w:rPr>
          <w:rFonts w:hint="eastAsia" w:ascii="宋体" w:hAnsi="宋体"/>
          <w:color w:val="auto"/>
          <w:sz w:val="24"/>
          <w:highlight w:val="none"/>
        </w:rPr>
        <w:t>（姓名）系</w:t>
      </w:r>
      <w:r>
        <w:rPr>
          <w:rFonts w:hint="eastAsia" w:ascii="宋体" w:hAnsi="宋体"/>
          <w:color w:val="auto"/>
          <w:sz w:val="24"/>
          <w:highlight w:val="none"/>
          <w:u w:val="single"/>
        </w:rPr>
        <w:t xml:space="preserve">      </w:t>
      </w:r>
      <w:r>
        <w:rPr>
          <w:rFonts w:hint="eastAsia" w:ascii="宋体" w:hAnsi="宋体"/>
          <w:color w:val="auto"/>
          <w:sz w:val="24"/>
          <w:highlight w:val="none"/>
        </w:rPr>
        <w:t>（投标人名称）的法定代表人，现授权委托</w:t>
      </w:r>
      <w:r>
        <w:rPr>
          <w:rFonts w:hint="eastAsia" w:ascii="宋体" w:hAnsi="宋体"/>
          <w:color w:val="auto"/>
          <w:sz w:val="24"/>
          <w:highlight w:val="none"/>
          <w:u w:val="single"/>
        </w:rPr>
        <w:t xml:space="preserve">              （姓名）</w:t>
      </w:r>
      <w:r>
        <w:rPr>
          <w:rFonts w:hint="eastAsia" w:ascii="宋体" w:hAnsi="宋体"/>
          <w:color w:val="auto"/>
          <w:sz w:val="24"/>
          <w:highlight w:val="none"/>
        </w:rPr>
        <w:t>以我方的名义参加</w:t>
      </w:r>
      <w:r>
        <w:rPr>
          <w:rFonts w:hint="eastAsia" w:ascii="宋体" w:hAnsi="宋体"/>
          <w:color w:val="auto"/>
          <w:sz w:val="24"/>
          <w:highlight w:val="none"/>
          <w:u w:val="single"/>
        </w:rPr>
        <w:t xml:space="preserve">              </w:t>
      </w:r>
      <w:r>
        <w:rPr>
          <w:rFonts w:hint="eastAsia" w:ascii="宋体" w:hAnsi="宋体"/>
          <w:color w:val="auto"/>
          <w:sz w:val="24"/>
          <w:highlight w:val="none"/>
        </w:rPr>
        <w:t>项目的投标活动，并代表我方全权办理针对上述项目的所有采购程序和环节的具体事务和签署相关文件。</w:t>
      </w:r>
    </w:p>
    <w:p w14:paraId="0B857C2B">
      <w:pPr>
        <w:spacing w:line="360" w:lineRule="auto"/>
        <w:contextualSpacing/>
        <w:rPr>
          <w:rFonts w:ascii="宋体" w:hAnsi="宋体"/>
          <w:color w:val="auto"/>
          <w:sz w:val="24"/>
          <w:highlight w:val="none"/>
        </w:rPr>
      </w:pPr>
      <w:r>
        <w:rPr>
          <w:rFonts w:hint="eastAsia" w:ascii="宋体" w:hAnsi="宋体"/>
          <w:color w:val="auto"/>
          <w:sz w:val="24"/>
          <w:highlight w:val="none"/>
        </w:rPr>
        <w:t xml:space="preserve">    我方对委托代理人的签字或者电子签名事项负全部责任。</w:t>
      </w:r>
    </w:p>
    <w:p w14:paraId="2F771412">
      <w:pPr>
        <w:spacing w:line="360" w:lineRule="auto"/>
        <w:ind w:firstLine="480"/>
        <w:contextualSpacing/>
        <w:rPr>
          <w:rFonts w:ascii="宋体" w:hAnsi="宋体"/>
          <w:color w:val="auto"/>
          <w:sz w:val="24"/>
          <w:highlight w:val="none"/>
        </w:rPr>
      </w:pPr>
      <w:r>
        <w:rPr>
          <w:rFonts w:hint="eastAsia" w:ascii="宋体" w:hAnsi="宋体"/>
          <w:color w:val="auto"/>
          <w:sz w:val="24"/>
          <w:highlight w:val="none"/>
          <w:u w:val="single"/>
        </w:rPr>
        <w:t>本授权书自签署之日起生效，在撤销授权的书面通知以前，本授权书一直有效。委托代理人在授权书有效期内签署的所有文件不因授权的撤销而失效。</w:t>
      </w:r>
    </w:p>
    <w:p w14:paraId="4C046CD2">
      <w:pPr>
        <w:spacing w:line="360" w:lineRule="auto"/>
        <w:ind w:firstLine="480"/>
        <w:contextualSpacing/>
        <w:rPr>
          <w:rFonts w:ascii="宋体" w:hAnsi="宋体"/>
          <w:color w:val="auto"/>
          <w:sz w:val="24"/>
          <w:highlight w:val="none"/>
        </w:rPr>
      </w:pPr>
      <w:r>
        <w:rPr>
          <w:rFonts w:hint="eastAsia" w:ascii="宋体" w:hAnsi="宋体"/>
          <w:color w:val="auto"/>
          <w:sz w:val="24"/>
          <w:highlight w:val="none"/>
        </w:rPr>
        <w:t>委托代理人无转委托权，特此委托。</w:t>
      </w:r>
    </w:p>
    <w:p w14:paraId="5F21DF61">
      <w:pPr>
        <w:spacing w:line="360" w:lineRule="auto"/>
        <w:ind w:firstLine="480"/>
        <w:contextualSpacing/>
        <w:rPr>
          <w:rFonts w:ascii="宋体" w:hAnsi="宋体"/>
          <w:color w:val="auto"/>
          <w:sz w:val="24"/>
          <w:highlight w:val="none"/>
        </w:rPr>
      </w:pPr>
      <w:r>
        <w:rPr>
          <w:rFonts w:hint="eastAsia" w:ascii="宋体" w:hAnsi="宋体"/>
          <w:color w:val="auto"/>
          <w:sz w:val="24"/>
          <w:highlight w:val="none"/>
        </w:rPr>
        <w:t>附：法定代表人身份证明及委托代理人有效身份证正反面复印件</w:t>
      </w:r>
    </w:p>
    <w:p w14:paraId="16516672">
      <w:pPr>
        <w:spacing w:line="360" w:lineRule="auto"/>
        <w:contextualSpacing/>
        <w:rPr>
          <w:rFonts w:ascii="宋体" w:hAnsi="宋体"/>
          <w:color w:val="auto"/>
          <w:sz w:val="24"/>
          <w:highlight w:val="none"/>
        </w:rPr>
      </w:pPr>
    </w:p>
    <w:p w14:paraId="3C42F106">
      <w:pPr>
        <w:spacing w:line="440" w:lineRule="exact"/>
        <w:contextualSpacing/>
        <w:rPr>
          <w:rFonts w:ascii="宋体" w:hAnsi="宋体"/>
          <w:color w:val="auto"/>
          <w:sz w:val="24"/>
          <w:highlight w:val="none"/>
        </w:rPr>
      </w:pPr>
      <w:r>
        <w:rPr>
          <w:rFonts w:hint="eastAsia" w:ascii="宋体" w:hAnsi="宋体"/>
          <w:color w:val="auto"/>
          <w:sz w:val="24"/>
          <w:highlight w:val="none"/>
        </w:rPr>
        <w:t>委托代理人（签字或者电子签名）：</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14:paraId="3126DE1C">
      <w:pPr>
        <w:spacing w:line="440" w:lineRule="exact"/>
        <w:contextualSpacing/>
        <w:rPr>
          <w:rFonts w:ascii="宋体" w:hAnsi="宋体"/>
          <w:color w:val="auto"/>
          <w:sz w:val="24"/>
          <w:highlight w:val="none"/>
          <w:u w:val="single"/>
        </w:rPr>
      </w:pPr>
      <w:r>
        <w:rPr>
          <w:rFonts w:hint="eastAsia" w:ascii="宋体" w:hAnsi="宋体"/>
          <w:color w:val="auto"/>
          <w:sz w:val="24"/>
          <w:highlight w:val="none"/>
        </w:rPr>
        <w:t>委托代理人身份证号码：</w:t>
      </w:r>
      <w:r>
        <w:rPr>
          <w:rFonts w:hint="eastAsia" w:ascii="宋体" w:hAnsi="宋体"/>
          <w:color w:val="auto"/>
          <w:sz w:val="24"/>
          <w:highlight w:val="none"/>
          <w:u w:val="single"/>
        </w:rPr>
        <w:t xml:space="preserve">                             </w:t>
      </w:r>
    </w:p>
    <w:p w14:paraId="0804B6A6">
      <w:pPr>
        <w:spacing w:line="440" w:lineRule="exact"/>
        <w:contextualSpacing/>
        <w:rPr>
          <w:rFonts w:ascii="宋体" w:hAnsi="宋体"/>
          <w:color w:val="auto"/>
          <w:sz w:val="24"/>
          <w:highlight w:val="none"/>
          <w:u w:val="single"/>
        </w:rPr>
      </w:pPr>
      <w:r>
        <w:rPr>
          <w:rFonts w:hint="eastAsia" w:ascii="宋体" w:hAnsi="宋体"/>
          <w:color w:val="auto"/>
          <w:sz w:val="24"/>
          <w:highlight w:val="none"/>
        </w:rPr>
        <w:t>法定代表人（签字或者盖章或者电子签名）：</w:t>
      </w:r>
      <w:r>
        <w:rPr>
          <w:rFonts w:hint="eastAsia" w:ascii="宋体" w:hAnsi="宋体"/>
          <w:color w:val="auto"/>
          <w:sz w:val="24"/>
          <w:highlight w:val="none"/>
          <w:u w:val="single"/>
        </w:rPr>
        <w:t xml:space="preserve">              </w:t>
      </w:r>
    </w:p>
    <w:p w14:paraId="56561EFE">
      <w:pPr>
        <w:spacing w:line="440" w:lineRule="exact"/>
        <w:contextualSpacing/>
        <w:jc w:val="center"/>
        <w:rPr>
          <w:rFonts w:ascii="宋体" w:hAnsi="宋体"/>
          <w:color w:val="auto"/>
          <w:sz w:val="24"/>
          <w:highlight w:val="none"/>
        </w:rPr>
      </w:pPr>
      <w:r>
        <w:rPr>
          <w:rFonts w:hint="eastAsia" w:ascii="宋体" w:hAnsi="宋体"/>
          <w:color w:val="auto"/>
          <w:sz w:val="24"/>
          <w:highlight w:val="none"/>
        </w:rPr>
        <w:t xml:space="preserve"> </w:t>
      </w:r>
    </w:p>
    <w:p w14:paraId="200ED227">
      <w:pPr>
        <w:spacing w:line="440" w:lineRule="exact"/>
        <w:contextualSpacing/>
        <w:jc w:val="center"/>
        <w:rPr>
          <w:rFonts w:ascii="宋体" w:hAnsi="宋体"/>
          <w:color w:val="auto"/>
          <w:sz w:val="24"/>
          <w:highlight w:val="none"/>
          <w:u w:val="single"/>
        </w:rPr>
      </w:pPr>
      <w:r>
        <w:rPr>
          <w:rFonts w:hint="eastAsia" w:ascii="宋体" w:hAnsi="宋体"/>
          <w:color w:val="auto"/>
          <w:sz w:val="24"/>
          <w:highlight w:val="none"/>
        </w:rPr>
        <w:t xml:space="preserve">             投标人名称（电子签章）：</w:t>
      </w:r>
      <w:r>
        <w:rPr>
          <w:rFonts w:hint="eastAsia" w:ascii="宋体" w:hAnsi="宋体"/>
          <w:color w:val="auto"/>
          <w:sz w:val="24"/>
          <w:highlight w:val="none"/>
          <w:u w:val="single"/>
        </w:rPr>
        <w:t xml:space="preserve">             </w:t>
      </w:r>
    </w:p>
    <w:p w14:paraId="4BA501C1">
      <w:pPr>
        <w:spacing w:line="440" w:lineRule="exact"/>
        <w:contextualSpacing/>
        <w:jc w:val="center"/>
        <w:rPr>
          <w:rFonts w:ascii="宋体" w:hAnsi="宋体"/>
          <w:color w:val="auto"/>
          <w:sz w:val="24"/>
          <w:highlight w:val="none"/>
        </w:rPr>
      </w:pPr>
      <w:r>
        <w:rPr>
          <w:rFonts w:hint="eastAsia" w:ascii="宋体" w:hAnsi="宋体"/>
          <w:color w:val="auto"/>
          <w:sz w:val="24"/>
          <w:highlight w:val="none"/>
        </w:rPr>
        <w:t xml:space="preserve">                                              年    月    日</w:t>
      </w:r>
    </w:p>
    <w:p w14:paraId="2D7DC8AB">
      <w:pPr>
        <w:spacing w:line="440" w:lineRule="exact"/>
        <w:contextualSpacing/>
        <w:rPr>
          <w:rFonts w:ascii="宋体" w:hAnsi="宋体" w:cs="仿宋_GB2312"/>
          <w:color w:val="auto"/>
          <w:sz w:val="24"/>
          <w:highlight w:val="none"/>
        </w:rPr>
      </w:pPr>
      <w:r>
        <w:rPr>
          <w:rFonts w:hint="eastAsia" w:ascii="宋体" w:hAnsi="宋体" w:cs="仿宋_GB2312"/>
          <w:color w:val="auto"/>
          <w:sz w:val="24"/>
          <w:highlight w:val="none"/>
        </w:rPr>
        <w:t>注：1.</w:t>
      </w:r>
      <w:bookmarkStart w:id="162" w:name="_Hlk65851555"/>
      <w:bookmarkStart w:id="163" w:name="_Hlk65851620"/>
      <w:r>
        <w:rPr>
          <w:rFonts w:hint="eastAsia" w:ascii="宋体" w:hAnsi="宋体" w:cs="仿宋_GB2312"/>
          <w:color w:val="auto"/>
          <w:sz w:val="24"/>
          <w:highlight w:val="none"/>
        </w:rPr>
        <w:t>法定代表人必须在授权委托书上签字或者盖章</w:t>
      </w:r>
      <w:r>
        <w:rPr>
          <w:rFonts w:hint="eastAsia" w:ascii="宋体" w:hAnsi="宋体"/>
          <w:color w:val="auto"/>
          <w:sz w:val="24"/>
          <w:highlight w:val="none"/>
        </w:rPr>
        <w:t>或者电子签名</w:t>
      </w:r>
      <w:r>
        <w:rPr>
          <w:rFonts w:hint="eastAsia" w:ascii="宋体" w:hAnsi="宋体" w:cs="仿宋_GB2312"/>
          <w:color w:val="auto"/>
          <w:sz w:val="24"/>
          <w:highlight w:val="none"/>
        </w:rPr>
        <w:t>，</w:t>
      </w:r>
      <w:bookmarkEnd w:id="162"/>
      <w:r>
        <w:rPr>
          <w:rFonts w:hint="eastAsia" w:ascii="宋体" w:hAnsi="宋体" w:cs="仿宋_GB2312"/>
          <w:color w:val="auto"/>
          <w:sz w:val="24"/>
          <w:highlight w:val="none"/>
        </w:rPr>
        <w:t>委托代理人必须在授权委托书上签字</w:t>
      </w:r>
      <w:r>
        <w:rPr>
          <w:rFonts w:hint="eastAsia" w:ascii="宋体" w:hAnsi="宋体"/>
          <w:color w:val="auto"/>
          <w:sz w:val="24"/>
          <w:highlight w:val="none"/>
        </w:rPr>
        <w:t>或者电子签名</w:t>
      </w:r>
      <w:r>
        <w:rPr>
          <w:rFonts w:hint="eastAsia" w:ascii="宋体" w:hAnsi="宋体" w:cs="仿宋_GB2312"/>
          <w:color w:val="auto"/>
          <w:sz w:val="24"/>
          <w:highlight w:val="none"/>
        </w:rPr>
        <w:t>，</w:t>
      </w:r>
      <w:r>
        <w:rPr>
          <w:rFonts w:hint="eastAsia" w:ascii="宋体" w:hAnsi="宋体" w:cs="仿宋_GB2312"/>
          <w:b/>
          <w:bCs/>
          <w:color w:val="auto"/>
          <w:sz w:val="24"/>
          <w:highlight w:val="none"/>
        </w:rPr>
        <w:t>否则按无效投标处理</w:t>
      </w:r>
      <w:r>
        <w:rPr>
          <w:rFonts w:hint="eastAsia" w:ascii="宋体" w:hAnsi="宋体" w:cs="仿宋_GB2312"/>
          <w:color w:val="auto"/>
          <w:sz w:val="24"/>
          <w:highlight w:val="none"/>
        </w:rPr>
        <w:t>；</w:t>
      </w:r>
      <w:bookmarkEnd w:id="163"/>
    </w:p>
    <w:p w14:paraId="5DF13216">
      <w:pPr>
        <w:spacing w:line="440" w:lineRule="exact"/>
        <w:ind w:firstLine="480" w:firstLineChars="200"/>
        <w:contextualSpacing/>
        <w:jc w:val="left"/>
        <w:rPr>
          <w:rFonts w:ascii="宋体" w:hAnsi="宋体"/>
          <w:color w:val="auto"/>
          <w:sz w:val="24"/>
          <w:highlight w:val="none"/>
        </w:rPr>
      </w:pPr>
      <w:r>
        <w:rPr>
          <w:rFonts w:hint="eastAsia" w:ascii="宋体" w:hAnsi="宋体" w:cs="仿宋_GB2312"/>
          <w:color w:val="auto"/>
          <w:sz w:val="24"/>
          <w:highlight w:val="none"/>
        </w:rPr>
        <w:t>2.法人、其他组织投标时“我方”是指“我单位”，自然人投标时“我方”是指“本人”。</w:t>
      </w:r>
    </w:p>
    <w:p w14:paraId="23669093">
      <w:pPr>
        <w:outlineLvl w:val="2"/>
        <w:rPr>
          <w:rFonts w:ascii="宋体" w:hAnsi="宋体"/>
          <w:b/>
          <w:color w:val="auto"/>
          <w:sz w:val="24"/>
          <w:szCs w:val="20"/>
          <w:highlight w:val="none"/>
        </w:rPr>
      </w:pPr>
      <w:r>
        <w:rPr>
          <w:rFonts w:ascii="宋体" w:hAnsi="宋体"/>
          <w:color w:val="auto"/>
          <w:sz w:val="24"/>
          <w:highlight w:val="none"/>
        </w:rPr>
        <w:br w:type="page"/>
      </w:r>
      <w:r>
        <w:rPr>
          <w:rFonts w:hint="eastAsia" w:ascii="宋体" w:hAnsi="宋体"/>
          <w:b/>
          <w:color w:val="auto"/>
          <w:sz w:val="24"/>
          <w:highlight w:val="none"/>
        </w:rPr>
        <w:t>6.商务要求偏离表格式</w:t>
      </w:r>
    </w:p>
    <w:p w14:paraId="61BA1CD1">
      <w:pPr>
        <w:snapToGrid w:val="0"/>
        <w:spacing w:before="50"/>
        <w:jc w:val="left"/>
        <w:rPr>
          <w:rFonts w:ascii="宋体" w:hAnsi="宋体"/>
          <w:color w:val="auto"/>
          <w:sz w:val="24"/>
          <w:highlight w:val="none"/>
        </w:rPr>
      </w:pPr>
    </w:p>
    <w:p w14:paraId="33102739">
      <w:pPr>
        <w:pStyle w:val="23"/>
        <w:rPr>
          <w:rFonts w:hAnsi="宋体"/>
          <w:color w:val="auto"/>
          <w:sz w:val="24"/>
          <w:szCs w:val="24"/>
          <w:highlight w:val="none"/>
        </w:rPr>
      </w:pPr>
      <w:r>
        <w:rPr>
          <w:rFonts w:hint="eastAsia" w:hAnsi="宋体"/>
          <w:color w:val="auto"/>
          <w:sz w:val="24"/>
          <w:szCs w:val="24"/>
          <w:highlight w:val="none"/>
        </w:rPr>
        <w:t>所投分标：</w:t>
      </w:r>
      <w:r>
        <w:rPr>
          <w:rFonts w:hint="eastAsia" w:hAnsi="宋体"/>
          <w:color w:val="auto"/>
          <w:sz w:val="24"/>
          <w:szCs w:val="24"/>
          <w:highlight w:val="none"/>
          <w:u w:val="single"/>
        </w:rPr>
        <w:t xml:space="preserve">     </w:t>
      </w:r>
      <w:r>
        <w:rPr>
          <w:rFonts w:hint="eastAsia" w:hAnsi="宋体"/>
          <w:color w:val="auto"/>
          <w:sz w:val="24"/>
          <w:szCs w:val="24"/>
          <w:highlight w:val="none"/>
        </w:rPr>
        <w:t>分标</w:t>
      </w:r>
    </w:p>
    <w:p w14:paraId="0312ACA8">
      <w:pPr>
        <w:snapToGrid w:val="0"/>
        <w:spacing w:before="50"/>
        <w:jc w:val="left"/>
        <w:rPr>
          <w:rFonts w:ascii="宋体" w:hAnsi="宋体"/>
          <w:color w:val="auto"/>
          <w:sz w:val="24"/>
          <w:highlight w:val="none"/>
          <w:u w:val="single"/>
        </w:rPr>
      </w:pPr>
    </w:p>
    <w:tbl>
      <w:tblPr>
        <w:tblStyle w:val="47"/>
        <w:tblW w:w="0" w:type="auto"/>
        <w:tblInd w:w="-11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52"/>
        <w:gridCol w:w="2694"/>
        <w:gridCol w:w="1760"/>
        <w:gridCol w:w="2035"/>
      </w:tblGrid>
      <w:tr w14:paraId="3E2AFECC">
        <w:tblPrEx>
          <w:tblCellMar>
            <w:top w:w="0" w:type="dxa"/>
            <w:left w:w="108" w:type="dxa"/>
            <w:bottom w:w="0" w:type="dxa"/>
            <w:right w:w="108" w:type="dxa"/>
          </w:tblCellMar>
        </w:tblPrEx>
        <w:trPr>
          <w:trHeight w:val="642" w:hRule="atLeast"/>
        </w:trPr>
        <w:tc>
          <w:tcPr>
            <w:tcW w:w="2152" w:type="dxa"/>
            <w:tcBorders>
              <w:top w:val="single" w:color="auto" w:sz="4" w:space="0"/>
              <w:left w:val="single" w:color="auto" w:sz="4" w:space="0"/>
              <w:bottom w:val="single" w:color="auto" w:sz="4" w:space="0"/>
              <w:right w:val="single" w:color="auto" w:sz="4" w:space="0"/>
            </w:tcBorders>
          </w:tcPr>
          <w:p w14:paraId="4A9DBB33">
            <w:pPr>
              <w:snapToGrid w:val="0"/>
              <w:spacing w:before="120" w:beforeLines="50"/>
              <w:jc w:val="center"/>
              <w:rPr>
                <w:rFonts w:ascii="宋体" w:hAnsi="宋体"/>
                <w:color w:val="auto"/>
                <w:sz w:val="24"/>
                <w:highlight w:val="none"/>
              </w:rPr>
            </w:pPr>
            <w:r>
              <w:rPr>
                <w:rFonts w:hint="eastAsia" w:ascii="宋体" w:hAnsi="宋体"/>
                <w:color w:val="auto"/>
                <w:sz w:val="24"/>
                <w:highlight w:val="none"/>
              </w:rPr>
              <w:t>项目</w:t>
            </w:r>
          </w:p>
        </w:tc>
        <w:tc>
          <w:tcPr>
            <w:tcW w:w="2694" w:type="dxa"/>
            <w:tcBorders>
              <w:top w:val="single" w:color="auto" w:sz="4" w:space="0"/>
              <w:left w:val="single" w:color="auto" w:sz="4" w:space="0"/>
              <w:bottom w:val="single" w:color="auto" w:sz="4" w:space="0"/>
              <w:right w:val="single" w:color="auto" w:sz="4" w:space="0"/>
            </w:tcBorders>
          </w:tcPr>
          <w:p w14:paraId="12DA9195">
            <w:pPr>
              <w:snapToGrid w:val="0"/>
              <w:spacing w:before="120" w:beforeLines="50"/>
              <w:jc w:val="center"/>
              <w:rPr>
                <w:rFonts w:ascii="宋体" w:hAnsi="宋体"/>
                <w:color w:val="auto"/>
                <w:sz w:val="24"/>
                <w:highlight w:val="none"/>
              </w:rPr>
            </w:pPr>
            <w:r>
              <w:rPr>
                <w:rFonts w:hint="eastAsia" w:ascii="宋体" w:hAnsi="宋体"/>
                <w:color w:val="auto"/>
                <w:sz w:val="24"/>
                <w:highlight w:val="none"/>
              </w:rPr>
              <w:t>招标文件商务要求</w:t>
            </w:r>
          </w:p>
        </w:tc>
        <w:tc>
          <w:tcPr>
            <w:tcW w:w="1760" w:type="dxa"/>
            <w:tcBorders>
              <w:top w:val="single" w:color="auto" w:sz="4" w:space="0"/>
              <w:left w:val="single" w:color="auto" w:sz="4" w:space="0"/>
              <w:bottom w:val="single" w:color="auto" w:sz="4" w:space="0"/>
              <w:right w:val="single" w:color="auto" w:sz="4" w:space="0"/>
            </w:tcBorders>
          </w:tcPr>
          <w:p w14:paraId="75D5E316">
            <w:pPr>
              <w:snapToGrid w:val="0"/>
              <w:spacing w:before="120" w:beforeLines="50"/>
              <w:jc w:val="center"/>
              <w:rPr>
                <w:rFonts w:ascii="宋体" w:hAnsi="宋体"/>
                <w:color w:val="auto"/>
                <w:sz w:val="24"/>
                <w:highlight w:val="none"/>
              </w:rPr>
            </w:pPr>
            <w:r>
              <w:rPr>
                <w:rFonts w:hint="eastAsia" w:ascii="宋体" w:hAnsi="宋体"/>
                <w:color w:val="auto"/>
                <w:sz w:val="24"/>
                <w:highlight w:val="none"/>
              </w:rPr>
              <w:t>投标人的承诺</w:t>
            </w:r>
          </w:p>
        </w:tc>
        <w:tc>
          <w:tcPr>
            <w:tcW w:w="2035" w:type="dxa"/>
            <w:tcBorders>
              <w:top w:val="single" w:color="auto" w:sz="4" w:space="0"/>
              <w:left w:val="single" w:color="auto" w:sz="4" w:space="0"/>
              <w:bottom w:val="single" w:color="auto" w:sz="4" w:space="0"/>
              <w:right w:val="single" w:color="auto" w:sz="4" w:space="0"/>
            </w:tcBorders>
          </w:tcPr>
          <w:p w14:paraId="71C1EA76">
            <w:pPr>
              <w:snapToGrid w:val="0"/>
              <w:spacing w:before="120" w:beforeLines="50"/>
              <w:jc w:val="center"/>
              <w:rPr>
                <w:rFonts w:ascii="宋体" w:hAnsi="宋体"/>
                <w:color w:val="auto"/>
                <w:sz w:val="24"/>
                <w:highlight w:val="none"/>
              </w:rPr>
            </w:pPr>
            <w:r>
              <w:rPr>
                <w:rFonts w:hint="eastAsia" w:ascii="宋体" w:hAnsi="宋体"/>
                <w:color w:val="auto"/>
                <w:sz w:val="24"/>
                <w:highlight w:val="none"/>
              </w:rPr>
              <w:t>偏离说明</w:t>
            </w:r>
          </w:p>
        </w:tc>
      </w:tr>
      <w:tr w14:paraId="690B21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2152" w:type="dxa"/>
            <w:tcBorders>
              <w:top w:val="single" w:color="auto" w:sz="4" w:space="0"/>
              <w:left w:val="single" w:color="auto" w:sz="4" w:space="0"/>
              <w:bottom w:val="single" w:color="auto" w:sz="4" w:space="0"/>
              <w:right w:val="single" w:color="auto" w:sz="4" w:space="0"/>
            </w:tcBorders>
            <w:vAlign w:val="center"/>
          </w:tcPr>
          <w:p w14:paraId="2A1D58E4">
            <w:pPr>
              <w:jc w:val="center"/>
              <w:rPr>
                <w:rFonts w:ascii="宋体" w:hAnsi="宋体"/>
                <w:color w:val="auto"/>
                <w:sz w:val="24"/>
                <w:highlight w:val="none"/>
              </w:rPr>
            </w:pPr>
            <w:r>
              <w:rPr>
                <w:rFonts w:hint="eastAsia" w:ascii="宋体" w:hAnsi="宋体"/>
                <w:color w:val="auto"/>
                <w:sz w:val="24"/>
                <w:highlight w:val="none"/>
              </w:rPr>
              <w:t>服务期限</w:t>
            </w:r>
          </w:p>
        </w:tc>
        <w:tc>
          <w:tcPr>
            <w:tcW w:w="2694" w:type="dxa"/>
            <w:tcBorders>
              <w:top w:val="single" w:color="auto" w:sz="4" w:space="0"/>
              <w:left w:val="single" w:color="auto" w:sz="4" w:space="0"/>
              <w:bottom w:val="single" w:color="auto" w:sz="4" w:space="0"/>
              <w:right w:val="single" w:color="auto" w:sz="4" w:space="0"/>
            </w:tcBorders>
            <w:vAlign w:val="center"/>
          </w:tcPr>
          <w:p w14:paraId="7160FF27">
            <w:pPr>
              <w:jc w:val="left"/>
              <w:rPr>
                <w:rFonts w:ascii="宋体" w:hAnsi="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tcPr>
          <w:p w14:paraId="4B631814">
            <w:pPr>
              <w:snapToGrid w:val="0"/>
              <w:spacing w:before="120" w:beforeLines="50"/>
              <w:jc w:val="center"/>
              <w:rPr>
                <w:rFonts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tcPr>
          <w:p w14:paraId="7B209442">
            <w:pPr>
              <w:snapToGrid w:val="0"/>
              <w:spacing w:before="120" w:beforeLines="50"/>
              <w:jc w:val="center"/>
              <w:rPr>
                <w:rFonts w:ascii="宋体" w:hAnsi="宋体"/>
                <w:color w:val="auto"/>
                <w:sz w:val="24"/>
                <w:highlight w:val="none"/>
              </w:rPr>
            </w:pPr>
          </w:p>
        </w:tc>
      </w:tr>
      <w:tr w14:paraId="1869B3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2152" w:type="dxa"/>
            <w:tcBorders>
              <w:top w:val="single" w:color="auto" w:sz="4" w:space="0"/>
              <w:left w:val="single" w:color="auto" w:sz="4" w:space="0"/>
              <w:bottom w:val="single" w:color="auto" w:sz="4" w:space="0"/>
              <w:right w:val="single" w:color="auto" w:sz="4" w:space="0"/>
            </w:tcBorders>
            <w:vAlign w:val="center"/>
          </w:tcPr>
          <w:p w14:paraId="7F447DF3">
            <w:pPr>
              <w:jc w:val="center"/>
              <w:rPr>
                <w:rFonts w:ascii="宋体" w:hAnsi="宋体"/>
                <w:color w:val="auto"/>
                <w:sz w:val="24"/>
                <w:highlight w:val="none"/>
              </w:rPr>
            </w:pPr>
            <w:r>
              <w:rPr>
                <w:rFonts w:hint="eastAsia" w:ascii="宋体" w:hAnsi="宋体"/>
                <w:color w:val="auto"/>
                <w:sz w:val="24"/>
                <w:highlight w:val="none"/>
              </w:rPr>
              <w:t>合同签订期</w:t>
            </w:r>
          </w:p>
        </w:tc>
        <w:tc>
          <w:tcPr>
            <w:tcW w:w="2694" w:type="dxa"/>
            <w:tcBorders>
              <w:top w:val="single" w:color="auto" w:sz="4" w:space="0"/>
              <w:left w:val="single" w:color="auto" w:sz="4" w:space="0"/>
              <w:bottom w:val="single" w:color="auto" w:sz="4" w:space="0"/>
              <w:right w:val="single" w:color="auto" w:sz="4" w:space="0"/>
            </w:tcBorders>
            <w:vAlign w:val="center"/>
          </w:tcPr>
          <w:p w14:paraId="62E30016">
            <w:pPr>
              <w:jc w:val="left"/>
              <w:rPr>
                <w:rFonts w:ascii="宋体" w:hAnsi="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tcPr>
          <w:p w14:paraId="04D1B795">
            <w:pPr>
              <w:snapToGrid w:val="0"/>
              <w:spacing w:before="120" w:beforeLines="50"/>
              <w:ind w:left="43"/>
              <w:jc w:val="center"/>
              <w:rPr>
                <w:rFonts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tcPr>
          <w:p w14:paraId="0B53614F">
            <w:pPr>
              <w:snapToGrid w:val="0"/>
              <w:spacing w:before="120" w:beforeLines="50"/>
              <w:ind w:left="43"/>
              <w:jc w:val="center"/>
              <w:rPr>
                <w:rFonts w:ascii="宋体" w:hAnsi="宋体"/>
                <w:color w:val="auto"/>
                <w:sz w:val="24"/>
                <w:highlight w:val="none"/>
              </w:rPr>
            </w:pPr>
          </w:p>
        </w:tc>
      </w:tr>
      <w:tr w14:paraId="15D0BB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2152" w:type="dxa"/>
            <w:tcBorders>
              <w:top w:val="single" w:color="auto" w:sz="4" w:space="0"/>
              <w:left w:val="single" w:color="auto" w:sz="4" w:space="0"/>
              <w:bottom w:val="single" w:color="auto" w:sz="4" w:space="0"/>
              <w:right w:val="single" w:color="auto" w:sz="4" w:space="0"/>
            </w:tcBorders>
            <w:vAlign w:val="center"/>
          </w:tcPr>
          <w:p w14:paraId="11E25363">
            <w:pPr>
              <w:jc w:val="center"/>
              <w:rPr>
                <w:rFonts w:ascii="宋体" w:hAnsi="宋体"/>
                <w:color w:val="auto"/>
                <w:sz w:val="24"/>
                <w:highlight w:val="none"/>
              </w:rPr>
            </w:pPr>
            <w:r>
              <w:rPr>
                <w:rFonts w:hint="eastAsia" w:ascii="宋体" w:hAnsi="宋体"/>
                <w:color w:val="auto"/>
                <w:sz w:val="24"/>
                <w:highlight w:val="none"/>
              </w:rPr>
              <w:t>服务地点</w:t>
            </w:r>
          </w:p>
        </w:tc>
        <w:tc>
          <w:tcPr>
            <w:tcW w:w="2694" w:type="dxa"/>
            <w:tcBorders>
              <w:top w:val="single" w:color="auto" w:sz="4" w:space="0"/>
              <w:left w:val="single" w:color="auto" w:sz="4" w:space="0"/>
              <w:bottom w:val="single" w:color="auto" w:sz="4" w:space="0"/>
              <w:right w:val="single" w:color="auto" w:sz="4" w:space="0"/>
            </w:tcBorders>
            <w:vAlign w:val="center"/>
          </w:tcPr>
          <w:p w14:paraId="3BFB5023">
            <w:pPr>
              <w:jc w:val="left"/>
              <w:rPr>
                <w:rFonts w:ascii="宋体" w:hAnsi="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tcPr>
          <w:p w14:paraId="6BB0A349">
            <w:pPr>
              <w:snapToGrid w:val="0"/>
              <w:spacing w:before="120" w:beforeLines="50"/>
              <w:ind w:left="43"/>
              <w:jc w:val="center"/>
              <w:rPr>
                <w:rFonts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tcPr>
          <w:p w14:paraId="1129B2AC">
            <w:pPr>
              <w:snapToGrid w:val="0"/>
              <w:spacing w:before="120" w:beforeLines="50"/>
              <w:ind w:left="43"/>
              <w:jc w:val="center"/>
              <w:rPr>
                <w:rFonts w:ascii="宋体" w:hAnsi="宋体"/>
                <w:color w:val="auto"/>
                <w:sz w:val="24"/>
                <w:highlight w:val="none"/>
              </w:rPr>
            </w:pPr>
          </w:p>
        </w:tc>
      </w:tr>
      <w:tr w14:paraId="2D4F7F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2152" w:type="dxa"/>
            <w:tcBorders>
              <w:top w:val="single" w:color="auto" w:sz="4" w:space="0"/>
              <w:left w:val="single" w:color="auto" w:sz="4" w:space="0"/>
              <w:bottom w:val="single" w:color="auto" w:sz="4" w:space="0"/>
              <w:right w:val="single" w:color="auto" w:sz="4" w:space="0"/>
            </w:tcBorders>
            <w:vAlign w:val="center"/>
          </w:tcPr>
          <w:p w14:paraId="18367D18">
            <w:pPr>
              <w:jc w:val="center"/>
              <w:rPr>
                <w:rFonts w:ascii="宋体" w:hAnsi="宋体"/>
                <w:color w:val="auto"/>
                <w:sz w:val="24"/>
                <w:highlight w:val="none"/>
              </w:rPr>
            </w:pPr>
            <w:r>
              <w:rPr>
                <w:rFonts w:hint="eastAsia" w:ascii="宋体" w:hAnsi="宋体"/>
                <w:color w:val="auto"/>
                <w:sz w:val="24"/>
                <w:highlight w:val="none"/>
              </w:rPr>
              <w:t>付款条件</w:t>
            </w:r>
          </w:p>
        </w:tc>
        <w:tc>
          <w:tcPr>
            <w:tcW w:w="2694" w:type="dxa"/>
            <w:tcBorders>
              <w:top w:val="single" w:color="auto" w:sz="4" w:space="0"/>
              <w:left w:val="single" w:color="auto" w:sz="4" w:space="0"/>
              <w:bottom w:val="single" w:color="auto" w:sz="4" w:space="0"/>
              <w:right w:val="single" w:color="auto" w:sz="4" w:space="0"/>
            </w:tcBorders>
            <w:vAlign w:val="center"/>
          </w:tcPr>
          <w:p w14:paraId="1E7CE76E">
            <w:pPr>
              <w:jc w:val="left"/>
              <w:rPr>
                <w:rFonts w:ascii="宋体" w:hAnsi="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tcPr>
          <w:p w14:paraId="1FEF66A9">
            <w:pPr>
              <w:snapToGrid w:val="0"/>
              <w:spacing w:before="120" w:beforeLines="50"/>
              <w:ind w:left="43"/>
              <w:jc w:val="center"/>
              <w:rPr>
                <w:rFonts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tcPr>
          <w:p w14:paraId="310E3C55">
            <w:pPr>
              <w:snapToGrid w:val="0"/>
              <w:spacing w:before="120" w:beforeLines="50"/>
              <w:ind w:left="43"/>
              <w:jc w:val="center"/>
              <w:rPr>
                <w:rFonts w:ascii="宋体" w:hAnsi="宋体"/>
                <w:color w:val="auto"/>
                <w:sz w:val="24"/>
                <w:highlight w:val="none"/>
              </w:rPr>
            </w:pPr>
          </w:p>
        </w:tc>
      </w:tr>
      <w:tr w14:paraId="4BA144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2152" w:type="dxa"/>
            <w:tcBorders>
              <w:top w:val="single" w:color="auto" w:sz="4" w:space="0"/>
              <w:left w:val="single" w:color="auto" w:sz="4" w:space="0"/>
              <w:bottom w:val="single" w:color="auto" w:sz="4" w:space="0"/>
              <w:right w:val="single" w:color="auto" w:sz="4" w:space="0"/>
            </w:tcBorders>
            <w:vAlign w:val="center"/>
          </w:tcPr>
          <w:p w14:paraId="17D09526">
            <w:pPr>
              <w:jc w:val="center"/>
              <w:rPr>
                <w:rFonts w:ascii="宋体" w:hAnsi="宋体"/>
                <w:color w:val="auto"/>
                <w:sz w:val="24"/>
                <w:highlight w:val="none"/>
              </w:rPr>
            </w:pPr>
            <w:r>
              <w:rPr>
                <w:rFonts w:hint="eastAsia" w:ascii="宋体" w:hAnsi="宋体"/>
                <w:color w:val="auto"/>
                <w:sz w:val="24"/>
                <w:highlight w:val="none"/>
              </w:rPr>
              <w:t>......</w:t>
            </w:r>
          </w:p>
        </w:tc>
        <w:tc>
          <w:tcPr>
            <w:tcW w:w="2694" w:type="dxa"/>
            <w:tcBorders>
              <w:top w:val="single" w:color="auto" w:sz="4" w:space="0"/>
              <w:left w:val="single" w:color="auto" w:sz="4" w:space="0"/>
              <w:bottom w:val="single" w:color="auto" w:sz="4" w:space="0"/>
              <w:right w:val="single" w:color="auto" w:sz="4" w:space="0"/>
            </w:tcBorders>
            <w:vAlign w:val="center"/>
          </w:tcPr>
          <w:p w14:paraId="0421BC3E">
            <w:pPr>
              <w:jc w:val="left"/>
              <w:rPr>
                <w:rFonts w:ascii="宋体" w:hAnsi="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tcPr>
          <w:p w14:paraId="25EDC043">
            <w:pPr>
              <w:snapToGrid w:val="0"/>
              <w:spacing w:before="120" w:beforeLines="50"/>
              <w:ind w:left="43"/>
              <w:jc w:val="center"/>
              <w:rPr>
                <w:rFonts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tcPr>
          <w:p w14:paraId="27D706DC">
            <w:pPr>
              <w:snapToGrid w:val="0"/>
              <w:spacing w:before="120" w:beforeLines="50"/>
              <w:ind w:left="43"/>
              <w:jc w:val="center"/>
              <w:rPr>
                <w:rFonts w:ascii="宋体" w:hAnsi="宋体"/>
                <w:color w:val="auto"/>
                <w:sz w:val="24"/>
                <w:highlight w:val="none"/>
              </w:rPr>
            </w:pPr>
          </w:p>
        </w:tc>
      </w:tr>
    </w:tbl>
    <w:p w14:paraId="599B8147">
      <w:pPr>
        <w:pStyle w:val="16"/>
        <w:rPr>
          <w:rFonts w:ascii="宋体" w:hAnsi="宋体"/>
          <w:color w:val="auto"/>
          <w:highlight w:val="none"/>
        </w:rPr>
      </w:pPr>
      <w:r>
        <w:rPr>
          <w:rFonts w:hint="eastAsia" w:ascii="宋体" w:hAnsi="宋体"/>
          <w:color w:val="auto"/>
          <w:highlight w:val="none"/>
        </w:rPr>
        <w:t>注：</w:t>
      </w:r>
    </w:p>
    <w:p w14:paraId="6BFDF5B4">
      <w:pPr>
        <w:pStyle w:val="18"/>
        <w:spacing w:line="520" w:lineRule="exact"/>
        <w:ind w:firstLine="0" w:firstLineChars="0"/>
        <w:rPr>
          <w:rFonts w:hAnsi="仿宋_GB2312" w:cs="仿宋_GB2312"/>
          <w:color w:val="auto"/>
          <w:szCs w:val="32"/>
          <w:highlight w:val="none"/>
        </w:rPr>
      </w:pPr>
      <w:r>
        <w:rPr>
          <w:rFonts w:hint="eastAsia" w:ascii="宋体" w:hAnsi="宋体" w:eastAsia="宋体"/>
          <w:color w:val="auto"/>
          <w:sz w:val="24"/>
          <w:szCs w:val="24"/>
          <w:highlight w:val="none"/>
        </w:rPr>
        <w:t>1. 说明：应对照招标文件“第二章 采购需求”中的商务要求逐条作明确的投标响应，并作出偏离说明。</w:t>
      </w:r>
    </w:p>
    <w:p w14:paraId="3B661ECE">
      <w:pPr>
        <w:pStyle w:val="16"/>
        <w:rPr>
          <w:rFonts w:ascii="宋体" w:hAnsi="宋体"/>
          <w:b w:val="0"/>
          <w:bCs w:val="0"/>
          <w:color w:val="auto"/>
          <w:highlight w:val="none"/>
        </w:rPr>
      </w:pPr>
      <w:r>
        <w:rPr>
          <w:rFonts w:ascii="宋体" w:hAnsi="宋体"/>
          <w:b w:val="0"/>
          <w:bCs w:val="0"/>
          <w:color w:val="auto"/>
          <w:highlight w:val="none"/>
        </w:rPr>
        <w:t>2.</w:t>
      </w:r>
      <w:r>
        <w:rPr>
          <w:rFonts w:hint="eastAsia" w:ascii="宋体" w:hAnsi="宋体"/>
          <w:b w:val="0"/>
          <w:bCs w:val="0"/>
          <w:color w:val="auto"/>
          <w:highlight w:val="none"/>
        </w:rPr>
        <w:t>投标人应根据自身的承诺，对照招标文件要求在“偏离说明”中注明“</w:t>
      </w:r>
      <w:r>
        <w:rPr>
          <w:rFonts w:hint="eastAsia" w:ascii="宋体" w:hAnsi="宋体"/>
          <w:color w:val="auto"/>
          <w:highlight w:val="none"/>
        </w:rPr>
        <w:t>正偏离</w:t>
      </w:r>
      <w:r>
        <w:rPr>
          <w:rFonts w:hint="eastAsia" w:ascii="宋体" w:hAnsi="宋体"/>
          <w:b w:val="0"/>
          <w:bCs w:val="0"/>
          <w:color w:val="auto"/>
          <w:highlight w:val="none"/>
        </w:rPr>
        <w:t>”、“</w:t>
      </w:r>
      <w:r>
        <w:rPr>
          <w:rFonts w:hint="eastAsia" w:ascii="宋体" w:hAnsi="宋体"/>
          <w:color w:val="auto"/>
          <w:highlight w:val="none"/>
        </w:rPr>
        <w:t>负偏离</w:t>
      </w:r>
      <w:r>
        <w:rPr>
          <w:rFonts w:hint="eastAsia" w:ascii="宋体" w:hAnsi="宋体"/>
          <w:b w:val="0"/>
          <w:bCs w:val="0"/>
          <w:color w:val="auto"/>
          <w:highlight w:val="none"/>
        </w:rPr>
        <w:t>”或者“</w:t>
      </w:r>
      <w:r>
        <w:rPr>
          <w:rFonts w:hint="eastAsia" w:ascii="宋体" w:hAnsi="宋体"/>
          <w:color w:val="auto"/>
          <w:highlight w:val="none"/>
        </w:rPr>
        <w:t>无偏离</w:t>
      </w:r>
      <w:r>
        <w:rPr>
          <w:rFonts w:hint="eastAsia" w:ascii="宋体" w:hAnsi="宋体"/>
          <w:b w:val="0"/>
          <w:bCs w:val="0"/>
          <w:color w:val="auto"/>
          <w:highlight w:val="none"/>
        </w:rPr>
        <w:t>”。既不属于“</w:t>
      </w:r>
      <w:r>
        <w:rPr>
          <w:rFonts w:hint="eastAsia" w:ascii="宋体" w:hAnsi="宋体"/>
          <w:color w:val="auto"/>
          <w:highlight w:val="none"/>
        </w:rPr>
        <w:t>正偏离</w:t>
      </w:r>
      <w:r>
        <w:rPr>
          <w:rFonts w:hint="eastAsia" w:ascii="宋体" w:hAnsi="宋体"/>
          <w:b w:val="0"/>
          <w:bCs w:val="0"/>
          <w:color w:val="auto"/>
          <w:highlight w:val="none"/>
        </w:rPr>
        <w:t>”也不属于“</w:t>
      </w:r>
      <w:r>
        <w:rPr>
          <w:rFonts w:hint="eastAsia" w:ascii="宋体" w:hAnsi="宋体"/>
          <w:color w:val="auto"/>
          <w:highlight w:val="none"/>
        </w:rPr>
        <w:t>负偏离</w:t>
      </w:r>
      <w:r>
        <w:rPr>
          <w:rFonts w:hint="eastAsia" w:ascii="宋体" w:hAnsi="宋体"/>
          <w:b w:val="0"/>
          <w:bCs w:val="0"/>
          <w:color w:val="auto"/>
          <w:highlight w:val="none"/>
        </w:rPr>
        <w:t>”即为“</w:t>
      </w:r>
      <w:r>
        <w:rPr>
          <w:rFonts w:hint="eastAsia" w:ascii="宋体" w:hAnsi="宋体"/>
          <w:color w:val="auto"/>
          <w:highlight w:val="none"/>
        </w:rPr>
        <w:t>无偏离</w:t>
      </w:r>
      <w:r>
        <w:rPr>
          <w:rFonts w:hint="eastAsia" w:ascii="宋体" w:hAnsi="宋体"/>
          <w:b w:val="0"/>
          <w:bCs w:val="0"/>
          <w:color w:val="auto"/>
          <w:highlight w:val="none"/>
        </w:rPr>
        <w:t>”。</w:t>
      </w:r>
    </w:p>
    <w:p w14:paraId="0295F636">
      <w:pPr>
        <w:snapToGrid w:val="0"/>
        <w:spacing w:before="50" w:after="50"/>
        <w:rPr>
          <w:rFonts w:ascii="宋体" w:hAnsi="宋体"/>
          <w:color w:val="auto"/>
          <w:sz w:val="24"/>
          <w:highlight w:val="none"/>
        </w:rPr>
      </w:pPr>
    </w:p>
    <w:p w14:paraId="0B070807">
      <w:pPr>
        <w:snapToGrid w:val="0"/>
        <w:spacing w:before="50" w:after="50"/>
        <w:rPr>
          <w:rFonts w:ascii="宋体" w:hAnsi="宋体"/>
          <w:color w:val="auto"/>
          <w:sz w:val="24"/>
          <w:highlight w:val="none"/>
        </w:rPr>
      </w:pPr>
    </w:p>
    <w:p w14:paraId="582E779C">
      <w:pPr>
        <w:snapToGrid w:val="0"/>
        <w:spacing w:before="50" w:after="50"/>
        <w:rPr>
          <w:rFonts w:ascii="宋体" w:hAnsi="宋体"/>
          <w:color w:val="auto"/>
          <w:spacing w:val="20"/>
          <w:sz w:val="24"/>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（签字或者电子签名）：</w:t>
      </w:r>
      <w:r>
        <w:rPr>
          <w:rFonts w:hint="eastAsia" w:ascii="宋体" w:hAnsi="宋体"/>
          <w:color w:val="auto"/>
          <w:spacing w:val="20"/>
          <w:sz w:val="24"/>
          <w:highlight w:val="none"/>
          <w:u w:val="single"/>
        </w:rPr>
        <w:t xml:space="preserve">        </w:t>
      </w:r>
    </w:p>
    <w:p w14:paraId="53C5B0DB">
      <w:pPr>
        <w:snapToGrid w:val="0"/>
        <w:spacing w:before="120" w:beforeLines="50"/>
        <w:rPr>
          <w:rFonts w:ascii="宋体" w:hAnsi="宋体"/>
          <w:color w:val="auto"/>
          <w:spacing w:val="20"/>
          <w:sz w:val="24"/>
          <w:highlight w:val="none"/>
        </w:rPr>
      </w:pPr>
      <w:r>
        <w:rPr>
          <w:rFonts w:hint="eastAsia" w:ascii="宋体" w:hAnsi="宋体"/>
          <w:color w:val="auto"/>
          <w:spacing w:val="20"/>
          <w:sz w:val="24"/>
          <w:highlight w:val="none"/>
        </w:rPr>
        <w:t>投标人名称（电子签章）：</w:t>
      </w:r>
      <w:r>
        <w:rPr>
          <w:rFonts w:hint="eastAsia" w:ascii="宋体" w:hAnsi="宋体"/>
          <w:color w:val="auto"/>
          <w:spacing w:val="20"/>
          <w:sz w:val="24"/>
          <w:highlight w:val="none"/>
          <w:u w:val="single"/>
        </w:rPr>
        <w:t xml:space="preserve">            </w:t>
      </w:r>
      <w:r>
        <w:rPr>
          <w:rFonts w:hint="eastAsia" w:ascii="宋体" w:hAnsi="宋体"/>
          <w:color w:val="auto"/>
          <w:spacing w:val="20"/>
          <w:sz w:val="24"/>
          <w:highlight w:val="none"/>
        </w:rPr>
        <w:t xml:space="preserve">   </w:t>
      </w:r>
    </w:p>
    <w:p w14:paraId="7E91AE74">
      <w:pPr>
        <w:snapToGrid w:val="0"/>
        <w:spacing w:before="120" w:beforeLines="50"/>
        <w:rPr>
          <w:rFonts w:ascii="宋体" w:hAnsi="宋体"/>
          <w:color w:val="auto"/>
          <w:sz w:val="24"/>
          <w:szCs w:val="20"/>
          <w:highlight w:val="none"/>
        </w:rPr>
      </w:pPr>
      <w:r>
        <w:rPr>
          <w:rFonts w:hint="eastAsia" w:ascii="宋体" w:hAnsi="宋体"/>
          <w:color w:val="auto"/>
          <w:spacing w:val="20"/>
          <w:sz w:val="24"/>
          <w:highlight w:val="none"/>
        </w:rPr>
        <w:t>日  期：</w:t>
      </w:r>
      <w:r>
        <w:rPr>
          <w:rFonts w:hint="eastAsia" w:ascii="宋体" w:hAnsi="宋体"/>
          <w:color w:val="auto"/>
          <w:spacing w:val="20"/>
          <w:sz w:val="24"/>
          <w:highlight w:val="none"/>
          <w:u w:val="single"/>
        </w:rPr>
        <w:t xml:space="preserve">         </w:t>
      </w:r>
    </w:p>
    <w:p w14:paraId="2F1932B1">
      <w:pPr>
        <w:snapToGrid w:val="0"/>
        <w:spacing w:before="120" w:beforeLines="50"/>
        <w:rPr>
          <w:rFonts w:ascii="宋体" w:hAnsi="宋体"/>
          <w:color w:val="auto"/>
          <w:sz w:val="24"/>
          <w:szCs w:val="20"/>
          <w:highlight w:val="none"/>
        </w:rPr>
      </w:pPr>
    </w:p>
    <w:p w14:paraId="283A0FF3">
      <w:pPr>
        <w:snapToGrid w:val="0"/>
        <w:spacing w:before="120" w:beforeLines="50" w:after="50"/>
        <w:jc w:val="left"/>
        <w:rPr>
          <w:rFonts w:ascii="宋体" w:hAnsi="宋体"/>
          <w:color w:val="auto"/>
          <w:sz w:val="24"/>
          <w:szCs w:val="20"/>
          <w:highlight w:val="none"/>
        </w:rPr>
        <w:sectPr>
          <w:footerReference r:id="rId13" w:type="first"/>
          <w:headerReference r:id="rId10" w:type="default"/>
          <w:footerReference r:id="rId11" w:type="default"/>
          <w:footerReference r:id="rId12" w:type="even"/>
          <w:pgSz w:w="11906" w:h="16838"/>
          <w:pgMar w:top="1440" w:right="1797" w:bottom="1440" w:left="1797" w:header="851" w:footer="992" w:gutter="0"/>
          <w:cols w:space="720" w:num="1"/>
          <w:docGrid w:linePitch="312" w:charSpace="0"/>
        </w:sectPr>
      </w:pPr>
    </w:p>
    <w:p w14:paraId="155FFDC3">
      <w:pPr>
        <w:snapToGrid w:val="0"/>
        <w:spacing w:before="120" w:beforeLines="50" w:after="50"/>
        <w:jc w:val="left"/>
        <w:outlineLvl w:val="2"/>
        <w:rPr>
          <w:rFonts w:ascii="宋体" w:hAnsi="宋体"/>
          <w:b/>
          <w:color w:val="auto"/>
          <w:sz w:val="24"/>
          <w:highlight w:val="none"/>
        </w:rPr>
      </w:pPr>
      <w:r>
        <w:rPr>
          <w:rFonts w:hint="eastAsia" w:ascii="宋体" w:hAnsi="宋体"/>
          <w:b/>
          <w:color w:val="auto"/>
          <w:sz w:val="24"/>
          <w:highlight w:val="none"/>
        </w:rPr>
        <w:t>7.技术要求偏离表格式</w:t>
      </w:r>
    </w:p>
    <w:p w14:paraId="5AC90CB5">
      <w:pPr>
        <w:snapToGrid w:val="0"/>
        <w:spacing w:before="120" w:beforeLines="50" w:after="50"/>
        <w:ind w:left="142"/>
        <w:jc w:val="left"/>
        <w:rPr>
          <w:rFonts w:ascii="宋体" w:hAnsi="宋体"/>
          <w:b/>
          <w:color w:val="auto"/>
          <w:sz w:val="24"/>
          <w:highlight w:val="none"/>
        </w:rPr>
      </w:pPr>
    </w:p>
    <w:p w14:paraId="0791FA85">
      <w:pPr>
        <w:snapToGrid w:val="0"/>
        <w:spacing w:before="120" w:beforeLines="50" w:after="50"/>
        <w:ind w:left="142"/>
        <w:jc w:val="center"/>
        <w:rPr>
          <w:rFonts w:ascii="宋体" w:hAnsi="宋体"/>
          <w:b/>
          <w:color w:val="auto"/>
          <w:sz w:val="32"/>
          <w:szCs w:val="32"/>
          <w:highlight w:val="none"/>
        </w:rPr>
      </w:pPr>
      <w:r>
        <w:rPr>
          <w:rFonts w:hint="eastAsia" w:ascii="宋体" w:hAnsi="宋体"/>
          <w:b/>
          <w:color w:val="auto"/>
          <w:sz w:val="32"/>
          <w:szCs w:val="32"/>
          <w:highlight w:val="none"/>
        </w:rPr>
        <w:t>技术要求偏离表</w:t>
      </w:r>
    </w:p>
    <w:p w14:paraId="3BACE92F">
      <w:pPr>
        <w:pStyle w:val="23"/>
        <w:rPr>
          <w:rFonts w:hAnsi="宋体"/>
          <w:color w:val="auto"/>
          <w:sz w:val="24"/>
          <w:szCs w:val="24"/>
          <w:highlight w:val="none"/>
        </w:rPr>
      </w:pPr>
      <w:r>
        <w:rPr>
          <w:rFonts w:hint="eastAsia" w:hAnsi="宋体"/>
          <w:color w:val="auto"/>
          <w:sz w:val="24"/>
          <w:szCs w:val="24"/>
          <w:highlight w:val="none"/>
        </w:rPr>
        <w:t>所投分标：</w:t>
      </w:r>
      <w:r>
        <w:rPr>
          <w:rFonts w:hint="eastAsia" w:hAnsi="宋体"/>
          <w:color w:val="auto"/>
          <w:sz w:val="24"/>
          <w:szCs w:val="24"/>
          <w:highlight w:val="none"/>
          <w:u w:val="single"/>
        </w:rPr>
        <w:t xml:space="preserve">     </w:t>
      </w:r>
      <w:r>
        <w:rPr>
          <w:rFonts w:hint="eastAsia" w:hAnsi="宋体"/>
          <w:color w:val="auto"/>
          <w:sz w:val="24"/>
          <w:szCs w:val="24"/>
          <w:highlight w:val="none"/>
        </w:rPr>
        <w:t>分标</w:t>
      </w:r>
    </w:p>
    <w:tbl>
      <w:tblPr>
        <w:tblStyle w:val="47"/>
        <w:tblW w:w="8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143"/>
        <w:gridCol w:w="1834"/>
        <w:gridCol w:w="2181"/>
        <w:gridCol w:w="1934"/>
      </w:tblGrid>
      <w:tr w14:paraId="26C76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52" w:type="dxa"/>
            <w:vAlign w:val="center"/>
          </w:tcPr>
          <w:p w14:paraId="157B6CBB">
            <w:pPr>
              <w:pStyle w:val="23"/>
              <w:spacing w:line="400" w:lineRule="exact"/>
              <w:jc w:val="center"/>
              <w:rPr>
                <w:rFonts w:hAnsi="宋体" w:cs="Courier New"/>
                <w:color w:val="auto"/>
                <w:kern w:val="2"/>
                <w:sz w:val="24"/>
                <w:szCs w:val="24"/>
                <w:highlight w:val="none"/>
              </w:rPr>
            </w:pPr>
            <w:r>
              <w:rPr>
                <w:rFonts w:hint="eastAsia" w:hAnsi="宋体" w:cs="Courier New"/>
                <w:color w:val="auto"/>
                <w:kern w:val="2"/>
                <w:sz w:val="24"/>
                <w:szCs w:val="24"/>
                <w:highlight w:val="none"/>
              </w:rPr>
              <w:t>项号</w:t>
            </w:r>
          </w:p>
        </w:tc>
        <w:tc>
          <w:tcPr>
            <w:tcW w:w="2143" w:type="dxa"/>
            <w:vAlign w:val="center"/>
          </w:tcPr>
          <w:p w14:paraId="70C907D4">
            <w:pPr>
              <w:pStyle w:val="23"/>
              <w:spacing w:line="400" w:lineRule="exact"/>
              <w:jc w:val="center"/>
              <w:rPr>
                <w:rFonts w:hAnsi="宋体" w:cs="Courier New"/>
                <w:color w:val="auto"/>
                <w:kern w:val="2"/>
                <w:sz w:val="24"/>
                <w:szCs w:val="24"/>
                <w:highlight w:val="none"/>
              </w:rPr>
            </w:pPr>
            <w:r>
              <w:rPr>
                <w:rFonts w:hint="eastAsia" w:hAnsi="宋体" w:cs="Courier New"/>
                <w:color w:val="auto"/>
                <w:kern w:val="2"/>
                <w:sz w:val="24"/>
                <w:szCs w:val="24"/>
                <w:highlight w:val="none"/>
              </w:rPr>
              <w:t>标的的名称</w:t>
            </w:r>
          </w:p>
        </w:tc>
        <w:tc>
          <w:tcPr>
            <w:tcW w:w="1834" w:type="dxa"/>
            <w:vAlign w:val="center"/>
          </w:tcPr>
          <w:p w14:paraId="11DA6A1C">
            <w:pPr>
              <w:pStyle w:val="23"/>
              <w:spacing w:line="400" w:lineRule="exact"/>
              <w:jc w:val="center"/>
              <w:rPr>
                <w:rFonts w:hAnsi="宋体" w:cs="Courier New"/>
                <w:color w:val="auto"/>
                <w:kern w:val="2"/>
                <w:sz w:val="24"/>
                <w:szCs w:val="24"/>
                <w:highlight w:val="none"/>
              </w:rPr>
            </w:pPr>
            <w:r>
              <w:rPr>
                <w:rFonts w:hint="eastAsia" w:hAnsi="宋体" w:cs="Courier New"/>
                <w:color w:val="auto"/>
                <w:kern w:val="2"/>
                <w:sz w:val="24"/>
                <w:szCs w:val="24"/>
                <w:highlight w:val="none"/>
              </w:rPr>
              <w:t>技术要求</w:t>
            </w:r>
          </w:p>
        </w:tc>
        <w:tc>
          <w:tcPr>
            <w:tcW w:w="2181" w:type="dxa"/>
            <w:vAlign w:val="center"/>
          </w:tcPr>
          <w:p w14:paraId="13BAD2AE">
            <w:pPr>
              <w:pStyle w:val="23"/>
              <w:spacing w:line="400" w:lineRule="exact"/>
              <w:jc w:val="center"/>
              <w:rPr>
                <w:rFonts w:hAnsi="宋体" w:cs="Courier New"/>
                <w:color w:val="auto"/>
                <w:kern w:val="2"/>
                <w:sz w:val="24"/>
                <w:szCs w:val="24"/>
                <w:highlight w:val="none"/>
              </w:rPr>
            </w:pPr>
            <w:r>
              <w:rPr>
                <w:rFonts w:hint="eastAsia" w:hAnsi="宋体" w:cs="Courier New"/>
                <w:color w:val="auto"/>
                <w:kern w:val="2"/>
                <w:sz w:val="24"/>
                <w:szCs w:val="24"/>
                <w:highlight w:val="none"/>
              </w:rPr>
              <w:t>投标响应</w:t>
            </w:r>
          </w:p>
        </w:tc>
        <w:tc>
          <w:tcPr>
            <w:tcW w:w="1934" w:type="dxa"/>
            <w:vAlign w:val="center"/>
          </w:tcPr>
          <w:p w14:paraId="35D1E5EC">
            <w:pPr>
              <w:pStyle w:val="23"/>
              <w:spacing w:line="400" w:lineRule="exact"/>
              <w:jc w:val="center"/>
              <w:rPr>
                <w:rFonts w:hAnsi="宋体" w:cs="Courier New"/>
                <w:color w:val="auto"/>
                <w:kern w:val="2"/>
                <w:sz w:val="24"/>
                <w:szCs w:val="24"/>
                <w:highlight w:val="none"/>
              </w:rPr>
            </w:pPr>
            <w:r>
              <w:rPr>
                <w:rFonts w:hint="eastAsia" w:hAnsi="宋体" w:cs="Courier New"/>
                <w:color w:val="auto"/>
                <w:kern w:val="2"/>
                <w:sz w:val="24"/>
                <w:szCs w:val="24"/>
                <w:highlight w:val="none"/>
              </w:rPr>
              <w:t>偏离说明</w:t>
            </w:r>
          </w:p>
        </w:tc>
      </w:tr>
      <w:tr w14:paraId="04605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30BCD32A">
            <w:pPr>
              <w:pStyle w:val="23"/>
              <w:spacing w:line="600" w:lineRule="exact"/>
              <w:jc w:val="center"/>
              <w:rPr>
                <w:rFonts w:hAnsi="宋体" w:cs="Courier New"/>
                <w:color w:val="auto"/>
                <w:kern w:val="2"/>
                <w:sz w:val="24"/>
                <w:szCs w:val="24"/>
                <w:highlight w:val="none"/>
              </w:rPr>
            </w:pPr>
          </w:p>
        </w:tc>
        <w:tc>
          <w:tcPr>
            <w:tcW w:w="2143" w:type="dxa"/>
            <w:vAlign w:val="center"/>
          </w:tcPr>
          <w:p w14:paraId="01983C2F">
            <w:pPr>
              <w:pStyle w:val="23"/>
              <w:spacing w:line="600" w:lineRule="exact"/>
              <w:jc w:val="center"/>
              <w:rPr>
                <w:rFonts w:hAnsi="宋体" w:cs="Courier New"/>
                <w:color w:val="auto"/>
                <w:kern w:val="2"/>
                <w:sz w:val="24"/>
                <w:szCs w:val="24"/>
                <w:highlight w:val="none"/>
              </w:rPr>
            </w:pPr>
          </w:p>
        </w:tc>
        <w:tc>
          <w:tcPr>
            <w:tcW w:w="1834" w:type="dxa"/>
            <w:vAlign w:val="center"/>
          </w:tcPr>
          <w:p w14:paraId="61BEDAE3">
            <w:pPr>
              <w:pStyle w:val="23"/>
              <w:spacing w:line="600" w:lineRule="exact"/>
              <w:jc w:val="center"/>
              <w:rPr>
                <w:rFonts w:hAnsi="宋体" w:cs="Courier New"/>
                <w:color w:val="auto"/>
                <w:kern w:val="2"/>
                <w:sz w:val="24"/>
                <w:szCs w:val="24"/>
                <w:highlight w:val="none"/>
              </w:rPr>
            </w:pPr>
          </w:p>
        </w:tc>
        <w:tc>
          <w:tcPr>
            <w:tcW w:w="2181" w:type="dxa"/>
            <w:vAlign w:val="center"/>
          </w:tcPr>
          <w:p w14:paraId="621F7DFE">
            <w:pPr>
              <w:pStyle w:val="23"/>
              <w:spacing w:line="600" w:lineRule="exact"/>
              <w:jc w:val="center"/>
              <w:rPr>
                <w:rFonts w:hAnsi="宋体" w:cs="Courier New"/>
                <w:color w:val="auto"/>
                <w:kern w:val="2"/>
                <w:sz w:val="24"/>
                <w:szCs w:val="24"/>
                <w:highlight w:val="none"/>
              </w:rPr>
            </w:pPr>
          </w:p>
        </w:tc>
        <w:tc>
          <w:tcPr>
            <w:tcW w:w="1934" w:type="dxa"/>
            <w:vAlign w:val="center"/>
          </w:tcPr>
          <w:p w14:paraId="17EDFF2C">
            <w:pPr>
              <w:pStyle w:val="23"/>
              <w:spacing w:line="600" w:lineRule="exact"/>
              <w:jc w:val="center"/>
              <w:rPr>
                <w:rFonts w:hAnsi="宋体" w:cs="Courier New"/>
                <w:color w:val="auto"/>
                <w:kern w:val="2"/>
                <w:sz w:val="24"/>
                <w:szCs w:val="24"/>
                <w:highlight w:val="none"/>
              </w:rPr>
            </w:pPr>
          </w:p>
        </w:tc>
      </w:tr>
      <w:tr w14:paraId="4B492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3BEEF206">
            <w:pPr>
              <w:pStyle w:val="23"/>
              <w:spacing w:line="600" w:lineRule="exact"/>
              <w:rPr>
                <w:rFonts w:hAnsi="宋体" w:cs="Courier New"/>
                <w:color w:val="auto"/>
                <w:kern w:val="2"/>
                <w:sz w:val="24"/>
                <w:szCs w:val="24"/>
                <w:highlight w:val="none"/>
              </w:rPr>
            </w:pPr>
          </w:p>
        </w:tc>
        <w:tc>
          <w:tcPr>
            <w:tcW w:w="2143" w:type="dxa"/>
          </w:tcPr>
          <w:p w14:paraId="0E355391">
            <w:pPr>
              <w:pStyle w:val="23"/>
              <w:spacing w:line="600" w:lineRule="exact"/>
              <w:rPr>
                <w:rFonts w:hAnsi="宋体" w:cs="Courier New"/>
                <w:color w:val="auto"/>
                <w:kern w:val="2"/>
                <w:sz w:val="24"/>
                <w:szCs w:val="24"/>
                <w:highlight w:val="none"/>
              </w:rPr>
            </w:pPr>
          </w:p>
        </w:tc>
        <w:tc>
          <w:tcPr>
            <w:tcW w:w="1834" w:type="dxa"/>
          </w:tcPr>
          <w:p w14:paraId="7687332A">
            <w:pPr>
              <w:pStyle w:val="23"/>
              <w:spacing w:line="600" w:lineRule="exact"/>
              <w:rPr>
                <w:rFonts w:hAnsi="宋体" w:cs="Courier New"/>
                <w:color w:val="auto"/>
                <w:kern w:val="2"/>
                <w:sz w:val="24"/>
                <w:szCs w:val="24"/>
                <w:highlight w:val="none"/>
              </w:rPr>
            </w:pPr>
          </w:p>
        </w:tc>
        <w:tc>
          <w:tcPr>
            <w:tcW w:w="2181" w:type="dxa"/>
          </w:tcPr>
          <w:p w14:paraId="0D0C939C">
            <w:pPr>
              <w:pStyle w:val="23"/>
              <w:spacing w:line="600" w:lineRule="exact"/>
              <w:rPr>
                <w:rFonts w:hAnsi="宋体" w:cs="Courier New"/>
                <w:color w:val="auto"/>
                <w:kern w:val="2"/>
                <w:sz w:val="24"/>
                <w:szCs w:val="24"/>
                <w:highlight w:val="none"/>
              </w:rPr>
            </w:pPr>
          </w:p>
        </w:tc>
        <w:tc>
          <w:tcPr>
            <w:tcW w:w="1934" w:type="dxa"/>
          </w:tcPr>
          <w:p w14:paraId="071DA4A3">
            <w:pPr>
              <w:pStyle w:val="23"/>
              <w:spacing w:line="600" w:lineRule="exact"/>
              <w:rPr>
                <w:rFonts w:hAnsi="宋体" w:cs="Courier New"/>
                <w:color w:val="auto"/>
                <w:kern w:val="2"/>
                <w:sz w:val="24"/>
                <w:szCs w:val="24"/>
                <w:highlight w:val="none"/>
              </w:rPr>
            </w:pPr>
          </w:p>
        </w:tc>
      </w:tr>
      <w:tr w14:paraId="38AC0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0F590BFE">
            <w:pPr>
              <w:pStyle w:val="23"/>
              <w:spacing w:line="600" w:lineRule="exact"/>
              <w:rPr>
                <w:rFonts w:hAnsi="宋体" w:cs="Courier New"/>
                <w:color w:val="auto"/>
                <w:kern w:val="2"/>
                <w:sz w:val="24"/>
                <w:szCs w:val="24"/>
                <w:highlight w:val="none"/>
              </w:rPr>
            </w:pPr>
          </w:p>
        </w:tc>
        <w:tc>
          <w:tcPr>
            <w:tcW w:w="2143" w:type="dxa"/>
          </w:tcPr>
          <w:p w14:paraId="77D71D93">
            <w:pPr>
              <w:pStyle w:val="23"/>
              <w:spacing w:line="600" w:lineRule="exact"/>
              <w:rPr>
                <w:rFonts w:hAnsi="宋体" w:cs="Courier New"/>
                <w:color w:val="auto"/>
                <w:kern w:val="2"/>
                <w:sz w:val="24"/>
                <w:szCs w:val="24"/>
                <w:highlight w:val="none"/>
              </w:rPr>
            </w:pPr>
          </w:p>
        </w:tc>
        <w:tc>
          <w:tcPr>
            <w:tcW w:w="1834" w:type="dxa"/>
          </w:tcPr>
          <w:p w14:paraId="6AA9051F">
            <w:pPr>
              <w:pStyle w:val="23"/>
              <w:spacing w:line="600" w:lineRule="exact"/>
              <w:rPr>
                <w:rFonts w:hAnsi="宋体" w:cs="Courier New"/>
                <w:color w:val="auto"/>
                <w:kern w:val="2"/>
                <w:sz w:val="24"/>
                <w:szCs w:val="24"/>
                <w:highlight w:val="none"/>
              </w:rPr>
            </w:pPr>
          </w:p>
        </w:tc>
        <w:tc>
          <w:tcPr>
            <w:tcW w:w="2181" w:type="dxa"/>
          </w:tcPr>
          <w:p w14:paraId="2E967A2E">
            <w:pPr>
              <w:pStyle w:val="23"/>
              <w:spacing w:line="600" w:lineRule="exact"/>
              <w:rPr>
                <w:rFonts w:hAnsi="宋体" w:cs="Courier New"/>
                <w:color w:val="auto"/>
                <w:kern w:val="2"/>
                <w:sz w:val="24"/>
                <w:szCs w:val="24"/>
                <w:highlight w:val="none"/>
              </w:rPr>
            </w:pPr>
          </w:p>
        </w:tc>
        <w:tc>
          <w:tcPr>
            <w:tcW w:w="1934" w:type="dxa"/>
          </w:tcPr>
          <w:p w14:paraId="16493821">
            <w:pPr>
              <w:pStyle w:val="23"/>
              <w:spacing w:line="600" w:lineRule="exact"/>
              <w:rPr>
                <w:rFonts w:hAnsi="宋体" w:cs="Courier New"/>
                <w:color w:val="auto"/>
                <w:kern w:val="2"/>
                <w:sz w:val="24"/>
                <w:szCs w:val="24"/>
                <w:highlight w:val="none"/>
              </w:rPr>
            </w:pPr>
          </w:p>
        </w:tc>
      </w:tr>
      <w:tr w14:paraId="2FBED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6CB23CE1">
            <w:pPr>
              <w:pStyle w:val="23"/>
              <w:spacing w:line="600" w:lineRule="exact"/>
              <w:rPr>
                <w:rFonts w:hAnsi="宋体" w:cs="Courier New"/>
                <w:color w:val="auto"/>
                <w:kern w:val="2"/>
                <w:sz w:val="24"/>
                <w:szCs w:val="24"/>
                <w:highlight w:val="none"/>
              </w:rPr>
            </w:pPr>
          </w:p>
        </w:tc>
        <w:tc>
          <w:tcPr>
            <w:tcW w:w="2143" w:type="dxa"/>
          </w:tcPr>
          <w:p w14:paraId="30C4AC58">
            <w:pPr>
              <w:pStyle w:val="23"/>
              <w:spacing w:line="600" w:lineRule="exact"/>
              <w:rPr>
                <w:rFonts w:hAnsi="宋体" w:cs="Courier New"/>
                <w:color w:val="auto"/>
                <w:kern w:val="2"/>
                <w:sz w:val="24"/>
                <w:szCs w:val="24"/>
                <w:highlight w:val="none"/>
              </w:rPr>
            </w:pPr>
          </w:p>
        </w:tc>
        <w:tc>
          <w:tcPr>
            <w:tcW w:w="1834" w:type="dxa"/>
          </w:tcPr>
          <w:p w14:paraId="4B150B94">
            <w:pPr>
              <w:pStyle w:val="23"/>
              <w:spacing w:line="600" w:lineRule="exact"/>
              <w:rPr>
                <w:rFonts w:hAnsi="宋体" w:cs="Courier New"/>
                <w:color w:val="auto"/>
                <w:kern w:val="2"/>
                <w:sz w:val="24"/>
                <w:szCs w:val="24"/>
                <w:highlight w:val="none"/>
              </w:rPr>
            </w:pPr>
          </w:p>
        </w:tc>
        <w:tc>
          <w:tcPr>
            <w:tcW w:w="2181" w:type="dxa"/>
          </w:tcPr>
          <w:p w14:paraId="392479FF">
            <w:pPr>
              <w:pStyle w:val="23"/>
              <w:spacing w:line="600" w:lineRule="exact"/>
              <w:rPr>
                <w:rFonts w:hAnsi="宋体" w:cs="Courier New"/>
                <w:color w:val="auto"/>
                <w:kern w:val="2"/>
                <w:sz w:val="24"/>
                <w:szCs w:val="24"/>
                <w:highlight w:val="none"/>
              </w:rPr>
            </w:pPr>
          </w:p>
        </w:tc>
        <w:tc>
          <w:tcPr>
            <w:tcW w:w="1934" w:type="dxa"/>
          </w:tcPr>
          <w:p w14:paraId="430A9FBE">
            <w:pPr>
              <w:pStyle w:val="23"/>
              <w:spacing w:line="600" w:lineRule="exact"/>
              <w:rPr>
                <w:rFonts w:hAnsi="宋体" w:cs="Courier New"/>
                <w:color w:val="auto"/>
                <w:kern w:val="2"/>
                <w:sz w:val="24"/>
                <w:szCs w:val="24"/>
                <w:highlight w:val="none"/>
              </w:rPr>
            </w:pPr>
          </w:p>
        </w:tc>
      </w:tr>
      <w:tr w14:paraId="0311A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7DBBE9B8">
            <w:pPr>
              <w:pStyle w:val="23"/>
              <w:spacing w:line="600" w:lineRule="exact"/>
              <w:rPr>
                <w:rFonts w:hAnsi="宋体" w:cs="Courier New"/>
                <w:color w:val="auto"/>
                <w:kern w:val="2"/>
                <w:sz w:val="24"/>
                <w:szCs w:val="24"/>
                <w:highlight w:val="none"/>
              </w:rPr>
            </w:pPr>
          </w:p>
        </w:tc>
        <w:tc>
          <w:tcPr>
            <w:tcW w:w="2143" w:type="dxa"/>
          </w:tcPr>
          <w:p w14:paraId="303AD7FE">
            <w:pPr>
              <w:pStyle w:val="23"/>
              <w:spacing w:line="600" w:lineRule="exact"/>
              <w:rPr>
                <w:rFonts w:hAnsi="宋体" w:cs="Courier New"/>
                <w:color w:val="auto"/>
                <w:kern w:val="2"/>
                <w:sz w:val="24"/>
                <w:szCs w:val="24"/>
                <w:highlight w:val="none"/>
              </w:rPr>
            </w:pPr>
          </w:p>
        </w:tc>
        <w:tc>
          <w:tcPr>
            <w:tcW w:w="1834" w:type="dxa"/>
          </w:tcPr>
          <w:p w14:paraId="1D325680">
            <w:pPr>
              <w:pStyle w:val="23"/>
              <w:spacing w:line="600" w:lineRule="exact"/>
              <w:rPr>
                <w:rFonts w:hAnsi="宋体" w:cs="Courier New"/>
                <w:color w:val="auto"/>
                <w:kern w:val="2"/>
                <w:sz w:val="24"/>
                <w:szCs w:val="24"/>
                <w:highlight w:val="none"/>
              </w:rPr>
            </w:pPr>
          </w:p>
        </w:tc>
        <w:tc>
          <w:tcPr>
            <w:tcW w:w="2181" w:type="dxa"/>
          </w:tcPr>
          <w:p w14:paraId="222F8CAF">
            <w:pPr>
              <w:pStyle w:val="23"/>
              <w:spacing w:line="600" w:lineRule="exact"/>
              <w:rPr>
                <w:rFonts w:hAnsi="宋体" w:cs="Courier New"/>
                <w:color w:val="auto"/>
                <w:kern w:val="2"/>
                <w:sz w:val="24"/>
                <w:szCs w:val="24"/>
                <w:highlight w:val="none"/>
              </w:rPr>
            </w:pPr>
          </w:p>
        </w:tc>
        <w:tc>
          <w:tcPr>
            <w:tcW w:w="1934" w:type="dxa"/>
          </w:tcPr>
          <w:p w14:paraId="4B8B212E">
            <w:pPr>
              <w:pStyle w:val="23"/>
              <w:spacing w:line="600" w:lineRule="exact"/>
              <w:rPr>
                <w:rFonts w:hAnsi="宋体" w:cs="Courier New"/>
                <w:color w:val="auto"/>
                <w:kern w:val="2"/>
                <w:sz w:val="24"/>
                <w:szCs w:val="24"/>
                <w:highlight w:val="none"/>
              </w:rPr>
            </w:pPr>
          </w:p>
        </w:tc>
      </w:tr>
      <w:tr w14:paraId="540F3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3EA9C372">
            <w:pPr>
              <w:pStyle w:val="23"/>
              <w:spacing w:line="600" w:lineRule="exact"/>
              <w:rPr>
                <w:rFonts w:hAnsi="宋体" w:cs="Courier New"/>
                <w:color w:val="auto"/>
                <w:kern w:val="2"/>
                <w:sz w:val="24"/>
                <w:szCs w:val="24"/>
                <w:highlight w:val="none"/>
              </w:rPr>
            </w:pPr>
          </w:p>
        </w:tc>
        <w:tc>
          <w:tcPr>
            <w:tcW w:w="2143" w:type="dxa"/>
          </w:tcPr>
          <w:p w14:paraId="17B13682">
            <w:pPr>
              <w:pStyle w:val="23"/>
              <w:spacing w:line="600" w:lineRule="exact"/>
              <w:rPr>
                <w:rFonts w:hAnsi="宋体" w:cs="Courier New"/>
                <w:color w:val="auto"/>
                <w:kern w:val="2"/>
                <w:sz w:val="24"/>
                <w:szCs w:val="24"/>
                <w:highlight w:val="none"/>
              </w:rPr>
            </w:pPr>
          </w:p>
        </w:tc>
        <w:tc>
          <w:tcPr>
            <w:tcW w:w="1834" w:type="dxa"/>
          </w:tcPr>
          <w:p w14:paraId="5D85D4A3">
            <w:pPr>
              <w:pStyle w:val="23"/>
              <w:spacing w:line="600" w:lineRule="exact"/>
              <w:rPr>
                <w:rFonts w:hAnsi="宋体" w:cs="Courier New"/>
                <w:color w:val="auto"/>
                <w:kern w:val="2"/>
                <w:sz w:val="24"/>
                <w:szCs w:val="24"/>
                <w:highlight w:val="none"/>
              </w:rPr>
            </w:pPr>
          </w:p>
        </w:tc>
        <w:tc>
          <w:tcPr>
            <w:tcW w:w="2181" w:type="dxa"/>
          </w:tcPr>
          <w:p w14:paraId="1D21D8CD">
            <w:pPr>
              <w:pStyle w:val="23"/>
              <w:spacing w:line="600" w:lineRule="exact"/>
              <w:rPr>
                <w:rFonts w:hAnsi="宋体" w:cs="Courier New"/>
                <w:color w:val="auto"/>
                <w:kern w:val="2"/>
                <w:sz w:val="24"/>
                <w:szCs w:val="24"/>
                <w:highlight w:val="none"/>
              </w:rPr>
            </w:pPr>
          </w:p>
        </w:tc>
        <w:tc>
          <w:tcPr>
            <w:tcW w:w="1934" w:type="dxa"/>
          </w:tcPr>
          <w:p w14:paraId="2B7C05B8">
            <w:pPr>
              <w:pStyle w:val="23"/>
              <w:spacing w:line="600" w:lineRule="exact"/>
              <w:rPr>
                <w:rFonts w:hAnsi="宋体" w:cs="Courier New"/>
                <w:color w:val="auto"/>
                <w:kern w:val="2"/>
                <w:sz w:val="24"/>
                <w:szCs w:val="24"/>
                <w:highlight w:val="none"/>
              </w:rPr>
            </w:pPr>
          </w:p>
        </w:tc>
      </w:tr>
      <w:tr w14:paraId="770BF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1F289CC3">
            <w:pPr>
              <w:pStyle w:val="23"/>
              <w:spacing w:line="600" w:lineRule="exact"/>
              <w:rPr>
                <w:rFonts w:hAnsi="宋体" w:cs="Courier New"/>
                <w:color w:val="auto"/>
                <w:kern w:val="2"/>
                <w:sz w:val="24"/>
                <w:szCs w:val="24"/>
                <w:highlight w:val="none"/>
              </w:rPr>
            </w:pPr>
          </w:p>
        </w:tc>
        <w:tc>
          <w:tcPr>
            <w:tcW w:w="2143" w:type="dxa"/>
          </w:tcPr>
          <w:p w14:paraId="68BA8699">
            <w:pPr>
              <w:pStyle w:val="23"/>
              <w:spacing w:line="600" w:lineRule="exact"/>
              <w:rPr>
                <w:rFonts w:hAnsi="宋体" w:cs="Courier New"/>
                <w:color w:val="auto"/>
                <w:kern w:val="2"/>
                <w:sz w:val="24"/>
                <w:szCs w:val="24"/>
                <w:highlight w:val="none"/>
              </w:rPr>
            </w:pPr>
          </w:p>
        </w:tc>
        <w:tc>
          <w:tcPr>
            <w:tcW w:w="1834" w:type="dxa"/>
          </w:tcPr>
          <w:p w14:paraId="1F605F5A">
            <w:pPr>
              <w:pStyle w:val="23"/>
              <w:spacing w:line="600" w:lineRule="exact"/>
              <w:rPr>
                <w:rFonts w:hAnsi="宋体" w:cs="Courier New"/>
                <w:color w:val="auto"/>
                <w:kern w:val="2"/>
                <w:sz w:val="24"/>
                <w:szCs w:val="24"/>
                <w:highlight w:val="none"/>
              </w:rPr>
            </w:pPr>
          </w:p>
        </w:tc>
        <w:tc>
          <w:tcPr>
            <w:tcW w:w="2181" w:type="dxa"/>
          </w:tcPr>
          <w:p w14:paraId="5A915266">
            <w:pPr>
              <w:pStyle w:val="23"/>
              <w:spacing w:line="600" w:lineRule="exact"/>
              <w:rPr>
                <w:rFonts w:hAnsi="宋体" w:cs="Courier New"/>
                <w:color w:val="auto"/>
                <w:kern w:val="2"/>
                <w:sz w:val="24"/>
                <w:szCs w:val="24"/>
                <w:highlight w:val="none"/>
              </w:rPr>
            </w:pPr>
          </w:p>
        </w:tc>
        <w:tc>
          <w:tcPr>
            <w:tcW w:w="1934" w:type="dxa"/>
          </w:tcPr>
          <w:p w14:paraId="20514E17">
            <w:pPr>
              <w:pStyle w:val="23"/>
              <w:spacing w:line="600" w:lineRule="exact"/>
              <w:rPr>
                <w:rFonts w:hAnsi="宋体" w:cs="Courier New"/>
                <w:color w:val="auto"/>
                <w:kern w:val="2"/>
                <w:sz w:val="24"/>
                <w:szCs w:val="24"/>
                <w:highlight w:val="none"/>
              </w:rPr>
            </w:pPr>
          </w:p>
        </w:tc>
      </w:tr>
    </w:tbl>
    <w:p w14:paraId="49897EA4">
      <w:pPr>
        <w:pStyle w:val="16"/>
        <w:spacing w:line="360" w:lineRule="auto"/>
        <w:contextualSpacing/>
        <w:rPr>
          <w:rFonts w:ascii="宋体" w:hAnsi="宋体"/>
          <w:color w:val="auto"/>
          <w:highlight w:val="none"/>
        </w:rPr>
      </w:pPr>
      <w:r>
        <w:rPr>
          <w:rFonts w:hint="eastAsia" w:ascii="宋体" w:hAnsi="宋体"/>
          <w:color w:val="auto"/>
          <w:highlight w:val="none"/>
        </w:rPr>
        <w:t>注：</w:t>
      </w:r>
    </w:p>
    <w:p w14:paraId="09DFF8AC">
      <w:pPr>
        <w:pStyle w:val="18"/>
        <w:spacing w:line="360" w:lineRule="auto"/>
        <w:ind w:firstLine="0" w:firstLineChars="0"/>
        <w:contextualSpacing/>
        <w:rPr>
          <w:rFonts w:hAnsi="仿宋_GB2312" w:cs="仿宋_GB2312"/>
          <w:color w:val="auto"/>
          <w:szCs w:val="32"/>
          <w:highlight w:val="none"/>
        </w:rPr>
      </w:pPr>
      <w:r>
        <w:rPr>
          <w:rFonts w:hint="eastAsia" w:ascii="宋体" w:hAnsi="宋体" w:eastAsia="宋体"/>
          <w:color w:val="auto"/>
          <w:sz w:val="24"/>
          <w:szCs w:val="24"/>
          <w:highlight w:val="none"/>
        </w:rPr>
        <w:t>1. 说明：应对照招标文件“第二章 采购需求”中的技术要求逐条作明确的投标响应，并作出偏离说明。</w:t>
      </w:r>
    </w:p>
    <w:p w14:paraId="701ECE2D">
      <w:pPr>
        <w:pStyle w:val="16"/>
        <w:spacing w:line="360" w:lineRule="auto"/>
        <w:contextualSpacing/>
        <w:rPr>
          <w:rFonts w:ascii="宋体" w:hAnsi="宋体"/>
          <w:color w:val="auto"/>
          <w:highlight w:val="none"/>
        </w:rPr>
      </w:pPr>
      <w:r>
        <w:rPr>
          <w:rFonts w:ascii="宋体" w:hAnsi="宋体"/>
          <w:b w:val="0"/>
          <w:bCs w:val="0"/>
          <w:color w:val="auto"/>
          <w:highlight w:val="none"/>
        </w:rPr>
        <w:t>2.</w:t>
      </w:r>
      <w:r>
        <w:rPr>
          <w:rFonts w:hint="eastAsia" w:ascii="宋体" w:hAnsi="宋体"/>
          <w:b w:val="0"/>
          <w:bCs w:val="0"/>
          <w:color w:val="auto"/>
          <w:highlight w:val="none"/>
        </w:rPr>
        <w:t>投标人应根据自身的承诺，对照招标文件要求，在“偏离说明”中注明“</w:t>
      </w:r>
      <w:r>
        <w:rPr>
          <w:rFonts w:hint="eastAsia" w:ascii="宋体" w:hAnsi="宋体"/>
          <w:color w:val="auto"/>
          <w:highlight w:val="none"/>
        </w:rPr>
        <w:t>正偏离</w:t>
      </w:r>
      <w:r>
        <w:rPr>
          <w:rFonts w:hint="eastAsia" w:ascii="宋体" w:hAnsi="宋体"/>
          <w:b w:val="0"/>
          <w:bCs w:val="0"/>
          <w:color w:val="auto"/>
          <w:highlight w:val="none"/>
        </w:rPr>
        <w:t>”、“</w:t>
      </w:r>
      <w:r>
        <w:rPr>
          <w:rFonts w:hint="eastAsia" w:ascii="宋体" w:hAnsi="宋体"/>
          <w:color w:val="auto"/>
          <w:highlight w:val="none"/>
        </w:rPr>
        <w:t>负偏离</w:t>
      </w:r>
      <w:r>
        <w:rPr>
          <w:rFonts w:hint="eastAsia" w:ascii="宋体" w:hAnsi="宋体"/>
          <w:b w:val="0"/>
          <w:bCs w:val="0"/>
          <w:color w:val="auto"/>
          <w:highlight w:val="none"/>
        </w:rPr>
        <w:t>”或者“</w:t>
      </w:r>
      <w:r>
        <w:rPr>
          <w:rFonts w:hint="eastAsia" w:ascii="宋体" w:hAnsi="宋体"/>
          <w:color w:val="auto"/>
          <w:highlight w:val="none"/>
        </w:rPr>
        <w:t>无偏离</w:t>
      </w:r>
      <w:r>
        <w:rPr>
          <w:rFonts w:hint="eastAsia" w:ascii="宋体" w:hAnsi="宋体"/>
          <w:b w:val="0"/>
          <w:bCs w:val="0"/>
          <w:color w:val="auto"/>
          <w:highlight w:val="none"/>
        </w:rPr>
        <w:t>”。既不属于“</w:t>
      </w:r>
      <w:r>
        <w:rPr>
          <w:rFonts w:hint="eastAsia" w:ascii="宋体" w:hAnsi="宋体"/>
          <w:color w:val="auto"/>
          <w:highlight w:val="none"/>
        </w:rPr>
        <w:t>正偏离</w:t>
      </w:r>
      <w:r>
        <w:rPr>
          <w:rFonts w:hint="eastAsia" w:ascii="宋体" w:hAnsi="宋体"/>
          <w:b w:val="0"/>
          <w:bCs w:val="0"/>
          <w:color w:val="auto"/>
          <w:highlight w:val="none"/>
        </w:rPr>
        <w:t>”也不属于“</w:t>
      </w:r>
      <w:r>
        <w:rPr>
          <w:rFonts w:hint="eastAsia" w:ascii="宋体" w:hAnsi="宋体"/>
          <w:color w:val="auto"/>
          <w:highlight w:val="none"/>
        </w:rPr>
        <w:t>负偏离</w:t>
      </w:r>
      <w:r>
        <w:rPr>
          <w:rFonts w:hint="eastAsia" w:ascii="宋体" w:hAnsi="宋体"/>
          <w:b w:val="0"/>
          <w:bCs w:val="0"/>
          <w:color w:val="auto"/>
          <w:highlight w:val="none"/>
        </w:rPr>
        <w:t>”即为“</w:t>
      </w:r>
      <w:r>
        <w:rPr>
          <w:rFonts w:hint="eastAsia" w:ascii="宋体" w:hAnsi="宋体"/>
          <w:color w:val="auto"/>
          <w:highlight w:val="none"/>
        </w:rPr>
        <w:t>无偏离</w:t>
      </w:r>
      <w:r>
        <w:rPr>
          <w:rFonts w:hint="eastAsia" w:ascii="宋体" w:hAnsi="宋体"/>
          <w:b w:val="0"/>
          <w:bCs w:val="0"/>
          <w:color w:val="auto"/>
          <w:highlight w:val="none"/>
        </w:rPr>
        <w:t>”。</w:t>
      </w:r>
    </w:p>
    <w:p w14:paraId="24FA1C5E">
      <w:pPr>
        <w:pStyle w:val="16"/>
        <w:spacing w:line="360" w:lineRule="auto"/>
        <w:contextualSpacing/>
        <w:rPr>
          <w:rFonts w:ascii="宋体" w:hAnsi="宋体"/>
          <w:color w:val="auto"/>
          <w:spacing w:val="20"/>
          <w:highlight w:val="none"/>
        </w:rPr>
      </w:pPr>
    </w:p>
    <w:p w14:paraId="1C739D1A">
      <w:pPr>
        <w:spacing w:line="360" w:lineRule="auto"/>
        <w:contextualSpacing/>
        <w:rPr>
          <w:rFonts w:ascii="宋体" w:hAnsi="宋体"/>
          <w:color w:val="auto"/>
          <w:spacing w:val="20"/>
          <w:sz w:val="24"/>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（签字或者电子签名）：</w:t>
      </w:r>
      <w:r>
        <w:rPr>
          <w:rFonts w:hint="eastAsia" w:ascii="宋体" w:hAnsi="宋体"/>
          <w:color w:val="auto"/>
          <w:spacing w:val="20"/>
          <w:sz w:val="24"/>
          <w:highlight w:val="none"/>
          <w:u w:val="single"/>
        </w:rPr>
        <w:t xml:space="preserve">        </w:t>
      </w:r>
    </w:p>
    <w:p w14:paraId="1954FE29">
      <w:pPr>
        <w:spacing w:line="360" w:lineRule="auto"/>
        <w:contextualSpacing/>
        <w:rPr>
          <w:rFonts w:ascii="宋体" w:hAnsi="宋体"/>
          <w:color w:val="auto"/>
          <w:spacing w:val="20"/>
          <w:sz w:val="24"/>
          <w:highlight w:val="none"/>
        </w:rPr>
      </w:pPr>
      <w:r>
        <w:rPr>
          <w:rFonts w:hint="eastAsia" w:ascii="宋体" w:hAnsi="宋体"/>
          <w:color w:val="auto"/>
          <w:spacing w:val="20"/>
          <w:sz w:val="24"/>
          <w:highlight w:val="none"/>
        </w:rPr>
        <w:t>投标人名称（电子签章）：</w:t>
      </w:r>
      <w:r>
        <w:rPr>
          <w:rFonts w:hint="eastAsia" w:ascii="宋体" w:hAnsi="宋体"/>
          <w:color w:val="auto"/>
          <w:spacing w:val="20"/>
          <w:sz w:val="24"/>
          <w:highlight w:val="none"/>
          <w:u w:val="single"/>
        </w:rPr>
        <w:t xml:space="preserve">            </w:t>
      </w:r>
      <w:r>
        <w:rPr>
          <w:rFonts w:hint="eastAsia" w:ascii="宋体" w:hAnsi="宋体"/>
          <w:color w:val="auto"/>
          <w:spacing w:val="20"/>
          <w:sz w:val="24"/>
          <w:highlight w:val="none"/>
        </w:rPr>
        <w:t xml:space="preserve">              </w:t>
      </w:r>
    </w:p>
    <w:p w14:paraId="0C13D24A">
      <w:pPr>
        <w:spacing w:line="360" w:lineRule="auto"/>
        <w:contextualSpacing/>
        <w:rPr>
          <w:rFonts w:ascii="宋体" w:hAnsi="宋体"/>
          <w:color w:val="auto"/>
          <w:sz w:val="24"/>
          <w:szCs w:val="20"/>
          <w:highlight w:val="none"/>
        </w:rPr>
      </w:pPr>
      <w:r>
        <w:rPr>
          <w:rFonts w:hint="eastAsia" w:ascii="宋体" w:hAnsi="宋体"/>
          <w:color w:val="auto"/>
          <w:spacing w:val="20"/>
          <w:sz w:val="24"/>
          <w:highlight w:val="none"/>
        </w:rPr>
        <w:t>日  期：</w:t>
      </w:r>
      <w:r>
        <w:rPr>
          <w:rFonts w:hint="eastAsia" w:ascii="宋体" w:hAnsi="宋体"/>
          <w:color w:val="auto"/>
          <w:spacing w:val="20"/>
          <w:sz w:val="24"/>
          <w:highlight w:val="none"/>
          <w:u w:val="single"/>
        </w:rPr>
        <w:t xml:space="preserve">          </w:t>
      </w:r>
    </w:p>
    <w:p w14:paraId="4450C57F">
      <w:pPr>
        <w:spacing w:line="360" w:lineRule="auto"/>
        <w:contextualSpacing/>
        <w:rPr>
          <w:rFonts w:ascii="宋体" w:hAnsi="宋体"/>
          <w:color w:val="auto"/>
          <w:spacing w:val="20"/>
          <w:sz w:val="24"/>
          <w:highlight w:val="none"/>
          <w:u w:val="single"/>
        </w:rPr>
      </w:pPr>
    </w:p>
    <w:p w14:paraId="12B28E93">
      <w:pPr>
        <w:spacing w:line="360" w:lineRule="auto"/>
        <w:contextualSpacing/>
        <w:rPr>
          <w:rFonts w:ascii="宋体" w:hAnsi="宋体"/>
          <w:color w:val="auto"/>
          <w:sz w:val="24"/>
          <w:szCs w:val="20"/>
          <w:highlight w:val="none"/>
        </w:rPr>
      </w:pPr>
    </w:p>
    <w:p w14:paraId="689F87C0">
      <w:pPr>
        <w:snapToGrid w:val="0"/>
        <w:spacing w:before="120" w:beforeLines="50" w:after="50"/>
        <w:ind w:left="142"/>
        <w:jc w:val="left"/>
        <w:outlineLvl w:val="2"/>
        <w:rPr>
          <w:rFonts w:ascii="宋体" w:hAnsi="宋体"/>
          <w:b/>
          <w:color w:val="auto"/>
          <w:sz w:val="24"/>
          <w:highlight w:val="none"/>
        </w:rPr>
      </w:pPr>
      <w:r>
        <w:rPr>
          <w:rFonts w:hint="eastAsia" w:ascii="宋体" w:hAnsi="宋体"/>
          <w:b/>
          <w:color w:val="auto"/>
          <w:sz w:val="24"/>
          <w:highlight w:val="none"/>
        </w:rPr>
        <w:br w:type="page"/>
      </w:r>
      <w:r>
        <w:rPr>
          <w:rFonts w:hint="eastAsia" w:ascii="宋体" w:hAnsi="宋体"/>
          <w:b/>
          <w:color w:val="auto"/>
          <w:sz w:val="24"/>
          <w:highlight w:val="none"/>
        </w:rPr>
        <w:t>8. 项目实施人员一览表格式</w:t>
      </w:r>
    </w:p>
    <w:p w14:paraId="37CED05A">
      <w:pPr>
        <w:snapToGrid w:val="0"/>
        <w:spacing w:before="120" w:beforeLines="50" w:after="50"/>
        <w:ind w:left="142"/>
        <w:jc w:val="left"/>
        <w:rPr>
          <w:rFonts w:ascii="宋体" w:hAnsi="宋体"/>
          <w:b/>
          <w:color w:val="auto"/>
          <w:sz w:val="24"/>
          <w:highlight w:val="none"/>
        </w:rPr>
      </w:pPr>
    </w:p>
    <w:p w14:paraId="7810557B">
      <w:pPr>
        <w:snapToGrid w:val="0"/>
        <w:spacing w:before="120" w:beforeLines="50" w:after="50"/>
        <w:ind w:left="142"/>
        <w:jc w:val="center"/>
        <w:rPr>
          <w:rFonts w:ascii="宋体" w:hAnsi="宋体"/>
          <w:b/>
          <w:color w:val="auto"/>
          <w:sz w:val="32"/>
          <w:szCs w:val="32"/>
          <w:highlight w:val="none"/>
        </w:rPr>
      </w:pPr>
      <w:r>
        <w:rPr>
          <w:rFonts w:hint="eastAsia" w:ascii="宋体" w:hAnsi="宋体"/>
          <w:b/>
          <w:color w:val="auto"/>
          <w:sz w:val="32"/>
          <w:szCs w:val="32"/>
          <w:highlight w:val="none"/>
        </w:rPr>
        <w:t>项目实施人员一览表</w:t>
      </w:r>
    </w:p>
    <w:p w14:paraId="3DD77999">
      <w:pPr>
        <w:pStyle w:val="23"/>
        <w:rPr>
          <w:color w:val="auto"/>
          <w:sz w:val="24"/>
          <w:szCs w:val="24"/>
          <w:highlight w:val="none"/>
        </w:rPr>
      </w:pPr>
      <w:r>
        <w:rPr>
          <w:rFonts w:hint="eastAsia"/>
          <w:color w:val="auto"/>
          <w:sz w:val="24"/>
          <w:szCs w:val="24"/>
          <w:highlight w:val="none"/>
        </w:rPr>
        <w:t>所投分标：</w:t>
      </w:r>
      <w:r>
        <w:rPr>
          <w:rFonts w:hint="eastAsia"/>
          <w:color w:val="auto"/>
          <w:sz w:val="24"/>
          <w:szCs w:val="24"/>
          <w:highlight w:val="none"/>
          <w:u w:val="single"/>
        </w:rPr>
        <w:t xml:space="preserve">     </w:t>
      </w:r>
      <w:r>
        <w:rPr>
          <w:rFonts w:hint="eastAsia"/>
          <w:color w:val="auto"/>
          <w:sz w:val="24"/>
          <w:szCs w:val="24"/>
          <w:highlight w:val="none"/>
        </w:rPr>
        <w:t>分标</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1701"/>
        <w:gridCol w:w="1420"/>
        <w:gridCol w:w="1698"/>
        <w:gridCol w:w="1843"/>
      </w:tblGrid>
      <w:tr w14:paraId="067F9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1DB04A6C">
            <w:pPr>
              <w:snapToGrid w:val="0"/>
              <w:spacing w:before="50" w:after="120" w:afterLines="50"/>
              <w:jc w:val="center"/>
              <w:rPr>
                <w:rFonts w:ascii="宋体" w:hAnsi="宋体"/>
                <w:color w:val="auto"/>
                <w:sz w:val="24"/>
                <w:szCs w:val="20"/>
                <w:highlight w:val="none"/>
              </w:rPr>
            </w:pPr>
            <w:r>
              <w:rPr>
                <w:rFonts w:hint="eastAsia" w:ascii="宋体" w:hAnsi="宋体"/>
                <w:color w:val="auto"/>
                <w:sz w:val="24"/>
                <w:szCs w:val="20"/>
                <w:highlight w:val="none"/>
              </w:rPr>
              <w:t>姓名</w:t>
            </w:r>
          </w:p>
        </w:tc>
        <w:tc>
          <w:tcPr>
            <w:tcW w:w="709" w:type="dxa"/>
            <w:vAlign w:val="center"/>
          </w:tcPr>
          <w:p w14:paraId="28838A2B">
            <w:pPr>
              <w:snapToGrid w:val="0"/>
              <w:spacing w:before="50" w:after="120" w:afterLines="50"/>
              <w:jc w:val="center"/>
              <w:rPr>
                <w:rFonts w:ascii="宋体" w:hAnsi="宋体"/>
                <w:color w:val="auto"/>
                <w:sz w:val="24"/>
                <w:szCs w:val="20"/>
                <w:highlight w:val="none"/>
              </w:rPr>
            </w:pPr>
            <w:r>
              <w:rPr>
                <w:rFonts w:hint="eastAsia" w:ascii="宋体" w:hAnsi="宋体"/>
                <w:color w:val="auto"/>
                <w:sz w:val="24"/>
                <w:szCs w:val="20"/>
                <w:highlight w:val="none"/>
              </w:rPr>
              <w:t>职务</w:t>
            </w:r>
          </w:p>
        </w:tc>
        <w:tc>
          <w:tcPr>
            <w:tcW w:w="1701" w:type="dxa"/>
            <w:vAlign w:val="center"/>
          </w:tcPr>
          <w:p w14:paraId="3CEC5E4F">
            <w:pPr>
              <w:snapToGrid w:val="0"/>
              <w:spacing w:before="50" w:after="120" w:afterLines="50"/>
              <w:jc w:val="center"/>
              <w:rPr>
                <w:rFonts w:ascii="宋体" w:hAnsi="宋体"/>
                <w:color w:val="auto"/>
                <w:sz w:val="24"/>
                <w:szCs w:val="20"/>
                <w:highlight w:val="none"/>
              </w:rPr>
            </w:pPr>
            <w:r>
              <w:rPr>
                <w:rFonts w:hint="eastAsia" w:ascii="宋体" w:hAnsi="宋体"/>
                <w:color w:val="auto"/>
                <w:sz w:val="24"/>
                <w:szCs w:val="20"/>
                <w:highlight w:val="none"/>
              </w:rPr>
              <w:t>专业技术资格（职称）或者职业资格或者执业资格证或者其他证书</w:t>
            </w:r>
          </w:p>
        </w:tc>
        <w:tc>
          <w:tcPr>
            <w:tcW w:w="1420" w:type="dxa"/>
            <w:vAlign w:val="center"/>
          </w:tcPr>
          <w:p w14:paraId="62E1EC85">
            <w:pPr>
              <w:snapToGrid w:val="0"/>
              <w:spacing w:before="50" w:after="120" w:afterLines="50"/>
              <w:jc w:val="center"/>
              <w:rPr>
                <w:rFonts w:ascii="宋体" w:hAnsi="宋体"/>
                <w:color w:val="auto"/>
                <w:sz w:val="24"/>
                <w:szCs w:val="20"/>
                <w:highlight w:val="none"/>
              </w:rPr>
            </w:pPr>
            <w:r>
              <w:rPr>
                <w:rFonts w:hint="eastAsia" w:ascii="宋体" w:hAnsi="宋体"/>
                <w:color w:val="auto"/>
                <w:sz w:val="24"/>
                <w:szCs w:val="20"/>
                <w:highlight w:val="none"/>
              </w:rPr>
              <w:t>证书编号</w:t>
            </w:r>
          </w:p>
        </w:tc>
        <w:tc>
          <w:tcPr>
            <w:tcW w:w="1698" w:type="dxa"/>
            <w:vAlign w:val="center"/>
          </w:tcPr>
          <w:p w14:paraId="37DD29FC">
            <w:pPr>
              <w:snapToGrid w:val="0"/>
              <w:spacing w:before="50" w:after="120" w:afterLines="50"/>
              <w:jc w:val="center"/>
              <w:rPr>
                <w:rFonts w:ascii="宋体" w:hAnsi="宋体"/>
                <w:color w:val="auto"/>
                <w:sz w:val="24"/>
                <w:szCs w:val="20"/>
                <w:highlight w:val="none"/>
              </w:rPr>
            </w:pPr>
            <w:r>
              <w:rPr>
                <w:rFonts w:hint="eastAsia" w:ascii="宋体" w:hAnsi="宋体"/>
                <w:color w:val="auto"/>
                <w:sz w:val="24"/>
                <w:szCs w:val="20"/>
                <w:highlight w:val="none"/>
              </w:rPr>
              <w:t>参加本单位</w:t>
            </w:r>
          </w:p>
          <w:p w14:paraId="1718C128">
            <w:pPr>
              <w:snapToGrid w:val="0"/>
              <w:spacing w:before="50" w:after="120" w:afterLines="50"/>
              <w:jc w:val="center"/>
              <w:rPr>
                <w:rFonts w:ascii="宋体" w:hAnsi="宋体"/>
                <w:color w:val="auto"/>
                <w:sz w:val="24"/>
                <w:szCs w:val="20"/>
                <w:highlight w:val="none"/>
              </w:rPr>
            </w:pPr>
            <w:r>
              <w:rPr>
                <w:rFonts w:hint="eastAsia" w:ascii="宋体" w:hAnsi="宋体"/>
                <w:color w:val="auto"/>
                <w:sz w:val="24"/>
                <w:szCs w:val="20"/>
                <w:highlight w:val="none"/>
              </w:rPr>
              <w:t>工作时间</w:t>
            </w:r>
          </w:p>
        </w:tc>
        <w:tc>
          <w:tcPr>
            <w:tcW w:w="1843" w:type="dxa"/>
            <w:vAlign w:val="center"/>
          </w:tcPr>
          <w:p w14:paraId="687B2745">
            <w:pPr>
              <w:snapToGrid w:val="0"/>
              <w:spacing w:before="50" w:after="120" w:afterLines="50"/>
              <w:jc w:val="center"/>
              <w:rPr>
                <w:rFonts w:ascii="宋体" w:hAnsi="宋体"/>
                <w:color w:val="auto"/>
                <w:sz w:val="24"/>
                <w:szCs w:val="20"/>
                <w:highlight w:val="none"/>
              </w:rPr>
            </w:pPr>
            <w:r>
              <w:rPr>
                <w:rFonts w:hint="eastAsia" w:ascii="宋体" w:hAnsi="宋体"/>
                <w:color w:val="auto"/>
                <w:sz w:val="24"/>
                <w:szCs w:val="20"/>
                <w:highlight w:val="none"/>
              </w:rPr>
              <w:t>劳动合同编号</w:t>
            </w:r>
          </w:p>
        </w:tc>
      </w:tr>
      <w:tr w14:paraId="3C4FD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35CF1A03">
            <w:pPr>
              <w:snapToGrid w:val="0"/>
              <w:spacing w:before="50" w:after="120" w:afterLines="50"/>
              <w:jc w:val="center"/>
              <w:rPr>
                <w:rFonts w:ascii="宋体" w:hAnsi="宋体"/>
                <w:color w:val="auto"/>
                <w:sz w:val="24"/>
                <w:szCs w:val="20"/>
                <w:highlight w:val="none"/>
              </w:rPr>
            </w:pPr>
          </w:p>
        </w:tc>
        <w:tc>
          <w:tcPr>
            <w:tcW w:w="709" w:type="dxa"/>
            <w:vAlign w:val="center"/>
          </w:tcPr>
          <w:p w14:paraId="72EF14FD">
            <w:pPr>
              <w:snapToGrid w:val="0"/>
              <w:spacing w:before="50" w:after="120" w:afterLines="50"/>
              <w:jc w:val="center"/>
              <w:rPr>
                <w:rFonts w:ascii="宋体" w:hAnsi="宋体"/>
                <w:color w:val="auto"/>
                <w:sz w:val="24"/>
                <w:szCs w:val="20"/>
                <w:highlight w:val="none"/>
              </w:rPr>
            </w:pPr>
          </w:p>
        </w:tc>
        <w:tc>
          <w:tcPr>
            <w:tcW w:w="1701" w:type="dxa"/>
            <w:vAlign w:val="center"/>
          </w:tcPr>
          <w:p w14:paraId="16061B23">
            <w:pPr>
              <w:snapToGrid w:val="0"/>
              <w:spacing w:before="50" w:after="120" w:afterLines="50"/>
              <w:jc w:val="center"/>
              <w:rPr>
                <w:rFonts w:ascii="宋体" w:hAnsi="宋体"/>
                <w:color w:val="auto"/>
                <w:sz w:val="24"/>
                <w:szCs w:val="20"/>
                <w:highlight w:val="none"/>
              </w:rPr>
            </w:pPr>
          </w:p>
        </w:tc>
        <w:tc>
          <w:tcPr>
            <w:tcW w:w="1420" w:type="dxa"/>
            <w:vAlign w:val="center"/>
          </w:tcPr>
          <w:p w14:paraId="1084F4E2">
            <w:pPr>
              <w:snapToGrid w:val="0"/>
              <w:spacing w:before="50" w:after="120" w:afterLines="50"/>
              <w:jc w:val="center"/>
              <w:rPr>
                <w:rFonts w:ascii="宋体" w:hAnsi="宋体"/>
                <w:color w:val="auto"/>
                <w:sz w:val="24"/>
                <w:szCs w:val="20"/>
                <w:highlight w:val="none"/>
              </w:rPr>
            </w:pPr>
          </w:p>
        </w:tc>
        <w:tc>
          <w:tcPr>
            <w:tcW w:w="1698" w:type="dxa"/>
            <w:vAlign w:val="center"/>
          </w:tcPr>
          <w:p w14:paraId="44544C5B">
            <w:pPr>
              <w:snapToGrid w:val="0"/>
              <w:spacing w:before="50" w:after="120" w:afterLines="50"/>
              <w:jc w:val="center"/>
              <w:rPr>
                <w:rFonts w:ascii="宋体" w:hAnsi="宋体"/>
                <w:color w:val="auto"/>
                <w:sz w:val="24"/>
                <w:szCs w:val="20"/>
                <w:highlight w:val="none"/>
              </w:rPr>
            </w:pPr>
          </w:p>
        </w:tc>
        <w:tc>
          <w:tcPr>
            <w:tcW w:w="1843" w:type="dxa"/>
            <w:vAlign w:val="center"/>
          </w:tcPr>
          <w:p w14:paraId="4885B931">
            <w:pPr>
              <w:snapToGrid w:val="0"/>
              <w:spacing w:before="50" w:after="120" w:afterLines="50"/>
              <w:jc w:val="center"/>
              <w:rPr>
                <w:rFonts w:ascii="宋体" w:hAnsi="宋体"/>
                <w:color w:val="auto"/>
                <w:sz w:val="24"/>
                <w:szCs w:val="20"/>
                <w:highlight w:val="none"/>
              </w:rPr>
            </w:pPr>
          </w:p>
        </w:tc>
      </w:tr>
      <w:tr w14:paraId="2C8AE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561F505E">
            <w:pPr>
              <w:snapToGrid w:val="0"/>
              <w:spacing w:before="50" w:after="120" w:afterLines="50"/>
              <w:jc w:val="center"/>
              <w:rPr>
                <w:rFonts w:ascii="宋体" w:hAnsi="宋体"/>
                <w:color w:val="auto"/>
                <w:sz w:val="24"/>
                <w:szCs w:val="20"/>
                <w:highlight w:val="none"/>
              </w:rPr>
            </w:pPr>
          </w:p>
        </w:tc>
        <w:tc>
          <w:tcPr>
            <w:tcW w:w="709" w:type="dxa"/>
            <w:vAlign w:val="center"/>
          </w:tcPr>
          <w:p w14:paraId="43E11EB6">
            <w:pPr>
              <w:snapToGrid w:val="0"/>
              <w:spacing w:before="50" w:after="120" w:afterLines="50"/>
              <w:jc w:val="center"/>
              <w:rPr>
                <w:rFonts w:ascii="宋体" w:hAnsi="宋体"/>
                <w:color w:val="auto"/>
                <w:sz w:val="24"/>
                <w:szCs w:val="20"/>
                <w:highlight w:val="none"/>
              </w:rPr>
            </w:pPr>
          </w:p>
        </w:tc>
        <w:tc>
          <w:tcPr>
            <w:tcW w:w="1701" w:type="dxa"/>
            <w:vAlign w:val="center"/>
          </w:tcPr>
          <w:p w14:paraId="3CDD0A3B">
            <w:pPr>
              <w:snapToGrid w:val="0"/>
              <w:spacing w:before="50" w:after="120" w:afterLines="50"/>
              <w:jc w:val="center"/>
              <w:rPr>
                <w:rFonts w:ascii="宋体" w:hAnsi="宋体"/>
                <w:color w:val="auto"/>
                <w:sz w:val="24"/>
                <w:szCs w:val="20"/>
                <w:highlight w:val="none"/>
              </w:rPr>
            </w:pPr>
          </w:p>
        </w:tc>
        <w:tc>
          <w:tcPr>
            <w:tcW w:w="1420" w:type="dxa"/>
            <w:vAlign w:val="center"/>
          </w:tcPr>
          <w:p w14:paraId="0DBA3C3A">
            <w:pPr>
              <w:snapToGrid w:val="0"/>
              <w:spacing w:before="50" w:after="120" w:afterLines="50"/>
              <w:jc w:val="center"/>
              <w:rPr>
                <w:rFonts w:ascii="宋体" w:hAnsi="宋体"/>
                <w:color w:val="auto"/>
                <w:sz w:val="24"/>
                <w:szCs w:val="20"/>
                <w:highlight w:val="none"/>
              </w:rPr>
            </w:pPr>
          </w:p>
        </w:tc>
        <w:tc>
          <w:tcPr>
            <w:tcW w:w="1698" w:type="dxa"/>
            <w:vAlign w:val="center"/>
          </w:tcPr>
          <w:p w14:paraId="5A46C576">
            <w:pPr>
              <w:snapToGrid w:val="0"/>
              <w:spacing w:before="50" w:after="120" w:afterLines="50"/>
              <w:jc w:val="center"/>
              <w:rPr>
                <w:rFonts w:ascii="宋体" w:hAnsi="宋体"/>
                <w:color w:val="auto"/>
                <w:sz w:val="24"/>
                <w:szCs w:val="20"/>
                <w:highlight w:val="none"/>
              </w:rPr>
            </w:pPr>
          </w:p>
        </w:tc>
        <w:tc>
          <w:tcPr>
            <w:tcW w:w="1843" w:type="dxa"/>
            <w:vAlign w:val="center"/>
          </w:tcPr>
          <w:p w14:paraId="1916196A">
            <w:pPr>
              <w:snapToGrid w:val="0"/>
              <w:spacing w:before="50" w:after="120" w:afterLines="50"/>
              <w:jc w:val="center"/>
              <w:rPr>
                <w:rFonts w:ascii="宋体" w:hAnsi="宋体"/>
                <w:color w:val="auto"/>
                <w:sz w:val="24"/>
                <w:szCs w:val="20"/>
                <w:highlight w:val="none"/>
              </w:rPr>
            </w:pPr>
          </w:p>
        </w:tc>
      </w:tr>
      <w:tr w14:paraId="64900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786F3D0C">
            <w:pPr>
              <w:snapToGrid w:val="0"/>
              <w:spacing w:before="50" w:after="120" w:afterLines="50"/>
              <w:jc w:val="center"/>
              <w:rPr>
                <w:rFonts w:ascii="宋体" w:hAnsi="宋体"/>
                <w:color w:val="auto"/>
                <w:sz w:val="24"/>
                <w:szCs w:val="20"/>
                <w:highlight w:val="none"/>
              </w:rPr>
            </w:pPr>
          </w:p>
        </w:tc>
        <w:tc>
          <w:tcPr>
            <w:tcW w:w="709" w:type="dxa"/>
            <w:vAlign w:val="center"/>
          </w:tcPr>
          <w:p w14:paraId="5BB7A814">
            <w:pPr>
              <w:snapToGrid w:val="0"/>
              <w:spacing w:before="50" w:after="120" w:afterLines="50"/>
              <w:jc w:val="center"/>
              <w:rPr>
                <w:rFonts w:ascii="宋体" w:hAnsi="宋体"/>
                <w:color w:val="auto"/>
                <w:sz w:val="24"/>
                <w:szCs w:val="20"/>
                <w:highlight w:val="none"/>
              </w:rPr>
            </w:pPr>
          </w:p>
        </w:tc>
        <w:tc>
          <w:tcPr>
            <w:tcW w:w="1701" w:type="dxa"/>
            <w:vAlign w:val="center"/>
          </w:tcPr>
          <w:p w14:paraId="6578A526">
            <w:pPr>
              <w:snapToGrid w:val="0"/>
              <w:spacing w:before="50" w:after="120" w:afterLines="50"/>
              <w:jc w:val="center"/>
              <w:rPr>
                <w:rFonts w:ascii="宋体" w:hAnsi="宋体"/>
                <w:color w:val="auto"/>
                <w:sz w:val="24"/>
                <w:szCs w:val="20"/>
                <w:highlight w:val="none"/>
              </w:rPr>
            </w:pPr>
          </w:p>
        </w:tc>
        <w:tc>
          <w:tcPr>
            <w:tcW w:w="1420" w:type="dxa"/>
            <w:vAlign w:val="center"/>
          </w:tcPr>
          <w:p w14:paraId="5574FE3D">
            <w:pPr>
              <w:snapToGrid w:val="0"/>
              <w:spacing w:before="50" w:after="120" w:afterLines="50"/>
              <w:jc w:val="center"/>
              <w:rPr>
                <w:rFonts w:ascii="宋体" w:hAnsi="宋体"/>
                <w:color w:val="auto"/>
                <w:sz w:val="24"/>
                <w:szCs w:val="20"/>
                <w:highlight w:val="none"/>
              </w:rPr>
            </w:pPr>
          </w:p>
        </w:tc>
        <w:tc>
          <w:tcPr>
            <w:tcW w:w="1698" w:type="dxa"/>
            <w:vAlign w:val="center"/>
          </w:tcPr>
          <w:p w14:paraId="5E57139D">
            <w:pPr>
              <w:snapToGrid w:val="0"/>
              <w:spacing w:before="50" w:after="120" w:afterLines="50"/>
              <w:jc w:val="center"/>
              <w:rPr>
                <w:rFonts w:ascii="宋体" w:hAnsi="宋体"/>
                <w:color w:val="auto"/>
                <w:sz w:val="24"/>
                <w:szCs w:val="20"/>
                <w:highlight w:val="none"/>
              </w:rPr>
            </w:pPr>
          </w:p>
        </w:tc>
        <w:tc>
          <w:tcPr>
            <w:tcW w:w="1843" w:type="dxa"/>
            <w:vAlign w:val="center"/>
          </w:tcPr>
          <w:p w14:paraId="79E08C10">
            <w:pPr>
              <w:snapToGrid w:val="0"/>
              <w:spacing w:before="50" w:after="120" w:afterLines="50"/>
              <w:jc w:val="center"/>
              <w:rPr>
                <w:rFonts w:ascii="宋体" w:hAnsi="宋体"/>
                <w:color w:val="auto"/>
                <w:sz w:val="24"/>
                <w:szCs w:val="20"/>
                <w:highlight w:val="none"/>
              </w:rPr>
            </w:pPr>
          </w:p>
        </w:tc>
      </w:tr>
    </w:tbl>
    <w:p w14:paraId="3478CDBC">
      <w:pPr>
        <w:snapToGrid w:val="0"/>
        <w:spacing w:before="50" w:after="120" w:afterLines="50"/>
        <w:jc w:val="left"/>
        <w:rPr>
          <w:rFonts w:ascii="宋体" w:hAnsi="宋体"/>
          <w:color w:val="auto"/>
          <w:sz w:val="24"/>
          <w:szCs w:val="20"/>
          <w:highlight w:val="none"/>
        </w:rPr>
      </w:pPr>
    </w:p>
    <w:p w14:paraId="011830EA">
      <w:pPr>
        <w:spacing w:line="360" w:lineRule="auto"/>
        <w:contextualSpacing/>
        <w:jc w:val="left"/>
        <w:rPr>
          <w:rFonts w:ascii="宋体" w:hAnsi="宋体"/>
          <w:color w:val="auto"/>
          <w:sz w:val="24"/>
          <w:szCs w:val="20"/>
          <w:highlight w:val="none"/>
        </w:rPr>
      </w:pPr>
      <w:r>
        <w:rPr>
          <w:rFonts w:hint="eastAsia" w:ascii="宋体" w:hAnsi="宋体"/>
          <w:color w:val="auto"/>
          <w:sz w:val="24"/>
          <w:szCs w:val="20"/>
          <w:highlight w:val="none"/>
        </w:rPr>
        <w:t>注：</w:t>
      </w:r>
    </w:p>
    <w:p w14:paraId="0CA5C8B3">
      <w:pPr>
        <w:spacing w:line="360" w:lineRule="auto"/>
        <w:contextualSpacing/>
        <w:jc w:val="left"/>
        <w:rPr>
          <w:rFonts w:ascii="宋体" w:hAnsi="宋体"/>
          <w:color w:val="auto"/>
          <w:sz w:val="24"/>
          <w:szCs w:val="20"/>
          <w:highlight w:val="none"/>
        </w:rPr>
      </w:pPr>
      <w:r>
        <w:rPr>
          <w:rFonts w:hint="eastAsia" w:ascii="宋体" w:hAnsi="宋体"/>
          <w:color w:val="auto"/>
          <w:sz w:val="24"/>
          <w:szCs w:val="20"/>
          <w:highlight w:val="none"/>
        </w:rPr>
        <w:t>1.在填写时，如本表格不适合投标单位的实际情况，可根据本表格式自行制表填写。</w:t>
      </w:r>
    </w:p>
    <w:p w14:paraId="5BF667A0">
      <w:pPr>
        <w:spacing w:line="360" w:lineRule="auto"/>
        <w:contextualSpacing/>
        <w:jc w:val="left"/>
        <w:rPr>
          <w:rFonts w:ascii="宋体" w:hAnsi="宋体"/>
          <w:color w:val="auto"/>
          <w:sz w:val="24"/>
          <w:szCs w:val="20"/>
          <w:highlight w:val="none"/>
        </w:rPr>
      </w:pPr>
      <w:r>
        <w:rPr>
          <w:rFonts w:hint="eastAsia" w:ascii="宋体" w:hAnsi="宋体"/>
          <w:color w:val="auto"/>
          <w:sz w:val="24"/>
          <w:szCs w:val="20"/>
          <w:highlight w:val="none"/>
        </w:rPr>
        <w:t>2.投标人应当按采购需求要求和评分标准附上相关证书（如有）的复印件和相关证明材料并加盖投标人电子签章。</w:t>
      </w:r>
    </w:p>
    <w:p w14:paraId="38A5997A">
      <w:pPr>
        <w:spacing w:line="360" w:lineRule="auto"/>
        <w:contextualSpacing/>
        <w:jc w:val="left"/>
        <w:rPr>
          <w:rFonts w:ascii="宋体" w:hAnsi="宋体"/>
          <w:color w:val="auto"/>
          <w:sz w:val="24"/>
          <w:szCs w:val="20"/>
          <w:highlight w:val="none"/>
        </w:rPr>
      </w:pPr>
    </w:p>
    <w:p w14:paraId="04245BB2">
      <w:pPr>
        <w:spacing w:line="360" w:lineRule="auto"/>
        <w:contextualSpacing/>
        <w:rPr>
          <w:rFonts w:ascii="宋体" w:hAnsi="宋体"/>
          <w:color w:val="auto"/>
          <w:spacing w:val="20"/>
          <w:sz w:val="24"/>
          <w:szCs w:val="20"/>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（签字或者电子签名）：</w:t>
      </w:r>
      <w:r>
        <w:rPr>
          <w:rFonts w:hint="eastAsia" w:ascii="宋体" w:hAnsi="宋体"/>
          <w:color w:val="auto"/>
          <w:spacing w:val="20"/>
          <w:sz w:val="24"/>
          <w:highlight w:val="none"/>
          <w:u w:val="single"/>
        </w:rPr>
        <w:t xml:space="preserve">        </w:t>
      </w:r>
    </w:p>
    <w:p w14:paraId="1940DEF2">
      <w:pPr>
        <w:spacing w:line="360" w:lineRule="auto"/>
        <w:contextualSpacing/>
        <w:jc w:val="left"/>
        <w:rPr>
          <w:rFonts w:ascii="宋体" w:hAnsi="宋体"/>
          <w:color w:val="auto"/>
          <w:spacing w:val="20"/>
          <w:sz w:val="24"/>
          <w:highlight w:val="none"/>
        </w:rPr>
      </w:pPr>
      <w:r>
        <w:rPr>
          <w:rFonts w:hint="eastAsia" w:ascii="宋体" w:hAnsi="宋体"/>
          <w:color w:val="auto"/>
          <w:spacing w:val="20"/>
          <w:sz w:val="24"/>
          <w:highlight w:val="none"/>
        </w:rPr>
        <w:t>投标人名称（电子签章）：</w:t>
      </w:r>
      <w:r>
        <w:rPr>
          <w:rFonts w:hint="eastAsia" w:ascii="宋体" w:hAnsi="宋体"/>
          <w:color w:val="auto"/>
          <w:spacing w:val="20"/>
          <w:sz w:val="24"/>
          <w:highlight w:val="none"/>
          <w:u w:val="single"/>
        </w:rPr>
        <w:t xml:space="preserve">            </w:t>
      </w:r>
      <w:r>
        <w:rPr>
          <w:rFonts w:hint="eastAsia" w:ascii="宋体" w:hAnsi="宋体"/>
          <w:color w:val="auto"/>
          <w:spacing w:val="20"/>
          <w:sz w:val="24"/>
          <w:highlight w:val="none"/>
        </w:rPr>
        <w:t xml:space="preserve">              </w:t>
      </w:r>
    </w:p>
    <w:p w14:paraId="13FB9505">
      <w:pPr>
        <w:spacing w:line="360" w:lineRule="auto"/>
        <w:contextualSpacing/>
        <w:jc w:val="left"/>
        <w:rPr>
          <w:rFonts w:ascii="宋体" w:hAnsi="宋体"/>
          <w:color w:val="auto"/>
          <w:sz w:val="24"/>
          <w:szCs w:val="20"/>
          <w:highlight w:val="none"/>
        </w:rPr>
      </w:pPr>
      <w:r>
        <w:rPr>
          <w:rFonts w:hint="eastAsia" w:ascii="宋体" w:hAnsi="宋体"/>
          <w:color w:val="auto"/>
          <w:spacing w:val="20"/>
          <w:sz w:val="24"/>
          <w:highlight w:val="none"/>
        </w:rPr>
        <w:t>日 期：</w:t>
      </w:r>
      <w:r>
        <w:rPr>
          <w:rFonts w:hint="eastAsia" w:ascii="宋体" w:hAnsi="宋体"/>
          <w:color w:val="auto"/>
          <w:spacing w:val="20"/>
          <w:sz w:val="24"/>
          <w:highlight w:val="none"/>
          <w:u w:val="single"/>
        </w:rPr>
        <w:t xml:space="preserve">         </w:t>
      </w:r>
    </w:p>
    <w:p w14:paraId="032DF5D7">
      <w:pPr>
        <w:spacing w:line="360" w:lineRule="auto"/>
        <w:contextualSpacing/>
        <w:jc w:val="left"/>
        <w:rPr>
          <w:rFonts w:ascii="宋体" w:hAnsi="宋体"/>
          <w:color w:val="auto"/>
          <w:sz w:val="24"/>
          <w:szCs w:val="20"/>
          <w:highlight w:val="none"/>
        </w:rPr>
      </w:pPr>
    </w:p>
    <w:p w14:paraId="526630C7">
      <w:pPr>
        <w:snapToGrid w:val="0"/>
        <w:spacing w:before="50" w:after="120" w:afterLines="50"/>
        <w:jc w:val="left"/>
        <w:rPr>
          <w:rFonts w:ascii="宋体" w:hAnsi="宋体"/>
          <w:color w:val="auto"/>
          <w:sz w:val="24"/>
          <w:szCs w:val="20"/>
          <w:highlight w:val="none"/>
        </w:rPr>
      </w:pPr>
    </w:p>
    <w:p w14:paraId="69256AAA">
      <w:pPr>
        <w:rPr>
          <w:rFonts w:ascii="宋体" w:hAnsi="宋体"/>
          <w:b/>
          <w:color w:val="auto"/>
          <w:sz w:val="24"/>
          <w:highlight w:val="none"/>
        </w:rPr>
      </w:pPr>
      <w:r>
        <w:rPr>
          <w:rFonts w:hint="eastAsia" w:ascii="宋体" w:hAnsi="宋体"/>
          <w:b/>
          <w:color w:val="auto"/>
          <w:sz w:val="24"/>
          <w:highlight w:val="none"/>
        </w:rPr>
        <w:br w:type="page"/>
      </w:r>
    </w:p>
    <w:p w14:paraId="7D90B393">
      <w:pPr>
        <w:outlineLvl w:val="2"/>
        <w:rPr>
          <w:rFonts w:ascii="方正小标宋简体" w:hAnsi="方正小标宋简体" w:eastAsia="方正小标宋简体" w:cs="方正小标宋简体"/>
          <w:bCs/>
          <w:color w:val="auto"/>
          <w:szCs w:val="21"/>
          <w:highlight w:val="none"/>
        </w:rPr>
      </w:pPr>
      <w:r>
        <w:rPr>
          <w:rFonts w:hint="eastAsia" w:ascii="宋体" w:hAnsi="宋体"/>
          <w:b/>
          <w:color w:val="auto"/>
          <w:sz w:val="24"/>
          <w:highlight w:val="none"/>
        </w:rPr>
        <w:t>9.代理服务费承诺书</w:t>
      </w:r>
    </w:p>
    <w:p w14:paraId="345400D9">
      <w:pPr>
        <w:snapToGrid w:val="0"/>
        <w:spacing w:before="120" w:beforeLines="50" w:after="50"/>
        <w:jc w:val="left"/>
        <w:rPr>
          <w:rFonts w:ascii="方正小标宋简体" w:hAnsi="方正小标宋简体" w:eastAsia="方正小标宋简体" w:cs="方正小标宋简体"/>
          <w:bCs/>
          <w:color w:val="auto"/>
          <w:szCs w:val="21"/>
          <w:highlight w:val="none"/>
        </w:rPr>
      </w:pPr>
    </w:p>
    <w:p w14:paraId="751C7432">
      <w:pPr>
        <w:snapToGrid w:val="0"/>
        <w:spacing w:before="120" w:beforeLines="50" w:after="50"/>
        <w:jc w:val="center"/>
        <w:rPr>
          <w:rFonts w:ascii="方正小标宋简体" w:hAnsi="方正小标宋简体" w:eastAsia="方正小标宋简体" w:cs="方正小标宋简体"/>
          <w:bCs/>
          <w:color w:val="auto"/>
          <w:sz w:val="44"/>
          <w:szCs w:val="44"/>
          <w:highlight w:val="none"/>
        </w:rPr>
      </w:pPr>
      <w:r>
        <w:rPr>
          <w:rFonts w:hint="eastAsia" w:ascii="宋体" w:hAnsi="宋体" w:cs="宋体"/>
          <w:bCs/>
          <w:color w:val="auto"/>
          <w:sz w:val="44"/>
          <w:szCs w:val="44"/>
          <w:highlight w:val="none"/>
        </w:rPr>
        <w:t>代理服务费承诺书</w:t>
      </w:r>
    </w:p>
    <w:p w14:paraId="3E969DFC">
      <w:pPr>
        <w:snapToGrid w:val="0"/>
        <w:spacing w:before="120" w:beforeLines="50" w:after="50"/>
        <w:jc w:val="center"/>
        <w:rPr>
          <w:rFonts w:ascii="宋体" w:hAnsi="宋体"/>
          <w:b/>
          <w:color w:val="auto"/>
          <w:sz w:val="24"/>
          <w:highlight w:val="none"/>
        </w:rPr>
      </w:pPr>
    </w:p>
    <w:p w14:paraId="002E27EC">
      <w:pPr>
        <w:spacing w:line="360" w:lineRule="auto"/>
        <w:rPr>
          <w:rFonts w:ascii="宋体" w:hAnsi="宋体"/>
          <w:b/>
          <w:bCs/>
          <w:color w:val="auto"/>
          <w:sz w:val="24"/>
          <w:highlight w:val="none"/>
        </w:rPr>
      </w:pPr>
      <w:r>
        <w:rPr>
          <w:rFonts w:hint="eastAsia" w:ascii="宋体" w:hAnsi="宋体"/>
          <w:bCs/>
          <w:color w:val="auto"/>
          <w:sz w:val="24"/>
          <w:highlight w:val="none"/>
        </w:rPr>
        <w:t>致：</w:t>
      </w:r>
      <w:r>
        <w:rPr>
          <w:rFonts w:hint="eastAsia" w:ascii="宋体" w:hAnsi="宋体"/>
          <w:color w:val="auto"/>
          <w:sz w:val="24"/>
          <w:highlight w:val="none"/>
          <w:u w:val="single"/>
        </w:rPr>
        <w:t>招标代理机构名称</w:t>
      </w:r>
      <w:r>
        <w:rPr>
          <w:rFonts w:hint="eastAsia" w:ascii="宋体" w:hAnsi="宋体"/>
          <w:color w:val="auto"/>
          <w:sz w:val="24"/>
          <w:highlight w:val="none"/>
        </w:rPr>
        <w:t>：</w:t>
      </w:r>
    </w:p>
    <w:p w14:paraId="42B77FE2">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本单位参加了贵方组织的</w:t>
      </w:r>
      <w:r>
        <w:rPr>
          <w:rFonts w:hint="eastAsia" w:ascii="宋体" w:hAnsi="宋体"/>
          <w:color w:val="auto"/>
          <w:sz w:val="24"/>
          <w:highlight w:val="none"/>
          <w:u w:val="single"/>
        </w:rPr>
        <w:t xml:space="preserve">  项目名称（项目编号）  </w:t>
      </w:r>
      <w:r>
        <w:rPr>
          <w:rFonts w:hint="eastAsia" w:ascii="宋体" w:hAnsi="宋体"/>
          <w:color w:val="auto"/>
          <w:sz w:val="24"/>
          <w:highlight w:val="none"/>
        </w:rPr>
        <w:t>项目，在此说明如下：</w:t>
      </w:r>
    </w:p>
    <w:p w14:paraId="38F7BDB1">
      <w:pPr>
        <w:spacing w:line="440" w:lineRule="exact"/>
        <w:ind w:firstLine="360" w:firstLineChars="150"/>
        <w:rPr>
          <w:rFonts w:ascii="宋体" w:hAnsi="宋体"/>
          <w:color w:val="auto"/>
          <w:sz w:val="24"/>
          <w:highlight w:val="none"/>
        </w:rPr>
      </w:pPr>
      <w:r>
        <w:rPr>
          <w:rFonts w:hint="eastAsia" w:ascii="宋体" w:hAnsi="宋体"/>
          <w:color w:val="auto"/>
          <w:sz w:val="24"/>
          <w:highlight w:val="none"/>
        </w:rPr>
        <w:t>1.我方承诺，若本单位中标，保证在发出中标通知书之后，按本项目招标文件的规定标准向贵单位一次性足额支付代理服务费。</w:t>
      </w:r>
    </w:p>
    <w:p w14:paraId="595265B4">
      <w:pPr>
        <w:spacing w:line="440" w:lineRule="exact"/>
        <w:ind w:firstLine="360" w:firstLineChars="150"/>
        <w:rPr>
          <w:rFonts w:ascii="宋体" w:hAnsi="宋体"/>
          <w:color w:val="auto"/>
          <w:sz w:val="24"/>
          <w:highlight w:val="none"/>
        </w:rPr>
      </w:pPr>
      <w:r>
        <w:rPr>
          <w:rFonts w:hint="eastAsia" w:ascii="宋体" w:hAnsi="宋体"/>
          <w:color w:val="auto"/>
          <w:sz w:val="24"/>
          <w:highlight w:val="none"/>
        </w:rPr>
        <w:t>2.本单位选择第</w:t>
      </w:r>
      <w:r>
        <w:rPr>
          <w:rFonts w:hint="eastAsia" w:ascii="宋体" w:hAnsi="宋体"/>
          <w:color w:val="auto"/>
          <w:sz w:val="24"/>
          <w:highlight w:val="none"/>
          <w:u w:val="single"/>
        </w:rPr>
        <w:t xml:space="preserve">     </w:t>
      </w:r>
      <w:r>
        <w:rPr>
          <w:rFonts w:hint="eastAsia" w:ascii="宋体" w:hAnsi="宋体"/>
          <w:color w:val="auto"/>
          <w:sz w:val="24"/>
          <w:highlight w:val="none"/>
        </w:rPr>
        <w:t>种方式作为代理服务费开票类型：</w:t>
      </w:r>
    </w:p>
    <w:p w14:paraId="6EAA4098">
      <w:pPr>
        <w:spacing w:line="440" w:lineRule="exact"/>
        <w:ind w:firstLine="360" w:firstLineChars="150"/>
        <w:rPr>
          <w:rFonts w:ascii="宋体" w:hAnsi="宋体"/>
          <w:color w:val="auto"/>
          <w:sz w:val="24"/>
          <w:highlight w:val="none"/>
        </w:rPr>
      </w:pPr>
      <w:r>
        <w:rPr>
          <w:rFonts w:hint="eastAsia" w:ascii="宋体" w:hAnsi="宋体"/>
          <w:color w:val="auto"/>
          <w:sz w:val="24"/>
          <w:highlight w:val="none"/>
        </w:rPr>
        <w:t>第一种方式：开具增值税普通发票。开票信息如下：</w:t>
      </w:r>
    </w:p>
    <w:p w14:paraId="3477B9E8">
      <w:pPr>
        <w:spacing w:line="440" w:lineRule="exact"/>
        <w:ind w:firstLine="360" w:firstLineChars="150"/>
        <w:rPr>
          <w:rFonts w:ascii="宋体" w:hAnsi="宋体"/>
          <w:color w:val="auto"/>
          <w:sz w:val="24"/>
          <w:highlight w:val="none"/>
        </w:rPr>
      </w:pPr>
      <w:r>
        <w:rPr>
          <w:rFonts w:hint="eastAsia" w:ascii="宋体" w:hAnsi="宋体"/>
          <w:color w:val="auto"/>
          <w:sz w:val="24"/>
          <w:highlight w:val="none"/>
        </w:rPr>
        <w:t>（1）公司名称</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714121DF">
      <w:pPr>
        <w:spacing w:line="440" w:lineRule="exact"/>
        <w:ind w:firstLine="360" w:firstLineChars="150"/>
        <w:rPr>
          <w:rFonts w:ascii="宋体" w:hAnsi="宋体"/>
          <w:color w:val="auto"/>
          <w:sz w:val="24"/>
          <w:highlight w:val="none"/>
        </w:rPr>
      </w:pPr>
      <w:r>
        <w:rPr>
          <w:rFonts w:hint="eastAsia" w:ascii="宋体" w:hAnsi="宋体"/>
          <w:color w:val="auto"/>
          <w:sz w:val="24"/>
          <w:highlight w:val="none"/>
        </w:rPr>
        <w:t>（2）纳税人识别号</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40FD7087">
      <w:pPr>
        <w:spacing w:line="440" w:lineRule="exact"/>
        <w:ind w:firstLine="360" w:firstLineChars="150"/>
        <w:rPr>
          <w:rFonts w:ascii="宋体" w:hAnsi="宋体"/>
          <w:color w:val="auto"/>
          <w:sz w:val="24"/>
          <w:highlight w:val="none"/>
        </w:rPr>
      </w:pPr>
      <w:r>
        <w:rPr>
          <w:rFonts w:hint="eastAsia" w:ascii="宋体" w:hAnsi="宋体"/>
          <w:color w:val="auto"/>
          <w:sz w:val="24"/>
          <w:highlight w:val="none"/>
        </w:rPr>
        <w:t>第二种方式：开具增值税专用发票，开票信息如下：</w:t>
      </w:r>
    </w:p>
    <w:p w14:paraId="16DB349E">
      <w:pPr>
        <w:spacing w:line="440" w:lineRule="exact"/>
        <w:ind w:firstLine="360" w:firstLineChars="150"/>
        <w:rPr>
          <w:rFonts w:ascii="宋体" w:hAnsi="宋体"/>
          <w:color w:val="auto"/>
          <w:sz w:val="24"/>
          <w:highlight w:val="none"/>
        </w:rPr>
      </w:pPr>
      <w:r>
        <w:rPr>
          <w:rFonts w:hint="eastAsia" w:ascii="宋体" w:hAnsi="宋体"/>
          <w:color w:val="auto"/>
          <w:sz w:val="24"/>
          <w:highlight w:val="none"/>
        </w:rPr>
        <w:t>（1）公司名称</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2410F818">
      <w:pPr>
        <w:spacing w:line="440" w:lineRule="exact"/>
        <w:ind w:firstLine="360" w:firstLineChars="150"/>
        <w:rPr>
          <w:rFonts w:ascii="宋体" w:hAnsi="宋体"/>
          <w:color w:val="auto"/>
          <w:sz w:val="24"/>
          <w:highlight w:val="none"/>
        </w:rPr>
      </w:pPr>
      <w:r>
        <w:rPr>
          <w:rFonts w:hint="eastAsia" w:ascii="宋体" w:hAnsi="宋体"/>
          <w:color w:val="auto"/>
          <w:sz w:val="24"/>
          <w:highlight w:val="none"/>
        </w:rPr>
        <w:t>（2）纳税人识别号</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40CBF08E">
      <w:pPr>
        <w:spacing w:line="440" w:lineRule="exact"/>
        <w:ind w:firstLine="360" w:firstLineChars="150"/>
        <w:rPr>
          <w:rFonts w:ascii="宋体" w:hAnsi="宋体"/>
          <w:color w:val="auto"/>
          <w:sz w:val="24"/>
          <w:highlight w:val="none"/>
        </w:rPr>
      </w:pPr>
      <w:r>
        <w:rPr>
          <w:rFonts w:hint="eastAsia" w:ascii="宋体" w:hAnsi="宋体"/>
          <w:color w:val="auto"/>
          <w:sz w:val="24"/>
          <w:highlight w:val="none"/>
        </w:rPr>
        <w:t>（3）在税局登记的地址</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7AD26D3F">
      <w:pPr>
        <w:spacing w:line="440" w:lineRule="exact"/>
        <w:ind w:firstLine="360" w:firstLineChars="150"/>
        <w:rPr>
          <w:rFonts w:ascii="宋体" w:hAnsi="宋体"/>
          <w:color w:val="auto"/>
          <w:sz w:val="24"/>
          <w:highlight w:val="none"/>
        </w:rPr>
      </w:pPr>
      <w:r>
        <w:rPr>
          <w:rFonts w:hint="eastAsia" w:ascii="宋体" w:hAnsi="宋体"/>
          <w:color w:val="auto"/>
          <w:sz w:val="24"/>
          <w:highlight w:val="none"/>
        </w:rPr>
        <w:t>（4）在税局登记的电话</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75F168F8">
      <w:pPr>
        <w:spacing w:line="440" w:lineRule="exact"/>
        <w:ind w:firstLine="360" w:firstLineChars="150"/>
        <w:rPr>
          <w:rFonts w:ascii="宋体" w:hAnsi="宋体"/>
          <w:color w:val="auto"/>
          <w:sz w:val="24"/>
          <w:highlight w:val="none"/>
        </w:rPr>
      </w:pPr>
      <w:r>
        <w:rPr>
          <w:rFonts w:hint="eastAsia" w:ascii="宋体" w:hAnsi="宋体"/>
          <w:color w:val="auto"/>
          <w:sz w:val="24"/>
          <w:highlight w:val="none"/>
        </w:rPr>
        <w:t>（5）开户银行</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7C332F4E">
      <w:pPr>
        <w:spacing w:line="440" w:lineRule="exact"/>
        <w:ind w:firstLine="360" w:firstLineChars="150"/>
        <w:rPr>
          <w:rFonts w:ascii="宋体" w:hAnsi="宋体"/>
          <w:color w:val="auto"/>
          <w:sz w:val="24"/>
          <w:highlight w:val="none"/>
        </w:rPr>
      </w:pPr>
      <w:r>
        <w:rPr>
          <w:rFonts w:hint="eastAsia" w:ascii="宋体" w:hAnsi="宋体"/>
          <w:color w:val="auto"/>
          <w:sz w:val="24"/>
          <w:highlight w:val="none"/>
        </w:rPr>
        <w:t>（6）银行账户</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336EDC9F">
      <w:pPr>
        <w:spacing w:line="440" w:lineRule="exact"/>
        <w:rPr>
          <w:rFonts w:ascii="宋体" w:hAnsi="宋体"/>
          <w:color w:val="auto"/>
          <w:sz w:val="24"/>
          <w:highlight w:val="none"/>
        </w:rPr>
      </w:pPr>
    </w:p>
    <w:p w14:paraId="648748C5">
      <w:pPr>
        <w:spacing w:line="440" w:lineRule="exact"/>
        <w:rPr>
          <w:rFonts w:ascii="宋体" w:hAnsi="宋体"/>
          <w:color w:val="auto"/>
          <w:sz w:val="24"/>
          <w:highlight w:val="none"/>
        </w:rPr>
      </w:pPr>
    </w:p>
    <w:p w14:paraId="33A41D74">
      <w:pPr>
        <w:spacing w:line="440" w:lineRule="exact"/>
        <w:rPr>
          <w:rFonts w:ascii="宋体" w:hAnsi="宋体"/>
          <w:color w:val="auto"/>
          <w:sz w:val="24"/>
          <w:highlight w:val="none"/>
        </w:rPr>
      </w:pPr>
    </w:p>
    <w:p w14:paraId="6B7F35B2">
      <w:pPr>
        <w:snapToGrid w:val="0"/>
        <w:spacing w:line="360" w:lineRule="auto"/>
        <w:ind w:left="-2" w:leftChars="-1" w:right="-817" w:rightChars="-389" w:firstLine="1920" w:firstLineChars="800"/>
        <w:rPr>
          <w:rFonts w:ascii="宋体" w:hAnsi="宋体"/>
          <w:color w:val="auto"/>
          <w:sz w:val="24"/>
          <w:highlight w:val="none"/>
          <w:u w:val="single"/>
        </w:rPr>
      </w:pPr>
      <w:r>
        <w:rPr>
          <w:rFonts w:hint="eastAsia" w:ascii="宋体" w:hAnsi="宋体"/>
          <w:color w:val="auto"/>
          <w:sz w:val="24"/>
          <w:highlight w:val="none"/>
        </w:rPr>
        <w:t>法定代表人或者委托代理人（签字或者电子签名）：</w:t>
      </w:r>
      <w:r>
        <w:rPr>
          <w:rFonts w:hint="eastAsia" w:ascii="宋体" w:hAnsi="宋体"/>
          <w:color w:val="auto"/>
          <w:sz w:val="24"/>
          <w:highlight w:val="none"/>
          <w:u w:val="single"/>
        </w:rPr>
        <w:t xml:space="preserve">     </w:t>
      </w:r>
    </w:p>
    <w:p w14:paraId="0D5DAE76">
      <w:pPr>
        <w:snapToGrid w:val="0"/>
        <w:spacing w:line="360" w:lineRule="auto"/>
        <w:ind w:left="-3" w:leftChars="-15" w:right="-817" w:rightChars="-389" w:hanging="28" w:hangingChars="12"/>
        <w:rPr>
          <w:rFonts w:ascii="宋体" w:hAnsi="宋体"/>
          <w:color w:val="auto"/>
          <w:sz w:val="24"/>
          <w:highlight w:val="none"/>
          <w:u w:val="single"/>
        </w:rPr>
      </w:pPr>
      <w:r>
        <w:rPr>
          <w:rFonts w:hint="eastAsia" w:ascii="宋体" w:hAnsi="宋体"/>
          <w:color w:val="auto"/>
          <w:sz w:val="24"/>
          <w:highlight w:val="none"/>
        </w:rPr>
        <w:t xml:space="preserve">                                      供应商公章（电子签章）：</w:t>
      </w:r>
      <w:r>
        <w:rPr>
          <w:rFonts w:hint="eastAsia" w:ascii="宋体" w:hAnsi="宋体"/>
          <w:color w:val="auto"/>
          <w:sz w:val="24"/>
          <w:highlight w:val="none"/>
          <w:u w:val="single"/>
        </w:rPr>
        <w:t xml:space="preserve">     </w:t>
      </w:r>
    </w:p>
    <w:p w14:paraId="5496324E">
      <w:pPr>
        <w:snapToGrid w:val="0"/>
        <w:spacing w:line="360" w:lineRule="auto"/>
        <w:ind w:right="480" w:firstLine="240" w:firstLineChars="100"/>
        <w:jc w:val="left"/>
        <w:rPr>
          <w:rFonts w:ascii="宋体" w:hAnsi="宋体"/>
          <w:color w:val="auto"/>
          <w:szCs w:val="21"/>
          <w:highlight w:val="none"/>
        </w:rPr>
      </w:pPr>
      <w:r>
        <w:rPr>
          <w:rFonts w:hint="eastAsia" w:ascii="宋体" w:hAnsi="宋体"/>
          <w:color w:val="auto"/>
          <w:sz w:val="24"/>
          <w:highlight w:val="none"/>
        </w:rPr>
        <w:t xml:space="preserve">                                    日期：</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年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月 </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097645DC">
      <w:pPr>
        <w:snapToGrid w:val="0"/>
        <w:spacing w:before="120" w:beforeLines="50"/>
        <w:rPr>
          <w:rFonts w:ascii="宋体" w:hAnsi="宋体"/>
          <w:color w:val="auto"/>
          <w:sz w:val="24"/>
          <w:szCs w:val="20"/>
          <w:highlight w:val="none"/>
        </w:rPr>
        <w:sectPr>
          <w:pgSz w:w="11906" w:h="16838"/>
          <w:pgMar w:top="1440" w:right="1797" w:bottom="1440" w:left="1797" w:header="851" w:footer="992" w:gutter="0"/>
          <w:cols w:space="720" w:num="1"/>
          <w:docGrid w:linePitch="312" w:charSpace="0"/>
        </w:sectPr>
      </w:pPr>
    </w:p>
    <w:p w14:paraId="726B5319">
      <w:pPr>
        <w:snapToGrid w:val="0"/>
        <w:spacing w:before="120" w:beforeLines="50" w:after="50"/>
        <w:jc w:val="left"/>
        <w:outlineLvl w:val="2"/>
        <w:rPr>
          <w:rFonts w:ascii="宋体" w:hAnsi="宋体"/>
          <w:b/>
          <w:color w:val="auto"/>
          <w:sz w:val="24"/>
          <w:highlight w:val="none"/>
        </w:rPr>
      </w:pPr>
      <w:r>
        <w:rPr>
          <w:rFonts w:hint="eastAsia" w:ascii="宋体" w:hAnsi="宋体"/>
          <w:b/>
          <w:color w:val="auto"/>
          <w:sz w:val="24"/>
          <w:highlight w:val="none"/>
        </w:rPr>
        <w:t>10.投标人业绩证明材料</w:t>
      </w:r>
    </w:p>
    <w:p w14:paraId="71DF7594">
      <w:pPr>
        <w:pStyle w:val="34"/>
        <w:snapToGrid w:val="0"/>
        <w:ind w:left="480" w:hanging="480"/>
        <w:rPr>
          <w:rFonts w:ascii="宋体" w:hAnsi="宋体"/>
          <w:color w:val="auto"/>
          <w:sz w:val="24"/>
          <w:highlight w:val="none"/>
        </w:rPr>
      </w:pPr>
    </w:p>
    <w:p w14:paraId="3D326BC7">
      <w:pPr>
        <w:pStyle w:val="34"/>
        <w:snapToGrid w:val="0"/>
        <w:ind w:left="480" w:hanging="480"/>
        <w:rPr>
          <w:rFonts w:ascii="宋体" w:hAnsi="宋体"/>
          <w:color w:val="auto"/>
          <w:sz w:val="24"/>
          <w:highlight w:val="none"/>
        </w:rPr>
      </w:pPr>
      <w:r>
        <w:rPr>
          <w:rFonts w:hint="eastAsia" w:ascii="宋体" w:hAnsi="宋体"/>
          <w:color w:val="auto"/>
          <w:sz w:val="24"/>
          <w:highlight w:val="none"/>
        </w:rPr>
        <w:t xml:space="preserve">投标人业绩情况一览表格式： </w:t>
      </w:r>
    </w:p>
    <w:tbl>
      <w:tblPr>
        <w:tblStyle w:val="47"/>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35"/>
        <w:gridCol w:w="1856"/>
        <w:gridCol w:w="1856"/>
        <w:gridCol w:w="2994"/>
      </w:tblGrid>
      <w:tr w14:paraId="214B04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1250" w:type="pct"/>
            <w:vMerge w:val="restart"/>
            <w:tcBorders>
              <w:top w:val="single" w:color="auto" w:sz="4" w:space="0"/>
              <w:left w:val="single" w:color="auto" w:sz="4" w:space="0"/>
              <w:bottom w:val="single" w:color="auto" w:sz="4" w:space="0"/>
              <w:right w:val="single" w:color="auto" w:sz="4" w:space="0"/>
            </w:tcBorders>
            <w:vAlign w:val="center"/>
          </w:tcPr>
          <w:p w14:paraId="3108A13C">
            <w:pPr>
              <w:snapToGrid w:val="0"/>
              <w:spacing w:line="240" w:lineRule="exact"/>
              <w:jc w:val="center"/>
              <w:rPr>
                <w:rFonts w:ascii="宋体" w:hAnsi="宋体"/>
                <w:color w:val="auto"/>
                <w:sz w:val="24"/>
                <w:highlight w:val="none"/>
              </w:rPr>
            </w:pPr>
            <w:r>
              <w:rPr>
                <w:rFonts w:hint="eastAsia" w:ascii="宋体" w:hAnsi="宋体"/>
                <w:color w:val="auto"/>
                <w:sz w:val="24"/>
                <w:highlight w:val="none"/>
              </w:rPr>
              <w:t>采购人名称</w:t>
            </w:r>
          </w:p>
        </w:tc>
        <w:tc>
          <w:tcPr>
            <w:tcW w:w="1038" w:type="pct"/>
            <w:vMerge w:val="restart"/>
            <w:tcBorders>
              <w:top w:val="single" w:color="auto" w:sz="4" w:space="0"/>
              <w:left w:val="single" w:color="auto" w:sz="4" w:space="0"/>
              <w:bottom w:val="single" w:color="auto" w:sz="4" w:space="0"/>
              <w:right w:val="single" w:color="auto" w:sz="4" w:space="0"/>
            </w:tcBorders>
            <w:vAlign w:val="center"/>
          </w:tcPr>
          <w:p w14:paraId="446873A2">
            <w:pPr>
              <w:snapToGrid w:val="0"/>
              <w:spacing w:line="240" w:lineRule="exact"/>
              <w:jc w:val="center"/>
              <w:rPr>
                <w:rFonts w:ascii="宋体" w:hAnsi="宋体"/>
                <w:color w:val="auto"/>
                <w:sz w:val="24"/>
                <w:highlight w:val="none"/>
              </w:rPr>
            </w:pPr>
            <w:r>
              <w:rPr>
                <w:rFonts w:hint="eastAsia" w:ascii="宋体" w:hAnsi="宋体"/>
                <w:color w:val="auto"/>
                <w:sz w:val="24"/>
                <w:highlight w:val="none"/>
              </w:rPr>
              <w:t>项目名称</w:t>
            </w:r>
          </w:p>
        </w:tc>
        <w:tc>
          <w:tcPr>
            <w:tcW w:w="1038" w:type="pct"/>
            <w:vMerge w:val="restart"/>
            <w:tcBorders>
              <w:top w:val="single" w:color="auto" w:sz="4" w:space="0"/>
              <w:left w:val="single" w:color="auto" w:sz="4" w:space="0"/>
              <w:bottom w:val="single" w:color="auto" w:sz="4" w:space="0"/>
              <w:right w:val="single" w:color="auto" w:sz="4" w:space="0"/>
            </w:tcBorders>
            <w:vAlign w:val="center"/>
          </w:tcPr>
          <w:p w14:paraId="03F13E49">
            <w:pPr>
              <w:snapToGrid w:val="0"/>
              <w:spacing w:line="240" w:lineRule="exact"/>
              <w:jc w:val="center"/>
              <w:rPr>
                <w:rFonts w:ascii="宋体" w:hAnsi="宋体"/>
                <w:color w:val="auto"/>
                <w:sz w:val="24"/>
                <w:highlight w:val="none"/>
              </w:rPr>
            </w:pPr>
            <w:r>
              <w:rPr>
                <w:rFonts w:hint="eastAsia" w:ascii="宋体" w:hAnsi="宋体"/>
                <w:color w:val="auto"/>
                <w:sz w:val="24"/>
                <w:highlight w:val="none"/>
              </w:rPr>
              <w:t>合同金额</w:t>
            </w:r>
          </w:p>
          <w:p w14:paraId="3C9BD6FB">
            <w:pPr>
              <w:snapToGrid w:val="0"/>
              <w:spacing w:line="240" w:lineRule="exact"/>
              <w:jc w:val="center"/>
              <w:rPr>
                <w:rFonts w:ascii="宋体" w:hAnsi="宋体"/>
                <w:color w:val="auto"/>
                <w:sz w:val="24"/>
                <w:highlight w:val="none"/>
              </w:rPr>
            </w:pPr>
            <w:r>
              <w:rPr>
                <w:rFonts w:hint="eastAsia" w:ascii="宋体" w:hAnsi="宋体"/>
                <w:color w:val="auto"/>
                <w:sz w:val="24"/>
                <w:highlight w:val="none"/>
              </w:rPr>
              <w:t>（万元）</w:t>
            </w:r>
          </w:p>
        </w:tc>
        <w:tc>
          <w:tcPr>
            <w:tcW w:w="1674" w:type="pct"/>
            <w:vMerge w:val="restart"/>
            <w:tcBorders>
              <w:top w:val="single" w:color="auto" w:sz="4" w:space="0"/>
              <w:left w:val="single" w:color="auto" w:sz="4" w:space="0"/>
              <w:bottom w:val="single" w:color="auto" w:sz="4" w:space="0"/>
              <w:right w:val="single" w:color="auto" w:sz="4" w:space="0"/>
            </w:tcBorders>
            <w:vAlign w:val="center"/>
          </w:tcPr>
          <w:p w14:paraId="1592862D">
            <w:pPr>
              <w:snapToGrid w:val="0"/>
              <w:spacing w:line="240" w:lineRule="exact"/>
              <w:jc w:val="center"/>
              <w:rPr>
                <w:rFonts w:ascii="宋体" w:hAnsi="宋体"/>
                <w:color w:val="auto"/>
                <w:sz w:val="24"/>
                <w:highlight w:val="none"/>
              </w:rPr>
            </w:pPr>
            <w:r>
              <w:rPr>
                <w:rFonts w:hint="eastAsia" w:ascii="宋体" w:hAnsi="宋体"/>
                <w:color w:val="auto"/>
                <w:sz w:val="24"/>
                <w:highlight w:val="none"/>
              </w:rPr>
              <w:t>采购人联系人及</w:t>
            </w:r>
          </w:p>
          <w:p w14:paraId="6B8D0009">
            <w:pPr>
              <w:snapToGrid w:val="0"/>
              <w:spacing w:line="240" w:lineRule="exact"/>
              <w:jc w:val="center"/>
              <w:rPr>
                <w:rFonts w:ascii="宋体" w:hAnsi="宋体"/>
                <w:color w:val="auto"/>
                <w:sz w:val="24"/>
                <w:highlight w:val="none"/>
              </w:rPr>
            </w:pPr>
            <w:r>
              <w:rPr>
                <w:rFonts w:hint="eastAsia" w:ascii="宋体" w:hAnsi="宋体"/>
                <w:color w:val="auto"/>
                <w:sz w:val="24"/>
                <w:highlight w:val="none"/>
              </w:rPr>
              <w:t>联系电话</w:t>
            </w:r>
          </w:p>
        </w:tc>
      </w:tr>
      <w:tr w14:paraId="5C5816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1250" w:type="pct"/>
            <w:vMerge w:val="continue"/>
            <w:tcBorders>
              <w:top w:val="single" w:color="auto" w:sz="4" w:space="0"/>
              <w:left w:val="single" w:color="auto" w:sz="4" w:space="0"/>
              <w:bottom w:val="single" w:color="auto" w:sz="4" w:space="0"/>
              <w:right w:val="single" w:color="auto" w:sz="4" w:space="0"/>
            </w:tcBorders>
            <w:vAlign w:val="center"/>
          </w:tcPr>
          <w:p w14:paraId="13A472DD">
            <w:pPr>
              <w:jc w:val="left"/>
              <w:rPr>
                <w:rFonts w:ascii="宋体" w:hAnsi="宋体"/>
                <w:color w:val="auto"/>
                <w:sz w:val="24"/>
                <w:highlight w:val="none"/>
              </w:rPr>
            </w:pPr>
          </w:p>
        </w:tc>
        <w:tc>
          <w:tcPr>
            <w:tcW w:w="1038" w:type="pct"/>
            <w:vMerge w:val="continue"/>
            <w:tcBorders>
              <w:top w:val="single" w:color="auto" w:sz="4" w:space="0"/>
              <w:left w:val="single" w:color="auto" w:sz="4" w:space="0"/>
              <w:bottom w:val="single" w:color="auto" w:sz="4" w:space="0"/>
              <w:right w:val="single" w:color="auto" w:sz="4" w:space="0"/>
            </w:tcBorders>
            <w:vAlign w:val="center"/>
          </w:tcPr>
          <w:p w14:paraId="18A87686">
            <w:pPr>
              <w:jc w:val="left"/>
              <w:rPr>
                <w:rFonts w:ascii="宋体" w:hAnsi="宋体"/>
                <w:color w:val="auto"/>
                <w:sz w:val="24"/>
                <w:highlight w:val="none"/>
              </w:rPr>
            </w:pPr>
          </w:p>
        </w:tc>
        <w:tc>
          <w:tcPr>
            <w:tcW w:w="1038" w:type="pct"/>
            <w:vMerge w:val="continue"/>
            <w:tcBorders>
              <w:top w:val="single" w:color="auto" w:sz="4" w:space="0"/>
              <w:left w:val="single" w:color="auto" w:sz="4" w:space="0"/>
              <w:bottom w:val="single" w:color="auto" w:sz="4" w:space="0"/>
              <w:right w:val="single" w:color="auto" w:sz="4" w:space="0"/>
            </w:tcBorders>
            <w:vAlign w:val="center"/>
          </w:tcPr>
          <w:p w14:paraId="239D76EA">
            <w:pPr>
              <w:jc w:val="left"/>
              <w:rPr>
                <w:rFonts w:ascii="宋体" w:hAnsi="宋体"/>
                <w:color w:val="auto"/>
                <w:sz w:val="24"/>
                <w:highlight w:val="none"/>
              </w:rPr>
            </w:pPr>
          </w:p>
        </w:tc>
        <w:tc>
          <w:tcPr>
            <w:tcW w:w="1674" w:type="pct"/>
            <w:vMerge w:val="continue"/>
            <w:tcBorders>
              <w:top w:val="single" w:color="auto" w:sz="4" w:space="0"/>
              <w:left w:val="single" w:color="auto" w:sz="4" w:space="0"/>
              <w:bottom w:val="single" w:color="auto" w:sz="4" w:space="0"/>
              <w:right w:val="single" w:color="auto" w:sz="4" w:space="0"/>
            </w:tcBorders>
            <w:vAlign w:val="center"/>
          </w:tcPr>
          <w:p w14:paraId="423AEF8B">
            <w:pPr>
              <w:jc w:val="left"/>
              <w:rPr>
                <w:rFonts w:ascii="宋体" w:hAnsi="宋体"/>
                <w:color w:val="auto"/>
                <w:sz w:val="24"/>
                <w:highlight w:val="none"/>
              </w:rPr>
            </w:pPr>
          </w:p>
        </w:tc>
      </w:tr>
      <w:tr w14:paraId="540BE3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250" w:type="pct"/>
            <w:tcBorders>
              <w:top w:val="single" w:color="auto" w:sz="4" w:space="0"/>
              <w:left w:val="single" w:color="auto" w:sz="4" w:space="0"/>
              <w:bottom w:val="single" w:color="auto" w:sz="4" w:space="0"/>
              <w:right w:val="single" w:color="auto" w:sz="4" w:space="0"/>
            </w:tcBorders>
          </w:tcPr>
          <w:p w14:paraId="3CAB6B9B">
            <w:pPr>
              <w:snapToGrid w:val="0"/>
              <w:spacing w:line="240" w:lineRule="exact"/>
              <w:jc w:val="left"/>
              <w:rPr>
                <w:rFonts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5737D5E4">
            <w:pPr>
              <w:snapToGrid w:val="0"/>
              <w:spacing w:line="240" w:lineRule="exact"/>
              <w:jc w:val="left"/>
              <w:rPr>
                <w:rFonts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3630A7EB">
            <w:pPr>
              <w:snapToGrid w:val="0"/>
              <w:spacing w:line="240" w:lineRule="exact"/>
              <w:jc w:val="left"/>
              <w:rPr>
                <w:rFonts w:ascii="宋体" w:hAnsi="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tcPr>
          <w:p w14:paraId="44231FA8">
            <w:pPr>
              <w:snapToGrid w:val="0"/>
              <w:spacing w:line="240" w:lineRule="exact"/>
              <w:jc w:val="left"/>
              <w:rPr>
                <w:rFonts w:ascii="宋体" w:hAnsi="宋体"/>
                <w:color w:val="auto"/>
                <w:sz w:val="24"/>
                <w:highlight w:val="none"/>
              </w:rPr>
            </w:pPr>
          </w:p>
        </w:tc>
      </w:tr>
      <w:tr w14:paraId="75BE29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tcPr>
          <w:p w14:paraId="32DD93A6">
            <w:pPr>
              <w:snapToGrid w:val="0"/>
              <w:spacing w:before="50" w:after="120" w:afterLines="50" w:line="400" w:lineRule="exact"/>
              <w:jc w:val="left"/>
              <w:rPr>
                <w:rFonts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105B1E7F">
            <w:pPr>
              <w:snapToGrid w:val="0"/>
              <w:spacing w:before="50" w:after="120" w:afterLines="50" w:line="400" w:lineRule="exact"/>
              <w:jc w:val="left"/>
              <w:rPr>
                <w:rFonts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087F300E">
            <w:pPr>
              <w:snapToGrid w:val="0"/>
              <w:spacing w:before="50" w:after="120" w:afterLines="50" w:line="400" w:lineRule="exact"/>
              <w:jc w:val="left"/>
              <w:rPr>
                <w:rFonts w:ascii="宋体" w:hAnsi="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tcPr>
          <w:p w14:paraId="29A250D8">
            <w:pPr>
              <w:snapToGrid w:val="0"/>
              <w:spacing w:before="50" w:after="120" w:afterLines="50" w:line="400" w:lineRule="exact"/>
              <w:jc w:val="left"/>
              <w:rPr>
                <w:rFonts w:ascii="宋体" w:hAnsi="宋体"/>
                <w:color w:val="auto"/>
                <w:sz w:val="24"/>
                <w:highlight w:val="none"/>
              </w:rPr>
            </w:pPr>
          </w:p>
        </w:tc>
      </w:tr>
      <w:tr w14:paraId="13EC02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1250" w:type="pct"/>
            <w:tcBorders>
              <w:top w:val="single" w:color="auto" w:sz="4" w:space="0"/>
              <w:left w:val="single" w:color="auto" w:sz="4" w:space="0"/>
              <w:bottom w:val="single" w:color="auto" w:sz="4" w:space="0"/>
              <w:right w:val="single" w:color="auto" w:sz="4" w:space="0"/>
            </w:tcBorders>
          </w:tcPr>
          <w:p w14:paraId="069F1620">
            <w:pPr>
              <w:snapToGrid w:val="0"/>
              <w:spacing w:before="50" w:after="120" w:afterLines="50" w:line="400" w:lineRule="exact"/>
              <w:jc w:val="left"/>
              <w:rPr>
                <w:rFonts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5B954951">
            <w:pPr>
              <w:snapToGrid w:val="0"/>
              <w:spacing w:before="50" w:after="120" w:afterLines="50" w:line="400" w:lineRule="exact"/>
              <w:jc w:val="left"/>
              <w:rPr>
                <w:rFonts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31B88070">
            <w:pPr>
              <w:snapToGrid w:val="0"/>
              <w:spacing w:before="50" w:after="120" w:afterLines="50" w:line="400" w:lineRule="exact"/>
              <w:jc w:val="left"/>
              <w:rPr>
                <w:rFonts w:ascii="宋体" w:hAnsi="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tcPr>
          <w:p w14:paraId="5B044AD5">
            <w:pPr>
              <w:snapToGrid w:val="0"/>
              <w:spacing w:before="50" w:after="120" w:afterLines="50" w:line="400" w:lineRule="exact"/>
              <w:jc w:val="left"/>
              <w:rPr>
                <w:rFonts w:ascii="宋体" w:hAnsi="宋体"/>
                <w:color w:val="auto"/>
                <w:sz w:val="24"/>
                <w:highlight w:val="none"/>
              </w:rPr>
            </w:pPr>
          </w:p>
        </w:tc>
      </w:tr>
      <w:tr w14:paraId="2CC96F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tcPr>
          <w:p w14:paraId="3DACF7CD">
            <w:pPr>
              <w:snapToGrid w:val="0"/>
              <w:spacing w:before="50" w:after="120" w:afterLines="50" w:line="400" w:lineRule="exact"/>
              <w:jc w:val="left"/>
              <w:rPr>
                <w:rFonts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17B41C0A">
            <w:pPr>
              <w:snapToGrid w:val="0"/>
              <w:spacing w:before="50" w:after="120" w:afterLines="50" w:line="400" w:lineRule="exact"/>
              <w:jc w:val="left"/>
              <w:rPr>
                <w:rFonts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29C0AD29">
            <w:pPr>
              <w:snapToGrid w:val="0"/>
              <w:spacing w:before="50" w:after="120" w:afterLines="50" w:line="400" w:lineRule="exact"/>
              <w:jc w:val="left"/>
              <w:rPr>
                <w:rFonts w:ascii="宋体" w:hAnsi="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tcPr>
          <w:p w14:paraId="0997E1B8">
            <w:pPr>
              <w:snapToGrid w:val="0"/>
              <w:spacing w:before="50" w:after="120" w:afterLines="50" w:line="400" w:lineRule="exact"/>
              <w:jc w:val="left"/>
              <w:rPr>
                <w:rFonts w:ascii="宋体" w:hAnsi="宋体"/>
                <w:color w:val="auto"/>
                <w:sz w:val="24"/>
                <w:highlight w:val="none"/>
              </w:rPr>
            </w:pPr>
          </w:p>
        </w:tc>
      </w:tr>
      <w:tr w14:paraId="60A666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tcPr>
          <w:p w14:paraId="7535A90B">
            <w:pPr>
              <w:snapToGrid w:val="0"/>
              <w:spacing w:before="50" w:after="120" w:afterLines="50" w:line="400" w:lineRule="exact"/>
              <w:jc w:val="left"/>
              <w:rPr>
                <w:rFonts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7D414DE0">
            <w:pPr>
              <w:snapToGrid w:val="0"/>
              <w:spacing w:before="50" w:after="120" w:afterLines="50" w:line="400" w:lineRule="exact"/>
              <w:jc w:val="left"/>
              <w:rPr>
                <w:rFonts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281A59BE">
            <w:pPr>
              <w:snapToGrid w:val="0"/>
              <w:spacing w:before="50" w:after="120" w:afterLines="50" w:line="400" w:lineRule="exact"/>
              <w:jc w:val="left"/>
              <w:rPr>
                <w:rFonts w:ascii="宋体" w:hAnsi="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tcPr>
          <w:p w14:paraId="057EB933">
            <w:pPr>
              <w:snapToGrid w:val="0"/>
              <w:spacing w:before="50" w:after="120" w:afterLines="50" w:line="400" w:lineRule="exact"/>
              <w:jc w:val="left"/>
              <w:rPr>
                <w:rFonts w:ascii="宋体" w:hAnsi="宋体"/>
                <w:color w:val="auto"/>
                <w:sz w:val="24"/>
                <w:highlight w:val="none"/>
              </w:rPr>
            </w:pPr>
          </w:p>
        </w:tc>
      </w:tr>
    </w:tbl>
    <w:p w14:paraId="7F33E8E5">
      <w:pPr>
        <w:pStyle w:val="14"/>
        <w:spacing w:before="0" w:after="0" w:line="360" w:lineRule="auto"/>
        <w:contextualSpacing/>
        <w:rPr>
          <w:rFonts w:ascii="宋体" w:hAnsi="宋体" w:eastAsia="宋体"/>
          <w:color w:val="auto"/>
          <w:sz w:val="24"/>
          <w:szCs w:val="24"/>
          <w:highlight w:val="none"/>
        </w:rPr>
      </w:pPr>
    </w:p>
    <w:p w14:paraId="761F6501">
      <w:pPr>
        <w:pStyle w:val="14"/>
        <w:spacing w:before="0" w:after="0" w:line="360" w:lineRule="auto"/>
        <w:contextualSpacing/>
        <w:rPr>
          <w:rFonts w:ascii="宋体" w:hAnsi="宋体" w:eastAsia="宋体"/>
          <w:color w:val="auto"/>
          <w:sz w:val="24"/>
          <w:szCs w:val="24"/>
          <w:highlight w:val="none"/>
        </w:rPr>
      </w:pPr>
      <w:r>
        <w:rPr>
          <w:rFonts w:hint="eastAsia" w:ascii="宋体" w:hAnsi="宋体" w:eastAsia="宋体"/>
          <w:color w:val="auto"/>
          <w:sz w:val="24"/>
          <w:szCs w:val="24"/>
          <w:highlight w:val="none"/>
        </w:rPr>
        <w:t>注：</w:t>
      </w:r>
      <w:r>
        <w:rPr>
          <w:rFonts w:hint="eastAsia" w:ascii="宋体" w:hAnsi="宋体"/>
          <w:color w:val="auto"/>
          <w:sz w:val="24"/>
          <w:highlight w:val="none"/>
        </w:rPr>
        <w:t>投标人根据评标标准具体要求附业绩证明材料。</w:t>
      </w:r>
    </w:p>
    <w:p w14:paraId="79AC9A2D">
      <w:pPr>
        <w:pStyle w:val="14"/>
        <w:spacing w:before="0" w:after="0" w:line="360" w:lineRule="auto"/>
        <w:contextualSpacing/>
        <w:jc w:val="left"/>
        <w:rPr>
          <w:rFonts w:ascii="宋体" w:hAnsi="宋体" w:eastAsia="宋体"/>
          <w:color w:val="auto"/>
          <w:sz w:val="24"/>
          <w:szCs w:val="24"/>
          <w:highlight w:val="none"/>
          <w:u w:val="single"/>
        </w:rPr>
      </w:pPr>
      <w:r>
        <w:rPr>
          <w:rFonts w:hint="eastAsia" w:ascii="宋体" w:hAnsi="宋体" w:eastAsia="宋体"/>
          <w:color w:val="auto"/>
          <w:sz w:val="24"/>
          <w:szCs w:val="24"/>
          <w:highlight w:val="none"/>
        </w:rPr>
        <w:t>法定代表人或者委托代理人（签字或者电子签名）：</w:t>
      </w:r>
      <w:r>
        <w:rPr>
          <w:rFonts w:hint="eastAsia" w:ascii="宋体" w:hAnsi="宋体" w:eastAsia="宋体"/>
          <w:color w:val="auto"/>
          <w:sz w:val="24"/>
          <w:szCs w:val="24"/>
          <w:highlight w:val="none"/>
          <w:u w:val="single"/>
        </w:rPr>
        <w:t>　　　　　</w:t>
      </w:r>
    </w:p>
    <w:p w14:paraId="706FF938">
      <w:pPr>
        <w:spacing w:line="360" w:lineRule="auto"/>
        <w:ind w:left="5280" w:right="480" w:hanging="5280" w:hangingChars="2200"/>
        <w:contextualSpacing/>
        <w:jc w:val="left"/>
        <w:rPr>
          <w:rFonts w:ascii="宋体" w:hAnsi="宋体"/>
          <w:color w:val="auto"/>
          <w:sz w:val="24"/>
          <w:highlight w:val="none"/>
        </w:rPr>
      </w:pPr>
      <w:r>
        <w:rPr>
          <w:rFonts w:hint="eastAsia" w:ascii="宋体" w:hAnsi="宋体" w:cs="Arial"/>
          <w:color w:val="auto"/>
          <w:sz w:val="24"/>
          <w:highlight w:val="none"/>
        </w:rPr>
        <w:t xml:space="preserve">投标人名称（电子签章）：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14:paraId="7E9F7F3F">
      <w:pPr>
        <w:spacing w:line="360" w:lineRule="auto"/>
        <w:ind w:left="5280" w:right="480" w:hanging="5280" w:hangingChars="2200"/>
        <w:contextualSpacing/>
        <w:jc w:val="right"/>
        <w:rPr>
          <w:rFonts w:ascii="宋体" w:hAnsi="宋体"/>
          <w:color w:val="auto"/>
          <w:sz w:val="24"/>
          <w:szCs w:val="20"/>
          <w:highlight w:val="none"/>
        </w:rPr>
      </w:pPr>
      <w:r>
        <w:rPr>
          <w:rFonts w:hint="eastAsia" w:ascii="宋体" w:hAnsi="宋体"/>
          <w:color w:val="auto"/>
          <w:sz w:val="24"/>
          <w:highlight w:val="none"/>
        </w:rPr>
        <w:t xml:space="preserve">   年    月    日</w:t>
      </w:r>
    </w:p>
    <w:p w14:paraId="0D16E76F">
      <w:pPr>
        <w:rPr>
          <w:rFonts w:ascii="宋体" w:hAnsi="宋体"/>
          <w:b/>
          <w:color w:val="auto"/>
          <w:sz w:val="24"/>
          <w:highlight w:val="none"/>
        </w:rPr>
      </w:pPr>
      <w:r>
        <w:rPr>
          <w:rFonts w:ascii="宋体" w:hAnsi="宋体"/>
          <w:b/>
          <w:color w:val="auto"/>
          <w:sz w:val="24"/>
          <w:highlight w:val="none"/>
        </w:rPr>
        <w:br w:type="page"/>
      </w:r>
    </w:p>
    <w:p w14:paraId="49998292">
      <w:pPr>
        <w:snapToGrid w:val="0"/>
        <w:spacing w:before="120" w:beforeLines="50" w:after="50"/>
        <w:jc w:val="left"/>
        <w:outlineLvl w:val="2"/>
        <w:rPr>
          <w:rFonts w:ascii="宋体" w:hAnsi="宋体" w:cs="宋体"/>
          <w:b/>
          <w:color w:val="auto"/>
          <w:sz w:val="44"/>
          <w:szCs w:val="44"/>
          <w:highlight w:val="none"/>
        </w:rPr>
      </w:pPr>
      <w:r>
        <w:rPr>
          <w:rFonts w:hint="eastAsia" w:ascii="宋体" w:hAnsi="宋体"/>
          <w:b/>
          <w:color w:val="auto"/>
          <w:sz w:val="24"/>
          <w:highlight w:val="none"/>
        </w:rPr>
        <w:t>11.分包工作情况表</w:t>
      </w:r>
    </w:p>
    <w:p w14:paraId="21141812">
      <w:pPr>
        <w:adjustRightInd w:val="0"/>
        <w:snapToGrid w:val="0"/>
        <w:spacing w:line="300" w:lineRule="auto"/>
        <w:jc w:val="center"/>
        <w:rPr>
          <w:rFonts w:ascii="宋体" w:hAnsi="宋体" w:cs="宋体"/>
          <w:b/>
          <w:color w:val="auto"/>
          <w:sz w:val="44"/>
          <w:szCs w:val="44"/>
          <w:highlight w:val="none"/>
        </w:rPr>
      </w:pPr>
      <w:r>
        <w:rPr>
          <w:rFonts w:hint="eastAsia" w:ascii="宋体" w:hAnsi="宋体" w:cs="宋体"/>
          <w:b/>
          <w:color w:val="auto"/>
          <w:sz w:val="44"/>
          <w:szCs w:val="44"/>
          <w:highlight w:val="none"/>
        </w:rPr>
        <w:t>分包工作情况表</w:t>
      </w:r>
    </w:p>
    <w:tbl>
      <w:tblPr>
        <w:tblStyle w:val="47"/>
        <w:tblW w:w="9439" w:type="dxa"/>
        <w:tblInd w:w="0" w:type="dxa"/>
        <w:tblLayout w:type="fixed"/>
        <w:tblCellMar>
          <w:top w:w="0" w:type="dxa"/>
          <w:left w:w="0" w:type="dxa"/>
          <w:bottom w:w="0" w:type="dxa"/>
          <w:right w:w="0" w:type="dxa"/>
        </w:tblCellMar>
      </w:tblPr>
      <w:tblGrid>
        <w:gridCol w:w="3424"/>
        <w:gridCol w:w="1560"/>
        <w:gridCol w:w="1995"/>
        <w:gridCol w:w="2460"/>
      </w:tblGrid>
      <w:tr w14:paraId="2A4F5FE5">
        <w:tblPrEx>
          <w:tblCellMar>
            <w:top w:w="0" w:type="dxa"/>
            <w:left w:w="0" w:type="dxa"/>
            <w:bottom w:w="0" w:type="dxa"/>
            <w:right w:w="0" w:type="dxa"/>
          </w:tblCellMar>
        </w:tblPrEx>
        <w:trPr>
          <w:trHeight w:val="410" w:hRule="atLeast"/>
        </w:trPr>
        <w:tc>
          <w:tcPr>
            <w:tcW w:w="3424" w:type="dxa"/>
            <w:tcBorders>
              <w:top w:val="single" w:color="auto" w:sz="12" w:space="0"/>
              <w:left w:val="single" w:color="auto" w:sz="12" w:space="0"/>
              <w:bottom w:val="single" w:color="auto" w:sz="8" w:space="0"/>
              <w:right w:val="single" w:color="auto" w:sz="8" w:space="0"/>
            </w:tcBorders>
            <w:vAlign w:val="center"/>
          </w:tcPr>
          <w:p w14:paraId="3CD60D5D">
            <w:pPr>
              <w:pStyle w:val="151"/>
              <w:autoSpaceDE w:val="0"/>
              <w:autoSpaceDN w:val="0"/>
              <w:spacing w:line="52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分包单位名称</w:t>
            </w:r>
          </w:p>
        </w:tc>
        <w:tc>
          <w:tcPr>
            <w:tcW w:w="1560" w:type="dxa"/>
            <w:tcBorders>
              <w:top w:val="single" w:color="auto" w:sz="12" w:space="0"/>
              <w:left w:val="single" w:color="auto" w:sz="8" w:space="0"/>
              <w:bottom w:val="single" w:color="auto" w:sz="8" w:space="0"/>
              <w:right w:val="single" w:color="auto" w:sz="8" w:space="0"/>
            </w:tcBorders>
            <w:vAlign w:val="center"/>
          </w:tcPr>
          <w:p w14:paraId="69AC2DBF">
            <w:pPr>
              <w:pStyle w:val="151"/>
              <w:autoSpaceDE w:val="0"/>
              <w:autoSpaceDN w:val="0"/>
              <w:spacing w:line="520" w:lineRule="exact"/>
              <w:jc w:val="center"/>
              <w:rPr>
                <w:rFonts w:ascii="宋体" w:hAnsi="宋体"/>
                <w:color w:val="auto"/>
                <w:kern w:val="0"/>
                <w:sz w:val="24"/>
                <w:szCs w:val="24"/>
                <w:highlight w:val="none"/>
              </w:rPr>
            </w:pPr>
          </w:p>
        </w:tc>
        <w:tc>
          <w:tcPr>
            <w:tcW w:w="1995" w:type="dxa"/>
            <w:tcBorders>
              <w:top w:val="single" w:color="auto" w:sz="12" w:space="0"/>
              <w:left w:val="single" w:color="auto" w:sz="8" w:space="0"/>
              <w:bottom w:val="single" w:color="auto" w:sz="8" w:space="0"/>
              <w:right w:val="single" w:color="auto" w:sz="8" w:space="0"/>
            </w:tcBorders>
            <w:vAlign w:val="center"/>
          </w:tcPr>
          <w:p w14:paraId="3E93A395">
            <w:pPr>
              <w:pStyle w:val="151"/>
              <w:autoSpaceDE w:val="0"/>
              <w:autoSpaceDN w:val="0"/>
              <w:spacing w:line="52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地址</w:t>
            </w:r>
          </w:p>
        </w:tc>
        <w:tc>
          <w:tcPr>
            <w:tcW w:w="2460" w:type="dxa"/>
            <w:tcBorders>
              <w:top w:val="single" w:color="auto" w:sz="12" w:space="0"/>
              <w:left w:val="single" w:color="auto" w:sz="8" w:space="0"/>
              <w:bottom w:val="single" w:color="auto" w:sz="8" w:space="0"/>
              <w:right w:val="single" w:color="auto" w:sz="12" w:space="0"/>
            </w:tcBorders>
          </w:tcPr>
          <w:p w14:paraId="266CB439">
            <w:pPr>
              <w:pStyle w:val="151"/>
              <w:autoSpaceDE w:val="0"/>
              <w:autoSpaceDN w:val="0"/>
              <w:spacing w:line="520" w:lineRule="exact"/>
              <w:rPr>
                <w:rFonts w:ascii="宋体" w:hAnsi="宋体"/>
                <w:color w:val="auto"/>
                <w:kern w:val="0"/>
                <w:sz w:val="24"/>
                <w:szCs w:val="24"/>
                <w:highlight w:val="none"/>
              </w:rPr>
            </w:pPr>
          </w:p>
        </w:tc>
      </w:tr>
      <w:tr w14:paraId="41F09C86">
        <w:tblPrEx>
          <w:tblCellMar>
            <w:top w:w="0" w:type="dxa"/>
            <w:left w:w="0" w:type="dxa"/>
            <w:bottom w:w="0" w:type="dxa"/>
            <w:right w:w="0" w:type="dxa"/>
          </w:tblCellMar>
        </w:tblPrEx>
        <w:trPr>
          <w:trHeight w:val="422" w:hRule="atLeast"/>
        </w:trPr>
        <w:tc>
          <w:tcPr>
            <w:tcW w:w="3424" w:type="dxa"/>
            <w:tcBorders>
              <w:top w:val="single" w:color="auto" w:sz="8" w:space="0"/>
              <w:left w:val="single" w:color="auto" w:sz="12" w:space="0"/>
              <w:bottom w:val="single" w:color="auto" w:sz="8" w:space="0"/>
              <w:right w:val="single" w:color="auto" w:sz="8" w:space="0"/>
            </w:tcBorders>
            <w:vAlign w:val="center"/>
          </w:tcPr>
          <w:p w14:paraId="2EFAE487">
            <w:pPr>
              <w:pStyle w:val="151"/>
              <w:autoSpaceDE w:val="0"/>
              <w:autoSpaceDN w:val="0"/>
              <w:spacing w:line="52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法定代表人</w:t>
            </w:r>
          </w:p>
        </w:tc>
        <w:tc>
          <w:tcPr>
            <w:tcW w:w="1560" w:type="dxa"/>
            <w:tcBorders>
              <w:top w:val="single" w:color="auto" w:sz="8" w:space="0"/>
              <w:left w:val="single" w:color="auto" w:sz="8" w:space="0"/>
              <w:bottom w:val="single" w:color="auto" w:sz="8" w:space="0"/>
              <w:right w:val="single" w:color="auto" w:sz="8" w:space="0"/>
            </w:tcBorders>
            <w:vAlign w:val="center"/>
          </w:tcPr>
          <w:p w14:paraId="64F1665D">
            <w:pPr>
              <w:pStyle w:val="151"/>
              <w:autoSpaceDE w:val="0"/>
              <w:autoSpaceDN w:val="0"/>
              <w:spacing w:line="520" w:lineRule="exact"/>
              <w:jc w:val="center"/>
              <w:rPr>
                <w:rFonts w:ascii="宋体" w:hAnsi="宋体"/>
                <w:color w:val="auto"/>
                <w:kern w:val="0"/>
                <w:sz w:val="24"/>
                <w:szCs w:val="24"/>
                <w:highlight w:val="none"/>
              </w:rPr>
            </w:pPr>
          </w:p>
        </w:tc>
        <w:tc>
          <w:tcPr>
            <w:tcW w:w="1995" w:type="dxa"/>
            <w:tcBorders>
              <w:top w:val="single" w:color="auto" w:sz="8" w:space="0"/>
              <w:left w:val="single" w:color="auto" w:sz="8" w:space="0"/>
              <w:bottom w:val="single" w:color="auto" w:sz="8" w:space="0"/>
              <w:right w:val="single" w:color="auto" w:sz="8" w:space="0"/>
            </w:tcBorders>
            <w:vAlign w:val="center"/>
          </w:tcPr>
          <w:p w14:paraId="53DE902C">
            <w:pPr>
              <w:pStyle w:val="151"/>
              <w:autoSpaceDE w:val="0"/>
              <w:autoSpaceDN w:val="0"/>
              <w:spacing w:line="52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电话</w:t>
            </w:r>
          </w:p>
        </w:tc>
        <w:tc>
          <w:tcPr>
            <w:tcW w:w="2460" w:type="dxa"/>
            <w:tcBorders>
              <w:top w:val="single" w:color="auto" w:sz="8" w:space="0"/>
              <w:left w:val="single" w:color="auto" w:sz="8" w:space="0"/>
              <w:bottom w:val="single" w:color="auto" w:sz="8" w:space="0"/>
              <w:right w:val="single" w:color="auto" w:sz="12" w:space="0"/>
            </w:tcBorders>
          </w:tcPr>
          <w:p w14:paraId="2217C07B">
            <w:pPr>
              <w:pStyle w:val="151"/>
              <w:autoSpaceDE w:val="0"/>
              <w:autoSpaceDN w:val="0"/>
              <w:spacing w:line="520" w:lineRule="exact"/>
              <w:rPr>
                <w:rFonts w:ascii="宋体" w:hAnsi="宋体"/>
                <w:color w:val="auto"/>
                <w:kern w:val="0"/>
                <w:sz w:val="24"/>
                <w:szCs w:val="24"/>
                <w:highlight w:val="none"/>
              </w:rPr>
            </w:pPr>
          </w:p>
        </w:tc>
      </w:tr>
      <w:tr w14:paraId="323CEB17">
        <w:tblPrEx>
          <w:tblCellMar>
            <w:top w:w="0" w:type="dxa"/>
            <w:left w:w="0" w:type="dxa"/>
            <w:bottom w:w="0" w:type="dxa"/>
            <w:right w:w="0" w:type="dxa"/>
          </w:tblCellMar>
        </w:tblPrEx>
        <w:trPr>
          <w:trHeight w:val="695" w:hRule="atLeast"/>
        </w:trPr>
        <w:tc>
          <w:tcPr>
            <w:tcW w:w="3424" w:type="dxa"/>
            <w:tcBorders>
              <w:top w:val="single" w:color="auto" w:sz="8" w:space="0"/>
              <w:left w:val="single" w:color="auto" w:sz="12" w:space="0"/>
              <w:bottom w:val="single" w:color="auto" w:sz="8" w:space="0"/>
              <w:right w:val="single" w:color="auto" w:sz="8" w:space="0"/>
            </w:tcBorders>
          </w:tcPr>
          <w:p w14:paraId="1D205F18">
            <w:pPr>
              <w:pStyle w:val="151"/>
              <w:autoSpaceDE w:val="0"/>
              <w:autoSpaceDN w:val="0"/>
              <w:spacing w:line="52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营业执照号码</w:t>
            </w:r>
          </w:p>
        </w:tc>
        <w:tc>
          <w:tcPr>
            <w:tcW w:w="1560" w:type="dxa"/>
            <w:tcBorders>
              <w:top w:val="single" w:color="auto" w:sz="8" w:space="0"/>
              <w:left w:val="single" w:color="auto" w:sz="8" w:space="0"/>
              <w:bottom w:val="single" w:color="auto" w:sz="8" w:space="0"/>
              <w:right w:val="single" w:color="auto" w:sz="8" w:space="0"/>
            </w:tcBorders>
          </w:tcPr>
          <w:p w14:paraId="405C3C97">
            <w:pPr>
              <w:pStyle w:val="151"/>
              <w:autoSpaceDE w:val="0"/>
              <w:autoSpaceDN w:val="0"/>
              <w:spacing w:line="520" w:lineRule="exact"/>
              <w:rPr>
                <w:rFonts w:ascii="宋体" w:hAnsi="宋体"/>
                <w:color w:val="auto"/>
                <w:kern w:val="0"/>
                <w:sz w:val="24"/>
                <w:szCs w:val="24"/>
                <w:highlight w:val="none"/>
              </w:rPr>
            </w:pPr>
          </w:p>
        </w:tc>
        <w:tc>
          <w:tcPr>
            <w:tcW w:w="1995" w:type="dxa"/>
            <w:tcBorders>
              <w:top w:val="single" w:color="auto" w:sz="8" w:space="0"/>
              <w:left w:val="single" w:color="auto" w:sz="8" w:space="0"/>
              <w:bottom w:val="single" w:color="auto" w:sz="8" w:space="0"/>
              <w:right w:val="single" w:color="auto" w:sz="8" w:space="0"/>
            </w:tcBorders>
            <w:vAlign w:val="center"/>
          </w:tcPr>
          <w:p w14:paraId="0C3C9EB7">
            <w:pPr>
              <w:pStyle w:val="151"/>
              <w:autoSpaceDE w:val="0"/>
              <w:autoSpaceDN w:val="0"/>
              <w:spacing w:line="52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资质情况</w:t>
            </w:r>
          </w:p>
        </w:tc>
        <w:tc>
          <w:tcPr>
            <w:tcW w:w="2460" w:type="dxa"/>
            <w:tcBorders>
              <w:top w:val="single" w:color="auto" w:sz="8" w:space="0"/>
              <w:left w:val="single" w:color="auto" w:sz="8" w:space="0"/>
              <w:bottom w:val="single" w:color="auto" w:sz="8" w:space="0"/>
              <w:right w:val="single" w:color="auto" w:sz="12" w:space="0"/>
            </w:tcBorders>
          </w:tcPr>
          <w:p w14:paraId="7577F619">
            <w:pPr>
              <w:pStyle w:val="151"/>
              <w:autoSpaceDE w:val="0"/>
              <w:autoSpaceDN w:val="0"/>
              <w:spacing w:line="520" w:lineRule="exact"/>
              <w:rPr>
                <w:rFonts w:ascii="宋体" w:hAnsi="宋体"/>
                <w:color w:val="auto"/>
                <w:kern w:val="0"/>
                <w:sz w:val="24"/>
                <w:szCs w:val="24"/>
                <w:highlight w:val="none"/>
              </w:rPr>
            </w:pPr>
          </w:p>
        </w:tc>
      </w:tr>
      <w:tr w14:paraId="5A24AE1A">
        <w:tblPrEx>
          <w:tblCellMar>
            <w:top w:w="0" w:type="dxa"/>
            <w:left w:w="0" w:type="dxa"/>
            <w:bottom w:w="0" w:type="dxa"/>
            <w:right w:w="0" w:type="dxa"/>
          </w:tblCellMar>
        </w:tblPrEx>
        <w:trPr>
          <w:trHeight w:val="775" w:hRule="atLeast"/>
        </w:trPr>
        <w:tc>
          <w:tcPr>
            <w:tcW w:w="3424" w:type="dxa"/>
            <w:tcBorders>
              <w:top w:val="single" w:color="auto" w:sz="8" w:space="0"/>
              <w:left w:val="single" w:color="auto" w:sz="12" w:space="0"/>
              <w:bottom w:val="single" w:color="auto" w:sz="8" w:space="0"/>
              <w:right w:val="single" w:color="auto" w:sz="8" w:space="0"/>
            </w:tcBorders>
          </w:tcPr>
          <w:p w14:paraId="03AD6CA5">
            <w:pPr>
              <w:pStyle w:val="151"/>
              <w:autoSpaceDE w:val="0"/>
              <w:autoSpaceDN w:val="0"/>
              <w:spacing w:line="52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拟分包的任务</w:t>
            </w:r>
          </w:p>
        </w:tc>
        <w:tc>
          <w:tcPr>
            <w:tcW w:w="6015" w:type="dxa"/>
            <w:gridSpan w:val="3"/>
            <w:tcBorders>
              <w:top w:val="single" w:color="auto" w:sz="8" w:space="0"/>
              <w:left w:val="single" w:color="auto" w:sz="8" w:space="0"/>
              <w:bottom w:val="single" w:color="auto" w:sz="8" w:space="0"/>
              <w:right w:val="single" w:color="auto" w:sz="12" w:space="0"/>
            </w:tcBorders>
          </w:tcPr>
          <w:p w14:paraId="7084CB4A">
            <w:pPr>
              <w:pStyle w:val="151"/>
              <w:autoSpaceDE w:val="0"/>
              <w:autoSpaceDN w:val="0"/>
              <w:spacing w:line="520" w:lineRule="exact"/>
              <w:rPr>
                <w:rFonts w:ascii="宋体" w:hAnsi="宋体" w:cs="宋体"/>
                <w:color w:val="auto"/>
                <w:kern w:val="0"/>
                <w:sz w:val="24"/>
                <w:szCs w:val="24"/>
                <w:highlight w:val="none"/>
              </w:rPr>
            </w:pPr>
            <w:r>
              <w:rPr>
                <w:rFonts w:ascii="宋体" w:hAnsi="宋体" w:cs="宋体"/>
                <w:color w:val="auto"/>
                <w:kern w:val="0"/>
                <w:sz w:val="24"/>
                <w:szCs w:val="24"/>
                <w:highlight w:val="none"/>
              </w:rPr>
              <w:t xml:space="preserve">    </w:t>
            </w:r>
          </w:p>
        </w:tc>
      </w:tr>
      <w:tr w14:paraId="6A30D5E2">
        <w:tblPrEx>
          <w:tblCellMar>
            <w:top w:w="0" w:type="dxa"/>
            <w:left w:w="0" w:type="dxa"/>
            <w:bottom w:w="0" w:type="dxa"/>
            <w:right w:w="0" w:type="dxa"/>
          </w:tblCellMar>
        </w:tblPrEx>
        <w:trPr>
          <w:trHeight w:val="994" w:hRule="atLeast"/>
        </w:trPr>
        <w:tc>
          <w:tcPr>
            <w:tcW w:w="3424" w:type="dxa"/>
            <w:tcBorders>
              <w:top w:val="single" w:color="auto" w:sz="8" w:space="0"/>
              <w:left w:val="single" w:color="auto" w:sz="12" w:space="0"/>
              <w:bottom w:val="single" w:color="auto" w:sz="12" w:space="0"/>
              <w:right w:val="single" w:color="auto" w:sz="8" w:space="0"/>
            </w:tcBorders>
            <w:vAlign w:val="center"/>
          </w:tcPr>
          <w:p w14:paraId="20173A31">
            <w:pPr>
              <w:pStyle w:val="151"/>
              <w:autoSpaceDE w:val="0"/>
              <w:autoSpaceDN w:val="0"/>
              <w:spacing w:line="52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分包单位完成类似工作任务的经历</w:t>
            </w:r>
          </w:p>
        </w:tc>
        <w:tc>
          <w:tcPr>
            <w:tcW w:w="6015" w:type="dxa"/>
            <w:gridSpan w:val="3"/>
            <w:tcBorders>
              <w:top w:val="single" w:color="auto" w:sz="8" w:space="0"/>
              <w:left w:val="single" w:color="auto" w:sz="8" w:space="0"/>
              <w:bottom w:val="single" w:color="auto" w:sz="12" w:space="0"/>
              <w:right w:val="single" w:color="auto" w:sz="12" w:space="0"/>
            </w:tcBorders>
          </w:tcPr>
          <w:p w14:paraId="7789DD81">
            <w:pPr>
              <w:pStyle w:val="151"/>
              <w:autoSpaceDE w:val="0"/>
              <w:autoSpaceDN w:val="0"/>
              <w:spacing w:line="520" w:lineRule="exact"/>
              <w:rPr>
                <w:rFonts w:ascii="宋体" w:hAnsi="宋体"/>
                <w:color w:val="auto"/>
                <w:kern w:val="0"/>
                <w:sz w:val="24"/>
                <w:szCs w:val="24"/>
                <w:highlight w:val="none"/>
              </w:rPr>
            </w:pPr>
          </w:p>
        </w:tc>
      </w:tr>
    </w:tbl>
    <w:p w14:paraId="192D04B6">
      <w:pPr>
        <w:pStyle w:val="151"/>
        <w:spacing w:line="520" w:lineRule="exact"/>
        <w:rPr>
          <w:rFonts w:ascii="宋体" w:hAnsi="宋体"/>
          <w:color w:val="auto"/>
          <w:sz w:val="24"/>
          <w:szCs w:val="24"/>
          <w:highlight w:val="none"/>
        </w:rPr>
      </w:pPr>
      <w:r>
        <w:rPr>
          <w:rFonts w:hint="eastAsia" w:ascii="宋体" w:hAnsi="宋体"/>
          <w:color w:val="auto"/>
          <w:sz w:val="24"/>
          <w:szCs w:val="24"/>
          <w:highlight w:val="none"/>
        </w:rPr>
        <w:t>注：①如无分包单位，则供应商应填写“无”；</w:t>
      </w:r>
    </w:p>
    <w:p w14:paraId="7DFDC0EC">
      <w:pPr>
        <w:spacing w:line="300" w:lineRule="auto"/>
        <w:rPr>
          <w:rFonts w:ascii="宋体" w:hAnsi="宋体" w:cs="宋体"/>
          <w:color w:val="auto"/>
          <w:sz w:val="28"/>
          <w:szCs w:val="28"/>
          <w:highlight w:val="none"/>
        </w:rPr>
      </w:pPr>
      <w:r>
        <w:rPr>
          <w:rFonts w:ascii="宋体" w:hAnsi="宋体"/>
          <w:color w:val="auto"/>
          <w:sz w:val="24"/>
          <w:highlight w:val="none"/>
        </w:rPr>
        <w:t>②</w:t>
      </w:r>
      <w:r>
        <w:rPr>
          <w:rFonts w:hint="eastAsia" w:ascii="宋体" w:hAnsi="宋体"/>
          <w:color w:val="auto"/>
          <w:spacing w:val="-2"/>
          <w:sz w:val="24"/>
          <w:highlight w:val="none"/>
        </w:rPr>
        <w:t>当有分包单位时填写本表，并在本表后应附分包单位的法人营业执照副本的复印件、资质证书副本(如有)的复印件。</w:t>
      </w:r>
      <w:r>
        <w:rPr>
          <w:rFonts w:hint="eastAsia" w:ascii="宋体" w:hAnsi="宋体" w:cs="宋体"/>
          <w:color w:val="auto"/>
          <w:sz w:val="28"/>
          <w:szCs w:val="28"/>
          <w:highlight w:val="none"/>
        </w:rPr>
        <w:t>”</w:t>
      </w:r>
    </w:p>
    <w:p w14:paraId="2095B523">
      <w:pPr>
        <w:spacing w:line="300" w:lineRule="auto"/>
        <w:rPr>
          <w:rFonts w:ascii="宋体" w:hAnsi="宋体" w:cs="宋体"/>
          <w:color w:val="auto"/>
          <w:sz w:val="28"/>
          <w:szCs w:val="28"/>
          <w:highlight w:val="none"/>
        </w:rPr>
      </w:pPr>
    </w:p>
    <w:p w14:paraId="6D42D538">
      <w:pPr>
        <w:snapToGrid w:val="0"/>
        <w:spacing w:before="50" w:after="50" w:line="520" w:lineRule="exact"/>
        <w:ind w:right="-817" w:rightChars="-389" w:firstLine="840" w:firstLineChars="400"/>
        <w:jc w:val="center"/>
        <w:rPr>
          <w:rFonts w:ascii="宋体" w:hAnsi="宋体" w:cs="宋体"/>
          <w:color w:val="auto"/>
          <w:szCs w:val="21"/>
          <w:highlight w:val="none"/>
        </w:rPr>
      </w:pPr>
      <w:r>
        <w:rPr>
          <w:rFonts w:hint="eastAsia" w:ascii="宋体" w:hAnsi="宋体" w:cs="宋体"/>
          <w:color w:val="auto"/>
          <w:szCs w:val="21"/>
          <w:highlight w:val="none"/>
        </w:rPr>
        <w:t>定代表人或委托代理人（签字或者电子签名）：</w:t>
      </w:r>
    </w:p>
    <w:p w14:paraId="558F170F">
      <w:pPr>
        <w:snapToGrid w:val="0"/>
        <w:spacing w:before="50" w:after="50" w:line="520" w:lineRule="exact"/>
        <w:ind w:right="-817" w:rightChars="-389" w:firstLine="2310" w:firstLineChars="1100"/>
        <w:jc w:val="center"/>
        <w:rPr>
          <w:rFonts w:ascii="宋体" w:hAnsi="宋体" w:cs="宋体"/>
          <w:color w:val="auto"/>
          <w:szCs w:val="21"/>
          <w:highlight w:val="none"/>
        </w:rPr>
      </w:pPr>
      <w:r>
        <w:rPr>
          <w:rFonts w:hint="eastAsia" w:ascii="宋体" w:hAnsi="宋体" w:cs="宋体"/>
          <w:color w:val="auto"/>
          <w:szCs w:val="21"/>
          <w:highlight w:val="none"/>
        </w:rPr>
        <w:t>供应商名称（盖公章）：</w:t>
      </w:r>
    </w:p>
    <w:p w14:paraId="1D1EC8C5">
      <w:pPr>
        <w:spacing w:line="360" w:lineRule="auto"/>
        <w:contextualSpacing/>
        <w:jc w:val="center"/>
        <w:rPr>
          <w:rFonts w:ascii="宋体" w:hAnsi="宋体"/>
          <w:color w:val="auto"/>
          <w:sz w:val="24"/>
          <w:highlight w:val="none"/>
        </w:rPr>
      </w:pPr>
      <w:r>
        <w:rPr>
          <w:rFonts w:hint="eastAsia" w:ascii="宋体" w:hAnsi="宋体" w:cs="宋体"/>
          <w:color w:val="auto"/>
          <w:szCs w:val="21"/>
          <w:highlight w:val="none"/>
        </w:rPr>
        <w:t>日期：   年   月   日</w:t>
      </w:r>
      <w:r>
        <w:rPr>
          <w:rFonts w:hint="eastAsia" w:ascii="宋体" w:hAnsi="宋体"/>
          <w:b/>
          <w:bCs/>
          <w:color w:val="auto"/>
          <w:sz w:val="24"/>
          <w:highlight w:val="none"/>
        </w:rPr>
        <w:br w:type="page"/>
      </w:r>
    </w:p>
    <w:p w14:paraId="4F2475EF">
      <w:pPr>
        <w:spacing w:line="360" w:lineRule="auto"/>
        <w:jc w:val="left"/>
        <w:outlineLvl w:val="2"/>
        <w:rPr>
          <w:rFonts w:ascii="宋体" w:hAnsi="宋体"/>
          <w:b/>
          <w:bCs/>
          <w:color w:val="auto"/>
          <w:sz w:val="32"/>
          <w:szCs w:val="32"/>
          <w:highlight w:val="none"/>
        </w:rPr>
      </w:pPr>
      <w:r>
        <w:rPr>
          <w:rFonts w:hint="eastAsia" w:ascii="宋体" w:hAnsi="宋体"/>
          <w:b/>
          <w:color w:val="auto"/>
          <w:sz w:val="24"/>
          <w:highlight w:val="none"/>
        </w:rPr>
        <w:t>质疑函（格式）</w:t>
      </w:r>
    </w:p>
    <w:p w14:paraId="2F0DA1DC">
      <w:pPr>
        <w:spacing w:line="360" w:lineRule="auto"/>
        <w:jc w:val="center"/>
        <w:rPr>
          <w:rFonts w:ascii="方正小标宋简体" w:hAnsi="方正小标宋简体" w:eastAsia="方正小标宋简体" w:cs="方正小标宋简体"/>
          <w:color w:val="auto"/>
          <w:sz w:val="44"/>
          <w:szCs w:val="44"/>
          <w:highlight w:val="none"/>
        </w:rPr>
      </w:pPr>
      <w:r>
        <w:rPr>
          <w:rFonts w:hint="eastAsia" w:ascii="宋体" w:hAnsi="宋体" w:cs="宋体"/>
          <w:color w:val="auto"/>
          <w:sz w:val="44"/>
          <w:szCs w:val="44"/>
          <w:highlight w:val="none"/>
        </w:rPr>
        <w:t>质疑函</w:t>
      </w:r>
      <w:r>
        <w:rPr>
          <w:rFonts w:hint="eastAsia" w:ascii="方正小标宋简体" w:hAnsi="方正小标宋简体" w:eastAsia="方正小标宋简体" w:cs="方正小标宋简体"/>
          <w:color w:val="auto"/>
          <w:sz w:val="44"/>
          <w:szCs w:val="44"/>
          <w:highlight w:val="none"/>
        </w:rPr>
        <w:t>（</w:t>
      </w:r>
      <w:r>
        <w:rPr>
          <w:rFonts w:hint="eastAsia" w:ascii="宋体" w:hAnsi="宋体" w:cs="宋体"/>
          <w:color w:val="auto"/>
          <w:sz w:val="44"/>
          <w:szCs w:val="44"/>
          <w:highlight w:val="none"/>
        </w:rPr>
        <w:t>格式</w:t>
      </w:r>
      <w:r>
        <w:rPr>
          <w:rFonts w:hint="eastAsia" w:ascii="方正小标宋简体" w:hAnsi="方正小标宋简体" w:eastAsia="方正小标宋简体" w:cs="方正小标宋简体"/>
          <w:color w:val="auto"/>
          <w:sz w:val="44"/>
          <w:szCs w:val="44"/>
          <w:highlight w:val="none"/>
        </w:rPr>
        <w:t>）</w:t>
      </w:r>
    </w:p>
    <w:p w14:paraId="723D4438">
      <w:pPr>
        <w:pStyle w:val="23"/>
        <w:snapToGrid w:val="0"/>
        <w:spacing w:line="360" w:lineRule="auto"/>
        <w:ind w:firstLine="482" w:firstLineChars="200"/>
        <w:rPr>
          <w:rFonts w:hAnsi="宋体"/>
          <w:b/>
          <w:bCs/>
          <w:color w:val="auto"/>
          <w:sz w:val="24"/>
          <w:szCs w:val="24"/>
          <w:highlight w:val="none"/>
        </w:rPr>
      </w:pPr>
      <w:r>
        <w:rPr>
          <w:rFonts w:hint="eastAsia" w:hAnsi="宋体"/>
          <w:b/>
          <w:bCs/>
          <w:color w:val="auto"/>
          <w:sz w:val="24"/>
          <w:szCs w:val="24"/>
          <w:highlight w:val="none"/>
        </w:rPr>
        <w:t>一、质疑供应商基本信息：</w:t>
      </w:r>
    </w:p>
    <w:p w14:paraId="2B967119">
      <w:pPr>
        <w:pStyle w:val="23"/>
        <w:snapToGrid w:val="0"/>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质疑供应商：</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1D36E8F9">
      <w:pPr>
        <w:pStyle w:val="23"/>
        <w:snapToGrid w:val="0"/>
        <w:spacing w:line="360" w:lineRule="auto"/>
        <w:ind w:firstLine="480" w:firstLineChars="200"/>
        <w:rPr>
          <w:rFonts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4F822A27">
      <w:pPr>
        <w:pStyle w:val="23"/>
        <w:snapToGrid w:val="0"/>
        <w:spacing w:line="360" w:lineRule="auto"/>
        <w:ind w:firstLine="480" w:firstLineChars="200"/>
        <w:rPr>
          <w:rFonts w:hAnsi="宋体"/>
          <w:bCs/>
          <w:color w:val="auto"/>
          <w:sz w:val="24"/>
          <w:szCs w:val="24"/>
          <w:highlight w:val="none"/>
        </w:rPr>
      </w:pPr>
      <w:r>
        <w:rPr>
          <w:rFonts w:hAnsi="宋体"/>
          <w:bCs/>
          <w:color w:val="auto"/>
          <w:sz w:val="24"/>
          <w:szCs w:val="24"/>
          <w:highlight w:val="none"/>
        </w:rPr>
        <w:t>联系人</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联系电话</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1C5543D6">
      <w:pPr>
        <w:pStyle w:val="23"/>
        <w:snapToGrid w:val="0"/>
        <w:spacing w:line="360" w:lineRule="auto"/>
        <w:ind w:firstLine="480" w:firstLineChars="200"/>
        <w:rPr>
          <w:rFonts w:hAnsi="宋体"/>
          <w:bCs/>
          <w:color w:val="auto"/>
          <w:sz w:val="24"/>
          <w:szCs w:val="24"/>
          <w:highlight w:val="none"/>
        </w:rPr>
      </w:pPr>
      <w:r>
        <w:rPr>
          <w:rFonts w:hint="eastAsia" w:hAnsi="宋体"/>
          <w:bCs/>
          <w:color w:val="auto"/>
          <w:sz w:val="24"/>
          <w:szCs w:val="24"/>
          <w:highlight w:val="none"/>
        </w:rPr>
        <w:t>授权代表：</w:t>
      </w:r>
      <w:r>
        <w:rPr>
          <w:rFonts w:hint="eastAsia" w:hAnsi="宋体"/>
          <w:bCs/>
          <w:color w:val="auto"/>
          <w:sz w:val="24"/>
          <w:szCs w:val="24"/>
          <w:highlight w:val="none"/>
          <w:u w:val="single"/>
        </w:rPr>
        <w:t xml:space="preserve">                      </w:t>
      </w:r>
    </w:p>
    <w:p w14:paraId="0D867B07">
      <w:pPr>
        <w:pStyle w:val="23"/>
        <w:snapToGrid w:val="0"/>
        <w:spacing w:line="360" w:lineRule="auto"/>
        <w:ind w:firstLine="480" w:firstLineChars="200"/>
        <w:rPr>
          <w:rFonts w:hAnsi="宋体"/>
          <w:bCs/>
          <w:color w:val="auto"/>
          <w:sz w:val="24"/>
          <w:szCs w:val="24"/>
          <w:highlight w:val="none"/>
          <w:u w:val="single"/>
        </w:rPr>
      </w:pP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73BCF35C">
      <w:pPr>
        <w:pStyle w:val="23"/>
        <w:snapToGrid w:val="0"/>
        <w:spacing w:line="360" w:lineRule="auto"/>
        <w:ind w:firstLine="480" w:firstLineChars="200"/>
        <w:rPr>
          <w:rFonts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2EA21016">
      <w:pPr>
        <w:pStyle w:val="23"/>
        <w:snapToGrid w:val="0"/>
        <w:spacing w:line="360" w:lineRule="auto"/>
        <w:ind w:firstLine="482" w:firstLineChars="200"/>
        <w:rPr>
          <w:rFonts w:hAnsi="宋体"/>
          <w:b/>
          <w:bCs/>
          <w:color w:val="auto"/>
          <w:sz w:val="24"/>
          <w:szCs w:val="24"/>
          <w:highlight w:val="none"/>
        </w:rPr>
      </w:pPr>
      <w:r>
        <w:rPr>
          <w:rFonts w:hint="eastAsia" w:hAnsi="宋体"/>
          <w:b/>
          <w:bCs/>
          <w:color w:val="auto"/>
          <w:sz w:val="24"/>
          <w:szCs w:val="24"/>
          <w:highlight w:val="none"/>
        </w:rPr>
        <w:t>二、质疑项目基本情况：</w:t>
      </w:r>
    </w:p>
    <w:p w14:paraId="44F38F26">
      <w:pPr>
        <w:pStyle w:val="23"/>
        <w:spacing w:line="360" w:lineRule="auto"/>
        <w:ind w:left="25" w:leftChars="12" w:firstLine="472" w:firstLineChars="197"/>
        <w:rPr>
          <w:rFonts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项目的名称：</w:t>
      </w:r>
      <w:r>
        <w:rPr>
          <w:rFonts w:hint="eastAsia" w:hAnsi="宋体"/>
          <w:bCs/>
          <w:color w:val="auto"/>
          <w:sz w:val="24"/>
          <w:szCs w:val="24"/>
          <w:highlight w:val="none"/>
          <w:u w:val="single"/>
        </w:rPr>
        <w:t xml:space="preserve">                                     </w:t>
      </w:r>
    </w:p>
    <w:p w14:paraId="178AD0F6">
      <w:pPr>
        <w:pStyle w:val="23"/>
        <w:spacing w:line="360" w:lineRule="auto"/>
        <w:ind w:left="25" w:leftChars="12" w:firstLine="472" w:firstLineChars="197"/>
        <w:rPr>
          <w:rFonts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项目的编号：</w:t>
      </w:r>
      <w:r>
        <w:rPr>
          <w:rFonts w:hint="eastAsia" w:hAnsi="宋体"/>
          <w:bCs/>
          <w:color w:val="auto"/>
          <w:sz w:val="24"/>
          <w:szCs w:val="24"/>
          <w:highlight w:val="none"/>
          <w:u w:val="single"/>
        </w:rPr>
        <w:t xml:space="preserve">                                     </w:t>
      </w:r>
    </w:p>
    <w:p w14:paraId="4FCFC9AD">
      <w:pPr>
        <w:pStyle w:val="23"/>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采购人名称：</w:t>
      </w:r>
      <w:r>
        <w:rPr>
          <w:rFonts w:hint="eastAsia" w:hAnsi="宋体"/>
          <w:bCs/>
          <w:color w:val="auto"/>
          <w:sz w:val="24"/>
          <w:szCs w:val="24"/>
          <w:highlight w:val="none"/>
          <w:u w:val="single"/>
        </w:rPr>
        <w:t xml:space="preserve">                                         </w:t>
      </w:r>
    </w:p>
    <w:p w14:paraId="03C3C6EF">
      <w:pPr>
        <w:pStyle w:val="23"/>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质疑事项：</w:t>
      </w:r>
    </w:p>
    <w:p w14:paraId="34F72FB5">
      <w:pPr>
        <w:pStyle w:val="23"/>
        <w:spacing w:line="360" w:lineRule="auto"/>
        <w:ind w:left="25" w:leftChars="12" w:firstLine="352" w:firstLineChars="147"/>
        <w:rPr>
          <w:rFonts w:hAnsi="宋体"/>
          <w:color w:val="auto"/>
          <w:sz w:val="24"/>
          <w:szCs w:val="24"/>
          <w:highlight w:val="none"/>
        </w:rPr>
      </w:pPr>
      <w:r>
        <w:rPr>
          <w:rFonts w:hint="eastAsia" w:hAnsi="宋体"/>
          <w:color w:val="auto"/>
          <w:sz w:val="24"/>
          <w:szCs w:val="24"/>
          <w:highlight w:val="none"/>
        </w:rPr>
        <w:t>□招标文件   招标文件获取日期：</w:t>
      </w:r>
      <w:r>
        <w:rPr>
          <w:rFonts w:hint="eastAsia" w:hAnsi="宋体"/>
          <w:bCs/>
          <w:color w:val="auto"/>
          <w:sz w:val="24"/>
          <w:szCs w:val="24"/>
          <w:highlight w:val="none"/>
          <w:u w:val="single"/>
        </w:rPr>
        <w:t xml:space="preserve">                                   </w:t>
      </w:r>
    </w:p>
    <w:p w14:paraId="0698417C">
      <w:pPr>
        <w:pStyle w:val="23"/>
        <w:spacing w:line="360" w:lineRule="auto"/>
        <w:ind w:left="25" w:leftChars="12" w:firstLine="352" w:firstLineChars="147"/>
        <w:rPr>
          <w:rFonts w:hAnsi="宋体"/>
          <w:color w:val="auto"/>
          <w:sz w:val="24"/>
          <w:szCs w:val="24"/>
          <w:highlight w:val="none"/>
        </w:rPr>
      </w:pPr>
      <w:r>
        <w:rPr>
          <w:rFonts w:hint="eastAsia" w:hAnsi="宋体"/>
          <w:color w:val="auto"/>
          <w:sz w:val="24"/>
          <w:szCs w:val="24"/>
          <w:highlight w:val="none"/>
        </w:rPr>
        <w:t xml:space="preserve">□招标过程   </w:t>
      </w:r>
    </w:p>
    <w:p w14:paraId="225BAF46">
      <w:pPr>
        <w:pStyle w:val="23"/>
        <w:spacing w:line="360" w:lineRule="auto"/>
        <w:ind w:left="25" w:leftChars="12" w:firstLine="352" w:firstLineChars="147"/>
        <w:rPr>
          <w:rFonts w:hAnsi="宋体"/>
          <w:bCs/>
          <w:color w:val="auto"/>
          <w:sz w:val="24"/>
          <w:szCs w:val="24"/>
          <w:highlight w:val="none"/>
          <w:u w:val="single"/>
        </w:rPr>
      </w:pPr>
      <w:r>
        <w:rPr>
          <w:rFonts w:hint="eastAsia" w:hAnsi="宋体"/>
          <w:color w:val="auto"/>
          <w:sz w:val="24"/>
          <w:szCs w:val="24"/>
          <w:highlight w:val="none"/>
        </w:rPr>
        <w:t xml:space="preserve">□招标结果   </w:t>
      </w:r>
    </w:p>
    <w:p w14:paraId="7B15AD3B">
      <w:pPr>
        <w:pStyle w:val="23"/>
        <w:spacing w:line="360" w:lineRule="auto"/>
        <w:ind w:left="25" w:leftChars="12" w:firstLine="472" w:firstLineChars="196"/>
        <w:rPr>
          <w:rFonts w:hAnsi="宋体"/>
          <w:b/>
          <w:color w:val="auto"/>
          <w:sz w:val="24"/>
          <w:szCs w:val="24"/>
          <w:highlight w:val="none"/>
        </w:rPr>
      </w:pPr>
      <w:r>
        <w:rPr>
          <w:rFonts w:hint="eastAsia" w:hAnsi="宋体"/>
          <w:b/>
          <w:color w:val="auto"/>
          <w:sz w:val="24"/>
          <w:szCs w:val="24"/>
          <w:highlight w:val="none"/>
        </w:rPr>
        <w:t>三、质疑事项具体内容</w:t>
      </w:r>
    </w:p>
    <w:p w14:paraId="654B0E29">
      <w:pPr>
        <w:pStyle w:val="23"/>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质疑事项1：</w:t>
      </w:r>
      <w:r>
        <w:rPr>
          <w:rFonts w:hint="eastAsia" w:hAnsi="宋体"/>
          <w:bCs/>
          <w:color w:val="auto"/>
          <w:sz w:val="24"/>
          <w:szCs w:val="24"/>
          <w:highlight w:val="none"/>
          <w:u w:val="single"/>
        </w:rPr>
        <w:t xml:space="preserve">                                                                    </w:t>
      </w:r>
    </w:p>
    <w:p w14:paraId="00CD0B57">
      <w:pPr>
        <w:pStyle w:val="23"/>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事实依据：</w:t>
      </w:r>
      <w:r>
        <w:rPr>
          <w:rFonts w:hint="eastAsia" w:hAnsi="宋体"/>
          <w:bCs/>
          <w:color w:val="auto"/>
          <w:sz w:val="24"/>
          <w:szCs w:val="24"/>
          <w:highlight w:val="none"/>
          <w:u w:val="single"/>
        </w:rPr>
        <w:t xml:space="preserve">                                                                      </w:t>
      </w:r>
    </w:p>
    <w:p w14:paraId="00166391">
      <w:pPr>
        <w:pStyle w:val="23"/>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法律依据：</w:t>
      </w:r>
      <w:r>
        <w:rPr>
          <w:rFonts w:hint="eastAsia" w:hAnsi="宋体"/>
          <w:color w:val="auto"/>
          <w:sz w:val="24"/>
          <w:szCs w:val="24"/>
          <w:highlight w:val="none"/>
          <w:u w:val="single"/>
        </w:rPr>
        <w:t xml:space="preserve">                                                        </w:t>
      </w:r>
      <w:r>
        <w:rPr>
          <w:rFonts w:hint="eastAsia" w:hAnsi="宋体"/>
          <w:bCs/>
          <w:color w:val="auto"/>
          <w:sz w:val="24"/>
          <w:szCs w:val="24"/>
          <w:highlight w:val="none"/>
          <w:u w:val="single"/>
        </w:rPr>
        <w:t xml:space="preserve">               </w:t>
      </w:r>
    </w:p>
    <w:p w14:paraId="0152DF68">
      <w:pPr>
        <w:pStyle w:val="23"/>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质疑事项2</w:t>
      </w:r>
    </w:p>
    <w:p w14:paraId="1C552251">
      <w:pPr>
        <w:pStyle w:val="23"/>
        <w:spacing w:line="360" w:lineRule="auto"/>
        <w:ind w:left="25" w:leftChars="12" w:firstLine="472" w:firstLineChars="197"/>
        <w:rPr>
          <w:rFonts w:hAnsi="宋体"/>
          <w:color w:val="auto"/>
          <w:sz w:val="24"/>
          <w:szCs w:val="24"/>
          <w:highlight w:val="none"/>
        </w:rPr>
      </w:pPr>
      <w:r>
        <w:rPr>
          <w:rFonts w:hAnsi="宋体"/>
          <w:color w:val="auto"/>
          <w:sz w:val="24"/>
          <w:szCs w:val="24"/>
          <w:highlight w:val="none"/>
        </w:rPr>
        <w:t>……</w:t>
      </w:r>
    </w:p>
    <w:p w14:paraId="225ABCB5">
      <w:pPr>
        <w:pStyle w:val="23"/>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四、与质疑事项相关的质疑请求：</w:t>
      </w:r>
    </w:p>
    <w:p w14:paraId="2187F6AB">
      <w:pPr>
        <w:pStyle w:val="23"/>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请求：</w:t>
      </w:r>
      <w:r>
        <w:rPr>
          <w:rFonts w:hint="eastAsia" w:hAnsi="宋体"/>
          <w:bCs/>
          <w:color w:val="auto"/>
          <w:sz w:val="24"/>
          <w:szCs w:val="24"/>
          <w:highlight w:val="none"/>
          <w:u w:val="single"/>
        </w:rPr>
        <w:t xml:space="preserve">                                                                </w:t>
      </w:r>
    </w:p>
    <w:p w14:paraId="499AD521">
      <w:pPr>
        <w:pStyle w:val="23"/>
        <w:spacing w:line="360" w:lineRule="auto"/>
        <w:ind w:left="25" w:leftChars="12" w:firstLine="352" w:firstLineChars="147"/>
        <w:rPr>
          <w:rFonts w:hAnsi="宋体"/>
          <w:color w:val="auto"/>
          <w:sz w:val="24"/>
          <w:szCs w:val="24"/>
          <w:highlight w:val="none"/>
        </w:rPr>
      </w:pPr>
    </w:p>
    <w:p w14:paraId="5A998343">
      <w:pPr>
        <w:pStyle w:val="23"/>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签字（签章）：                                       公章：</w:t>
      </w:r>
    </w:p>
    <w:p w14:paraId="2953F756">
      <w:pPr>
        <w:pStyle w:val="23"/>
        <w:spacing w:line="360" w:lineRule="auto"/>
        <w:ind w:left="25" w:leftChars="12" w:firstLine="352" w:firstLineChars="147"/>
        <w:rPr>
          <w:rFonts w:hAnsi="宋体"/>
          <w:color w:val="auto"/>
          <w:sz w:val="24"/>
          <w:szCs w:val="24"/>
          <w:highlight w:val="none"/>
        </w:rPr>
      </w:pPr>
    </w:p>
    <w:p w14:paraId="4C5BCEEE">
      <w:pPr>
        <w:pStyle w:val="23"/>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日期：</w:t>
      </w:r>
    </w:p>
    <w:p w14:paraId="374EAE36">
      <w:pPr>
        <w:pStyle w:val="23"/>
        <w:snapToGrid w:val="0"/>
        <w:spacing w:line="360" w:lineRule="auto"/>
        <w:rPr>
          <w:rFonts w:hAnsi="宋体"/>
          <w:b/>
          <w:color w:val="auto"/>
          <w:sz w:val="24"/>
          <w:szCs w:val="24"/>
          <w:highlight w:val="none"/>
        </w:rPr>
      </w:pPr>
    </w:p>
    <w:p w14:paraId="3520F8C0">
      <w:pPr>
        <w:pStyle w:val="23"/>
        <w:snapToGrid w:val="0"/>
        <w:spacing w:line="360" w:lineRule="auto"/>
        <w:rPr>
          <w:rFonts w:hAnsi="宋体"/>
          <w:b/>
          <w:color w:val="auto"/>
          <w:sz w:val="24"/>
          <w:szCs w:val="24"/>
          <w:highlight w:val="none"/>
        </w:rPr>
      </w:pPr>
      <w:r>
        <w:rPr>
          <w:rFonts w:hint="eastAsia" w:hAnsi="宋体"/>
          <w:b/>
          <w:color w:val="auto"/>
          <w:sz w:val="24"/>
          <w:szCs w:val="24"/>
          <w:highlight w:val="none"/>
        </w:rPr>
        <w:t>说明：</w:t>
      </w:r>
    </w:p>
    <w:p w14:paraId="665EB959">
      <w:pPr>
        <w:pStyle w:val="23"/>
        <w:spacing w:line="360" w:lineRule="auto"/>
        <w:ind w:left="25" w:leftChars="12" w:firstLine="354" w:firstLineChars="147"/>
        <w:rPr>
          <w:rFonts w:hAnsi="宋体"/>
          <w:b/>
          <w:bCs/>
          <w:color w:val="auto"/>
          <w:sz w:val="24"/>
          <w:szCs w:val="24"/>
          <w:highlight w:val="none"/>
        </w:rPr>
      </w:pPr>
      <w:r>
        <w:rPr>
          <w:rFonts w:hint="eastAsia" w:hAnsi="宋体"/>
          <w:b/>
          <w:color w:val="auto"/>
          <w:sz w:val="24"/>
          <w:szCs w:val="24"/>
          <w:highlight w:val="none"/>
        </w:rPr>
        <w:t>1.供应商提出质疑时，应提交质疑函和必要的证明材料</w:t>
      </w:r>
      <w:r>
        <w:rPr>
          <w:rFonts w:hint="eastAsia" w:hAnsi="宋体"/>
          <w:b/>
          <w:bCs/>
          <w:color w:val="auto"/>
          <w:sz w:val="24"/>
          <w:szCs w:val="24"/>
          <w:highlight w:val="none"/>
        </w:rPr>
        <w:t>。</w:t>
      </w:r>
    </w:p>
    <w:p w14:paraId="6345626F">
      <w:pPr>
        <w:pStyle w:val="23"/>
        <w:spacing w:line="360" w:lineRule="auto"/>
        <w:ind w:left="25" w:leftChars="12" w:firstLine="354" w:firstLineChars="147"/>
        <w:rPr>
          <w:rFonts w:hAnsi="宋体"/>
          <w:b/>
          <w:color w:val="auto"/>
          <w:sz w:val="24"/>
          <w:szCs w:val="24"/>
          <w:highlight w:val="none"/>
        </w:rPr>
      </w:pPr>
      <w:r>
        <w:rPr>
          <w:rFonts w:hint="eastAsia" w:hAnsi="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4E0C40C8">
      <w:pPr>
        <w:pStyle w:val="23"/>
        <w:spacing w:line="360" w:lineRule="auto"/>
        <w:ind w:left="25" w:leftChars="12" w:firstLine="354" w:firstLineChars="147"/>
        <w:rPr>
          <w:rFonts w:hAnsi="宋体"/>
          <w:b/>
          <w:color w:val="auto"/>
          <w:sz w:val="24"/>
          <w:szCs w:val="24"/>
          <w:highlight w:val="none"/>
        </w:rPr>
      </w:pPr>
      <w:r>
        <w:rPr>
          <w:rFonts w:hint="eastAsia" w:hAnsi="宋体"/>
          <w:b/>
          <w:color w:val="auto"/>
          <w:sz w:val="24"/>
          <w:szCs w:val="24"/>
          <w:highlight w:val="none"/>
        </w:rPr>
        <w:t>3.质疑函的质疑事项应具体、明确，并有必要的事实依据和法律依据。</w:t>
      </w:r>
    </w:p>
    <w:p w14:paraId="3DEB6BEF">
      <w:pPr>
        <w:pStyle w:val="23"/>
        <w:spacing w:line="360" w:lineRule="auto"/>
        <w:ind w:left="25" w:leftChars="12" w:firstLine="354" w:firstLineChars="147"/>
        <w:rPr>
          <w:rFonts w:hAnsi="宋体"/>
          <w:b/>
          <w:color w:val="auto"/>
          <w:sz w:val="24"/>
          <w:szCs w:val="24"/>
          <w:highlight w:val="none"/>
        </w:rPr>
      </w:pPr>
      <w:r>
        <w:rPr>
          <w:rFonts w:hint="eastAsia" w:hAnsi="宋体"/>
          <w:b/>
          <w:color w:val="auto"/>
          <w:sz w:val="24"/>
          <w:szCs w:val="24"/>
          <w:highlight w:val="none"/>
        </w:rPr>
        <w:t>4.质疑函的质疑请求应与质疑事项相关。</w:t>
      </w:r>
    </w:p>
    <w:p w14:paraId="72AA3C47">
      <w:pPr>
        <w:pStyle w:val="23"/>
        <w:spacing w:line="360" w:lineRule="auto"/>
        <w:ind w:left="25" w:leftChars="12" w:firstLine="354" w:firstLineChars="147"/>
        <w:rPr>
          <w:rFonts w:hAnsi="宋体"/>
          <w:b/>
          <w:color w:val="auto"/>
          <w:highlight w:val="none"/>
        </w:rPr>
      </w:pPr>
      <w:r>
        <w:rPr>
          <w:rFonts w:hint="eastAsia" w:hAnsi="宋体"/>
          <w:b/>
          <w:color w:val="auto"/>
          <w:sz w:val="24"/>
          <w:szCs w:val="24"/>
          <w:highlight w:val="none"/>
        </w:rPr>
        <w:t>5.质疑供应商为法人或者其他组织的，质疑函应由法定代表人、主要负责人，或者其授权代表签字或者盖章，并加盖公章。</w:t>
      </w:r>
    </w:p>
    <w:p w14:paraId="3E01D54E">
      <w:pPr>
        <w:spacing w:line="460" w:lineRule="exact"/>
        <w:rPr>
          <w:rFonts w:eastAsia="隶书"/>
          <w:color w:val="auto"/>
          <w:sz w:val="44"/>
          <w:highlight w:val="none"/>
        </w:rPr>
      </w:pPr>
    </w:p>
    <w:p w14:paraId="2F429055">
      <w:pPr>
        <w:spacing w:line="360" w:lineRule="auto"/>
        <w:jc w:val="left"/>
        <w:outlineLvl w:val="2"/>
        <w:rPr>
          <w:rFonts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4"/>
          <w:highlight w:val="none"/>
        </w:rPr>
        <w:t>投诉书（格式）</w:t>
      </w:r>
    </w:p>
    <w:p w14:paraId="1A4417B8">
      <w:pPr>
        <w:spacing w:line="360" w:lineRule="auto"/>
        <w:jc w:val="center"/>
        <w:rPr>
          <w:rFonts w:ascii="方正小标宋简体" w:hAnsi="方正小标宋简体" w:eastAsia="方正小标宋简体" w:cs="方正小标宋简体"/>
          <w:color w:val="auto"/>
          <w:sz w:val="44"/>
          <w:szCs w:val="44"/>
          <w:highlight w:val="none"/>
        </w:rPr>
      </w:pPr>
      <w:r>
        <w:rPr>
          <w:rFonts w:hint="eastAsia" w:ascii="宋体" w:hAnsi="宋体" w:cs="宋体"/>
          <w:color w:val="auto"/>
          <w:sz w:val="44"/>
          <w:szCs w:val="44"/>
          <w:highlight w:val="none"/>
        </w:rPr>
        <w:t>投诉书</w:t>
      </w:r>
      <w:r>
        <w:rPr>
          <w:rFonts w:hint="eastAsia" w:ascii="方正小标宋简体" w:hAnsi="方正小标宋简体" w:eastAsia="方正小标宋简体" w:cs="方正小标宋简体"/>
          <w:color w:val="auto"/>
          <w:sz w:val="44"/>
          <w:szCs w:val="44"/>
          <w:highlight w:val="none"/>
        </w:rPr>
        <w:t>（</w:t>
      </w:r>
      <w:r>
        <w:rPr>
          <w:rFonts w:hint="eastAsia" w:ascii="宋体" w:hAnsi="宋体" w:cs="宋体"/>
          <w:color w:val="auto"/>
          <w:sz w:val="44"/>
          <w:szCs w:val="44"/>
          <w:highlight w:val="none"/>
        </w:rPr>
        <w:t>格式</w:t>
      </w:r>
      <w:r>
        <w:rPr>
          <w:rFonts w:hint="eastAsia" w:ascii="方正小标宋简体" w:hAnsi="方正小标宋简体" w:eastAsia="方正小标宋简体" w:cs="方正小标宋简体"/>
          <w:color w:val="auto"/>
          <w:sz w:val="44"/>
          <w:szCs w:val="44"/>
          <w:highlight w:val="none"/>
        </w:rPr>
        <w:t>）</w:t>
      </w:r>
    </w:p>
    <w:p w14:paraId="35EDB694">
      <w:pPr>
        <w:pStyle w:val="23"/>
        <w:snapToGrid w:val="0"/>
        <w:spacing w:line="360" w:lineRule="auto"/>
        <w:ind w:firstLine="482" w:firstLineChars="200"/>
        <w:rPr>
          <w:rFonts w:hAnsi="宋体"/>
          <w:b/>
          <w:bCs/>
          <w:color w:val="auto"/>
          <w:sz w:val="24"/>
          <w:szCs w:val="24"/>
          <w:highlight w:val="none"/>
        </w:rPr>
      </w:pPr>
      <w:r>
        <w:rPr>
          <w:rFonts w:hint="eastAsia" w:hAnsi="宋体"/>
          <w:b/>
          <w:bCs/>
          <w:color w:val="auto"/>
          <w:sz w:val="24"/>
          <w:szCs w:val="24"/>
          <w:highlight w:val="none"/>
        </w:rPr>
        <w:t>一、投诉相关主体基本情况：</w:t>
      </w:r>
    </w:p>
    <w:p w14:paraId="236C57B2">
      <w:pPr>
        <w:pStyle w:val="23"/>
        <w:snapToGrid w:val="0"/>
        <w:spacing w:line="360" w:lineRule="auto"/>
        <w:ind w:firstLine="480" w:firstLineChars="200"/>
        <w:jc w:val="left"/>
        <w:rPr>
          <w:rFonts w:hAnsi="宋体"/>
          <w:bCs/>
          <w:color w:val="auto"/>
          <w:sz w:val="24"/>
          <w:szCs w:val="24"/>
          <w:highlight w:val="none"/>
          <w:u w:val="single"/>
        </w:rPr>
      </w:pPr>
      <w:r>
        <w:rPr>
          <w:rFonts w:hint="eastAsia" w:hAnsi="宋体"/>
          <w:bCs/>
          <w:color w:val="auto"/>
          <w:sz w:val="24"/>
          <w:szCs w:val="24"/>
          <w:highlight w:val="none"/>
        </w:rPr>
        <w:t>投标人：</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43689419">
      <w:pPr>
        <w:pStyle w:val="23"/>
        <w:snapToGrid w:val="0"/>
        <w:spacing w:line="360" w:lineRule="auto"/>
        <w:ind w:firstLine="480" w:firstLineChars="200"/>
        <w:jc w:val="left"/>
        <w:rPr>
          <w:rFonts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3A879D57">
      <w:pPr>
        <w:pStyle w:val="23"/>
        <w:snapToGrid w:val="0"/>
        <w:spacing w:line="360" w:lineRule="auto"/>
        <w:ind w:firstLine="480" w:firstLineChars="200"/>
        <w:jc w:val="left"/>
        <w:rPr>
          <w:rFonts w:hAnsi="宋体"/>
          <w:bCs/>
          <w:color w:val="auto"/>
          <w:sz w:val="24"/>
          <w:szCs w:val="24"/>
          <w:highlight w:val="none"/>
          <w:u w:val="single"/>
        </w:rPr>
      </w:pPr>
      <w:r>
        <w:rPr>
          <w:rFonts w:hint="eastAsia" w:hAnsi="宋体"/>
          <w:bCs/>
          <w:color w:val="auto"/>
          <w:sz w:val="24"/>
          <w:szCs w:val="24"/>
          <w:highlight w:val="none"/>
        </w:rPr>
        <w:t>法定代表人/主要负责人：</w:t>
      </w:r>
      <w:r>
        <w:rPr>
          <w:rFonts w:hint="eastAsia" w:hAnsi="宋体"/>
          <w:bCs/>
          <w:color w:val="auto"/>
          <w:sz w:val="24"/>
          <w:szCs w:val="24"/>
          <w:highlight w:val="none"/>
          <w:u w:val="single"/>
        </w:rPr>
        <w:t xml:space="preserve">                                                         </w:t>
      </w:r>
    </w:p>
    <w:p w14:paraId="270A1161">
      <w:pPr>
        <w:pStyle w:val="23"/>
        <w:snapToGrid w:val="0"/>
        <w:spacing w:line="360" w:lineRule="auto"/>
        <w:ind w:firstLine="480" w:firstLineChars="200"/>
        <w:jc w:val="left"/>
        <w:rPr>
          <w:rFonts w:hAnsi="宋体"/>
          <w:bCs/>
          <w:color w:val="auto"/>
          <w:sz w:val="24"/>
          <w:szCs w:val="24"/>
          <w:highlight w:val="none"/>
        </w:rPr>
      </w:pPr>
      <w:r>
        <w:rPr>
          <w:rFonts w:hAnsi="宋体"/>
          <w:bCs/>
          <w:color w:val="auto"/>
          <w:sz w:val="24"/>
          <w:szCs w:val="24"/>
          <w:highlight w:val="none"/>
        </w:rPr>
        <w:t>联系电话</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2C94A56B">
      <w:pPr>
        <w:pStyle w:val="23"/>
        <w:snapToGrid w:val="0"/>
        <w:spacing w:line="360" w:lineRule="auto"/>
        <w:ind w:firstLine="480" w:firstLineChars="200"/>
        <w:jc w:val="left"/>
        <w:rPr>
          <w:rFonts w:hAnsi="宋体"/>
          <w:bCs/>
          <w:color w:val="auto"/>
          <w:sz w:val="24"/>
          <w:szCs w:val="24"/>
          <w:highlight w:val="none"/>
          <w:u w:val="single"/>
        </w:rPr>
      </w:pPr>
      <w:r>
        <w:rPr>
          <w:rFonts w:hint="eastAsia" w:hAnsi="宋体"/>
          <w:bCs/>
          <w:color w:val="auto"/>
          <w:sz w:val="24"/>
          <w:szCs w:val="24"/>
          <w:highlight w:val="none"/>
        </w:rPr>
        <w:t>授权代表：</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09275862">
      <w:pPr>
        <w:pStyle w:val="23"/>
        <w:snapToGrid w:val="0"/>
        <w:spacing w:line="360" w:lineRule="auto"/>
        <w:ind w:firstLine="480" w:firstLineChars="200"/>
        <w:jc w:val="left"/>
        <w:rPr>
          <w:rFonts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2BF4EF25">
      <w:pPr>
        <w:pStyle w:val="23"/>
        <w:snapToGrid w:val="0"/>
        <w:spacing w:line="360" w:lineRule="auto"/>
        <w:ind w:firstLine="480" w:firstLineChars="200"/>
        <w:jc w:val="left"/>
        <w:rPr>
          <w:rFonts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4B005863">
      <w:pPr>
        <w:pStyle w:val="23"/>
        <w:snapToGrid w:val="0"/>
        <w:spacing w:line="360" w:lineRule="auto"/>
        <w:ind w:firstLine="480" w:firstLineChars="200"/>
        <w:jc w:val="left"/>
        <w:rPr>
          <w:rFonts w:hAnsi="宋体"/>
          <w:bCs/>
          <w:color w:val="auto"/>
          <w:sz w:val="24"/>
          <w:szCs w:val="24"/>
          <w:highlight w:val="none"/>
        </w:rPr>
      </w:pPr>
      <w:r>
        <w:rPr>
          <w:rFonts w:hint="eastAsia" w:hAnsi="宋体"/>
          <w:bCs/>
          <w:color w:val="auto"/>
          <w:sz w:val="24"/>
          <w:szCs w:val="24"/>
          <w:highlight w:val="none"/>
        </w:rPr>
        <w:t>被投诉人1：</w:t>
      </w:r>
    </w:p>
    <w:p w14:paraId="429D87E8">
      <w:pPr>
        <w:pStyle w:val="23"/>
        <w:snapToGrid w:val="0"/>
        <w:spacing w:line="360" w:lineRule="auto"/>
        <w:ind w:firstLine="480" w:firstLineChars="200"/>
        <w:jc w:val="left"/>
        <w:rPr>
          <w:rFonts w:hAnsi="宋体"/>
          <w:bCs/>
          <w:color w:val="auto"/>
          <w:sz w:val="24"/>
          <w:szCs w:val="24"/>
          <w:highlight w:val="none"/>
          <w:u w:val="single"/>
        </w:rPr>
      </w:pPr>
      <w:r>
        <w:rPr>
          <w:rFonts w:hint="eastAsia" w:hAnsi="宋体"/>
          <w:bCs/>
          <w:color w:val="auto"/>
          <w:sz w:val="24"/>
          <w:szCs w:val="24"/>
          <w:highlight w:val="none"/>
        </w:rPr>
        <w:t>地址：</w:t>
      </w:r>
      <w:r>
        <w:rPr>
          <w:rFonts w:hint="eastAsia" w:hAnsi="宋体"/>
          <w:bCs/>
          <w:color w:val="auto"/>
          <w:sz w:val="24"/>
          <w:szCs w:val="24"/>
          <w:highlight w:val="none"/>
          <w:u w:val="single"/>
        </w:rPr>
        <w:t xml:space="preserve">                                                            </w:t>
      </w:r>
    </w:p>
    <w:p w14:paraId="6A14A0E5">
      <w:pPr>
        <w:pStyle w:val="23"/>
        <w:snapToGrid w:val="0"/>
        <w:spacing w:line="360" w:lineRule="auto"/>
        <w:ind w:firstLine="480" w:firstLineChars="200"/>
        <w:jc w:val="left"/>
        <w:rPr>
          <w:rFonts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35DDBCF1">
      <w:pPr>
        <w:pStyle w:val="23"/>
        <w:snapToGrid w:val="0"/>
        <w:spacing w:line="360" w:lineRule="auto"/>
        <w:ind w:firstLine="480" w:firstLineChars="200"/>
        <w:jc w:val="left"/>
        <w:rPr>
          <w:rFonts w:hAnsi="宋体"/>
          <w:bCs/>
          <w:color w:val="auto"/>
          <w:sz w:val="24"/>
          <w:szCs w:val="24"/>
          <w:highlight w:val="none"/>
          <w:u w:val="single"/>
        </w:rPr>
      </w:pPr>
      <w:r>
        <w:rPr>
          <w:rFonts w:hint="eastAsia" w:hAnsi="宋体"/>
          <w:bCs/>
          <w:color w:val="auto"/>
          <w:sz w:val="24"/>
          <w:szCs w:val="24"/>
          <w:highlight w:val="none"/>
        </w:rPr>
        <w:t>联系人：</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4B9B38F7">
      <w:pPr>
        <w:pStyle w:val="23"/>
        <w:snapToGrid w:val="0"/>
        <w:spacing w:line="360" w:lineRule="auto"/>
        <w:ind w:firstLine="480" w:firstLineChars="200"/>
        <w:jc w:val="left"/>
        <w:rPr>
          <w:rFonts w:hAnsi="宋体"/>
          <w:bCs/>
          <w:color w:val="auto"/>
          <w:sz w:val="24"/>
          <w:szCs w:val="24"/>
          <w:highlight w:val="none"/>
        </w:rPr>
      </w:pPr>
      <w:r>
        <w:rPr>
          <w:rFonts w:hint="eastAsia" w:hAnsi="宋体"/>
          <w:bCs/>
          <w:color w:val="auto"/>
          <w:sz w:val="24"/>
          <w:szCs w:val="24"/>
          <w:highlight w:val="none"/>
        </w:rPr>
        <w:t>被投诉人2：</w:t>
      </w:r>
    </w:p>
    <w:p w14:paraId="5AC8D89E">
      <w:pPr>
        <w:pStyle w:val="23"/>
        <w:snapToGrid w:val="0"/>
        <w:spacing w:line="360" w:lineRule="auto"/>
        <w:ind w:firstLine="480" w:firstLineChars="200"/>
        <w:jc w:val="left"/>
        <w:rPr>
          <w:rFonts w:hAnsi="宋体"/>
          <w:bCs/>
          <w:color w:val="auto"/>
          <w:sz w:val="24"/>
          <w:szCs w:val="24"/>
          <w:highlight w:val="none"/>
        </w:rPr>
      </w:pPr>
      <w:r>
        <w:rPr>
          <w:rFonts w:hAnsi="宋体"/>
          <w:bCs/>
          <w:color w:val="auto"/>
          <w:sz w:val="24"/>
          <w:szCs w:val="24"/>
          <w:highlight w:val="none"/>
        </w:rPr>
        <w:t>……</w:t>
      </w:r>
    </w:p>
    <w:p w14:paraId="0BC908EA">
      <w:pPr>
        <w:pStyle w:val="23"/>
        <w:snapToGrid w:val="0"/>
        <w:spacing w:line="360" w:lineRule="auto"/>
        <w:ind w:firstLine="480" w:firstLineChars="200"/>
        <w:jc w:val="left"/>
        <w:rPr>
          <w:rFonts w:hAnsi="宋体"/>
          <w:bCs/>
          <w:color w:val="auto"/>
          <w:sz w:val="24"/>
          <w:szCs w:val="24"/>
          <w:highlight w:val="none"/>
          <w:u w:val="single"/>
        </w:rPr>
      </w:pPr>
      <w:r>
        <w:rPr>
          <w:rFonts w:hint="eastAsia" w:hAnsi="宋体"/>
          <w:bCs/>
          <w:color w:val="auto"/>
          <w:sz w:val="24"/>
          <w:szCs w:val="24"/>
          <w:highlight w:val="none"/>
        </w:rPr>
        <w:t>相关供应商：</w:t>
      </w:r>
      <w:r>
        <w:rPr>
          <w:rFonts w:hint="eastAsia" w:hAnsi="宋体"/>
          <w:bCs/>
          <w:color w:val="auto"/>
          <w:sz w:val="24"/>
          <w:szCs w:val="24"/>
          <w:highlight w:val="none"/>
          <w:u w:val="single"/>
        </w:rPr>
        <w:t xml:space="preserve">                                                                       </w:t>
      </w:r>
    </w:p>
    <w:p w14:paraId="1552198C">
      <w:pPr>
        <w:pStyle w:val="23"/>
        <w:snapToGrid w:val="0"/>
        <w:spacing w:line="360" w:lineRule="auto"/>
        <w:ind w:firstLine="480" w:firstLineChars="200"/>
        <w:jc w:val="left"/>
        <w:rPr>
          <w:rFonts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5491DD14">
      <w:pPr>
        <w:pStyle w:val="23"/>
        <w:snapToGrid w:val="0"/>
        <w:spacing w:line="360" w:lineRule="auto"/>
        <w:ind w:firstLine="480" w:firstLineChars="200"/>
        <w:jc w:val="left"/>
        <w:rPr>
          <w:rFonts w:hAnsi="宋体"/>
          <w:bCs/>
          <w:color w:val="auto"/>
          <w:sz w:val="24"/>
          <w:szCs w:val="24"/>
          <w:highlight w:val="none"/>
        </w:rPr>
      </w:pPr>
      <w:r>
        <w:rPr>
          <w:rFonts w:hint="eastAsia" w:hAnsi="宋体"/>
          <w:bCs/>
          <w:color w:val="auto"/>
          <w:sz w:val="24"/>
          <w:szCs w:val="24"/>
          <w:highlight w:val="none"/>
        </w:rPr>
        <w:t>联系人：</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6263A64B">
      <w:pPr>
        <w:pStyle w:val="23"/>
        <w:snapToGrid w:val="0"/>
        <w:spacing w:line="360" w:lineRule="auto"/>
        <w:ind w:firstLine="482" w:firstLineChars="200"/>
        <w:rPr>
          <w:rFonts w:hAnsi="宋体"/>
          <w:b/>
          <w:bCs/>
          <w:color w:val="auto"/>
          <w:sz w:val="24"/>
          <w:szCs w:val="24"/>
          <w:highlight w:val="none"/>
        </w:rPr>
      </w:pPr>
      <w:r>
        <w:rPr>
          <w:rFonts w:hint="eastAsia" w:hAnsi="宋体"/>
          <w:b/>
          <w:bCs/>
          <w:color w:val="auto"/>
          <w:sz w:val="24"/>
          <w:szCs w:val="24"/>
          <w:highlight w:val="none"/>
        </w:rPr>
        <w:t>二、投诉项目基本情况：</w:t>
      </w:r>
    </w:p>
    <w:p w14:paraId="137FE216">
      <w:pPr>
        <w:pStyle w:val="23"/>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招标项目的名称：</w:t>
      </w:r>
      <w:r>
        <w:rPr>
          <w:rFonts w:hint="eastAsia" w:hAnsi="宋体"/>
          <w:bCs/>
          <w:color w:val="auto"/>
          <w:sz w:val="24"/>
          <w:szCs w:val="24"/>
          <w:highlight w:val="none"/>
          <w:u w:val="single"/>
        </w:rPr>
        <w:t xml:space="preserve">                                                                   </w:t>
      </w:r>
    </w:p>
    <w:p w14:paraId="5BF67DA0">
      <w:pPr>
        <w:pStyle w:val="23"/>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招标项目的编号：</w:t>
      </w:r>
      <w:r>
        <w:rPr>
          <w:rFonts w:hint="eastAsia" w:hAnsi="宋体"/>
          <w:bCs/>
          <w:color w:val="auto"/>
          <w:sz w:val="24"/>
          <w:szCs w:val="24"/>
          <w:highlight w:val="none"/>
          <w:u w:val="single"/>
        </w:rPr>
        <w:t xml:space="preserve">                                          </w:t>
      </w:r>
    </w:p>
    <w:p w14:paraId="30FFB86B">
      <w:pPr>
        <w:pStyle w:val="23"/>
        <w:spacing w:line="360" w:lineRule="auto"/>
        <w:ind w:left="25" w:leftChars="12" w:firstLine="472" w:firstLineChars="197"/>
        <w:rPr>
          <w:rFonts w:hAnsi="宋体"/>
          <w:bCs/>
          <w:color w:val="auto"/>
          <w:sz w:val="24"/>
          <w:szCs w:val="24"/>
          <w:highlight w:val="none"/>
          <w:u w:val="single"/>
        </w:rPr>
      </w:pPr>
      <w:r>
        <w:rPr>
          <w:rFonts w:hint="eastAsia" w:hAnsi="宋体"/>
          <w:color w:val="auto"/>
          <w:sz w:val="24"/>
          <w:szCs w:val="24"/>
          <w:highlight w:val="none"/>
        </w:rPr>
        <w:t>采购人名称：</w:t>
      </w:r>
      <w:r>
        <w:rPr>
          <w:rFonts w:hint="eastAsia" w:hAnsi="宋体"/>
          <w:bCs/>
          <w:color w:val="auto"/>
          <w:sz w:val="24"/>
          <w:szCs w:val="24"/>
          <w:highlight w:val="none"/>
          <w:u w:val="single"/>
        </w:rPr>
        <w:t xml:space="preserve">                                                                        </w:t>
      </w:r>
    </w:p>
    <w:p w14:paraId="3547069F">
      <w:pPr>
        <w:pStyle w:val="23"/>
        <w:spacing w:line="360" w:lineRule="auto"/>
        <w:ind w:left="25" w:leftChars="12" w:firstLine="472" w:firstLineChars="197"/>
        <w:rPr>
          <w:rFonts w:hAnsi="宋体"/>
          <w:bCs/>
          <w:color w:val="auto"/>
          <w:sz w:val="24"/>
          <w:szCs w:val="24"/>
          <w:highlight w:val="none"/>
          <w:u w:val="single"/>
        </w:rPr>
      </w:pPr>
      <w:r>
        <w:rPr>
          <w:rFonts w:hint="eastAsia" w:hAnsi="宋体"/>
          <w:color w:val="auto"/>
          <w:sz w:val="24"/>
          <w:szCs w:val="24"/>
          <w:highlight w:val="none"/>
        </w:rPr>
        <w:t>代理机构名称：</w:t>
      </w:r>
      <w:r>
        <w:rPr>
          <w:rFonts w:hint="eastAsia" w:hAnsi="宋体"/>
          <w:bCs/>
          <w:color w:val="auto"/>
          <w:sz w:val="24"/>
          <w:szCs w:val="24"/>
          <w:highlight w:val="none"/>
          <w:u w:val="single"/>
        </w:rPr>
        <w:t xml:space="preserve">                                                                      </w:t>
      </w:r>
    </w:p>
    <w:p w14:paraId="3C23A8BF">
      <w:pPr>
        <w:pStyle w:val="23"/>
        <w:spacing w:line="360" w:lineRule="auto"/>
        <w:ind w:left="25" w:leftChars="12" w:firstLine="472" w:firstLineChars="197"/>
        <w:rPr>
          <w:rFonts w:hAnsi="宋体"/>
          <w:bCs/>
          <w:color w:val="auto"/>
          <w:sz w:val="24"/>
          <w:szCs w:val="24"/>
          <w:highlight w:val="none"/>
          <w:u w:val="single"/>
        </w:rPr>
      </w:pPr>
      <w:r>
        <w:rPr>
          <w:rFonts w:hint="eastAsia" w:hAnsi="宋体"/>
          <w:color w:val="auto"/>
          <w:sz w:val="24"/>
          <w:szCs w:val="24"/>
          <w:highlight w:val="none"/>
        </w:rPr>
        <w:t>招标</w:t>
      </w:r>
      <w:r>
        <w:rPr>
          <w:rFonts w:hint="eastAsia" w:hAnsi="宋体"/>
          <w:bCs/>
          <w:color w:val="auto"/>
          <w:sz w:val="24"/>
          <w:szCs w:val="24"/>
          <w:highlight w:val="none"/>
        </w:rPr>
        <w:t>文件公告：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r>
        <w:rPr>
          <w:rFonts w:hint="eastAsia" w:hAnsi="宋体"/>
          <w:bCs/>
          <w:color w:val="auto"/>
          <w:sz w:val="24"/>
          <w:szCs w:val="24"/>
          <w:highlight w:val="none"/>
          <w:u w:val="single"/>
        </w:rPr>
        <w:t xml:space="preserve">                                                       </w:t>
      </w:r>
    </w:p>
    <w:p w14:paraId="1B1C34B9">
      <w:pPr>
        <w:pStyle w:val="23"/>
        <w:spacing w:line="360" w:lineRule="auto"/>
        <w:ind w:left="25" w:leftChars="12" w:firstLine="472" w:firstLineChars="197"/>
        <w:rPr>
          <w:rFonts w:hAnsi="宋体"/>
          <w:b/>
          <w:color w:val="auto"/>
          <w:sz w:val="24"/>
          <w:szCs w:val="24"/>
          <w:highlight w:val="none"/>
        </w:rPr>
      </w:pPr>
      <w:r>
        <w:rPr>
          <w:rFonts w:hint="eastAsia" w:hAnsi="宋体"/>
          <w:color w:val="auto"/>
          <w:sz w:val="24"/>
          <w:highlight w:val="none"/>
        </w:rPr>
        <w:t>招标</w:t>
      </w:r>
      <w:r>
        <w:rPr>
          <w:rFonts w:hint="eastAsia" w:hAnsi="宋体"/>
          <w:bCs/>
          <w:color w:val="auto"/>
          <w:sz w:val="24"/>
          <w:highlight w:val="none"/>
        </w:rPr>
        <w:t>结果公告：</w:t>
      </w:r>
      <w:r>
        <w:rPr>
          <w:rFonts w:hint="eastAsia" w:hAnsi="宋体"/>
          <w:bCs/>
          <w:color w:val="auto"/>
          <w:sz w:val="24"/>
          <w:highlight w:val="none"/>
          <w:u w:val="single"/>
        </w:rPr>
        <w:t>是</w:t>
      </w:r>
      <w:r>
        <w:rPr>
          <w:rFonts w:hAnsi="宋体"/>
          <w:bCs/>
          <w:color w:val="auto"/>
          <w:sz w:val="24"/>
          <w:highlight w:val="none"/>
          <w:u w:val="single"/>
        </w:rPr>
        <w:t>/</w:t>
      </w:r>
      <w:r>
        <w:rPr>
          <w:rFonts w:hint="eastAsia" w:hAnsi="宋体"/>
          <w:bCs/>
          <w:color w:val="auto"/>
          <w:sz w:val="24"/>
          <w:highlight w:val="none"/>
          <w:u w:val="single"/>
        </w:rPr>
        <w:t>否</w:t>
      </w:r>
      <w:r>
        <w:rPr>
          <w:rFonts w:hint="eastAsia" w:hAnsi="宋体"/>
          <w:bCs/>
          <w:color w:val="auto"/>
          <w:sz w:val="24"/>
          <w:highlight w:val="none"/>
        </w:rPr>
        <w:t>公告期限：</w:t>
      </w:r>
      <w:r>
        <w:rPr>
          <w:rFonts w:hAnsi="宋体"/>
          <w:bCs/>
          <w:color w:val="auto"/>
          <w:sz w:val="24"/>
          <w:highlight w:val="none"/>
          <w:u w:val="single"/>
        </w:rPr>
        <w:t xml:space="preserve">                                      </w:t>
      </w:r>
      <w:r>
        <w:rPr>
          <w:rFonts w:hint="eastAsia" w:hAnsi="宋体"/>
          <w:bCs/>
          <w:color w:val="auto"/>
          <w:sz w:val="24"/>
          <w:szCs w:val="24"/>
          <w:highlight w:val="none"/>
          <w:u w:val="single"/>
        </w:rPr>
        <w:t xml:space="preserve">              </w:t>
      </w:r>
    </w:p>
    <w:p w14:paraId="770DE2F1">
      <w:pPr>
        <w:pStyle w:val="23"/>
        <w:spacing w:line="360" w:lineRule="auto"/>
        <w:ind w:left="25" w:leftChars="12" w:firstLine="472" w:firstLineChars="196"/>
        <w:rPr>
          <w:rFonts w:hAnsi="宋体"/>
          <w:b/>
          <w:color w:val="auto"/>
          <w:sz w:val="24"/>
          <w:szCs w:val="24"/>
          <w:highlight w:val="none"/>
        </w:rPr>
      </w:pPr>
      <w:r>
        <w:rPr>
          <w:rFonts w:hint="eastAsia" w:hAnsi="宋体"/>
          <w:b/>
          <w:color w:val="auto"/>
          <w:sz w:val="24"/>
          <w:szCs w:val="24"/>
          <w:highlight w:val="none"/>
        </w:rPr>
        <w:t>三、质疑基本情况</w:t>
      </w:r>
    </w:p>
    <w:p w14:paraId="23B64A4B">
      <w:pPr>
        <w:pStyle w:val="23"/>
        <w:spacing w:line="360" w:lineRule="auto"/>
        <w:ind w:left="25" w:leftChars="12" w:firstLine="480" w:firstLineChars="200"/>
        <w:rPr>
          <w:rFonts w:hAnsi="宋体"/>
          <w:color w:val="auto"/>
          <w:sz w:val="24"/>
          <w:szCs w:val="24"/>
          <w:highlight w:val="none"/>
        </w:rPr>
      </w:pPr>
      <w:r>
        <w:rPr>
          <w:rFonts w:hint="eastAsia" w:hAnsi="宋体"/>
          <w:color w:val="auto"/>
          <w:sz w:val="24"/>
          <w:szCs w:val="24"/>
          <w:highlight w:val="none"/>
        </w:rPr>
        <w:t>投诉人于</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日，向</w:t>
      </w:r>
      <w:r>
        <w:rPr>
          <w:rFonts w:hint="eastAsia" w:hAnsi="宋体"/>
          <w:color w:val="auto"/>
          <w:sz w:val="24"/>
          <w:szCs w:val="24"/>
          <w:highlight w:val="none"/>
          <w:u w:val="single"/>
        </w:rPr>
        <w:t xml:space="preserve">                                </w:t>
      </w:r>
      <w:r>
        <w:rPr>
          <w:rFonts w:hint="eastAsia" w:hAnsi="宋体"/>
          <w:color w:val="auto"/>
          <w:sz w:val="24"/>
          <w:szCs w:val="24"/>
          <w:highlight w:val="none"/>
        </w:rPr>
        <w:t>提出质疑，质疑事项为：</w:t>
      </w:r>
    </w:p>
    <w:p w14:paraId="25F609C8">
      <w:pPr>
        <w:pStyle w:val="23"/>
        <w:spacing w:line="360" w:lineRule="auto"/>
        <w:ind w:firstLine="241"/>
        <w:rPr>
          <w:rFonts w:hAnsi="宋体"/>
          <w:bCs/>
          <w:color w:val="auto"/>
          <w:sz w:val="24"/>
          <w:szCs w:val="24"/>
          <w:highlight w:val="none"/>
          <w:u w:val="single"/>
        </w:rPr>
      </w:pP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6BAE87EF">
      <w:pPr>
        <w:pStyle w:val="23"/>
        <w:spacing w:line="360" w:lineRule="auto"/>
        <w:ind w:firstLine="241"/>
        <w:rPr>
          <w:rFonts w:hAnsi="宋体"/>
          <w:bCs/>
          <w:color w:val="auto"/>
          <w:sz w:val="24"/>
          <w:szCs w:val="24"/>
          <w:highlight w:val="none"/>
          <w:u w:val="single"/>
        </w:rPr>
      </w:pPr>
      <w:r>
        <w:rPr>
          <w:rFonts w:hint="eastAsia" w:hAnsi="宋体"/>
          <w:bCs/>
          <w:color w:val="auto"/>
          <w:sz w:val="24"/>
          <w:szCs w:val="24"/>
          <w:highlight w:val="none"/>
        </w:rPr>
        <w:t xml:space="preserve">    </w:t>
      </w:r>
      <w:r>
        <w:rPr>
          <w:rFonts w:hint="eastAsia" w:hAnsi="宋体"/>
          <w:bCs/>
          <w:color w:val="auto"/>
          <w:sz w:val="24"/>
          <w:szCs w:val="24"/>
          <w:highlight w:val="none"/>
          <w:u w:val="single"/>
        </w:rPr>
        <w:t xml:space="preserve">                                                                                      </w:t>
      </w:r>
    </w:p>
    <w:p w14:paraId="6DED25B7">
      <w:pPr>
        <w:pStyle w:val="23"/>
        <w:spacing w:line="360" w:lineRule="auto"/>
        <w:ind w:firstLine="480" w:firstLineChars="200"/>
        <w:rPr>
          <w:rFonts w:hAnsi="宋体"/>
          <w:color w:val="auto"/>
          <w:sz w:val="24"/>
          <w:szCs w:val="24"/>
          <w:highlight w:val="none"/>
        </w:rPr>
      </w:pPr>
      <w:r>
        <w:rPr>
          <w:rFonts w:hint="eastAsia" w:hAnsi="宋体"/>
          <w:bCs/>
          <w:color w:val="auto"/>
          <w:sz w:val="24"/>
          <w:szCs w:val="24"/>
          <w:highlight w:val="none"/>
          <w:u w:val="single"/>
        </w:rPr>
        <w:t>采购人/代理机构</w:t>
      </w:r>
      <w:r>
        <w:rPr>
          <w:rFonts w:hint="eastAsia" w:hAnsi="宋体"/>
          <w:bCs/>
          <w:color w:val="auto"/>
          <w:sz w:val="24"/>
          <w:szCs w:val="24"/>
          <w:highlight w:val="none"/>
        </w:rPr>
        <w:t>于</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w:t>
      </w:r>
      <w:r>
        <w:rPr>
          <w:rFonts w:hint="eastAsia" w:hAnsi="宋体"/>
          <w:bCs/>
          <w:color w:val="auto"/>
          <w:sz w:val="24"/>
          <w:szCs w:val="24"/>
          <w:highlight w:val="none"/>
        </w:rPr>
        <w:t xml:space="preserve">就质疑事项作出了答复/没有在法定期限内作出答复。                                                                                             </w:t>
      </w:r>
    </w:p>
    <w:p w14:paraId="4AC97D9C">
      <w:pPr>
        <w:pStyle w:val="23"/>
        <w:spacing w:line="360" w:lineRule="auto"/>
        <w:ind w:left="25" w:leftChars="12" w:firstLine="472" w:firstLineChars="196"/>
        <w:rPr>
          <w:rFonts w:hAnsi="宋体"/>
          <w:b/>
          <w:color w:val="auto"/>
          <w:sz w:val="24"/>
          <w:szCs w:val="24"/>
          <w:highlight w:val="none"/>
        </w:rPr>
      </w:pPr>
      <w:r>
        <w:rPr>
          <w:rFonts w:hint="eastAsia" w:hAnsi="宋体"/>
          <w:b/>
          <w:color w:val="auto"/>
          <w:sz w:val="24"/>
          <w:szCs w:val="24"/>
          <w:highlight w:val="none"/>
        </w:rPr>
        <w:t>四、投诉事项具体内容</w:t>
      </w:r>
    </w:p>
    <w:p w14:paraId="23BD143D">
      <w:pPr>
        <w:pStyle w:val="23"/>
        <w:spacing w:line="360" w:lineRule="auto"/>
        <w:ind w:left="25" w:leftChars="12" w:firstLine="472" w:firstLineChars="197"/>
        <w:rPr>
          <w:rFonts w:hAnsi="宋体"/>
          <w:bCs/>
          <w:color w:val="auto"/>
          <w:sz w:val="24"/>
          <w:szCs w:val="24"/>
          <w:highlight w:val="none"/>
          <w:u w:val="single"/>
        </w:rPr>
      </w:pPr>
      <w:r>
        <w:rPr>
          <w:rFonts w:hint="eastAsia" w:hAnsi="宋体"/>
          <w:color w:val="auto"/>
          <w:sz w:val="24"/>
          <w:szCs w:val="24"/>
          <w:highlight w:val="none"/>
        </w:rPr>
        <w:t>投诉事项1：</w:t>
      </w:r>
      <w:r>
        <w:rPr>
          <w:rFonts w:hint="eastAsia" w:hAnsi="宋体"/>
          <w:bCs/>
          <w:color w:val="auto"/>
          <w:sz w:val="24"/>
          <w:szCs w:val="24"/>
          <w:highlight w:val="none"/>
          <w:u w:val="single"/>
        </w:rPr>
        <w:t xml:space="preserve">                                                                           </w:t>
      </w:r>
    </w:p>
    <w:p w14:paraId="32867CCE">
      <w:pPr>
        <w:pStyle w:val="23"/>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事实依据：</w:t>
      </w: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35F0FA2F">
      <w:pPr>
        <w:pStyle w:val="23"/>
        <w:spacing w:line="360" w:lineRule="auto"/>
        <w:ind w:left="25" w:leftChars="12" w:firstLine="472" w:firstLineChars="197"/>
        <w:rPr>
          <w:rFonts w:hAnsi="宋体"/>
          <w:color w:val="auto"/>
          <w:sz w:val="24"/>
          <w:szCs w:val="24"/>
          <w:highlight w:val="none"/>
        </w:rPr>
      </w:pPr>
      <w:r>
        <w:rPr>
          <w:rFonts w:hint="eastAsia" w:hAnsi="宋体"/>
          <w:bCs/>
          <w:color w:val="auto"/>
          <w:sz w:val="24"/>
          <w:szCs w:val="24"/>
          <w:highlight w:val="none"/>
          <w:u w:val="single"/>
        </w:rPr>
        <w:t xml:space="preserve">                                                                                        </w:t>
      </w:r>
    </w:p>
    <w:p w14:paraId="47AAF3DE">
      <w:pPr>
        <w:pStyle w:val="23"/>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法律依据：</w:t>
      </w: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6F283D5C">
      <w:pPr>
        <w:pStyle w:val="23"/>
        <w:spacing w:line="360" w:lineRule="auto"/>
        <w:ind w:left="25" w:leftChars="12" w:firstLine="352" w:firstLineChars="147"/>
        <w:rPr>
          <w:rFonts w:hAnsi="宋体"/>
          <w:bCs/>
          <w:color w:val="auto"/>
          <w:sz w:val="24"/>
          <w:szCs w:val="24"/>
          <w:highlight w:val="none"/>
          <w:u w:val="single"/>
        </w:rPr>
      </w:pPr>
      <w:r>
        <w:rPr>
          <w:rFonts w:hint="eastAsia" w:hAnsi="宋体"/>
          <w:bCs/>
          <w:color w:val="auto"/>
          <w:sz w:val="24"/>
          <w:szCs w:val="24"/>
          <w:highlight w:val="none"/>
        </w:rPr>
        <w:t xml:space="preserve"> </w:t>
      </w:r>
      <w:r>
        <w:rPr>
          <w:rFonts w:hint="eastAsia" w:hAnsi="宋体"/>
          <w:bCs/>
          <w:color w:val="auto"/>
          <w:sz w:val="24"/>
          <w:szCs w:val="24"/>
          <w:highlight w:val="none"/>
          <w:u w:val="single"/>
        </w:rPr>
        <w:t xml:space="preserve">                                                                                        </w:t>
      </w:r>
    </w:p>
    <w:p w14:paraId="32B12B7A">
      <w:pPr>
        <w:pStyle w:val="23"/>
        <w:spacing w:line="360" w:lineRule="auto"/>
        <w:ind w:left="25" w:leftChars="12" w:firstLine="472" w:firstLineChars="197"/>
        <w:rPr>
          <w:rFonts w:hAnsi="宋体"/>
          <w:bCs/>
          <w:color w:val="auto"/>
          <w:sz w:val="24"/>
          <w:szCs w:val="24"/>
          <w:highlight w:val="none"/>
        </w:rPr>
      </w:pPr>
      <w:r>
        <w:rPr>
          <w:rFonts w:hint="eastAsia" w:hAnsi="宋体"/>
          <w:color w:val="auto"/>
          <w:sz w:val="24"/>
          <w:szCs w:val="24"/>
          <w:highlight w:val="none"/>
        </w:rPr>
        <w:t xml:space="preserve">投诉事项2  </w:t>
      </w:r>
      <w:r>
        <w:rPr>
          <w:rFonts w:hint="eastAsia" w:hAnsi="宋体"/>
          <w:bCs/>
          <w:color w:val="auto"/>
          <w:sz w:val="24"/>
          <w:szCs w:val="24"/>
          <w:highlight w:val="none"/>
        </w:rPr>
        <w:t xml:space="preserve">   </w:t>
      </w:r>
    </w:p>
    <w:p w14:paraId="43238C53">
      <w:pPr>
        <w:pStyle w:val="23"/>
        <w:spacing w:line="360" w:lineRule="auto"/>
        <w:ind w:left="25" w:leftChars="12" w:firstLine="472" w:firstLineChars="197"/>
        <w:rPr>
          <w:rFonts w:hAnsi="宋体"/>
          <w:bCs/>
          <w:color w:val="auto"/>
          <w:sz w:val="24"/>
          <w:szCs w:val="24"/>
          <w:highlight w:val="none"/>
        </w:rPr>
      </w:pPr>
      <w:r>
        <w:rPr>
          <w:rFonts w:hAnsi="宋体"/>
          <w:bCs/>
          <w:color w:val="auto"/>
          <w:sz w:val="24"/>
          <w:szCs w:val="24"/>
          <w:highlight w:val="none"/>
        </w:rPr>
        <w:t>……</w:t>
      </w:r>
    </w:p>
    <w:p w14:paraId="7F1DAE91">
      <w:pPr>
        <w:pStyle w:val="23"/>
        <w:spacing w:line="360" w:lineRule="auto"/>
        <w:ind w:left="25" w:leftChars="12" w:firstLine="472" w:firstLineChars="196"/>
        <w:rPr>
          <w:rFonts w:hAnsi="宋体"/>
          <w:b/>
          <w:color w:val="auto"/>
          <w:sz w:val="24"/>
          <w:szCs w:val="24"/>
          <w:highlight w:val="none"/>
        </w:rPr>
      </w:pPr>
      <w:r>
        <w:rPr>
          <w:rFonts w:hint="eastAsia" w:hAnsi="宋体"/>
          <w:b/>
          <w:color w:val="auto"/>
          <w:sz w:val="24"/>
          <w:szCs w:val="24"/>
          <w:highlight w:val="none"/>
        </w:rPr>
        <w:t>五、与投诉事项相关的投诉请求：</w:t>
      </w:r>
    </w:p>
    <w:p w14:paraId="3FF4C12A">
      <w:pPr>
        <w:pStyle w:val="23"/>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请求：</w:t>
      </w:r>
      <w:r>
        <w:rPr>
          <w:rFonts w:hint="eastAsia" w:hAnsi="宋体"/>
          <w:bCs/>
          <w:color w:val="auto"/>
          <w:sz w:val="24"/>
          <w:szCs w:val="24"/>
          <w:highlight w:val="none"/>
          <w:u w:val="single"/>
        </w:rPr>
        <w:t xml:space="preserve">                                                                                 </w:t>
      </w:r>
    </w:p>
    <w:p w14:paraId="243B15A0">
      <w:pPr>
        <w:pStyle w:val="23"/>
        <w:spacing w:line="360" w:lineRule="auto"/>
        <w:ind w:left="25" w:leftChars="12" w:firstLine="352" w:firstLineChars="147"/>
        <w:rPr>
          <w:rFonts w:hAnsi="宋体"/>
          <w:color w:val="auto"/>
          <w:sz w:val="24"/>
          <w:szCs w:val="24"/>
          <w:highlight w:val="none"/>
        </w:rPr>
      </w:pPr>
    </w:p>
    <w:p w14:paraId="05A0F860">
      <w:pPr>
        <w:pStyle w:val="23"/>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签字（签章）：                                       公章：</w:t>
      </w:r>
    </w:p>
    <w:p w14:paraId="3F7BEDB1">
      <w:pPr>
        <w:pStyle w:val="23"/>
        <w:spacing w:line="360" w:lineRule="auto"/>
        <w:ind w:left="25" w:leftChars="12" w:firstLine="352" w:firstLineChars="147"/>
        <w:rPr>
          <w:rFonts w:hAnsi="宋体"/>
          <w:color w:val="auto"/>
          <w:sz w:val="24"/>
          <w:szCs w:val="24"/>
          <w:highlight w:val="none"/>
        </w:rPr>
      </w:pPr>
    </w:p>
    <w:p w14:paraId="6D453145">
      <w:pPr>
        <w:pStyle w:val="23"/>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日期：</w:t>
      </w:r>
    </w:p>
    <w:p w14:paraId="0F831432">
      <w:pPr>
        <w:pStyle w:val="23"/>
        <w:spacing w:line="360" w:lineRule="auto"/>
        <w:ind w:left="25" w:leftChars="12" w:firstLine="472" w:firstLineChars="197"/>
        <w:rPr>
          <w:rFonts w:hAnsi="宋体"/>
          <w:b/>
          <w:color w:val="auto"/>
          <w:sz w:val="24"/>
          <w:szCs w:val="24"/>
          <w:highlight w:val="none"/>
        </w:rPr>
      </w:pPr>
      <w:r>
        <w:rPr>
          <w:rFonts w:hint="eastAsia" w:hAnsi="宋体"/>
          <w:bCs/>
          <w:color w:val="auto"/>
          <w:sz w:val="24"/>
          <w:szCs w:val="24"/>
          <w:highlight w:val="none"/>
        </w:rPr>
        <w:t xml:space="preserve">                                                                                </w:t>
      </w:r>
      <w:r>
        <w:rPr>
          <w:rFonts w:hint="eastAsia" w:hAnsi="宋体"/>
          <w:b/>
          <w:color w:val="auto"/>
          <w:sz w:val="24"/>
          <w:szCs w:val="24"/>
          <w:highlight w:val="none"/>
        </w:rPr>
        <w:t>说明：</w:t>
      </w:r>
    </w:p>
    <w:p w14:paraId="07FECEBC">
      <w:pPr>
        <w:pStyle w:val="23"/>
        <w:spacing w:line="360" w:lineRule="auto"/>
        <w:ind w:left="25" w:leftChars="12" w:firstLine="354" w:firstLineChars="147"/>
        <w:rPr>
          <w:rFonts w:hAnsi="宋体"/>
          <w:b/>
          <w:bCs/>
          <w:color w:val="auto"/>
          <w:sz w:val="24"/>
          <w:szCs w:val="24"/>
          <w:highlight w:val="none"/>
        </w:rPr>
      </w:pPr>
      <w:r>
        <w:rPr>
          <w:rFonts w:hint="eastAsia" w:hAnsi="宋体"/>
          <w:b/>
          <w:color w:val="auto"/>
          <w:sz w:val="24"/>
          <w:szCs w:val="24"/>
          <w:highlight w:val="none"/>
        </w:rPr>
        <w:t>1.投诉人提起投诉时，应当提交投诉书和必要的证明材料，并按照被投诉人和与投诉事项有关的供应商数量提供投诉书副本</w:t>
      </w:r>
      <w:r>
        <w:rPr>
          <w:rFonts w:hint="eastAsia" w:hAnsi="宋体"/>
          <w:b/>
          <w:bCs/>
          <w:color w:val="auto"/>
          <w:sz w:val="24"/>
          <w:szCs w:val="24"/>
          <w:highlight w:val="none"/>
        </w:rPr>
        <w:t>。</w:t>
      </w:r>
    </w:p>
    <w:p w14:paraId="6D29FE1E">
      <w:pPr>
        <w:pStyle w:val="23"/>
        <w:spacing w:line="360" w:lineRule="auto"/>
        <w:ind w:left="25" w:leftChars="12" w:firstLine="354" w:firstLineChars="147"/>
        <w:rPr>
          <w:rFonts w:hAnsi="宋体"/>
          <w:b/>
          <w:color w:val="auto"/>
          <w:sz w:val="24"/>
          <w:szCs w:val="24"/>
          <w:highlight w:val="none"/>
        </w:rPr>
      </w:pPr>
      <w:r>
        <w:rPr>
          <w:rFonts w:hint="eastAsia" w:hAnsi="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1D5CD075">
      <w:pPr>
        <w:pStyle w:val="23"/>
        <w:spacing w:line="360" w:lineRule="auto"/>
        <w:ind w:left="25" w:leftChars="12" w:firstLine="354" w:firstLineChars="147"/>
        <w:rPr>
          <w:rFonts w:hAnsi="宋体"/>
          <w:b/>
          <w:color w:val="auto"/>
          <w:sz w:val="24"/>
          <w:szCs w:val="24"/>
          <w:highlight w:val="none"/>
        </w:rPr>
      </w:pPr>
      <w:r>
        <w:rPr>
          <w:rFonts w:hint="eastAsia" w:hAnsi="宋体"/>
          <w:b/>
          <w:color w:val="auto"/>
          <w:sz w:val="24"/>
          <w:szCs w:val="24"/>
          <w:highlight w:val="none"/>
        </w:rPr>
        <w:t>3.投诉书应简要列明质疑事项，质疑函、质疑答复等作为附件材料提供。</w:t>
      </w:r>
    </w:p>
    <w:p w14:paraId="04F49032">
      <w:pPr>
        <w:pStyle w:val="23"/>
        <w:spacing w:line="360" w:lineRule="auto"/>
        <w:ind w:left="25" w:leftChars="12" w:firstLine="354" w:firstLineChars="147"/>
        <w:rPr>
          <w:rFonts w:hAnsi="宋体"/>
          <w:b/>
          <w:color w:val="auto"/>
          <w:sz w:val="24"/>
          <w:szCs w:val="24"/>
          <w:highlight w:val="none"/>
        </w:rPr>
      </w:pPr>
      <w:r>
        <w:rPr>
          <w:rFonts w:hint="eastAsia" w:hAnsi="宋体"/>
          <w:b/>
          <w:color w:val="auto"/>
          <w:sz w:val="24"/>
          <w:szCs w:val="24"/>
          <w:highlight w:val="none"/>
        </w:rPr>
        <w:t>4.投诉书的投诉事项应具体、明确，并有必要的事实依据和法律依据。</w:t>
      </w:r>
    </w:p>
    <w:p w14:paraId="24AC49DE">
      <w:pPr>
        <w:pStyle w:val="23"/>
        <w:spacing w:line="360" w:lineRule="auto"/>
        <w:ind w:left="25" w:leftChars="12" w:firstLine="354" w:firstLineChars="147"/>
        <w:rPr>
          <w:rFonts w:hAnsi="宋体"/>
          <w:b/>
          <w:color w:val="auto"/>
          <w:sz w:val="24"/>
          <w:szCs w:val="24"/>
          <w:highlight w:val="none"/>
        </w:rPr>
      </w:pPr>
      <w:r>
        <w:rPr>
          <w:rFonts w:hint="eastAsia" w:hAnsi="宋体"/>
          <w:b/>
          <w:color w:val="auto"/>
          <w:sz w:val="24"/>
          <w:szCs w:val="24"/>
          <w:highlight w:val="none"/>
        </w:rPr>
        <w:t>5.投诉书的投诉请求应与投诉事项相关。</w:t>
      </w:r>
    </w:p>
    <w:p w14:paraId="3AC5541B">
      <w:pPr>
        <w:pStyle w:val="23"/>
        <w:spacing w:line="360" w:lineRule="auto"/>
        <w:ind w:left="25" w:leftChars="12" w:firstLine="354" w:firstLineChars="147"/>
        <w:rPr>
          <w:color w:val="auto"/>
          <w:highlight w:val="none"/>
        </w:rPr>
      </w:pPr>
      <w:r>
        <w:rPr>
          <w:rFonts w:hint="eastAsia" w:hAnsi="宋体"/>
          <w:b/>
          <w:color w:val="auto"/>
          <w:sz w:val="24"/>
          <w:szCs w:val="24"/>
          <w:highlight w:val="none"/>
        </w:rPr>
        <w:t>6.投诉人为法人或者其他组织的，投诉书应由法定代表人、主要负责人，或者其授权代表签字或者盖章，并加盖公章。</w:t>
      </w:r>
    </w:p>
    <w:sectPr>
      <w:footerReference r:id="rId17" w:type="first"/>
      <w:headerReference r:id="rId14" w:type="default"/>
      <w:footerReference r:id="rId15" w:type="default"/>
      <w:footerReference r:id="rId16" w:type="even"/>
      <w:pgSz w:w="11906" w:h="16838"/>
      <w:pgMar w:top="1134" w:right="1503" w:bottom="1559" w:left="1678"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2C5CE555-63B3-4714-9ED0-151B871B3C3E}"/>
  </w:font>
  <w:font w:name="黑体">
    <w:panose1 w:val="02010609060101010101"/>
    <w:charset w:val="86"/>
    <w:family w:val="auto"/>
    <w:pitch w:val="default"/>
    <w:sig w:usb0="800002BF" w:usb1="38CF7CFA" w:usb2="00000016" w:usb3="00000000" w:csb0="00040001" w:csb1="00000000"/>
    <w:embedRegular r:id="rId2" w:fontKey="{7DEE2935-26A3-46BF-84F6-51DA1873DC7C}"/>
  </w:font>
  <w:font w:name="Courier New">
    <w:panose1 w:val="02070309020205020404"/>
    <w:charset w:val="01"/>
    <w:family w:val="modern"/>
    <w:pitch w:val="default"/>
    <w:sig w:usb0="E0002EFF" w:usb1="C0007843" w:usb2="00000009" w:usb3="00000000" w:csb0="400001FF" w:csb1="FFFF0000"/>
    <w:embedRegular r:id="rId3" w:fontKey="{744CD74F-31F8-4820-976B-1CADB7028825}"/>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4" w:fontKey="{9E5B5C12-9434-4514-9F84-10CE9E1A2B0C}"/>
  </w:font>
  <w:font w:name="仿宋_GB2312">
    <w:panose1 w:val="02010609030101010101"/>
    <w:charset w:val="86"/>
    <w:family w:val="modern"/>
    <w:pitch w:val="default"/>
    <w:sig w:usb0="00000001" w:usb1="080E0000" w:usb2="00000000" w:usb3="00000000" w:csb0="00040000" w:csb1="00000000"/>
    <w:embedRegular r:id="rId5" w:fontKey="{DF866AED-7B0E-4A42-A599-F188286CF167}"/>
  </w:font>
  <w:font w:name="Cambria">
    <w:panose1 w:val="02040503050406030204"/>
    <w:charset w:val="00"/>
    <w:family w:val="roman"/>
    <w:pitch w:val="default"/>
    <w:sig w:usb0="E00006FF" w:usb1="420024FF" w:usb2="02000000" w:usb3="00000000" w:csb0="2000019F" w:csb1="00000000"/>
  </w:font>
  <w:font w:name="_x000B__x000C_">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003F01FF" w:csb1="00000000"/>
    <w:embedRegular r:id="rId6" w:fontKey="{CC992E17-0A16-4459-8318-A5F7767FE404}"/>
  </w:font>
  <w:font w:name="Century">
    <w:altName w:val="Times New Roman"/>
    <w:panose1 w:val="02040604050505020304"/>
    <w:charset w:val="00"/>
    <w:family w:val="roman"/>
    <w:pitch w:val="default"/>
    <w:sig w:usb0="00000000" w:usb1="00000000" w:usb2="00000000" w:usb3="00000000" w:csb0="0000009F" w:csb1="00000000"/>
  </w:font>
  <w:font w:name="Helvetica">
    <w:panose1 w:val="020B0504020202030204"/>
    <w:charset w:val="00"/>
    <w:family w:val="swiss"/>
    <w:pitch w:val="default"/>
    <w:sig w:usb0="00000007" w:usb1="00000000" w:usb2="00000000" w:usb3="00000000" w:csb0="00000093" w:csb1="00000000"/>
  </w:font>
  <w:font w:name="方正小标宋简体">
    <w:panose1 w:val="02010600010101010101"/>
    <w:charset w:val="86"/>
    <w:family w:val="auto"/>
    <w:pitch w:val="default"/>
    <w:sig w:usb0="00000001" w:usb1="080E0000" w:usb2="00000000" w:usb3="00000000" w:csb0="00040000" w:csb1="00000000"/>
    <w:embedRegular r:id="rId7" w:fontKey="{89E8B608-9F1F-4F35-ACA6-302A72F88C3D}"/>
  </w:font>
  <w:font w:name="华文新魏">
    <w:panose1 w:val="02010800040101010101"/>
    <w:charset w:val="86"/>
    <w:family w:val="auto"/>
    <w:pitch w:val="default"/>
    <w:sig w:usb0="00000001" w:usb1="080F0000" w:usb2="00000000" w:usb3="00000000" w:csb0="00040000" w:csb1="00000000"/>
    <w:embedRegular r:id="rId8" w:fontKey="{E45CA5CE-66BA-41E3-AED9-D49E4FE245A8}"/>
  </w:font>
  <w:font w:name="等线">
    <w:panose1 w:val="02010600030101010101"/>
    <w:charset w:val="86"/>
    <w:family w:val="auto"/>
    <w:pitch w:val="default"/>
    <w:sig w:usb0="A00002BF" w:usb1="38CF7CFA" w:usb2="00000016" w:usb3="00000000" w:csb0="0004000F" w:csb1="00000000"/>
    <w:embedRegular r:id="rId9" w:fontKey="{2F5EF527-19C8-4368-AF74-B098F02F9ECB}"/>
  </w:font>
  <w:font w:name="微软雅黑">
    <w:panose1 w:val="020B0503020204020204"/>
    <w:charset w:val="86"/>
    <w:family w:val="swiss"/>
    <w:pitch w:val="default"/>
    <w:sig w:usb0="80000287" w:usb1="2ACF3C50" w:usb2="00000016" w:usb3="00000000" w:csb0="0004001F" w:csb1="00000000"/>
    <w:embedRegular r:id="rId10" w:fontKey="{82DDC77A-83A4-4A4F-BF30-D95D52AAEF45}"/>
  </w:font>
  <w:font w:name="MS Mincho">
    <w:altName w:val="MS Gothic"/>
    <w:panose1 w:val="02020609040205080304"/>
    <w:charset w:val="80"/>
    <w:family w:val="roman"/>
    <w:pitch w:val="default"/>
    <w:sig w:usb0="00000000" w:usb1="00000000" w:usb2="00000010" w:usb3="00000000" w:csb0="00020000" w:csb1="00000000"/>
    <w:embedRegular r:id="rId11" w:fontKey="{A8967A9E-536B-4A6B-A758-7FE1C714BE6C}"/>
  </w:font>
  <w:font w:name="MS Gothic">
    <w:panose1 w:val="020B0609070205080204"/>
    <w:charset w:val="80"/>
    <w:family w:val="auto"/>
    <w:pitch w:val="default"/>
    <w:sig w:usb0="E00002FF" w:usb1="6AC7FDFB" w:usb2="08000012" w:usb3="00000000" w:csb0="4002009F" w:csb1="DFD70000"/>
  </w:font>
  <w:font w:name="仿宋">
    <w:panose1 w:val="02010609060101010101"/>
    <w:charset w:val="86"/>
    <w:family w:val="modern"/>
    <w:pitch w:val="default"/>
    <w:sig w:usb0="800002BF" w:usb1="38CF7CFA" w:usb2="00000016" w:usb3="00000000" w:csb0="00040001" w:csb1="00000000"/>
    <w:embedRegular r:id="rId12" w:fontKey="{E0BE76F6-8D7F-4846-8AE1-F793CB0E40A3}"/>
  </w:font>
  <w:font w:name="隶书">
    <w:altName w:val="微软雅黑"/>
    <w:panose1 w:val="02010509060101010101"/>
    <w:charset w:val="86"/>
    <w:family w:val="modern"/>
    <w:pitch w:val="default"/>
    <w:sig w:usb0="00000000" w:usb1="00000000" w:usb2="00000010" w:usb3="00000000" w:csb0="00040000" w:csb1="00000000"/>
    <w:embedRegular r:id="rId13" w:fontKey="{E2DFC7BA-D723-48CF-9A96-DC6A2E43C455}"/>
  </w:font>
  <w:font w:name="WPSEMBED7">
    <w:panose1 w:val="02010800040101010101"/>
    <w:charset w:val="86"/>
    <w:family w:val="auto"/>
    <w:pitch w:val="default"/>
    <w:sig w:usb0="00000001" w:usb1="080F0000" w:usb2="00000000" w:usb3="00000000" w:csb0="00040000" w:csb1="00000000"/>
  </w:font>
  <w:font w:name="WPSEMBED6">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272F7C">
    <w:pPr>
      <w:pStyle w:val="2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D87A063">
                          <w:pPr>
                            <w:pStyle w:val="29"/>
                          </w:pPr>
                          <w:r>
                            <w:fldChar w:fldCharType="begin"/>
                          </w:r>
                          <w:r>
                            <w:instrText xml:space="preserve"> PAGE  \* MERGEFORMAT </w:instrText>
                          </w:r>
                          <w:r>
                            <w:fldChar w:fldCharType="separate"/>
                          </w:r>
                          <w:r>
                            <w:t>59</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4D87A063">
                    <w:pPr>
                      <w:pStyle w:val="29"/>
                    </w:pPr>
                    <w:r>
                      <w:fldChar w:fldCharType="begin"/>
                    </w:r>
                    <w:r>
                      <w:instrText xml:space="preserve"> PAGE  \* MERGEFORMAT </w:instrText>
                    </w:r>
                    <w:r>
                      <w:fldChar w:fldCharType="separate"/>
                    </w:r>
                    <w:r>
                      <w:t>59</w:t>
                    </w:r>
                    <w:r>
                      <w:fldChar w:fldCharType="end"/>
                    </w:r>
                  </w:p>
                </w:txbxContent>
              </v:textbox>
            </v:shape>
          </w:pict>
        </mc:Fallback>
      </mc:AlternateContent>
    </w:r>
  </w:p>
  <w:p w14:paraId="75EF5ABA">
    <w:pPr>
      <w:pStyle w:val="29"/>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76B649">
    <w:pPr>
      <w:pStyle w:val="29"/>
      <w:ind w:right="360"/>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08910D1">
                          <w:pPr>
                            <w:pStyle w:val="29"/>
                          </w:pPr>
                          <w:r>
                            <w:fldChar w:fldCharType="begin"/>
                          </w:r>
                          <w:r>
                            <w:instrText xml:space="preserve"> PAGE  \* MERGEFORMAT </w:instrText>
                          </w:r>
                          <w:r>
                            <w:fldChar w:fldCharType="separate"/>
                          </w:r>
                          <w:r>
                            <w:t>133</w:t>
                          </w:r>
                          <w:r>
                            <w:fldChar w:fldCharType="end"/>
                          </w:r>
                        </w:p>
                      </w:txbxContent>
                    </wps:txbx>
                    <wps:bodyPr wrap="none" lIns="0" tIns="0" rIns="0" bIns="0">
                      <a:spAutoFit/>
                    </wps:bodyPr>
                  </wps:wsp>
                </a:graphicData>
              </a:graphic>
            </wp:anchor>
          </w:drawing>
        </mc:Choice>
        <mc:Fallback>
          <w:pict>
            <v:shape id="文本框 1030"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Eo/YsMBAACQAwAADgAAAGRycy9lMm9Eb2MueG1srVPNjtMwEL4j8Q6W&#10;79RpQaiKmq5A1SIkBEjLPoDr2I0l/8njNukLwBtw4sKd5+pzMHbSFnYve9iLM54ZfzPfN5PVzWAN&#10;OcgI2ruGzmcVJdIJ32q3a+j9t9tXS0ogcddy451s6FECvVm/fLHqQy0XvvOmlZEgiIO6Dw3tUgo1&#10;YyA6aTnMfJAOg8pHyxNe4461kfeIbg1bVNVb1vvYhuiFBEDvZgzSCTE+BdArpYXceLG30qURNUrD&#10;E1KCTgeg69KtUlKkL0qBTMQ0FJmmcmIRtLf5ZOsVr3eRh06LqQX+lBYecLJcOyx6gdrwxMk+6kdQ&#10;Vovowas0E96ykUhRBFnMqwfa3HU8yMIFpYZwER2eD1Z8PnyNRLcNfUOJ4xYHfvr54/Trz+n3dzKv&#10;XheF+gA1Jt4FTE3Dez/g3mTlsh/QmYkPKtr8RUoE46jv8aKvHBIR+dFysVxWGBIYO18Qh12fhwjp&#10;g/SWZKOhEQdYdOWHT5DG1HNKrub8rTamDNG4/xyImT3s2mO20rAdpsa3vj0inx5n31CHq06J+ehQ&#10;2rwmZyOeje1k5BoQ3u0TFi79ZNQRaiqGgyqMpqXKm/DvvWRdf6T1X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BwSj9iwwEAAJADAAAOAAAAAAAAAAEAIAAAAB4BAABkcnMvZTJvRG9jLnhtbFBL&#10;BQYAAAAABgAGAFkBAABTBQAAAAA=&#10;">
              <v:fill on="f" focussize="0,0"/>
              <v:stroke on="f"/>
              <v:imagedata o:title=""/>
              <o:lock v:ext="edit" aspectratio="f"/>
              <v:textbox inset="0mm,0mm,0mm,0mm" style="mso-fit-shape-to-text:t;">
                <w:txbxContent>
                  <w:p w14:paraId="208910D1">
                    <w:pPr>
                      <w:pStyle w:val="29"/>
                    </w:pPr>
                    <w:r>
                      <w:fldChar w:fldCharType="begin"/>
                    </w:r>
                    <w:r>
                      <w:instrText xml:space="preserve"> PAGE  \* MERGEFORMAT </w:instrText>
                    </w:r>
                    <w:r>
                      <w:fldChar w:fldCharType="separate"/>
                    </w:r>
                    <w:r>
                      <w:t>133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AC1B0C">
    <w:pPr>
      <w:pStyle w:val="29"/>
      <w:jc w:val="cente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0E4A31">
                          <w:pPr>
                            <w:pStyle w:val="29"/>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140E4A31">
                    <w:pPr>
                      <w:pStyle w:val="29"/>
                    </w:pPr>
                    <w:r>
                      <w:fldChar w:fldCharType="begin"/>
                    </w:r>
                    <w:r>
                      <w:instrText xml:space="preserve"> PAGE  \* MERGEFORMAT </w:instrText>
                    </w:r>
                    <w:r>
                      <w:fldChar w:fldCharType="separate"/>
                    </w:r>
                    <w:r>
                      <w:t>27</w:t>
                    </w:r>
                    <w:r>
                      <w:fldChar w:fldCharType="end"/>
                    </w:r>
                  </w:p>
                </w:txbxContent>
              </v:textbox>
            </v:shape>
          </w:pict>
        </mc:Fallback>
      </mc:AlternateContent>
    </w:r>
  </w:p>
  <w:p w14:paraId="32C8165C">
    <w:pPr>
      <w:pStyle w:val="2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594EC1">
    <w:pPr>
      <w:pStyle w:val="29"/>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BE6310D">
                          <w:pPr>
                            <w:pStyle w:val="29"/>
                            <w:rPr>
                              <w:rStyle w:val="52"/>
                            </w:rPr>
                          </w:pPr>
                          <w:r>
                            <w:fldChar w:fldCharType="begin"/>
                          </w:r>
                          <w:r>
                            <w:rPr>
                              <w:rStyle w:val="52"/>
                            </w:rPr>
                            <w:instrText xml:space="preserve">PAGE  </w:instrText>
                          </w:r>
                          <w:r>
                            <w:fldChar w:fldCharType="separate"/>
                          </w:r>
                          <w:r>
                            <w:rPr>
                              <w:rStyle w:val="52"/>
                            </w:rPr>
                            <w:t>104</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14:paraId="1BE6310D">
                    <w:pPr>
                      <w:pStyle w:val="29"/>
                      <w:rPr>
                        <w:rStyle w:val="52"/>
                      </w:rPr>
                    </w:pPr>
                    <w:r>
                      <w:fldChar w:fldCharType="begin"/>
                    </w:r>
                    <w:r>
                      <w:rPr>
                        <w:rStyle w:val="52"/>
                      </w:rPr>
                      <w:instrText xml:space="preserve">PAGE  </w:instrText>
                    </w:r>
                    <w:r>
                      <w:fldChar w:fldCharType="separate"/>
                    </w:r>
                    <w:r>
                      <w:rPr>
                        <w:rStyle w:val="52"/>
                      </w:rPr>
                      <w:t>104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408E52">
    <w:pPr>
      <w:pStyle w:val="29"/>
      <w:framePr w:wrap="around" w:vAnchor="text" w:hAnchor="margin" w:xAlign="center" w:y="1"/>
      <w:rPr>
        <w:rStyle w:val="52"/>
      </w:rPr>
    </w:pPr>
    <w:r>
      <w:fldChar w:fldCharType="begin"/>
    </w:r>
    <w:r>
      <w:rPr>
        <w:rStyle w:val="52"/>
      </w:rPr>
      <w:instrText xml:space="preserve">PAGE  </w:instrText>
    </w:r>
    <w:r>
      <w:fldChar w:fldCharType="end"/>
    </w:r>
  </w:p>
  <w:p w14:paraId="3775F345">
    <w:pPr>
      <w:pStyle w:val="2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0FFE16">
    <w:pPr>
      <w:pStyle w:val="29"/>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5624055">
                          <w:pPr>
                            <w:pStyle w:val="29"/>
                          </w:pPr>
                          <w:r>
                            <w:fldChar w:fldCharType="begin"/>
                          </w:r>
                          <w:r>
                            <w:instrText xml:space="preserve"> PAGE  \* MERGEFORMAT </w:instrText>
                          </w:r>
                          <w:r>
                            <w:fldChar w:fldCharType="separate"/>
                          </w:r>
                          <w:r>
                            <w:t>132</w:t>
                          </w:r>
                          <w:r>
                            <w:fldChar w:fldCharType="end"/>
                          </w:r>
                        </w:p>
                      </w:txbxContent>
                    </wps:txbx>
                    <wps:bodyPr wrap="none" lIns="0" tIns="0" rIns="0" bIns="0">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sQPm8MBAACQAwAADgAAAGRycy9lMm9Eb2MueG1srVPNjtMwEL4j8Q6W&#10;79RpDiiKmq4WVYuQECAtPIDr2I0l/8njNukLwBtw4sKd5+pzMM5Pd1kue9iLM54ZfzPfN5PNzWAN&#10;OckI2ruGrlcFJdIJ32p3aOi3r3dvKkogcddy451s6FkCvdm+frXpQy1L33nTykgQxEHdh4Z2KYWa&#10;MRCdtBxWPkiHQeWj5Qmv8cDayHtEt4aVRfGW9T62IXohAdC7m4J0RozPAfRKaSF3XhytdGlCjdLw&#10;hJSg0wHoduxWKSnSZ6VAJmIaikzTeGIRtPf5ZNsNrw+Rh06LuQX+nBaecLJcOyx6hdrxxMkx6v+g&#10;rBbRg1dpJbxlE5FREWSxLp5oc9/xIEcuKDWEq+jwcrDi0+lLJLptaEmJ4xYHfvn54/Lrz+X3d7Iu&#10;yior1AeoMfE+YGoa3vkB92bxAzoz8UFFm79IiWAc9T1f9ZVDIiI/qsqqKjAkMLZcEJ89PA8R0nvp&#10;LclGQyMOcNSVnz5CmlKXlFzN+TttzDhE4/5xIGb2sNz71GO20rAfZkJ7356RT4+zb6jDVafEfHAo&#10;bV6TxYiLsZ+NXAPC7TFh4bGfjDpBzcVwUCOjeanyJjy+j1kPP9L2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DixA+bwwEAAJADAAAOAAAAAAAAAAEAIAAAAB4BAABkcnMvZTJvRG9jLnhtbFBL&#10;BQYAAAAABgAGAFkBAABTBQAAAAA=&#10;">
              <v:fill on="f" focussize="0,0"/>
              <v:stroke on="f"/>
              <v:imagedata o:title=""/>
              <o:lock v:ext="edit" aspectratio="f"/>
              <v:textbox inset="0mm,0mm,0mm,0mm" style="mso-fit-shape-to-text:t;">
                <w:txbxContent>
                  <w:p w14:paraId="05624055">
                    <w:pPr>
                      <w:pStyle w:val="29"/>
                    </w:pPr>
                    <w:r>
                      <w:fldChar w:fldCharType="begin"/>
                    </w:r>
                    <w:r>
                      <w:instrText xml:space="preserve"> PAGE  \* MERGEFORMAT </w:instrText>
                    </w:r>
                    <w:r>
                      <w:fldChar w:fldCharType="separate"/>
                    </w:r>
                    <w:r>
                      <w:t>132</w:t>
                    </w:r>
                    <w:r>
                      <w:fldChar w:fldCharType="end"/>
                    </w:r>
                  </w:p>
                </w:txbxContent>
              </v:textbox>
            </v:shape>
          </w:pict>
        </mc:Fallback>
      </mc:AlternateContent>
    </w:r>
  </w:p>
  <w:p w14:paraId="5871C7F8">
    <w:pPr>
      <w:pStyle w:val="2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4B47FA">
    <w:pPr>
      <w:pStyle w:val="29"/>
      <w:framePr w:wrap="around" w:vAnchor="text" w:hAnchor="margin" w:xAlign="center" w:y="1"/>
      <w:rPr>
        <w:rStyle w:val="52"/>
      </w:rPr>
    </w:pPr>
    <w:r>
      <w:fldChar w:fldCharType="begin"/>
    </w:r>
    <w:r>
      <w:rPr>
        <w:rStyle w:val="52"/>
      </w:rPr>
      <w:instrText xml:space="preserve">PAGE  </w:instrText>
    </w:r>
    <w:r>
      <w:fldChar w:fldCharType="end"/>
    </w:r>
  </w:p>
  <w:p w14:paraId="27D274BD">
    <w:pPr>
      <w:pStyle w:val="29"/>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49A8B2">
    <w:pPr>
      <w:pStyle w:val="29"/>
      <w:framePr w:wrap="around" w:vAnchor="text" w:hAnchor="margin" w:xAlign="right" w:y="1"/>
      <w:rPr>
        <w:rStyle w:val="52"/>
      </w:rPr>
    </w:pPr>
    <w:r>
      <w:fldChar w:fldCharType="begin"/>
    </w:r>
    <w:r>
      <w:rPr>
        <w:rStyle w:val="52"/>
      </w:rPr>
      <w:instrText xml:space="preserve">PAGE  </w:instrText>
    </w:r>
    <w:r>
      <w:fldChar w:fldCharType="separate"/>
    </w:r>
    <w:r>
      <w:rPr>
        <w:rStyle w:val="52"/>
      </w:rPr>
      <w:t>122</w:t>
    </w:r>
    <w:r>
      <w:fldChar w:fldCharType="end"/>
    </w:r>
  </w:p>
  <w:p w14:paraId="7BCA7F30">
    <w:pPr>
      <w:pStyle w:val="29"/>
      <w:ind w:right="360"/>
      <w:jc w:val="both"/>
    </w:pPr>
    <w:r>
      <w:rPr>
        <w:rFonts w:hint="eastAsia"/>
      </w:rPr>
      <w:t>121</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017B53">
    <w:pPr>
      <w:pStyle w:val="29"/>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EF5AED">
                          <w:pPr>
                            <w:pStyle w:val="29"/>
                            <w:rPr>
                              <w:sz w:val="16"/>
                              <w:szCs w:val="16"/>
                            </w:rPr>
                          </w:pPr>
                          <w:r>
                            <w:rPr>
                              <w:sz w:val="16"/>
                              <w:szCs w:val="16"/>
                            </w:rPr>
                            <w:fldChar w:fldCharType="begin"/>
                          </w:r>
                          <w:r>
                            <w:rPr>
                              <w:sz w:val="16"/>
                              <w:szCs w:val="16"/>
                            </w:rPr>
                            <w:instrText xml:space="preserve"> PAGE  \* MERGEFORMAT </w:instrText>
                          </w:r>
                          <w:r>
                            <w:rPr>
                              <w:sz w:val="16"/>
                              <w:szCs w:val="16"/>
                            </w:rPr>
                            <w:fldChar w:fldCharType="separate"/>
                          </w:r>
                          <w:r>
                            <w:rPr>
                              <w:sz w:val="16"/>
                              <w:szCs w:val="16"/>
                            </w:rPr>
                            <w:t>138</w:t>
                          </w:r>
                          <w:r>
                            <w:rPr>
                              <w:sz w:val="16"/>
                              <w:szCs w:val="16"/>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58EF5AED">
                    <w:pPr>
                      <w:pStyle w:val="29"/>
                      <w:rPr>
                        <w:sz w:val="16"/>
                        <w:szCs w:val="16"/>
                      </w:rPr>
                    </w:pPr>
                    <w:r>
                      <w:rPr>
                        <w:sz w:val="16"/>
                        <w:szCs w:val="16"/>
                      </w:rPr>
                      <w:fldChar w:fldCharType="begin"/>
                    </w:r>
                    <w:r>
                      <w:rPr>
                        <w:sz w:val="16"/>
                        <w:szCs w:val="16"/>
                      </w:rPr>
                      <w:instrText xml:space="preserve"> PAGE  \* MERGEFORMAT </w:instrText>
                    </w:r>
                    <w:r>
                      <w:rPr>
                        <w:sz w:val="16"/>
                        <w:szCs w:val="16"/>
                      </w:rPr>
                      <w:fldChar w:fldCharType="separate"/>
                    </w:r>
                    <w:r>
                      <w:rPr>
                        <w:sz w:val="16"/>
                        <w:szCs w:val="16"/>
                      </w:rPr>
                      <w:t>138</w:t>
                    </w:r>
                    <w:r>
                      <w:rPr>
                        <w:sz w:val="16"/>
                        <w:szCs w:val="16"/>
                      </w:rPr>
                      <w:fldChar w:fldCharType="end"/>
                    </w:r>
                  </w:p>
                </w:txbxContent>
              </v:textbox>
            </v:shape>
          </w:pict>
        </mc:Fallback>
      </mc:AlternateContent>
    </w:r>
  </w:p>
  <w:p w14:paraId="559060B1">
    <w:pPr>
      <w:pStyle w:val="29"/>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003A6">
    <w:pPr>
      <w:pStyle w:val="29"/>
      <w:framePr w:wrap="around" w:vAnchor="text" w:hAnchor="margin" w:xAlign="center" w:y="1"/>
      <w:rPr>
        <w:rStyle w:val="52"/>
      </w:rPr>
    </w:pPr>
    <w:r>
      <w:fldChar w:fldCharType="begin"/>
    </w:r>
    <w:r>
      <w:rPr>
        <w:rStyle w:val="52"/>
      </w:rPr>
      <w:instrText xml:space="preserve">PAGE  </w:instrText>
    </w:r>
    <w:r>
      <w:fldChar w:fldCharType="end"/>
    </w:r>
  </w:p>
  <w:p w14:paraId="4CCD56E6">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4BDBE9">
    <w:pPr>
      <w:pStyle w:val="3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425092"/>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18C02D"/>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7EDD2B">
    <w:pPr>
      <w:pStyle w:val="31"/>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BE0B75">
    <w:pPr>
      <w:pStyle w:val="3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EC1C38"/>
    <w:multiLevelType w:val="singleLevel"/>
    <w:tmpl w:val="B9EC1C38"/>
    <w:lvl w:ilvl="0" w:tentative="0">
      <w:start w:val="1"/>
      <w:numFmt w:val="chineseCounting"/>
      <w:suff w:val="nothing"/>
      <w:lvlText w:val="%1、"/>
      <w:lvlJc w:val="left"/>
      <w:rPr>
        <w:rFonts w:hint="eastAsia"/>
      </w:rPr>
    </w:lvl>
  </w:abstractNum>
  <w:abstractNum w:abstractNumId="1">
    <w:nsid w:val="FFFFFF7E"/>
    <w:multiLevelType w:val="singleLevel"/>
    <w:tmpl w:val="FFFFFF7E"/>
    <w:lvl w:ilvl="0" w:tentative="0">
      <w:start w:val="1"/>
      <w:numFmt w:val="decimal"/>
      <w:pStyle w:val="19"/>
      <w:lvlText w:val="%1."/>
      <w:lvlJc w:val="left"/>
      <w:pPr>
        <w:tabs>
          <w:tab w:val="left" w:pos="1200"/>
        </w:tabs>
        <w:ind w:left="1200" w:hanging="360"/>
      </w:pPr>
    </w:lvl>
  </w:abstractNum>
  <w:abstractNum w:abstractNumId="2">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6"/>
      <w:suff w:val="nothing"/>
      <w:lvlText w:val=""/>
      <w:lvlJc w:val="left"/>
      <w:pPr>
        <w:ind w:left="0" w:firstLine="0"/>
      </w:pPr>
      <w:rPr>
        <w:rFonts w:hint="eastAsia"/>
      </w:rPr>
    </w:lvl>
    <w:lvl w:ilvl="5" w:tentative="0">
      <w:start w:val="1"/>
      <w:numFmt w:val="none"/>
      <w:pStyle w:val="8"/>
      <w:suff w:val="nothing"/>
      <w:lvlText w:val=""/>
      <w:lvlJc w:val="left"/>
      <w:pPr>
        <w:ind w:left="0" w:firstLine="0"/>
      </w:pPr>
      <w:rPr>
        <w:rFonts w:hint="eastAsia"/>
      </w:rPr>
    </w:lvl>
    <w:lvl w:ilvl="6" w:tentative="0">
      <w:start w:val="1"/>
      <w:numFmt w:val="none"/>
      <w:pStyle w:val="9"/>
      <w:suff w:val="nothing"/>
      <w:lvlText w:val=""/>
      <w:lvlJc w:val="left"/>
      <w:pPr>
        <w:ind w:left="0" w:firstLine="0"/>
      </w:pPr>
      <w:rPr>
        <w:rFonts w:hint="eastAsia"/>
      </w:rPr>
    </w:lvl>
    <w:lvl w:ilvl="7" w:tentative="0">
      <w:start w:val="1"/>
      <w:numFmt w:val="none"/>
      <w:pStyle w:val="10"/>
      <w:suff w:val="nothing"/>
      <w:lvlText w:val=""/>
      <w:lvlJc w:val="left"/>
      <w:pPr>
        <w:ind w:left="0" w:firstLine="0"/>
      </w:pPr>
      <w:rPr>
        <w:rFonts w:hint="eastAsia"/>
      </w:rPr>
    </w:lvl>
    <w:lvl w:ilvl="8" w:tentative="0">
      <w:start w:val="1"/>
      <w:numFmt w:val="none"/>
      <w:pStyle w:val="11"/>
      <w:suff w:val="nothing"/>
      <w:lvlText w:val=""/>
      <w:lvlJc w:val="left"/>
      <w:pPr>
        <w:ind w:left="0" w:firstLine="0"/>
      </w:pPr>
      <w:rPr>
        <w:rFonts w:hint="eastAsia"/>
      </w:rPr>
    </w:lvl>
  </w:abstractNum>
  <w:abstractNum w:abstractNumId="3">
    <w:nsid w:val="4C601917"/>
    <w:multiLevelType w:val="singleLevel"/>
    <w:tmpl w:val="4C601917"/>
    <w:lvl w:ilvl="0" w:tentative="0">
      <w:start w:val="1"/>
      <w:numFmt w:val="decimal"/>
      <w:suff w:val="nothing"/>
      <w:lvlText w:val="（%1）"/>
      <w:lvlJc w:val="left"/>
    </w:lvl>
  </w:abstractNum>
  <w:abstractNum w:abstractNumId="4">
    <w:nsid w:val="5FABD14B"/>
    <w:multiLevelType w:val="singleLevel"/>
    <w:tmpl w:val="5FABD14B"/>
    <w:lvl w:ilvl="0" w:tentative="0">
      <w:start w:val="1"/>
      <w:numFmt w:val="decimal"/>
      <w:suff w:val="nothing"/>
      <w:lvlText w:val="（%1）"/>
      <w:lvlJc w:val="left"/>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hideSpellingErrors/>
  <w:stylePaneFormatFilter w:val="3D01" w:allStyles="1" w:customStyles="0" w:latentStyles="0" w:stylesInUse="0" w:headingStyles="0" w:numberingStyles="0" w:tableStyles="0" w:directFormattingOnRuns="1" w:directFormattingOnParagraphs="0"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ZiZjUyYTc5YzM4OTI2MGM5Mzg0NzRlMzgyMzk0ODEifQ=="/>
  </w:docVars>
  <w:rsids>
    <w:rsidRoot w:val="00F9008B"/>
    <w:rsid w:val="0000010C"/>
    <w:rsid w:val="00000D21"/>
    <w:rsid w:val="00000FE0"/>
    <w:rsid w:val="00001068"/>
    <w:rsid w:val="0000114A"/>
    <w:rsid w:val="00001731"/>
    <w:rsid w:val="00001C2D"/>
    <w:rsid w:val="00001C55"/>
    <w:rsid w:val="00001CA8"/>
    <w:rsid w:val="00001FAE"/>
    <w:rsid w:val="00002291"/>
    <w:rsid w:val="00002644"/>
    <w:rsid w:val="00002DBF"/>
    <w:rsid w:val="00002EC0"/>
    <w:rsid w:val="00003224"/>
    <w:rsid w:val="000033F5"/>
    <w:rsid w:val="000034EA"/>
    <w:rsid w:val="0000358C"/>
    <w:rsid w:val="00003BEF"/>
    <w:rsid w:val="00004130"/>
    <w:rsid w:val="0000431F"/>
    <w:rsid w:val="00004634"/>
    <w:rsid w:val="00004D8B"/>
    <w:rsid w:val="000059E2"/>
    <w:rsid w:val="00006AE7"/>
    <w:rsid w:val="00006B9B"/>
    <w:rsid w:val="00006C35"/>
    <w:rsid w:val="000072B1"/>
    <w:rsid w:val="00007329"/>
    <w:rsid w:val="00007E28"/>
    <w:rsid w:val="00007E84"/>
    <w:rsid w:val="00010401"/>
    <w:rsid w:val="000105A1"/>
    <w:rsid w:val="000107AD"/>
    <w:rsid w:val="00010835"/>
    <w:rsid w:val="00011842"/>
    <w:rsid w:val="00012137"/>
    <w:rsid w:val="000121EE"/>
    <w:rsid w:val="000121FF"/>
    <w:rsid w:val="000125B8"/>
    <w:rsid w:val="00012692"/>
    <w:rsid w:val="00013446"/>
    <w:rsid w:val="00013509"/>
    <w:rsid w:val="000135BC"/>
    <w:rsid w:val="000135DC"/>
    <w:rsid w:val="000136D6"/>
    <w:rsid w:val="00013979"/>
    <w:rsid w:val="00014085"/>
    <w:rsid w:val="00014B4C"/>
    <w:rsid w:val="00014DD9"/>
    <w:rsid w:val="000151E4"/>
    <w:rsid w:val="000153D8"/>
    <w:rsid w:val="00015577"/>
    <w:rsid w:val="000156E4"/>
    <w:rsid w:val="000159A7"/>
    <w:rsid w:val="00015FB8"/>
    <w:rsid w:val="0001609F"/>
    <w:rsid w:val="0001635B"/>
    <w:rsid w:val="00016549"/>
    <w:rsid w:val="00016BF7"/>
    <w:rsid w:val="00016D20"/>
    <w:rsid w:val="0001767E"/>
    <w:rsid w:val="0001776D"/>
    <w:rsid w:val="00017C00"/>
    <w:rsid w:val="00017F31"/>
    <w:rsid w:val="00020607"/>
    <w:rsid w:val="0002103A"/>
    <w:rsid w:val="000217E4"/>
    <w:rsid w:val="00021852"/>
    <w:rsid w:val="00021A12"/>
    <w:rsid w:val="00022622"/>
    <w:rsid w:val="00023363"/>
    <w:rsid w:val="000235F3"/>
    <w:rsid w:val="00023644"/>
    <w:rsid w:val="00023712"/>
    <w:rsid w:val="0002476C"/>
    <w:rsid w:val="00024E3C"/>
    <w:rsid w:val="00024EB0"/>
    <w:rsid w:val="00025A93"/>
    <w:rsid w:val="0002646A"/>
    <w:rsid w:val="0002651D"/>
    <w:rsid w:val="00026CFD"/>
    <w:rsid w:val="000279F9"/>
    <w:rsid w:val="00027A11"/>
    <w:rsid w:val="00027C8B"/>
    <w:rsid w:val="00027CD9"/>
    <w:rsid w:val="00030242"/>
    <w:rsid w:val="00030B06"/>
    <w:rsid w:val="0003169D"/>
    <w:rsid w:val="000317A5"/>
    <w:rsid w:val="0003183A"/>
    <w:rsid w:val="00031CDC"/>
    <w:rsid w:val="00031DC8"/>
    <w:rsid w:val="0003263B"/>
    <w:rsid w:val="0003282C"/>
    <w:rsid w:val="0003304A"/>
    <w:rsid w:val="0003317E"/>
    <w:rsid w:val="00033413"/>
    <w:rsid w:val="000337F3"/>
    <w:rsid w:val="00034C27"/>
    <w:rsid w:val="00034E2A"/>
    <w:rsid w:val="0003577F"/>
    <w:rsid w:val="000361E7"/>
    <w:rsid w:val="00036466"/>
    <w:rsid w:val="0003675E"/>
    <w:rsid w:val="00037633"/>
    <w:rsid w:val="00037E9E"/>
    <w:rsid w:val="00037F87"/>
    <w:rsid w:val="00037FA2"/>
    <w:rsid w:val="000400D0"/>
    <w:rsid w:val="0004044E"/>
    <w:rsid w:val="00041A76"/>
    <w:rsid w:val="000425AC"/>
    <w:rsid w:val="00042F4A"/>
    <w:rsid w:val="00043BE5"/>
    <w:rsid w:val="00044003"/>
    <w:rsid w:val="00044527"/>
    <w:rsid w:val="0004469E"/>
    <w:rsid w:val="00044897"/>
    <w:rsid w:val="00044ACF"/>
    <w:rsid w:val="00044D83"/>
    <w:rsid w:val="00044E06"/>
    <w:rsid w:val="000454F4"/>
    <w:rsid w:val="00045670"/>
    <w:rsid w:val="00045D1E"/>
    <w:rsid w:val="00045E69"/>
    <w:rsid w:val="00045EF4"/>
    <w:rsid w:val="00046547"/>
    <w:rsid w:val="000466D7"/>
    <w:rsid w:val="00046753"/>
    <w:rsid w:val="00047254"/>
    <w:rsid w:val="000472FD"/>
    <w:rsid w:val="0005022B"/>
    <w:rsid w:val="00050771"/>
    <w:rsid w:val="000513F3"/>
    <w:rsid w:val="00052287"/>
    <w:rsid w:val="000522E0"/>
    <w:rsid w:val="00052609"/>
    <w:rsid w:val="000532F4"/>
    <w:rsid w:val="000536AE"/>
    <w:rsid w:val="00054CD5"/>
    <w:rsid w:val="00054D03"/>
    <w:rsid w:val="000550AC"/>
    <w:rsid w:val="0005580E"/>
    <w:rsid w:val="0005584D"/>
    <w:rsid w:val="00055CC3"/>
    <w:rsid w:val="00055CEE"/>
    <w:rsid w:val="000566FA"/>
    <w:rsid w:val="000569C4"/>
    <w:rsid w:val="00056A2B"/>
    <w:rsid w:val="00056E37"/>
    <w:rsid w:val="00056EE2"/>
    <w:rsid w:val="00056FE2"/>
    <w:rsid w:val="000570FB"/>
    <w:rsid w:val="000575B8"/>
    <w:rsid w:val="00060131"/>
    <w:rsid w:val="0006026B"/>
    <w:rsid w:val="00060293"/>
    <w:rsid w:val="00061BDA"/>
    <w:rsid w:val="000621FE"/>
    <w:rsid w:val="00062B90"/>
    <w:rsid w:val="00062C70"/>
    <w:rsid w:val="00062DD0"/>
    <w:rsid w:val="00062E6F"/>
    <w:rsid w:val="000630C7"/>
    <w:rsid w:val="0006400F"/>
    <w:rsid w:val="000643DA"/>
    <w:rsid w:val="000645DD"/>
    <w:rsid w:val="00064D7E"/>
    <w:rsid w:val="00064F65"/>
    <w:rsid w:val="00064FD0"/>
    <w:rsid w:val="0006534A"/>
    <w:rsid w:val="00065A5D"/>
    <w:rsid w:val="00065BA2"/>
    <w:rsid w:val="000661CA"/>
    <w:rsid w:val="0006668D"/>
    <w:rsid w:val="00066F2B"/>
    <w:rsid w:val="00067002"/>
    <w:rsid w:val="0006710A"/>
    <w:rsid w:val="00067993"/>
    <w:rsid w:val="00067B1C"/>
    <w:rsid w:val="00067CED"/>
    <w:rsid w:val="00067D39"/>
    <w:rsid w:val="00067F66"/>
    <w:rsid w:val="0007041A"/>
    <w:rsid w:val="00070634"/>
    <w:rsid w:val="00070883"/>
    <w:rsid w:val="00070C3F"/>
    <w:rsid w:val="0007102C"/>
    <w:rsid w:val="00071D68"/>
    <w:rsid w:val="00071FCE"/>
    <w:rsid w:val="00072661"/>
    <w:rsid w:val="00072CCC"/>
    <w:rsid w:val="00073549"/>
    <w:rsid w:val="00073A58"/>
    <w:rsid w:val="0007483E"/>
    <w:rsid w:val="000751DB"/>
    <w:rsid w:val="0007578F"/>
    <w:rsid w:val="000759A3"/>
    <w:rsid w:val="00075E43"/>
    <w:rsid w:val="00077706"/>
    <w:rsid w:val="00077878"/>
    <w:rsid w:val="00077DE2"/>
    <w:rsid w:val="000804EF"/>
    <w:rsid w:val="00080558"/>
    <w:rsid w:val="00081230"/>
    <w:rsid w:val="000814E2"/>
    <w:rsid w:val="000818C9"/>
    <w:rsid w:val="00081CBB"/>
    <w:rsid w:val="00081D42"/>
    <w:rsid w:val="000822EF"/>
    <w:rsid w:val="0008241E"/>
    <w:rsid w:val="000826F5"/>
    <w:rsid w:val="000829B1"/>
    <w:rsid w:val="00082AAB"/>
    <w:rsid w:val="0008307D"/>
    <w:rsid w:val="000831E9"/>
    <w:rsid w:val="00083288"/>
    <w:rsid w:val="000833BB"/>
    <w:rsid w:val="0008452D"/>
    <w:rsid w:val="0008467B"/>
    <w:rsid w:val="000846E2"/>
    <w:rsid w:val="000850FA"/>
    <w:rsid w:val="00085C12"/>
    <w:rsid w:val="00085DA0"/>
    <w:rsid w:val="00085F82"/>
    <w:rsid w:val="00086506"/>
    <w:rsid w:val="00086B6E"/>
    <w:rsid w:val="00086C64"/>
    <w:rsid w:val="0008781A"/>
    <w:rsid w:val="00090951"/>
    <w:rsid w:val="00090A61"/>
    <w:rsid w:val="000918F5"/>
    <w:rsid w:val="000919B5"/>
    <w:rsid w:val="00091C1D"/>
    <w:rsid w:val="00091E08"/>
    <w:rsid w:val="00091E29"/>
    <w:rsid w:val="000922D8"/>
    <w:rsid w:val="000932E7"/>
    <w:rsid w:val="0009333A"/>
    <w:rsid w:val="00093459"/>
    <w:rsid w:val="00093B8B"/>
    <w:rsid w:val="000951E7"/>
    <w:rsid w:val="00095B82"/>
    <w:rsid w:val="00096098"/>
    <w:rsid w:val="000961C5"/>
    <w:rsid w:val="000968AF"/>
    <w:rsid w:val="000969D9"/>
    <w:rsid w:val="00096F37"/>
    <w:rsid w:val="00097A79"/>
    <w:rsid w:val="00097FE5"/>
    <w:rsid w:val="000A0354"/>
    <w:rsid w:val="000A091F"/>
    <w:rsid w:val="000A0958"/>
    <w:rsid w:val="000A0FCC"/>
    <w:rsid w:val="000A1033"/>
    <w:rsid w:val="000A2712"/>
    <w:rsid w:val="000A2877"/>
    <w:rsid w:val="000A2D31"/>
    <w:rsid w:val="000A355D"/>
    <w:rsid w:val="000A35DA"/>
    <w:rsid w:val="000A371E"/>
    <w:rsid w:val="000A3DE5"/>
    <w:rsid w:val="000A4011"/>
    <w:rsid w:val="000A4397"/>
    <w:rsid w:val="000A45D5"/>
    <w:rsid w:val="000A490E"/>
    <w:rsid w:val="000A5B49"/>
    <w:rsid w:val="000A5FE5"/>
    <w:rsid w:val="000A688F"/>
    <w:rsid w:val="000A7218"/>
    <w:rsid w:val="000A740A"/>
    <w:rsid w:val="000A7446"/>
    <w:rsid w:val="000A7A56"/>
    <w:rsid w:val="000A7E7F"/>
    <w:rsid w:val="000A7ECD"/>
    <w:rsid w:val="000B04DD"/>
    <w:rsid w:val="000B0F01"/>
    <w:rsid w:val="000B1346"/>
    <w:rsid w:val="000B1795"/>
    <w:rsid w:val="000B1914"/>
    <w:rsid w:val="000B19DC"/>
    <w:rsid w:val="000B1CA2"/>
    <w:rsid w:val="000B202E"/>
    <w:rsid w:val="000B2293"/>
    <w:rsid w:val="000B24A4"/>
    <w:rsid w:val="000B255A"/>
    <w:rsid w:val="000B255C"/>
    <w:rsid w:val="000B292B"/>
    <w:rsid w:val="000B395E"/>
    <w:rsid w:val="000B39C3"/>
    <w:rsid w:val="000B3A00"/>
    <w:rsid w:val="000B3BFD"/>
    <w:rsid w:val="000B4840"/>
    <w:rsid w:val="000B4D79"/>
    <w:rsid w:val="000B5627"/>
    <w:rsid w:val="000B5671"/>
    <w:rsid w:val="000B6BF0"/>
    <w:rsid w:val="000B6CE8"/>
    <w:rsid w:val="000B7DAF"/>
    <w:rsid w:val="000C01A9"/>
    <w:rsid w:val="000C071C"/>
    <w:rsid w:val="000C0BB4"/>
    <w:rsid w:val="000C0BEE"/>
    <w:rsid w:val="000C1CB9"/>
    <w:rsid w:val="000C2159"/>
    <w:rsid w:val="000C21BB"/>
    <w:rsid w:val="000C289B"/>
    <w:rsid w:val="000C34B8"/>
    <w:rsid w:val="000C3F01"/>
    <w:rsid w:val="000C420D"/>
    <w:rsid w:val="000C4773"/>
    <w:rsid w:val="000C4944"/>
    <w:rsid w:val="000C4E24"/>
    <w:rsid w:val="000C5C4A"/>
    <w:rsid w:val="000C5F01"/>
    <w:rsid w:val="000C63C4"/>
    <w:rsid w:val="000C66C1"/>
    <w:rsid w:val="000C6F0B"/>
    <w:rsid w:val="000C6F32"/>
    <w:rsid w:val="000C708E"/>
    <w:rsid w:val="000C778C"/>
    <w:rsid w:val="000C7833"/>
    <w:rsid w:val="000C7DFB"/>
    <w:rsid w:val="000C7E1B"/>
    <w:rsid w:val="000C7E73"/>
    <w:rsid w:val="000D001B"/>
    <w:rsid w:val="000D0A45"/>
    <w:rsid w:val="000D136E"/>
    <w:rsid w:val="000D14AC"/>
    <w:rsid w:val="000D15BA"/>
    <w:rsid w:val="000D2C9B"/>
    <w:rsid w:val="000D35FD"/>
    <w:rsid w:val="000D388F"/>
    <w:rsid w:val="000D3D2D"/>
    <w:rsid w:val="000D3D99"/>
    <w:rsid w:val="000D4653"/>
    <w:rsid w:val="000D4696"/>
    <w:rsid w:val="000D4817"/>
    <w:rsid w:val="000D4FB9"/>
    <w:rsid w:val="000D54B4"/>
    <w:rsid w:val="000D54F8"/>
    <w:rsid w:val="000D584B"/>
    <w:rsid w:val="000D5F55"/>
    <w:rsid w:val="000D6372"/>
    <w:rsid w:val="000D6979"/>
    <w:rsid w:val="000D6CE7"/>
    <w:rsid w:val="000D6E38"/>
    <w:rsid w:val="000D6E63"/>
    <w:rsid w:val="000D711C"/>
    <w:rsid w:val="000D7B6E"/>
    <w:rsid w:val="000E042A"/>
    <w:rsid w:val="000E0644"/>
    <w:rsid w:val="000E076D"/>
    <w:rsid w:val="000E0CD2"/>
    <w:rsid w:val="000E187C"/>
    <w:rsid w:val="000E1B28"/>
    <w:rsid w:val="000E1E8D"/>
    <w:rsid w:val="000E1EBC"/>
    <w:rsid w:val="000E2173"/>
    <w:rsid w:val="000E220B"/>
    <w:rsid w:val="000E2A50"/>
    <w:rsid w:val="000E30F2"/>
    <w:rsid w:val="000E316B"/>
    <w:rsid w:val="000E3D08"/>
    <w:rsid w:val="000E4728"/>
    <w:rsid w:val="000E4D1F"/>
    <w:rsid w:val="000E5658"/>
    <w:rsid w:val="000E5698"/>
    <w:rsid w:val="000E5723"/>
    <w:rsid w:val="000E581B"/>
    <w:rsid w:val="000E58B4"/>
    <w:rsid w:val="000E65D2"/>
    <w:rsid w:val="000E6919"/>
    <w:rsid w:val="000E6B1B"/>
    <w:rsid w:val="000E6F0C"/>
    <w:rsid w:val="000E732D"/>
    <w:rsid w:val="000F07ED"/>
    <w:rsid w:val="000F0CF2"/>
    <w:rsid w:val="000F14F6"/>
    <w:rsid w:val="000F1A32"/>
    <w:rsid w:val="000F1CC2"/>
    <w:rsid w:val="000F1D15"/>
    <w:rsid w:val="000F270A"/>
    <w:rsid w:val="000F34C8"/>
    <w:rsid w:val="000F38BC"/>
    <w:rsid w:val="000F3E2A"/>
    <w:rsid w:val="000F4D26"/>
    <w:rsid w:val="000F5639"/>
    <w:rsid w:val="000F58A4"/>
    <w:rsid w:val="000F6833"/>
    <w:rsid w:val="000F6A24"/>
    <w:rsid w:val="000F7616"/>
    <w:rsid w:val="000F7DE9"/>
    <w:rsid w:val="000F7F7A"/>
    <w:rsid w:val="0010004B"/>
    <w:rsid w:val="001002F4"/>
    <w:rsid w:val="001005B4"/>
    <w:rsid w:val="001011FC"/>
    <w:rsid w:val="0010165F"/>
    <w:rsid w:val="001018C1"/>
    <w:rsid w:val="00101E7C"/>
    <w:rsid w:val="00102260"/>
    <w:rsid w:val="001023DC"/>
    <w:rsid w:val="0010256D"/>
    <w:rsid w:val="00102572"/>
    <w:rsid w:val="00102946"/>
    <w:rsid w:val="00102FBF"/>
    <w:rsid w:val="0010333D"/>
    <w:rsid w:val="0010372A"/>
    <w:rsid w:val="00103F41"/>
    <w:rsid w:val="00104E77"/>
    <w:rsid w:val="00104F34"/>
    <w:rsid w:val="00104F3E"/>
    <w:rsid w:val="001053C5"/>
    <w:rsid w:val="001055AD"/>
    <w:rsid w:val="00105C14"/>
    <w:rsid w:val="001065A3"/>
    <w:rsid w:val="0010691D"/>
    <w:rsid w:val="00106B33"/>
    <w:rsid w:val="00106E69"/>
    <w:rsid w:val="00110AC5"/>
    <w:rsid w:val="00110F0B"/>
    <w:rsid w:val="0011108B"/>
    <w:rsid w:val="00111136"/>
    <w:rsid w:val="00111164"/>
    <w:rsid w:val="00111761"/>
    <w:rsid w:val="00112164"/>
    <w:rsid w:val="0011241F"/>
    <w:rsid w:val="001128BF"/>
    <w:rsid w:val="00112D09"/>
    <w:rsid w:val="00112F03"/>
    <w:rsid w:val="00112F38"/>
    <w:rsid w:val="00113821"/>
    <w:rsid w:val="0011394B"/>
    <w:rsid w:val="00113CEE"/>
    <w:rsid w:val="00114058"/>
    <w:rsid w:val="00114342"/>
    <w:rsid w:val="0011449E"/>
    <w:rsid w:val="001153EF"/>
    <w:rsid w:val="00115D55"/>
    <w:rsid w:val="00115E45"/>
    <w:rsid w:val="00115F85"/>
    <w:rsid w:val="00115FD1"/>
    <w:rsid w:val="001165CC"/>
    <w:rsid w:val="0011688E"/>
    <w:rsid w:val="00116ACD"/>
    <w:rsid w:val="00117B7D"/>
    <w:rsid w:val="001205A8"/>
    <w:rsid w:val="00120948"/>
    <w:rsid w:val="00120B70"/>
    <w:rsid w:val="0012180B"/>
    <w:rsid w:val="00122A64"/>
    <w:rsid w:val="00123641"/>
    <w:rsid w:val="0012388A"/>
    <w:rsid w:val="0012388C"/>
    <w:rsid w:val="00123AFA"/>
    <w:rsid w:val="00123C8C"/>
    <w:rsid w:val="00123D68"/>
    <w:rsid w:val="00123E8B"/>
    <w:rsid w:val="00124B43"/>
    <w:rsid w:val="00124DF8"/>
    <w:rsid w:val="001253EA"/>
    <w:rsid w:val="00125B99"/>
    <w:rsid w:val="00126160"/>
    <w:rsid w:val="00126DB5"/>
    <w:rsid w:val="00127178"/>
    <w:rsid w:val="00127D2B"/>
    <w:rsid w:val="00127F09"/>
    <w:rsid w:val="0013002A"/>
    <w:rsid w:val="0013085D"/>
    <w:rsid w:val="0013089C"/>
    <w:rsid w:val="00130A2D"/>
    <w:rsid w:val="00130F54"/>
    <w:rsid w:val="001315D9"/>
    <w:rsid w:val="00131888"/>
    <w:rsid w:val="00131F17"/>
    <w:rsid w:val="001323F9"/>
    <w:rsid w:val="0013251F"/>
    <w:rsid w:val="00132FA3"/>
    <w:rsid w:val="00133088"/>
    <w:rsid w:val="00133346"/>
    <w:rsid w:val="001335B1"/>
    <w:rsid w:val="0013372D"/>
    <w:rsid w:val="00133733"/>
    <w:rsid w:val="00133B4E"/>
    <w:rsid w:val="00133D47"/>
    <w:rsid w:val="001346AF"/>
    <w:rsid w:val="00134990"/>
    <w:rsid w:val="00134AD9"/>
    <w:rsid w:val="00135416"/>
    <w:rsid w:val="001354D1"/>
    <w:rsid w:val="001355E7"/>
    <w:rsid w:val="00135A0A"/>
    <w:rsid w:val="00135BB9"/>
    <w:rsid w:val="0013621D"/>
    <w:rsid w:val="00136354"/>
    <w:rsid w:val="00136674"/>
    <w:rsid w:val="00136B0E"/>
    <w:rsid w:val="00136C3B"/>
    <w:rsid w:val="00137103"/>
    <w:rsid w:val="001376AB"/>
    <w:rsid w:val="0013777C"/>
    <w:rsid w:val="00137D5F"/>
    <w:rsid w:val="00140082"/>
    <w:rsid w:val="00140175"/>
    <w:rsid w:val="00140757"/>
    <w:rsid w:val="00140B62"/>
    <w:rsid w:val="00140D07"/>
    <w:rsid w:val="00141A3A"/>
    <w:rsid w:val="001422F4"/>
    <w:rsid w:val="001423FA"/>
    <w:rsid w:val="001427B5"/>
    <w:rsid w:val="001428CF"/>
    <w:rsid w:val="00142D0C"/>
    <w:rsid w:val="00142E3C"/>
    <w:rsid w:val="00144013"/>
    <w:rsid w:val="001454B8"/>
    <w:rsid w:val="00145A17"/>
    <w:rsid w:val="00145BBE"/>
    <w:rsid w:val="00145D7F"/>
    <w:rsid w:val="001460B5"/>
    <w:rsid w:val="0014641F"/>
    <w:rsid w:val="001464A8"/>
    <w:rsid w:val="00146618"/>
    <w:rsid w:val="001467BB"/>
    <w:rsid w:val="00146AB3"/>
    <w:rsid w:val="00146CA8"/>
    <w:rsid w:val="001472A5"/>
    <w:rsid w:val="00147884"/>
    <w:rsid w:val="00150669"/>
    <w:rsid w:val="00150827"/>
    <w:rsid w:val="00150B0D"/>
    <w:rsid w:val="00151E31"/>
    <w:rsid w:val="00151F9B"/>
    <w:rsid w:val="00152095"/>
    <w:rsid w:val="00152289"/>
    <w:rsid w:val="00152425"/>
    <w:rsid w:val="00152BAD"/>
    <w:rsid w:val="00152CE3"/>
    <w:rsid w:val="00152FE5"/>
    <w:rsid w:val="00153652"/>
    <w:rsid w:val="00153697"/>
    <w:rsid w:val="00153956"/>
    <w:rsid w:val="00153B95"/>
    <w:rsid w:val="00154146"/>
    <w:rsid w:val="00154190"/>
    <w:rsid w:val="001545EA"/>
    <w:rsid w:val="001549BA"/>
    <w:rsid w:val="00154FFC"/>
    <w:rsid w:val="00155099"/>
    <w:rsid w:val="001553F5"/>
    <w:rsid w:val="00155C85"/>
    <w:rsid w:val="00156A6C"/>
    <w:rsid w:val="00156B10"/>
    <w:rsid w:val="00157823"/>
    <w:rsid w:val="0015790D"/>
    <w:rsid w:val="00157C5E"/>
    <w:rsid w:val="0016015A"/>
    <w:rsid w:val="0016020E"/>
    <w:rsid w:val="00160503"/>
    <w:rsid w:val="00160701"/>
    <w:rsid w:val="00160D7C"/>
    <w:rsid w:val="00160E30"/>
    <w:rsid w:val="0016106D"/>
    <w:rsid w:val="001612E1"/>
    <w:rsid w:val="001614DB"/>
    <w:rsid w:val="0016194E"/>
    <w:rsid w:val="0016236C"/>
    <w:rsid w:val="00162625"/>
    <w:rsid w:val="001630A8"/>
    <w:rsid w:val="001634C7"/>
    <w:rsid w:val="00163826"/>
    <w:rsid w:val="00163943"/>
    <w:rsid w:val="00163BA1"/>
    <w:rsid w:val="00163F22"/>
    <w:rsid w:val="0016417B"/>
    <w:rsid w:val="0016470E"/>
    <w:rsid w:val="00164E0A"/>
    <w:rsid w:val="0016520F"/>
    <w:rsid w:val="001652D7"/>
    <w:rsid w:val="0016596E"/>
    <w:rsid w:val="00165A5F"/>
    <w:rsid w:val="00166223"/>
    <w:rsid w:val="00166492"/>
    <w:rsid w:val="001670D8"/>
    <w:rsid w:val="0016793E"/>
    <w:rsid w:val="00167D4D"/>
    <w:rsid w:val="00170635"/>
    <w:rsid w:val="0017070D"/>
    <w:rsid w:val="00170837"/>
    <w:rsid w:val="00171035"/>
    <w:rsid w:val="001713B7"/>
    <w:rsid w:val="00171ADB"/>
    <w:rsid w:val="00172029"/>
    <w:rsid w:val="001733A4"/>
    <w:rsid w:val="00173AB9"/>
    <w:rsid w:val="00173EED"/>
    <w:rsid w:val="00174368"/>
    <w:rsid w:val="001744EA"/>
    <w:rsid w:val="00174789"/>
    <w:rsid w:val="00174D82"/>
    <w:rsid w:val="00174E44"/>
    <w:rsid w:val="00175053"/>
    <w:rsid w:val="001753B7"/>
    <w:rsid w:val="001757E7"/>
    <w:rsid w:val="00175873"/>
    <w:rsid w:val="0017592E"/>
    <w:rsid w:val="00175C59"/>
    <w:rsid w:val="001760BC"/>
    <w:rsid w:val="00176674"/>
    <w:rsid w:val="00176818"/>
    <w:rsid w:val="00176B82"/>
    <w:rsid w:val="00176E3B"/>
    <w:rsid w:val="00176ECB"/>
    <w:rsid w:val="0017716E"/>
    <w:rsid w:val="0017752D"/>
    <w:rsid w:val="0017759F"/>
    <w:rsid w:val="00177832"/>
    <w:rsid w:val="00177D48"/>
    <w:rsid w:val="00181178"/>
    <w:rsid w:val="0018119E"/>
    <w:rsid w:val="00181EEF"/>
    <w:rsid w:val="00181F3E"/>
    <w:rsid w:val="00182FE0"/>
    <w:rsid w:val="00183911"/>
    <w:rsid w:val="001845FB"/>
    <w:rsid w:val="00184CDD"/>
    <w:rsid w:val="00184DAB"/>
    <w:rsid w:val="00185490"/>
    <w:rsid w:val="00185DA6"/>
    <w:rsid w:val="00185F64"/>
    <w:rsid w:val="00186096"/>
    <w:rsid w:val="00186F7C"/>
    <w:rsid w:val="0018772E"/>
    <w:rsid w:val="00187A94"/>
    <w:rsid w:val="0019029E"/>
    <w:rsid w:val="00190329"/>
    <w:rsid w:val="00190804"/>
    <w:rsid w:val="0019088F"/>
    <w:rsid w:val="00190C51"/>
    <w:rsid w:val="00192FA5"/>
    <w:rsid w:val="0019336B"/>
    <w:rsid w:val="001939A6"/>
    <w:rsid w:val="00193ACC"/>
    <w:rsid w:val="00193BFE"/>
    <w:rsid w:val="00194E7E"/>
    <w:rsid w:val="00195322"/>
    <w:rsid w:val="0019560E"/>
    <w:rsid w:val="00195702"/>
    <w:rsid w:val="001958E3"/>
    <w:rsid w:val="0019601B"/>
    <w:rsid w:val="00196048"/>
    <w:rsid w:val="00196A82"/>
    <w:rsid w:val="0019769B"/>
    <w:rsid w:val="00197FFE"/>
    <w:rsid w:val="001A0D25"/>
    <w:rsid w:val="001A1570"/>
    <w:rsid w:val="001A1917"/>
    <w:rsid w:val="001A1C64"/>
    <w:rsid w:val="001A1E7F"/>
    <w:rsid w:val="001A228D"/>
    <w:rsid w:val="001A2918"/>
    <w:rsid w:val="001A2D02"/>
    <w:rsid w:val="001A2DFE"/>
    <w:rsid w:val="001A3076"/>
    <w:rsid w:val="001A3120"/>
    <w:rsid w:val="001A31A5"/>
    <w:rsid w:val="001A389C"/>
    <w:rsid w:val="001A3B75"/>
    <w:rsid w:val="001A46FB"/>
    <w:rsid w:val="001A5944"/>
    <w:rsid w:val="001A5FB1"/>
    <w:rsid w:val="001A698A"/>
    <w:rsid w:val="001A6CCC"/>
    <w:rsid w:val="001A70C8"/>
    <w:rsid w:val="001A71C9"/>
    <w:rsid w:val="001A7429"/>
    <w:rsid w:val="001A760C"/>
    <w:rsid w:val="001A799B"/>
    <w:rsid w:val="001A7AC7"/>
    <w:rsid w:val="001A7C38"/>
    <w:rsid w:val="001B02F8"/>
    <w:rsid w:val="001B2104"/>
    <w:rsid w:val="001B2279"/>
    <w:rsid w:val="001B2729"/>
    <w:rsid w:val="001B2866"/>
    <w:rsid w:val="001B2881"/>
    <w:rsid w:val="001B34A3"/>
    <w:rsid w:val="001B3675"/>
    <w:rsid w:val="001B37C8"/>
    <w:rsid w:val="001B4B2C"/>
    <w:rsid w:val="001B4F10"/>
    <w:rsid w:val="001B5026"/>
    <w:rsid w:val="001B5154"/>
    <w:rsid w:val="001B5B75"/>
    <w:rsid w:val="001B6E30"/>
    <w:rsid w:val="001B7C83"/>
    <w:rsid w:val="001B7F9E"/>
    <w:rsid w:val="001C0206"/>
    <w:rsid w:val="001C0246"/>
    <w:rsid w:val="001C04D4"/>
    <w:rsid w:val="001C0B34"/>
    <w:rsid w:val="001C12A3"/>
    <w:rsid w:val="001C17BB"/>
    <w:rsid w:val="001C187E"/>
    <w:rsid w:val="001C1A37"/>
    <w:rsid w:val="001C1C49"/>
    <w:rsid w:val="001C286F"/>
    <w:rsid w:val="001C2B86"/>
    <w:rsid w:val="001C2F54"/>
    <w:rsid w:val="001C2FBE"/>
    <w:rsid w:val="001C3308"/>
    <w:rsid w:val="001C3BBB"/>
    <w:rsid w:val="001C40B7"/>
    <w:rsid w:val="001C40D1"/>
    <w:rsid w:val="001C468A"/>
    <w:rsid w:val="001C4A38"/>
    <w:rsid w:val="001C4A9E"/>
    <w:rsid w:val="001C5001"/>
    <w:rsid w:val="001C5103"/>
    <w:rsid w:val="001C52A8"/>
    <w:rsid w:val="001C5ADF"/>
    <w:rsid w:val="001C5E8E"/>
    <w:rsid w:val="001C6120"/>
    <w:rsid w:val="001C6516"/>
    <w:rsid w:val="001C6B5C"/>
    <w:rsid w:val="001C7155"/>
    <w:rsid w:val="001C71D9"/>
    <w:rsid w:val="001C7E48"/>
    <w:rsid w:val="001D039B"/>
    <w:rsid w:val="001D1258"/>
    <w:rsid w:val="001D14AB"/>
    <w:rsid w:val="001D1AB8"/>
    <w:rsid w:val="001D286F"/>
    <w:rsid w:val="001D2C94"/>
    <w:rsid w:val="001D33D9"/>
    <w:rsid w:val="001D36F6"/>
    <w:rsid w:val="001D3D5F"/>
    <w:rsid w:val="001D4303"/>
    <w:rsid w:val="001D45E5"/>
    <w:rsid w:val="001D461A"/>
    <w:rsid w:val="001D4A9D"/>
    <w:rsid w:val="001D4AAD"/>
    <w:rsid w:val="001D5AFA"/>
    <w:rsid w:val="001D7177"/>
    <w:rsid w:val="001D756E"/>
    <w:rsid w:val="001D784A"/>
    <w:rsid w:val="001E04A4"/>
    <w:rsid w:val="001E04EE"/>
    <w:rsid w:val="001E07C5"/>
    <w:rsid w:val="001E176D"/>
    <w:rsid w:val="001E1BCE"/>
    <w:rsid w:val="001E1E05"/>
    <w:rsid w:val="001E2086"/>
    <w:rsid w:val="001E339F"/>
    <w:rsid w:val="001E3629"/>
    <w:rsid w:val="001E3B2C"/>
    <w:rsid w:val="001E40F0"/>
    <w:rsid w:val="001E4172"/>
    <w:rsid w:val="001E4AC7"/>
    <w:rsid w:val="001E5490"/>
    <w:rsid w:val="001E5513"/>
    <w:rsid w:val="001E5730"/>
    <w:rsid w:val="001E5E2E"/>
    <w:rsid w:val="001E6352"/>
    <w:rsid w:val="001E70AD"/>
    <w:rsid w:val="001E7237"/>
    <w:rsid w:val="001E7AF6"/>
    <w:rsid w:val="001E7FBF"/>
    <w:rsid w:val="001F01B8"/>
    <w:rsid w:val="001F0FC3"/>
    <w:rsid w:val="001F1188"/>
    <w:rsid w:val="001F1B8D"/>
    <w:rsid w:val="001F274F"/>
    <w:rsid w:val="001F289C"/>
    <w:rsid w:val="001F2BF9"/>
    <w:rsid w:val="001F3AF2"/>
    <w:rsid w:val="001F6008"/>
    <w:rsid w:val="001F641B"/>
    <w:rsid w:val="001F6C19"/>
    <w:rsid w:val="001F6D4D"/>
    <w:rsid w:val="001F7C00"/>
    <w:rsid w:val="0020042C"/>
    <w:rsid w:val="002009A3"/>
    <w:rsid w:val="00200F1A"/>
    <w:rsid w:val="0020130D"/>
    <w:rsid w:val="00201D06"/>
    <w:rsid w:val="00201E9F"/>
    <w:rsid w:val="00202790"/>
    <w:rsid w:val="00202F25"/>
    <w:rsid w:val="002035B3"/>
    <w:rsid w:val="00203929"/>
    <w:rsid w:val="00203CD6"/>
    <w:rsid w:val="00203F0A"/>
    <w:rsid w:val="00204460"/>
    <w:rsid w:val="002051EA"/>
    <w:rsid w:val="00205CBC"/>
    <w:rsid w:val="00205E9E"/>
    <w:rsid w:val="00206259"/>
    <w:rsid w:val="00206CE5"/>
    <w:rsid w:val="002074B7"/>
    <w:rsid w:val="0020758D"/>
    <w:rsid w:val="00207C7B"/>
    <w:rsid w:val="00211470"/>
    <w:rsid w:val="00211922"/>
    <w:rsid w:val="0021213A"/>
    <w:rsid w:val="0021265F"/>
    <w:rsid w:val="00213817"/>
    <w:rsid w:val="00214428"/>
    <w:rsid w:val="002145EB"/>
    <w:rsid w:val="00215834"/>
    <w:rsid w:val="00215CC2"/>
    <w:rsid w:val="00215ED8"/>
    <w:rsid w:val="00217700"/>
    <w:rsid w:val="002177E2"/>
    <w:rsid w:val="002205F3"/>
    <w:rsid w:val="0022085B"/>
    <w:rsid w:val="00220E53"/>
    <w:rsid w:val="0022176C"/>
    <w:rsid w:val="002225D1"/>
    <w:rsid w:val="002230FA"/>
    <w:rsid w:val="002235D9"/>
    <w:rsid w:val="00223AB9"/>
    <w:rsid w:val="00223DF2"/>
    <w:rsid w:val="00224737"/>
    <w:rsid w:val="00224C0C"/>
    <w:rsid w:val="00225323"/>
    <w:rsid w:val="002256C2"/>
    <w:rsid w:val="002256D0"/>
    <w:rsid w:val="00225C8E"/>
    <w:rsid w:val="00226428"/>
    <w:rsid w:val="002265A9"/>
    <w:rsid w:val="002266CB"/>
    <w:rsid w:val="00226777"/>
    <w:rsid w:val="0022701E"/>
    <w:rsid w:val="00227052"/>
    <w:rsid w:val="002272D5"/>
    <w:rsid w:val="0022738E"/>
    <w:rsid w:val="00227906"/>
    <w:rsid w:val="00227934"/>
    <w:rsid w:val="00227E21"/>
    <w:rsid w:val="00230178"/>
    <w:rsid w:val="00231D05"/>
    <w:rsid w:val="002336E2"/>
    <w:rsid w:val="00233AC2"/>
    <w:rsid w:val="00233BAF"/>
    <w:rsid w:val="00235420"/>
    <w:rsid w:val="002356A5"/>
    <w:rsid w:val="00235DAA"/>
    <w:rsid w:val="0024065B"/>
    <w:rsid w:val="002409A6"/>
    <w:rsid w:val="00240EA5"/>
    <w:rsid w:val="00241132"/>
    <w:rsid w:val="00241205"/>
    <w:rsid w:val="002418C5"/>
    <w:rsid w:val="002419ED"/>
    <w:rsid w:val="0024261D"/>
    <w:rsid w:val="00242DFB"/>
    <w:rsid w:val="00243807"/>
    <w:rsid w:val="002440AC"/>
    <w:rsid w:val="00244365"/>
    <w:rsid w:val="0024459A"/>
    <w:rsid w:val="00244771"/>
    <w:rsid w:val="00244903"/>
    <w:rsid w:val="00244AFB"/>
    <w:rsid w:val="002453DF"/>
    <w:rsid w:val="00245A81"/>
    <w:rsid w:val="00246B86"/>
    <w:rsid w:val="00247335"/>
    <w:rsid w:val="002473EF"/>
    <w:rsid w:val="002477B9"/>
    <w:rsid w:val="00247CBE"/>
    <w:rsid w:val="00250100"/>
    <w:rsid w:val="00250A1F"/>
    <w:rsid w:val="00250ADA"/>
    <w:rsid w:val="00250F1D"/>
    <w:rsid w:val="0025194E"/>
    <w:rsid w:val="00251FF1"/>
    <w:rsid w:val="002520BA"/>
    <w:rsid w:val="00252234"/>
    <w:rsid w:val="002527AF"/>
    <w:rsid w:val="002528E3"/>
    <w:rsid w:val="00252944"/>
    <w:rsid w:val="00252D55"/>
    <w:rsid w:val="00252D82"/>
    <w:rsid w:val="00253006"/>
    <w:rsid w:val="002533F5"/>
    <w:rsid w:val="002538CE"/>
    <w:rsid w:val="00253C60"/>
    <w:rsid w:val="00253F21"/>
    <w:rsid w:val="0025429D"/>
    <w:rsid w:val="002549E9"/>
    <w:rsid w:val="00254FF6"/>
    <w:rsid w:val="00255099"/>
    <w:rsid w:val="002555C6"/>
    <w:rsid w:val="00255E14"/>
    <w:rsid w:val="0025615C"/>
    <w:rsid w:val="00257059"/>
    <w:rsid w:val="0025712F"/>
    <w:rsid w:val="00257395"/>
    <w:rsid w:val="00257857"/>
    <w:rsid w:val="002578DA"/>
    <w:rsid w:val="00257CBC"/>
    <w:rsid w:val="002602C2"/>
    <w:rsid w:val="002602DA"/>
    <w:rsid w:val="0026040B"/>
    <w:rsid w:val="00260802"/>
    <w:rsid w:val="002609E3"/>
    <w:rsid w:val="00261223"/>
    <w:rsid w:val="002617AB"/>
    <w:rsid w:val="00261D08"/>
    <w:rsid w:val="00261DCC"/>
    <w:rsid w:val="002624D0"/>
    <w:rsid w:val="00263AE7"/>
    <w:rsid w:val="00263EC7"/>
    <w:rsid w:val="00264441"/>
    <w:rsid w:val="0026491B"/>
    <w:rsid w:val="00264A36"/>
    <w:rsid w:val="00264B06"/>
    <w:rsid w:val="00264C1B"/>
    <w:rsid w:val="00265E2E"/>
    <w:rsid w:val="002661AB"/>
    <w:rsid w:val="002668DB"/>
    <w:rsid w:val="0026742B"/>
    <w:rsid w:val="002674FE"/>
    <w:rsid w:val="00270748"/>
    <w:rsid w:val="0027105A"/>
    <w:rsid w:val="0027117F"/>
    <w:rsid w:val="00271283"/>
    <w:rsid w:val="002712DC"/>
    <w:rsid w:val="00271875"/>
    <w:rsid w:val="002718FF"/>
    <w:rsid w:val="00271955"/>
    <w:rsid w:val="00272278"/>
    <w:rsid w:val="00272432"/>
    <w:rsid w:val="00272633"/>
    <w:rsid w:val="00272CAB"/>
    <w:rsid w:val="00272FBF"/>
    <w:rsid w:val="00273A10"/>
    <w:rsid w:val="00273A58"/>
    <w:rsid w:val="00273FBB"/>
    <w:rsid w:val="00274CAB"/>
    <w:rsid w:val="00274E8A"/>
    <w:rsid w:val="0027507D"/>
    <w:rsid w:val="00275FCE"/>
    <w:rsid w:val="002766B8"/>
    <w:rsid w:val="0027680F"/>
    <w:rsid w:val="00281006"/>
    <w:rsid w:val="002815B1"/>
    <w:rsid w:val="00281A3D"/>
    <w:rsid w:val="00281C1F"/>
    <w:rsid w:val="00281EEA"/>
    <w:rsid w:val="00281F88"/>
    <w:rsid w:val="0028288D"/>
    <w:rsid w:val="002829B7"/>
    <w:rsid w:val="00282B82"/>
    <w:rsid w:val="00282C74"/>
    <w:rsid w:val="00282E5B"/>
    <w:rsid w:val="00282F51"/>
    <w:rsid w:val="00283995"/>
    <w:rsid w:val="00283B11"/>
    <w:rsid w:val="002841A9"/>
    <w:rsid w:val="00284313"/>
    <w:rsid w:val="002848AD"/>
    <w:rsid w:val="00284A5E"/>
    <w:rsid w:val="00285154"/>
    <w:rsid w:val="00285BF2"/>
    <w:rsid w:val="00285C78"/>
    <w:rsid w:val="002863CE"/>
    <w:rsid w:val="002868CF"/>
    <w:rsid w:val="0028702A"/>
    <w:rsid w:val="0028732A"/>
    <w:rsid w:val="00287D98"/>
    <w:rsid w:val="00290F01"/>
    <w:rsid w:val="00291035"/>
    <w:rsid w:val="00291492"/>
    <w:rsid w:val="00291527"/>
    <w:rsid w:val="0029199A"/>
    <w:rsid w:val="00291BBE"/>
    <w:rsid w:val="00291FEB"/>
    <w:rsid w:val="002920B3"/>
    <w:rsid w:val="00293146"/>
    <w:rsid w:val="0029361E"/>
    <w:rsid w:val="00293D68"/>
    <w:rsid w:val="0029431E"/>
    <w:rsid w:val="00294352"/>
    <w:rsid w:val="002944A0"/>
    <w:rsid w:val="002946E4"/>
    <w:rsid w:val="0029495C"/>
    <w:rsid w:val="00294CEE"/>
    <w:rsid w:val="002957D9"/>
    <w:rsid w:val="00295B52"/>
    <w:rsid w:val="00296024"/>
    <w:rsid w:val="00296293"/>
    <w:rsid w:val="0029651E"/>
    <w:rsid w:val="0029686F"/>
    <w:rsid w:val="00296AF7"/>
    <w:rsid w:val="002972F9"/>
    <w:rsid w:val="002977CA"/>
    <w:rsid w:val="00297DC9"/>
    <w:rsid w:val="00297ED7"/>
    <w:rsid w:val="002A0007"/>
    <w:rsid w:val="002A03AA"/>
    <w:rsid w:val="002A056D"/>
    <w:rsid w:val="002A0649"/>
    <w:rsid w:val="002A07FE"/>
    <w:rsid w:val="002A094D"/>
    <w:rsid w:val="002A0CAF"/>
    <w:rsid w:val="002A1565"/>
    <w:rsid w:val="002A16A9"/>
    <w:rsid w:val="002A2941"/>
    <w:rsid w:val="002A2DC4"/>
    <w:rsid w:val="002A3E69"/>
    <w:rsid w:val="002A41F7"/>
    <w:rsid w:val="002A44F9"/>
    <w:rsid w:val="002A46D1"/>
    <w:rsid w:val="002A49EF"/>
    <w:rsid w:val="002A4B8B"/>
    <w:rsid w:val="002A4C3D"/>
    <w:rsid w:val="002A5107"/>
    <w:rsid w:val="002A535E"/>
    <w:rsid w:val="002A6406"/>
    <w:rsid w:val="002A6739"/>
    <w:rsid w:val="002A6AD0"/>
    <w:rsid w:val="002A6CF0"/>
    <w:rsid w:val="002A6FFC"/>
    <w:rsid w:val="002A7010"/>
    <w:rsid w:val="002A70BA"/>
    <w:rsid w:val="002A7A57"/>
    <w:rsid w:val="002A7BB2"/>
    <w:rsid w:val="002A7DCB"/>
    <w:rsid w:val="002B0B53"/>
    <w:rsid w:val="002B1617"/>
    <w:rsid w:val="002B194B"/>
    <w:rsid w:val="002B1D11"/>
    <w:rsid w:val="002B273B"/>
    <w:rsid w:val="002B29AA"/>
    <w:rsid w:val="002B2A7E"/>
    <w:rsid w:val="002B2F1B"/>
    <w:rsid w:val="002B4A32"/>
    <w:rsid w:val="002B4C6B"/>
    <w:rsid w:val="002B5AFB"/>
    <w:rsid w:val="002B6320"/>
    <w:rsid w:val="002B66AC"/>
    <w:rsid w:val="002B6852"/>
    <w:rsid w:val="002B77E1"/>
    <w:rsid w:val="002C0714"/>
    <w:rsid w:val="002C0A96"/>
    <w:rsid w:val="002C10A8"/>
    <w:rsid w:val="002C1BF4"/>
    <w:rsid w:val="002C1E0D"/>
    <w:rsid w:val="002C2266"/>
    <w:rsid w:val="002C2309"/>
    <w:rsid w:val="002C24D1"/>
    <w:rsid w:val="002C28EB"/>
    <w:rsid w:val="002C3265"/>
    <w:rsid w:val="002C3666"/>
    <w:rsid w:val="002C3AED"/>
    <w:rsid w:val="002C3E56"/>
    <w:rsid w:val="002C414C"/>
    <w:rsid w:val="002C4C2F"/>
    <w:rsid w:val="002C5776"/>
    <w:rsid w:val="002C5CD6"/>
    <w:rsid w:val="002C5EED"/>
    <w:rsid w:val="002C66DE"/>
    <w:rsid w:val="002C7193"/>
    <w:rsid w:val="002C7699"/>
    <w:rsid w:val="002C7A49"/>
    <w:rsid w:val="002C7B1A"/>
    <w:rsid w:val="002D0128"/>
    <w:rsid w:val="002D0E85"/>
    <w:rsid w:val="002D0FA7"/>
    <w:rsid w:val="002D12FB"/>
    <w:rsid w:val="002D1306"/>
    <w:rsid w:val="002D19D1"/>
    <w:rsid w:val="002D1F35"/>
    <w:rsid w:val="002D1FA3"/>
    <w:rsid w:val="002D20CD"/>
    <w:rsid w:val="002D23C6"/>
    <w:rsid w:val="002D24F0"/>
    <w:rsid w:val="002D25EB"/>
    <w:rsid w:val="002D29F3"/>
    <w:rsid w:val="002D3126"/>
    <w:rsid w:val="002D3529"/>
    <w:rsid w:val="002D3D0A"/>
    <w:rsid w:val="002D478E"/>
    <w:rsid w:val="002D47AE"/>
    <w:rsid w:val="002D4A94"/>
    <w:rsid w:val="002D5CBF"/>
    <w:rsid w:val="002D65FF"/>
    <w:rsid w:val="002D6D10"/>
    <w:rsid w:val="002D71E2"/>
    <w:rsid w:val="002D7367"/>
    <w:rsid w:val="002D7961"/>
    <w:rsid w:val="002D7B6A"/>
    <w:rsid w:val="002D7E36"/>
    <w:rsid w:val="002E0026"/>
    <w:rsid w:val="002E08E8"/>
    <w:rsid w:val="002E0918"/>
    <w:rsid w:val="002E0BAA"/>
    <w:rsid w:val="002E0D96"/>
    <w:rsid w:val="002E0EA5"/>
    <w:rsid w:val="002E1E19"/>
    <w:rsid w:val="002E283F"/>
    <w:rsid w:val="002E2854"/>
    <w:rsid w:val="002E2E74"/>
    <w:rsid w:val="002E32D2"/>
    <w:rsid w:val="002E361B"/>
    <w:rsid w:val="002E37AB"/>
    <w:rsid w:val="002E3A80"/>
    <w:rsid w:val="002E41C7"/>
    <w:rsid w:val="002E51DF"/>
    <w:rsid w:val="002E555B"/>
    <w:rsid w:val="002E57B9"/>
    <w:rsid w:val="002E6127"/>
    <w:rsid w:val="002E6885"/>
    <w:rsid w:val="002E6E81"/>
    <w:rsid w:val="002E72E4"/>
    <w:rsid w:val="002E739D"/>
    <w:rsid w:val="002F0F36"/>
    <w:rsid w:val="002F1276"/>
    <w:rsid w:val="002F1986"/>
    <w:rsid w:val="002F1E5F"/>
    <w:rsid w:val="002F2A49"/>
    <w:rsid w:val="002F3550"/>
    <w:rsid w:val="002F3B63"/>
    <w:rsid w:val="002F3C56"/>
    <w:rsid w:val="002F46B0"/>
    <w:rsid w:val="002F4B17"/>
    <w:rsid w:val="002F5150"/>
    <w:rsid w:val="002F5463"/>
    <w:rsid w:val="002F58C2"/>
    <w:rsid w:val="002F5932"/>
    <w:rsid w:val="002F5C85"/>
    <w:rsid w:val="002F603B"/>
    <w:rsid w:val="002F6201"/>
    <w:rsid w:val="002F6884"/>
    <w:rsid w:val="002F6A2B"/>
    <w:rsid w:val="002F6CB1"/>
    <w:rsid w:val="002F6DC0"/>
    <w:rsid w:val="002F724B"/>
    <w:rsid w:val="002F72BA"/>
    <w:rsid w:val="00300267"/>
    <w:rsid w:val="003004D2"/>
    <w:rsid w:val="00300674"/>
    <w:rsid w:val="00300C88"/>
    <w:rsid w:val="00300D6B"/>
    <w:rsid w:val="00301380"/>
    <w:rsid w:val="00301E89"/>
    <w:rsid w:val="00302052"/>
    <w:rsid w:val="00302142"/>
    <w:rsid w:val="00302169"/>
    <w:rsid w:val="00302612"/>
    <w:rsid w:val="00303254"/>
    <w:rsid w:val="00303B08"/>
    <w:rsid w:val="0030408D"/>
    <w:rsid w:val="003044D9"/>
    <w:rsid w:val="00304D8A"/>
    <w:rsid w:val="00305216"/>
    <w:rsid w:val="0030555B"/>
    <w:rsid w:val="00305BFD"/>
    <w:rsid w:val="003061F5"/>
    <w:rsid w:val="00306D27"/>
    <w:rsid w:val="0030739C"/>
    <w:rsid w:val="003106DA"/>
    <w:rsid w:val="00310D51"/>
    <w:rsid w:val="00311B36"/>
    <w:rsid w:val="00311C92"/>
    <w:rsid w:val="003133AE"/>
    <w:rsid w:val="00313414"/>
    <w:rsid w:val="0031371B"/>
    <w:rsid w:val="00313F2D"/>
    <w:rsid w:val="00314156"/>
    <w:rsid w:val="00315081"/>
    <w:rsid w:val="0031535B"/>
    <w:rsid w:val="003170F4"/>
    <w:rsid w:val="0031750F"/>
    <w:rsid w:val="0032035D"/>
    <w:rsid w:val="003205E9"/>
    <w:rsid w:val="00320B28"/>
    <w:rsid w:val="0032123E"/>
    <w:rsid w:val="003216D5"/>
    <w:rsid w:val="003216FF"/>
    <w:rsid w:val="00321866"/>
    <w:rsid w:val="00321A83"/>
    <w:rsid w:val="00321C1A"/>
    <w:rsid w:val="00321F6B"/>
    <w:rsid w:val="00322389"/>
    <w:rsid w:val="00322BE5"/>
    <w:rsid w:val="00322E87"/>
    <w:rsid w:val="0032312D"/>
    <w:rsid w:val="00323AA5"/>
    <w:rsid w:val="003242E4"/>
    <w:rsid w:val="0032468D"/>
    <w:rsid w:val="00324926"/>
    <w:rsid w:val="00324B25"/>
    <w:rsid w:val="0032522F"/>
    <w:rsid w:val="003253C4"/>
    <w:rsid w:val="0032550F"/>
    <w:rsid w:val="00325992"/>
    <w:rsid w:val="00325B74"/>
    <w:rsid w:val="0032638F"/>
    <w:rsid w:val="003268F3"/>
    <w:rsid w:val="00326B59"/>
    <w:rsid w:val="003272C6"/>
    <w:rsid w:val="0032746C"/>
    <w:rsid w:val="00327752"/>
    <w:rsid w:val="00327C7C"/>
    <w:rsid w:val="00330009"/>
    <w:rsid w:val="003301E6"/>
    <w:rsid w:val="003310AB"/>
    <w:rsid w:val="003314D2"/>
    <w:rsid w:val="00331712"/>
    <w:rsid w:val="00331A3F"/>
    <w:rsid w:val="00332191"/>
    <w:rsid w:val="00332720"/>
    <w:rsid w:val="00332EED"/>
    <w:rsid w:val="003334A7"/>
    <w:rsid w:val="003337E8"/>
    <w:rsid w:val="00333A14"/>
    <w:rsid w:val="00333B2A"/>
    <w:rsid w:val="00333FD5"/>
    <w:rsid w:val="003350E9"/>
    <w:rsid w:val="003351BA"/>
    <w:rsid w:val="0033520F"/>
    <w:rsid w:val="00335519"/>
    <w:rsid w:val="0033596B"/>
    <w:rsid w:val="00335A93"/>
    <w:rsid w:val="0033650E"/>
    <w:rsid w:val="003366EF"/>
    <w:rsid w:val="00336907"/>
    <w:rsid w:val="003369DF"/>
    <w:rsid w:val="00336C71"/>
    <w:rsid w:val="00336D96"/>
    <w:rsid w:val="00336DFC"/>
    <w:rsid w:val="00337230"/>
    <w:rsid w:val="00337588"/>
    <w:rsid w:val="003377D0"/>
    <w:rsid w:val="00337D75"/>
    <w:rsid w:val="00340020"/>
    <w:rsid w:val="0034081A"/>
    <w:rsid w:val="00341162"/>
    <w:rsid w:val="00341866"/>
    <w:rsid w:val="00341DAF"/>
    <w:rsid w:val="00342181"/>
    <w:rsid w:val="0034339B"/>
    <w:rsid w:val="00343560"/>
    <w:rsid w:val="00343A20"/>
    <w:rsid w:val="0034402B"/>
    <w:rsid w:val="0034449E"/>
    <w:rsid w:val="00344D46"/>
    <w:rsid w:val="0034621B"/>
    <w:rsid w:val="003465A5"/>
    <w:rsid w:val="00346817"/>
    <w:rsid w:val="00347440"/>
    <w:rsid w:val="003475EA"/>
    <w:rsid w:val="0034792D"/>
    <w:rsid w:val="00347A27"/>
    <w:rsid w:val="00347CD4"/>
    <w:rsid w:val="00350A55"/>
    <w:rsid w:val="00350DF8"/>
    <w:rsid w:val="00351A8A"/>
    <w:rsid w:val="00352541"/>
    <w:rsid w:val="0035266A"/>
    <w:rsid w:val="0035279C"/>
    <w:rsid w:val="00352B23"/>
    <w:rsid w:val="00352C49"/>
    <w:rsid w:val="003534D3"/>
    <w:rsid w:val="003535D2"/>
    <w:rsid w:val="0035384D"/>
    <w:rsid w:val="00353BF0"/>
    <w:rsid w:val="00353C0B"/>
    <w:rsid w:val="00354AE4"/>
    <w:rsid w:val="00354B0A"/>
    <w:rsid w:val="0035551B"/>
    <w:rsid w:val="003555ED"/>
    <w:rsid w:val="00355911"/>
    <w:rsid w:val="0035636B"/>
    <w:rsid w:val="00356714"/>
    <w:rsid w:val="00357424"/>
    <w:rsid w:val="00361789"/>
    <w:rsid w:val="0036196D"/>
    <w:rsid w:val="00361EEC"/>
    <w:rsid w:val="0036208F"/>
    <w:rsid w:val="003627BD"/>
    <w:rsid w:val="00362997"/>
    <w:rsid w:val="003629B5"/>
    <w:rsid w:val="00362C59"/>
    <w:rsid w:val="00363040"/>
    <w:rsid w:val="003630B7"/>
    <w:rsid w:val="00363275"/>
    <w:rsid w:val="00363786"/>
    <w:rsid w:val="003638A4"/>
    <w:rsid w:val="003639BF"/>
    <w:rsid w:val="00363DDC"/>
    <w:rsid w:val="00363E41"/>
    <w:rsid w:val="00363EAF"/>
    <w:rsid w:val="00363ED8"/>
    <w:rsid w:val="00363FD2"/>
    <w:rsid w:val="003644D0"/>
    <w:rsid w:val="003651F5"/>
    <w:rsid w:val="0036572E"/>
    <w:rsid w:val="003663D9"/>
    <w:rsid w:val="003666BF"/>
    <w:rsid w:val="00366707"/>
    <w:rsid w:val="00366FA9"/>
    <w:rsid w:val="00367E49"/>
    <w:rsid w:val="003700E6"/>
    <w:rsid w:val="00371C86"/>
    <w:rsid w:val="0037236C"/>
    <w:rsid w:val="003729DE"/>
    <w:rsid w:val="003735D3"/>
    <w:rsid w:val="0037386D"/>
    <w:rsid w:val="00373956"/>
    <w:rsid w:val="00374153"/>
    <w:rsid w:val="003750E0"/>
    <w:rsid w:val="00375AF1"/>
    <w:rsid w:val="00375C2F"/>
    <w:rsid w:val="00375FC5"/>
    <w:rsid w:val="003769BA"/>
    <w:rsid w:val="00377871"/>
    <w:rsid w:val="003778B2"/>
    <w:rsid w:val="00377E58"/>
    <w:rsid w:val="003805E3"/>
    <w:rsid w:val="00380618"/>
    <w:rsid w:val="0038062E"/>
    <w:rsid w:val="003807F7"/>
    <w:rsid w:val="00381610"/>
    <w:rsid w:val="00382106"/>
    <w:rsid w:val="00382657"/>
    <w:rsid w:val="00382B82"/>
    <w:rsid w:val="00383E73"/>
    <w:rsid w:val="003844BF"/>
    <w:rsid w:val="003852BA"/>
    <w:rsid w:val="003854D5"/>
    <w:rsid w:val="0038552A"/>
    <w:rsid w:val="003859EA"/>
    <w:rsid w:val="0038709E"/>
    <w:rsid w:val="00387D30"/>
    <w:rsid w:val="00390A4D"/>
    <w:rsid w:val="00391753"/>
    <w:rsid w:val="00391C7F"/>
    <w:rsid w:val="00391CE4"/>
    <w:rsid w:val="00392454"/>
    <w:rsid w:val="00392A6C"/>
    <w:rsid w:val="00392C85"/>
    <w:rsid w:val="00392FD8"/>
    <w:rsid w:val="00393E11"/>
    <w:rsid w:val="00394475"/>
    <w:rsid w:val="00394C48"/>
    <w:rsid w:val="0039517A"/>
    <w:rsid w:val="00395B51"/>
    <w:rsid w:val="00396796"/>
    <w:rsid w:val="00396EC6"/>
    <w:rsid w:val="00396F3C"/>
    <w:rsid w:val="003970BA"/>
    <w:rsid w:val="0039746C"/>
    <w:rsid w:val="00397DC6"/>
    <w:rsid w:val="003A0E82"/>
    <w:rsid w:val="003A0FAC"/>
    <w:rsid w:val="003A184D"/>
    <w:rsid w:val="003A1C35"/>
    <w:rsid w:val="003A1FB7"/>
    <w:rsid w:val="003A2962"/>
    <w:rsid w:val="003A371E"/>
    <w:rsid w:val="003A462A"/>
    <w:rsid w:val="003A4CE8"/>
    <w:rsid w:val="003A595F"/>
    <w:rsid w:val="003A5EEC"/>
    <w:rsid w:val="003A79AE"/>
    <w:rsid w:val="003A7CA3"/>
    <w:rsid w:val="003B00B6"/>
    <w:rsid w:val="003B01C4"/>
    <w:rsid w:val="003B0BB0"/>
    <w:rsid w:val="003B11EE"/>
    <w:rsid w:val="003B1332"/>
    <w:rsid w:val="003B15F8"/>
    <w:rsid w:val="003B18EB"/>
    <w:rsid w:val="003B230B"/>
    <w:rsid w:val="003B23BC"/>
    <w:rsid w:val="003B2DB5"/>
    <w:rsid w:val="003B2F05"/>
    <w:rsid w:val="003B3966"/>
    <w:rsid w:val="003B39B7"/>
    <w:rsid w:val="003B3B64"/>
    <w:rsid w:val="003B4494"/>
    <w:rsid w:val="003B4EB0"/>
    <w:rsid w:val="003B5F6A"/>
    <w:rsid w:val="003B6B7F"/>
    <w:rsid w:val="003B7820"/>
    <w:rsid w:val="003C01A4"/>
    <w:rsid w:val="003C0219"/>
    <w:rsid w:val="003C07FE"/>
    <w:rsid w:val="003C0C12"/>
    <w:rsid w:val="003C125F"/>
    <w:rsid w:val="003C16EE"/>
    <w:rsid w:val="003C1C87"/>
    <w:rsid w:val="003C2C85"/>
    <w:rsid w:val="003C2F61"/>
    <w:rsid w:val="003C345E"/>
    <w:rsid w:val="003C4409"/>
    <w:rsid w:val="003C4997"/>
    <w:rsid w:val="003C4DA5"/>
    <w:rsid w:val="003C5666"/>
    <w:rsid w:val="003C6304"/>
    <w:rsid w:val="003C64F4"/>
    <w:rsid w:val="003C6DE1"/>
    <w:rsid w:val="003C724B"/>
    <w:rsid w:val="003C73DB"/>
    <w:rsid w:val="003D0185"/>
    <w:rsid w:val="003D02CB"/>
    <w:rsid w:val="003D0382"/>
    <w:rsid w:val="003D057A"/>
    <w:rsid w:val="003D069C"/>
    <w:rsid w:val="003D0BC2"/>
    <w:rsid w:val="003D191E"/>
    <w:rsid w:val="003D22A5"/>
    <w:rsid w:val="003D22C7"/>
    <w:rsid w:val="003D23A4"/>
    <w:rsid w:val="003D3414"/>
    <w:rsid w:val="003D3426"/>
    <w:rsid w:val="003D3721"/>
    <w:rsid w:val="003D46BA"/>
    <w:rsid w:val="003D590A"/>
    <w:rsid w:val="003D6722"/>
    <w:rsid w:val="003D6C40"/>
    <w:rsid w:val="003D7428"/>
    <w:rsid w:val="003D77F2"/>
    <w:rsid w:val="003D78CC"/>
    <w:rsid w:val="003D7901"/>
    <w:rsid w:val="003D7D01"/>
    <w:rsid w:val="003D7ED8"/>
    <w:rsid w:val="003E0003"/>
    <w:rsid w:val="003E0099"/>
    <w:rsid w:val="003E08C7"/>
    <w:rsid w:val="003E0992"/>
    <w:rsid w:val="003E1A72"/>
    <w:rsid w:val="003E2880"/>
    <w:rsid w:val="003E28FB"/>
    <w:rsid w:val="003E2A00"/>
    <w:rsid w:val="003E382C"/>
    <w:rsid w:val="003E3D00"/>
    <w:rsid w:val="003E3FD6"/>
    <w:rsid w:val="003E4531"/>
    <w:rsid w:val="003E4771"/>
    <w:rsid w:val="003E54A8"/>
    <w:rsid w:val="003E5833"/>
    <w:rsid w:val="003E5DA8"/>
    <w:rsid w:val="003E7109"/>
    <w:rsid w:val="003E77DC"/>
    <w:rsid w:val="003E7BC1"/>
    <w:rsid w:val="003F0453"/>
    <w:rsid w:val="003F097D"/>
    <w:rsid w:val="003F0C9F"/>
    <w:rsid w:val="003F144A"/>
    <w:rsid w:val="003F1B02"/>
    <w:rsid w:val="003F1EFE"/>
    <w:rsid w:val="003F1FE7"/>
    <w:rsid w:val="003F2212"/>
    <w:rsid w:val="003F2240"/>
    <w:rsid w:val="003F2460"/>
    <w:rsid w:val="003F2BD1"/>
    <w:rsid w:val="003F2E7B"/>
    <w:rsid w:val="003F3932"/>
    <w:rsid w:val="003F39C7"/>
    <w:rsid w:val="003F3CD5"/>
    <w:rsid w:val="003F4473"/>
    <w:rsid w:val="003F4CF5"/>
    <w:rsid w:val="003F4E31"/>
    <w:rsid w:val="003F51EE"/>
    <w:rsid w:val="003F574E"/>
    <w:rsid w:val="003F60D6"/>
    <w:rsid w:val="003F68E9"/>
    <w:rsid w:val="003F73EA"/>
    <w:rsid w:val="003F7E15"/>
    <w:rsid w:val="003F7FDA"/>
    <w:rsid w:val="00400DE4"/>
    <w:rsid w:val="004013AD"/>
    <w:rsid w:val="004021C0"/>
    <w:rsid w:val="004028CE"/>
    <w:rsid w:val="0040313D"/>
    <w:rsid w:val="004043FA"/>
    <w:rsid w:val="00404970"/>
    <w:rsid w:val="00405181"/>
    <w:rsid w:val="0040567F"/>
    <w:rsid w:val="00405873"/>
    <w:rsid w:val="00405F09"/>
    <w:rsid w:val="004066F4"/>
    <w:rsid w:val="00406A32"/>
    <w:rsid w:val="0040760B"/>
    <w:rsid w:val="00410117"/>
    <w:rsid w:val="00410C32"/>
    <w:rsid w:val="004111FB"/>
    <w:rsid w:val="00411237"/>
    <w:rsid w:val="00411557"/>
    <w:rsid w:val="00411994"/>
    <w:rsid w:val="00411D74"/>
    <w:rsid w:val="00411DDE"/>
    <w:rsid w:val="00411F84"/>
    <w:rsid w:val="00412069"/>
    <w:rsid w:val="004121A1"/>
    <w:rsid w:val="00412477"/>
    <w:rsid w:val="00412570"/>
    <w:rsid w:val="004127A2"/>
    <w:rsid w:val="0041280A"/>
    <w:rsid w:val="00412A9D"/>
    <w:rsid w:val="00412CB1"/>
    <w:rsid w:val="004133A5"/>
    <w:rsid w:val="00413B02"/>
    <w:rsid w:val="00413D45"/>
    <w:rsid w:val="00414197"/>
    <w:rsid w:val="00414D68"/>
    <w:rsid w:val="00414FD9"/>
    <w:rsid w:val="00415773"/>
    <w:rsid w:val="00415CAE"/>
    <w:rsid w:val="00415EE7"/>
    <w:rsid w:val="004160FA"/>
    <w:rsid w:val="004164AE"/>
    <w:rsid w:val="0041669E"/>
    <w:rsid w:val="00416ACA"/>
    <w:rsid w:val="00416C56"/>
    <w:rsid w:val="00417294"/>
    <w:rsid w:val="004176B8"/>
    <w:rsid w:val="00417B99"/>
    <w:rsid w:val="00417CE0"/>
    <w:rsid w:val="004209D5"/>
    <w:rsid w:val="00420FAF"/>
    <w:rsid w:val="00421184"/>
    <w:rsid w:val="004212C1"/>
    <w:rsid w:val="004214B7"/>
    <w:rsid w:val="00421988"/>
    <w:rsid w:val="00421DAD"/>
    <w:rsid w:val="00421FB5"/>
    <w:rsid w:val="0042219F"/>
    <w:rsid w:val="004226ED"/>
    <w:rsid w:val="00422AF4"/>
    <w:rsid w:val="004235F4"/>
    <w:rsid w:val="004236C9"/>
    <w:rsid w:val="00423CF3"/>
    <w:rsid w:val="00423E18"/>
    <w:rsid w:val="00424B7C"/>
    <w:rsid w:val="0042500C"/>
    <w:rsid w:val="00425514"/>
    <w:rsid w:val="004256BD"/>
    <w:rsid w:val="00425863"/>
    <w:rsid w:val="00425D02"/>
    <w:rsid w:val="00425EDC"/>
    <w:rsid w:val="00426C3E"/>
    <w:rsid w:val="004275CD"/>
    <w:rsid w:val="00427FEB"/>
    <w:rsid w:val="00427FF2"/>
    <w:rsid w:val="004305C0"/>
    <w:rsid w:val="00430B20"/>
    <w:rsid w:val="00430B6C"/>
    <w:rsid w:val="0043135D"/>
    <w:rsid w:val="004318CC"/>
    <w:rsid w:val="00431EBC"/>
    <w:rsid w:val="0043227C"/>
    <w:rsid w:val="004335C0"/>
    <w:rsid w:val="00433AFC"/>
    <w:rsid w:val="00434193"/>
    <w:rsid w:val="00435068"/>
    <w:rsid w:val="00435520"/>
    <w:rsid w:val="00435715"/>
    <w:rsid w:val="0043571B"/>
    <w:rsid w:val="00435EE0"/>
    <w:rsid w:val="00435F29"/>
    <w:rsid w:val="0043610C"/>
    <w:rsid w:val="004366FF"/>
    <w:rsid w:val="004376D3"/>
    <w:rsid w:val="0043777D"/>
    <w:rsid w:val="00437D83"/>
    <w:rsid w:val="004401DD"/>
    <w:rsid w:val="00440344"/>
    <w:rsid w:val="00441264"/>
    <w:rsid w:val="00441B0F"/>
    <w:rsid w:val="004425C6"/>
    <w:rsid w:val="00443512"/>
    <w:rsid w:val="00443A55"/>
    <w:rsid w:val="00443CA6"/>
    <w:rsid w:val="00443D5D"/>
    <w:rsid w:val="00445CBA"/>
    <w:rsid w:val="004463CB"/>
    <w:rsid w:val="004466F7"/>
    <w:rsid w:val="00446858"/>
    <w:rsid w:val="00447304"/>
    <w:rsid w:val="00450127"/>
    <w:rsid w:val="0045075F"/>
    <w:rsid w:val="004516AD"/>
    <w:rsid w:val="00451E84"/>
    <w:rsid w:val="00451EA3"/>
    <w:rsid w:val="00451F01"/>
    <w:rsid w:val="00453349"/>
    <w:rsid w:val="004546A7"/>
    <w:rsid w:val="00454831"/>
    <w:rsid w:val="004548DF"/>
    <w:rsid w:val="00455B98"/>
    <w:rsid w:val="00455E25"/>
    <w:rsid w:val="00456CC0"/>
    <w:rsid w:val="0045755C"/>
    <w:rsid w:val="00457933"/>
    <w:rsid w:val="00457C78"/>
    <w:rsid w:val="00460136"/>
    <w:rsid w:val="00460735"/>
    <w:rsid w:val="00460AD5"/>
    <w:rsid w:val="00460EB8"/>
    <w:rsid w:val="00461090"/>
    <w:rsid w:val="004611D5"/>
    <w:rsid w:val="004617D8"/>
    <w:rsid w:val="00461991"/>
    <w:rsid w:val="00461A6B"/>
    <w:rsid w:val="00461C43"/>
    <w:rsid w:val="00461DD7"/>
    <w:rsid w:val="00462125"/>
    <w:rsid w:val="00462788"/>
    <w:rsid w:val="00463216"/>
    <w:rsid w:val="0046334D"/>
    <w:rsid w:val="00463848"/>
    <w:rsid w:val="00463BBF"/>
    <w:rsid w:val="00463C95"/>
    <w:rsid w:val="00463E1C"/>
    <w:rsid w:val="00464052"/>
    <w:rsid w:val="00464C9C"/>
    <w:rsid w:val="00465153"/>
    <w:rsid w:val="00465602"/>
    <w:rsid w:val="004669A6"/>
    <w:rsid w:val="00466AFD"/>
    <w:rsid w:val="00466E99"/>
    <w:rsid w:val="00470563"/>
    <w:rsid w:val="00470696"/>
    <w:rsid w:val="004724C9"/>
    <w:rsid w:val="00472585"/>
    <w:rsid w:val="00473045"/>
    <w:rsid w:val="00474130"/>
    <w:rsid w:val="004754EE"/>
    <w:rsid w:val="00475A6C"/>
    <w:rsid w:val="004764AF"/>
    <w:rsid w:val="00476D04"/>
    <w:rsid w:val="0047775E"/>
    <w:rsid w:val="00477AAE"/>
    <w:rsid w:val="00477AF6"/>
    <w:rsid w:val="00477B3B"/>
    <w:rsid w:val="00477BCB"/>
    <w:rsid w:val="004801A7"/>
    <w:rsid w:val="00480E47"/>
    <w:rsid w:val="004814EE"/>
    <w:rsid w:val="00481666"/>
    <w:rsid w:val="0048181B"/>
    <w:rsid w:val="00481F2B"/>
    <w:rsid w:val="004820C5"/>
    <w:rsid w:val="00482198"/>
    <w:rsid w:val="004823D8"/>
    <w:rsid w:val="0048285B"/>
    <w:rsid w:val="00482F20"/>
    <w:rsid w:val="00483196"/>
    <w:rsid w:val="0048340F"/>
    <w:rsid w:val="0048384A"/>
    <w:rsid w:val="0048423C"/>
    <w:rsid w:val="00484449"/>
    <w:rsid w:val="004845A6"/>
    <w:rsid w:val="00484C71"/>
    <w:rsid w:val="004852CE"/>
    <w:rsid w:val="0048540C"/>
    <w:rsid w:val="0048561D"/>
    <w:rsid w:val="00485EDD"/>
    <w:rsid w:val="00485F92"/>
    <w:rsid w:val="004860BD"/>
    <w:rsid w:val="004866E1"/>
    <w:rsid w:val="00486C72"/>
    <w:rsid w:val="00490262"/>
    <w:rsid w:val="0049030D"/>
    <w:rsid w:val="00490954"/>
    <w:rsid w:val="004921DC"/>
    <w:rsid w:val="0049277A"/>
    <w:rsid w:val="00492B38"/>
    <w:rsid w:val="00492FE4"/>
    <w:rsid w:val="00493035"/>
    <w:rsid w:val="00493321"/>
    <w:rsid w:val="004936DE"/>
    <w:rsid w:val="0049544E"/>
    <w:rsid w:val="00495670"/>
    <w:rsid w:val="0049604B"/>
    <w:rsid w:val="00496AC9"/>
    <w:rsid w:val="004A040E"/>
    <w:rsid w:val="004A042D"/>
    <w:rsid w:val="004A11E0"/>
    <w:rsid w:val="004A1FC5"/>
    <w:rsid w:val="004A2158"/>
    <w:rsid w:val="004A29A5"/>
    <w:rsid w:val="004A3225"/>
    <w:rsid w:val="004A374A"/>
    <w:rsid w:val="004A395B"/>
    <w:rsid w:val="004A39D9"/>
    <w:rsid w:val="004A3A44"/>
    <w:rsid w:val="004A3C59"/>
    <w:rsid w:val="004A3FE2"/>
    <w:rsid w:val="004A480D"/>
    <w:rsid w:val="004A4D76"/>
    <w:rsid w:val="004A522F"/>
    <w:rsid w:val="004A5851"/>
    <w:rsid w:val="004A5A91"/>
    <w:rsid w:val="004A5B0F"/>
    <w:rsid w:val="004A5CF1"/>
    <w:rsid w:val="004A66E0"/>
    <w:rsid w:val="004A7AAE"/>
    <w:rsid w:val="004A7D49"/>
    <w:rsid w:val="004A7F21"/>
    <w:rsid w:val="004B08DB"/>
    <w:rsid w:val="004B1422"/>
    <w:rsid w:val="004B24EB"/>
    <w:rsid w:val="004B29AC"/>
    <w:rsid w:val="004B3C8B"/>
    <w:rsid w:val="004B44A9"/>
    <w:rsid w:val="004B4509"/>
    <w:rsid w:val="004B452A"/>
    <w:rsid w:val="004B4871"/>
    <w:rsid w:val="004B4ADF"/>
    <w:rsid w:val="004B4C00"/>
    <w:rsid w:val="004B4E06"/>
    <w:rsid w:val="004B5493"/>
    <w:rsid w:val="004B5914"/>
    <w:rsid w:val="004B6C77"/>
    <w:rsid w:val="004B6D0A"/>
    <w:rsid w:val="004B7995"/>
    <w:rsid w:val="004C02B3"/>
    <w:rsid w:val="004C098E"/>
    <w:rsid w:val="004C0BBE"/>
    <w:rsid w:val="004C0E2F"/>
    <w:rsid w:val="004C1194"/>
    <w:rsid w:val="004C222E"/>
    <w:rsid w:val="004C2561"/>
    <w:rsid w:val="004C2806"/>
    <w:rsid w:val="004C3ADD"/>
    <w:rsid w:val="004C428E"/>
    <w:rsid w:val="004C4775"/>
    <w:rsid w:val="004C483D"/>
    <w:rsid w:val="004C48A9"/>
    <w:rsid w:val="004C52E8"/>
    <w:rsid w:val="004C590B"/>
    <w:rsid w:val="004C6326"/>
    <w:rsid w:val="004C63C7"/>
    <w:rsid w:val="004C6D39"/>
    <w:rsid w:val="004C6D98"/>
    <w:rsid w:val="004C7217"/>
    <w:rsid w:val="004C75B5"/>
    <w:rsid w:val="004C7743"/>
    <w:rsid w:val="004C77A7"/>
    <w:rsid w:val="004C7DBE"/>
    <w:rsid w:val="004C7F57"/>
    <w:rsid w:val="004D032B"/>
    <w:rsid w:val="004D039E"/>
    <w:rsid w:val="004D04A3"/>
    <w:rsid w:val="004D0C9F"/>
    <w:rsid w:val="004D15FD"/>
    <w:rsid w:val="004D2369"/>
    <w:rsid w:val="004D2485"/>
    <w:rsid w:val="004D2998"/>
    <w:rsid w:val="004D3A57"/>
    <w:rsid w:val="004D3B2A"/>
    <w:rsid w:val="004D47FF"/>
    <w:rsid w:val="004D4D35"/>
    <w:rsid w:val="004D518F"/>
    <w:rsid w:val="004D54D7"/>
    <w:rsid w:val="004D5BB7"/>
    <w:rsid w:val="004D6053"/>
    <w:rsid w:val="004D61EF"/>
    <w:rsid w:val="004D6FA4"/>
    <w:rsid w:val="004D7C23"/>
    <w:rsid w:val="004D7EBE"/>
    <w:rsid w:val="004E01C6"/>
    <w:rsid w:val="004E0212"/>
    <w:rsid w:val="004E0ADC"/>
    <w:rsid w:val="004E0FB1"/>
    <w:rsid w:val="004E1043"/>
    <w:rsid w:val="004E1DCA"/>
    <w:rsid w:val="004E1F76"/>
    <w:rsid w:val="004E21B4"/>
    <w:rsid w:val="004E252B"/>
    <w:rsid w:val="004E2861"/>
    <w:rsid w:val="004E2A85"/>
    <w:rsid w:val="004E2C09"/>
    <w:rsid w:val="004E38B4"/>
    <w:rsid w:val="004E3F72"/>
    <w:rsid w:val="004E4A78"/>
    <w:rsid w:val="004E551E"/>
    <w:rsid w:val="004E58F6"/>
    <w:rsid w:val="004E5E37"/>
    <w:rsid w:val="004E5E4C"/>
    <w:rsid w:val="004E623E"/>
    <w:rsid w:val="004E6CF9"/>
    <w:rsid w:val="004E734E"/>
    <w:rsid w:val="004E7EC0"/>
    <w:rsid w:val="004E7F48"/>
    <w:rsid w:val="004F014E"/>
    <w:rsid w:val="004F0BC6"/>
    <w:rsid w:val="004F1123"/>
    <w:rsid w:val="004F1715"/>
    <w:rsid w:val="004F17DA"/>
    <w:rsid w:val="004F184C"/>
    <w:rsid w:val="004F2927"/>
    <w:rsid w:val="004F3BD2"/>
    <w:rsid w:val="004F4372"/>
    <w:rsid w:val="004F43C6"/>
    <w:rsid w:val="004F43E0"/>
    <w:rsid w:val="004F45EB"/>
    <w:rsid w:val="004F521B"/>
    <w:rsid w:val="004F52BB"/>
    <w:rsid w:val="004F53BF"/>
    <w:rsid w:val="004F5582"/>
    <w:rsid w:val="004F59B8"/>
    <w:rsid w:val="004F5BD9"/>
    <w:rsid w:val="004F62A7"/>
    <w:rsid w:val="004F62F9"/>
    <w:rsid w:val="004F66B3"/>
    <w:rsid w:val="004F674C"/>
    <w:rsid w:val="004F7352"/>
    <w:rsid w:val="004F7EE2"/>
    <w:rsid w:val="0050015C"/>
    <w:rsid w:val="00500418"/>
    <w:rsid w:val="00500CCF"/>
    <w:rsid w:val="00500E62"/>
    <w:rsid w:val="005010DE"/>
    <w:rsid w:val="005011FD"/>
    <w:rsid w:val="0050164B"/>
    <w:rsid w:val="00502958"/>
    <w:rsid w:val="00502BD2"/>
    <w:rsid w:val="00502DA4"/>
    <w:rsid w:val="00503F83"/>
    <w:rsid w:val="0050421C"/>
    <w:rsid w:val="00504A9B"/>
    <w:rsid w:val="00504E9A"/>
    <w:rsid w:val="00504F83"/>
    <w:rsid w:val="005059B9"/>
    <w:rsid w:val="00505F64"/>
    <w:rsid w:val="00506DCD"/>
    <w:rsid w:val="00507325"/>
    <w:rsid w:val="00507C56"/>
    <w:rsid w:val="00507F13"/>
    <w:rsid w:val="00510809"/>
    <w:rsid w:val="005109D4"/>
    <w:rsid w:val="00510CF4"/>
    <w:rsid w:val="0051160A"/>
    <w:rsid w:val="005118BA"/>
    <w:rsid w:val="00512D87"/>
    <w:rsid w:val="005130DA"/>
    <w:rsid w:val="00513998"/>
    <w:rsid w:val="00513DDA"/>
    <w:rsid w:val="00513E19"/>
    <w:rsid w:val="005148B4"/>
    <w:rsid w:val="00514B29"/>
    <w:rsid w:val="00514C19"/>
    <w:rsid w:val="005152B1"/>
    <w:rsid w:val="005152F0"/>
    <w:rsid w:val="00515856"/>
    <w:rsid w:val="005163E6"/>
    <w:rsid w:val="005167B6"/>
    <w:rsid w:val="005172EC"/>
    <w:rsid w:val="0051740D"/>
    <w:rsid w:val="00517888"/>
    <w:rsid w:val="005178CE"/>
    <w:rsid w:val="00521CAB"/>
    <w:rsid w:val="005224EF"/>
    <w:rsid w:val="00522654"/>
    <w:rsid w:val="00522835"/>
    <w:rsid w:val="0052293D"/>
    <w:rsid w:val="00522AF4"/>
    <w:rsid w:val="00522B93"/>
    <w:rsid w:val="00523499"/>
    <w:rsid w:val="00523BC7"/>
    <w:rsid w:val="00523C08"/>
    <w:rsid w:val="00523C10"/>
    <w:rsid w:val="005245D5"/>
    <w:rsid w:val="00524889"/>
    <w:rsid w:val="0052575D"/>
    <w:rsid w:val="00525A53"/>
    <w:rsid w:val="00525C1F"/>
    <w:rsid w:val="00526569"/>
    <w:rsid w:val="00526726"/>
    <w:rsid w:val="00527256"/>
    <w:rsid w:val="00527B57"/>
    <w:rsid w:val="00527C8D"/>
    <w:rsid w:val="0053021B"/>
    <w:rsid w:val="00530AC4"/>
    <w:rsid w:val="00532115"/>
    <w:rsid w:val="0053265B"/>
    <w:rsid w:val="00533169"/>
    <w:rsid w:val="00533194"/>
    <w:rsid w:val="005332C8"/>
    <w:rsid w:val="0053464E"/>
    <w:rsid w:val="005346C8"/>
    <w:rsid w:val="005352C8"/>
    <w:rsid w:val="005354C1"/>
    <w:rsid w:val="00535F99"/>
    <w:rsid w:val="00536356"/>
    <w:rsid w:val="00536CBB"/>
    <w:rsid w:val="00536DDD"/>
    <w:rsid w:val="00537033"/>
    <w:rsid w:val="00537085"/>
    <w:rsid w:val="00540A37"/>
    <w:rsid w:val="00540B49"/>
    <w:rsid w:val="005418DB"/>
    <w:rsid w:val="0054247F"/>
    <w:rsid w:val="005434EA"/>
    <w:rsid w:val="00545D55"/>
    <w:rsid w:val="005461AB"/>
    <w:rsid w:val="00546C6A"/>
    <w:rsid w:val="00546FBA"/>
    <w:rsid w:val="0054782D"/>
    <w:rsid w:val="00547F04"/>
    <w:rsid w:val="00550924"/>
    <w:rsid w:val="00550D63"/>
    <w:rsid w:val="00550EF1"/>
    <w:rsid w:val="00551075"/>
    <w:rsid w:val="005513C8"/>
    <w:rsid w:val="0055248E"/>
    <w:rsid w:val="0055352C"/>
    <w:rsid w:val="00553672"/>
    <w:rsid w:val="005538A6"/>
    <w:rsid w:val="00554F94"/>
    <w:rsid w:val="00555161"/>
    <w:rsid w:val="00555DE6"/>
    <w:rsid w:val="00555EB3"/>
    <w:rsid w:val="005567F6"/>
    <w:rsid w:val="00556E29"/>
    <w:rsid w:val="00557474"/>
    <w:rsid w:val="005575C9"/>
    <w:rsid w:val="00557DAA"/>
    <w:rsid w:val="00557DAD"/>
    <w:rsid w:val="00561138"/>
    <w:rsid w:val="00561699"/>
    <w:rsid w:val="0056194F"/>
    <w:rsid w:val="005619E1"/>
    <w:rsid w:val="00562629"/>
    <w:rsid w:val="005628FE"/>
    <w:rsid w:val="0056330E"/>
    <w:rsid w:val="0056364B"/>
    <w:rsid w:val="00564191"/>
    <w:rsid w:val="00564557"/>
    <w:rsid w:val="0056458C"/>
    <w:rsid w:val="00564628"/>
    <w:rsid w:val="005648B9"/>
    <w:rsid w:val="00564A3C"/>
    <w:rsid w:val="00564F82"/>
    <w:rsid w:val="005653AF"/>
    <w:rsid w:val="00565501"/>
    <w:rsid w:val="00565755"/>
    <w:rsid w:val="0056601E"/>
    <w:rsid w:val="00566406"/>
    <w:rsid w:val="00566538"/>
    <w:rsid w:val="0056725A"/>
    <w:rsid w:val="0056741F"/>
    <w:rsid w:val="00567647"/>
    <w:rsid w:val="0056781B"/>
    <w:rsid w:val="00567BE2"/>
    <w:rsid w:val="00570102"/>
    <w:rsid w:val="00570505"/>
    <w:rsid w:val="005712E6"/>
    <w:rsid w:val="00572942"/>
    <w:rsid w:val="005730DB"/>
    <w:rsid w:val="00573251"/>
    <w:rsid w:val="005733A8"/>
    <w:rsid w:val="00573B5B"/>
    <w:rsid w:val="00573C29"/>
    <w:rsid w:val="00573F55"/>
    <w:rsid w:val="0057540E"/>
    <w:rsid w:val="005757B6"/>
    <w:rsid w:val="00576EB8"/>
    <w:rsid w:val="0058000F"/>
    <w:rsid w:val="00580557"/>
    <w:rsid w:val="0058074F"/>
    <w:rsid w:val="005808F3"/>
    <w:rsid w:val="00580A76"/>
    <w:rsid w:val="00581042"/>
    <w:rsid w:val="00581703"/>
    <w:rsid w:val="00581B15"/>
    <w:rsid w:val="005821DD"/>
    <w:rsid w:val="00582E42"/>
    <w:rsid w:val="00583908"/>
    <w:rsid w:val="005842FB"/>
    <w:rsid w:val="00584757"/>
    <w:rsid w:val="00584E21"/>
    <w:rsid w:val="005856D5"/>
    <w:rsid w:val="0058608B"/>
    <w:rsid w:val="005863C1"/>
    <w:rsid w:val="0058654D"/>
    <w:rsid w:val="00586786"/>
    <w:rsid w:val="00587729"/>
    <w:rsid w:val="00587886"/>
    <w:rsid w:val="00587A66"/>
    <w:rsid w:val="00590147"/>
    <w:rsid w:val="00590BD1"/>
    <w:rsid w:val="00590D26"/>
    <w:rsid w:val="00591276"/>
    <w:rsid w:val="00591490"/>
    <w:rsid w:val="0059151A"/>
    <w:rsid w:val="005916C9"/>
    <w:rsid w:val="00591C7E"/>
    <w:rsid w:val="00591DCF"/>
    <w:rsid w:val="005929B4"/>
    <w:rsid w:val="00592A3C"/>
    <w:rsid w:val="0059367F"/>
    <w:rsid w:val="00593720"/>
    <w:rsid w:val="00593909"/>
    <w:rsid w:val="00593A71"/>
    <w:rsid w:val="005941E1"/>
    <w:rsid w:val="005943E2"/>
    <w:rsid w:val="005946A0"/>
    <w:rsid w:val="00594B8A"/>
    <w:rsid w:val="00595009"/>
    <w:rsid w:val="005954B7"/>
    <w:rsid w:val="00595A05"/>
    <w:rsid w:val="00595F17"/>
    <w:rsid w:val="00595F3D"/>
    <w:rsid w:val="00595F89"/>
    <w:rsid w:val="00596873"/>
    <w:rsid w:val="00596BB3"/>
    <w:rsid w:val="00596BD4"/>
    <w:rsid w:val="00596FA8"/>
    <w:rsid w:val="005971A7"/>
    <w:rsid w:val="00597310"/>
    <w:rsid w:val="005977AB"/>
    <w:rsid w:val="005A01C5"/>
    <w:rsid w:val="005A0201"/>
    <w:rsid w:val="005A0532"/>
    <w:rsid w:val="005A07E7"/>
    <w:rsid w:val="005A0A57"/>
    <w:rsid w:val="005A0B9F"/>
    <w:rsid w:val="005A0DBB"/>
    <w:rsid w:val="005A0EBD"/>
    <w:rsid w:val="005A1270"/>
    <w:rsid w:val="005A1295"/>
    <w:rsid w:val="005A1FBF"/>
    <w:rsid w:val="005A2081"/>
    <w:rsid w:val="005A29B1"/>
    <w:rsid w:val="005A2EBF"/>
    <w:rsid w:val="005A380B"/>
    <w:rsid w:val="005A4890"/>
    <w:rsid w:val="005A49D4"/>
    <w:rsid w:val="005A4D7C"/>
    <w:rsid w:val="005A51C9"/>
    <w:rsid w:val="005A5DC0"/>
    <w:rsid w:val="005A6B6D"/>
    <w:rsid w:val="005A6F0E"/>
    <w:rsid w:val="005A6F57"/>
    <w:rsid w:val="005A7079"/>
    <w:rsid w:val="005A7235"/>
    <w:rsid w:val="005A795B"/>
    <w:rsid w:val="005A7A1A"/>
    <w:rsid w:val="005A7BAF"/>
    <w:rsid w:val="005B0652"/>
    <w:rsid w:val="005B1213"/>
    <w:rsid w:val="005B1329"/>
    <w:rsid w:val="005B13D9"/>
    <w:rsid w:val="005B1512"/>
    <w:rsid w:val="005B1B55"/>
    <w:rsid w:val="005B1DBD"/>
    <w:rsid w:val="005B2769"/>
    <w:rsid w:val="005B3EBD"/>
    <w:rsid w:val="005B48E8"/>
    <w:rsid w:val="005B56D9"/>
    <w:rsid w:val="005B5BA3"/>
    <w:rsid w:val="005B5E62"/>
    <w:rsid w:val="005B727B"/>
    <w:rsid w:val="005B7341"/>
    <w:rsid w:val="005B778C"/>
    <w:rsid w:val="005B7E97"/>
    <w:rsid w:val="005B7F46"/>
    <w:rsid w:val="005C09A7"/>
    <w:rsid w:val="005C102D"/>
    <w:rsid w:val="005C132C"/>
    <w:rsid w:val="005C17FB"/>
    <w:rsid w:val="005C1833"/>
    <w:rsid w:val="005C1838"/>
    <w:rsid w:val="005C18C2"/>
    <w:rsid w:val="005C1D93"/>
    <w:rsid w:val="005C2063"/>
    <w:rsid w:val="005C244F"/>
    <w:rsid w:val="005C2767"/>
    <w:rsid w:val="005C2922"/>
    <w:rsid w:val="005C2F60"/>
    <w:rsid w:val="005C323D"/>
    <w:rsid w:val="005C3772"/>
    <w:rsid w:val="005C39C3"/>
    <w:rsid w:val="005C4229"/>
    <w:rsid w:val="005C4580"/>
    <w:rsid w:val="005C5065"/>
    <w:rsid w:val="005C52F3"/>
    <w:rsid w:val="005C564C"/>
    <w:rsid w:val="005C6234"/>
    <w:rsid w:val="005C6605"/>
    <w:rsid w:val="005C71A0"/>
    <w:rsid w:val="005C751C"/>
    <w:rsid w:val="005C7802"/>
    <w:rsid w:val="005C7B50"/>
    <w:rsid w:val="005C7E73"/>
    <w:rsid w:val="005D029E"/>
    <w:rsid w:val="005D0427"/>
    <w:rsid w:val="005D0776"/>
    <w:rsid w:val="005D07AE"/>
    <w:rsid w:val="005D0B55"/>
    <w:rsid w:val="005D0C83"/>
    <w:rsid w:val="005D113B"/>
    <w:rsid w:val="005D1732"/>
    <w:rsid w:val="005D1BAC"/>
    <w:rsid w:val="005D2D9A"/>
    <w:rsid w:val="005D3A6E"/>
    <w:rsid w:val="005D3B21"/>
    <w:rsid w:val="005D4019"/>
    <w:rsid w:val="005D41DC"/>
    <w:rsid w:val="005D43C3"/>
    <w:rsid w:val="005D460F"/>
    <w:rsid w:val="005D4638"/>
    <w:rsid w:val="005D4D7D"/>
    <w:rsid w:val="005D4DC5"/>
    <w:rsid w:val="005D5C22"/>
    <w:rsid w:val="005D5E6C"/>
    <w:rsid w:val="005D63A9"/>
    <w:rsid w:val="005D65D5"/>
    <w:rsid w:val="005D6C56"/>
    <w:rsid w:val="005D6F49"/>
    <w:rsid w:val="005D7E8A"/>
    <w:rsid w:val="005E06FA"/>
    <w:rsid w:val="005E11A5"/>
    <w:rsid w:val="005E13D4"/>
    <w:rsid w:val="005E1435"/>
    <w:rsid w:val="005E21F3"/>
    <w:rsid w:val="005E235C"/>
    <w:rsid w:val="005E3078"/>
    <w:rsid w:val="005E34C0"/>
    <w:rsid w:val="005E3D71"/>
    <w:rsid w:val="005E44F1"/>
    <w:rsid w:val="005E49CA"/>
    <w:rsid w:val="005E5427"/>
    <w:rsid w:val="005E5428"/>
    <w:rsid w:val="005E5A7C"/>
    <w:rsid w:val="005E5C33"/>
    <w:rsid w:val="005E5F53"/>
    <w:rsid w:val="005E6976"/>
    <w:rsid w:val="005E6E12"/>
    <w:rsid w:val="005E70CD"/>
    <w:rsid w:val="005E74B3"/>
    <w:rsid w:val="005E74EC"/>
    <w:rsid w:val="005E7AB6"/>
    <w:rsid w:val="005E7B1E"/>
    <w:rsid w:val="005E7CBC"/>
    <w:rsid w:val="005F0A62"/>
    <w:rsid w:val="005F0FA8"/>
    <w:rsid w:val="005F1C5D"/>
    <w:rsid w:val="005F222B"/>
    <w:rsid w:val="005F2317"/>
    <w:rsid w:val="005F2550"/>
    <w:rsid w:val="005F297E"/>
    <w:rsid w:val="005F2B2D"/>
    <w:rsid w:val="005F2D9C"/>
    <w:rsid w:val="005F2FD5"/>
    <w:rsid w:val="005F340A"/>
    <w:rsid w:val="005F3AE8"/>
    <w:rsid w:val="005F3B09"/>
    <w:rsid w:val="005F3B47"/>
    <w:rsid w:val="005F47C1"/>
    <w:rsid w:val="005F4926"/>
    <w:rsid w:val="005F4B6F"/>
    <w:rsid w:val="005F5009"/>
    <w:rsid w:val="005F5054"/>
    <w:rsid w:val="005F530F"/>
    <w:rsid w:val="005F65D9"/>
    <w:rsid w:val="005F6768"/>
    <w:rsid w:val="005F69CF"/>
    <w:rsid w:val="005F6E39"/>
    <w:rsid w:val="005F6E41"/>
    <w:rsid w:val="005F6E58"/>
    <w:rsid w:val="005F704C"/>
    <w:rsid w:val="005F7A22"/>
    <w:rsid w:val="005F7B9D"/>
    <w:rsid w:val="00600501"/>
    <w:rsid w:val="006006CD"/>
    <w:rsid w:val="00600B0C"/>
    <w:rsid w:val="00601078"/>
    <w:rsid w:val="00602543"/>
    <w:rsid w:val="0060254C"/>
    <w:rsid w:val="00602DFA"/>
    <w:rsid w:val="006031D1"/>
    <w:rsid w:val="006033BF"/>
    <w:rsid w:val="00603702"/>
    <w:rsid w:val="00603B4B"/>
    <w:rsid w:val="00603F20"/>
    <w:rsid w:val="006042BD"/>
    <w:rsid w:val="00604A11"/>
    <w:rsid w:val="00604F37"/>
    <w:rsid w:val="0060508A"/>
    <w:rsid w:val="006055AF"/>
    <w:rsid w:val="00605942"/>
    <w:rsid w:val="00605C9F"/>
    <w:rsid w:val="00606814"/>
    <w:rsid w:val="006068E8"/>
    <w:rsid w:val="00606ADB"/>
    <w:rsid w:val="006072DE"/>
    <w:rsid w:val="006075F4"/>
    <w:rsid w:val="006078A8"/>
    <w:rsid w:val="00607BAD"/>
    <w:rsid w:val="00607EC7"/>
    <w:rsid w:val="0061048A"/>
    <w:rsid w:val="006104F8"/>
    <w:rsid w:val="00610AE7"/>
    <w:rsid w:val="00610BEE"/>
    <w:rsid w:val="00611178"/>
    <w:rsid w:val="0061148D"/>
    <w:rsid w:val="00611D01"/>
    <w:rsid w:val="006124B3"/>
    <w:rsid w:val="00612611"/>
    <w:rsid w:val="0061279A"/>
    <w:rsid w:val="00613009"/>
    <w:rsid w:val="006132EA"/>
    <w:rsid w:val="0061401C"/>
    <w:rsid w:val="0061420B"/>
    <w:rsid w:val="00614931"/>
    <w:rsid w:val="00614D33"/>
    <w:rsid w:val="0061537D"/>
    <w:rsid w:val="0061537F"/>
    <w:rsid w:val="00615DEA"/>
    <w:rsid w:val="00616A60"/>
    <w:rsid w:val="00616EE6"/>
    <w:rsid w:val="006171FB"/>
    <w:rsid w:val="00617A2A"/>
    <w:rsid w:val="006207F4"/>
    <w:rsid w:val="00620C67"/>
    <w:rsid w:val="00621646"/>
    <w:rsid w:val="00621803"/>
    <w:rsid w:val="006220F1"/>
    <w:rsid w:val="00623C68"/>
    <w:rsid w:val="00623E46"/>
    <w:rsid w:val="00624604"/>
    <w:rsid w:val="00624D2C"/>
    <w:rsid w:val="00624EF1"/>
    <w:rsid w:val="00625145"/>
    <w:rsid w:val="00626094"/>
    <w:rsid w:val="00627402"/>
    <w:rsid w:val="00630480"/>
    <w:rsid w:val="0063058E"/>
    <w:rsid w:val="006305F8"/>
    <w:rsid w:val="00631DA7"/>
    <w:rsid w:val="00632B9C"/>
    <w:rsid w:val="00632F18"/>
    <w:rsid w:val="006332D7"/>
    <w:rsid w:val="0063333D"/>
    <w:rsid w:val="00634225"/>
    <w:rsid w:val="00635003"/>
    <w:rsid w:val="006351CE"/>
    <w:rsid w:val="006352FD"/>
    <w:rsid w:val="00635B15"/>
    <w:rsid w:val="006362E1"/>
    <w:rsid w:val="006367DA"/>
    <w:rsid w:val="00636FAD"/>
    <w:rsid w:val="006370E1"/>
    <w:rsid w:val="006375B2"/>
    <w:rsid w:val="006375BB"/>
    <w:rsid w:val="006379DE"/>
    <w:rsid w:val="006407FE"/>
    <w:rsid w:val="006409EE"/>
    <w:rsid w:val="00640BF7"/>
    <w:rsid w:val="00640C7D"/>
    <w:rsid w:val="00640E7E"/>
    <w:rsid w:val="00640FFF"/>
    <w:rsid w:val="006413DD"/>
    <w:rsid w:val="00641761"/>
    <w:rsid w:val="006421D9"/>
    <w:rsid w:val="006424FE"/>
    <w:rsid w:val="006425FC"/>
    <w:rsid w:val="00642631"/>
    <w:rsid w:val="00642C3C"/>
    <w:rsid w:val="00642DF5"/>
    <w:rsid w:val="0064304A"/>
    <w:rsid w:val="0064329C"/>
    <w:rsid w:val="0064380B"/>
    <w:rsid w:val="00643A4F"/>
    <w:rsid w:val="00643FF5"/>
    <w:rsid w:val="006441FD"/>
    <w:rsid w:val="00644E5A"/>
    <w:rsid w:val="00644F2C"/>
    <w:rsid w:val="00645141"/>
    <w:rsid w:val="00645AEE"/>
    <w:rsid w:val="00646428"/>
    <w:rsid w:val="0064707F"/>
    <w:rsid w:val="006471E8"/>
    <w:rsid w:val="00647E90"/>
    <w:rsid w:val="00647FA3"/>
    <w:rsid w:val="006500F7"/>
    <w:rsid w:val="00650769"/>
    <w:rsid w:val="00650DF8"/>
    <w:rsid w:val="006516B7"/>
    <w:rsid w:val="006518E4"/>
    <w:rsid w:val="00651FB8"/>
    <w:rsid w:val="00652BA0"/>
    <w:rsid w:val="00652DF6"/>
    <w:rsid w:val="00652FCA"/>
    <w:rsid w:val="00653045"/>
    <w:rsid w:val="00653A25"/>
    <w:rsid w:val="00653D93"/>
    <w:rsid w:val="00653FDA"/>
    <w:rsid w:val="006541A0"/>
    <w:rsid w:val="00654E99"/>
    <w:rsid w:val="00655104"/>
    <w:rsid w:val="0065548F"/>
    <w:rsid w:val="0065558B"/>
    <w:rsid w:val="00655633"/>
    <w:rsid w:val="006559BB"/>
    <w:rsid w:val="00655A93"/>
    <w:rsid w:val="00655D93"/>
    <w:rsid w:val="00655E86"/>
    <w:rsid w:val="00656614"/>
    <w:rsid w:val="00656C4D"/>
    <w:rsid w:val="006577CD"/>
    <w:rsid w:val="006578A6"/>
    <w:rsid w:val="00657CCC"/>
    <w:rsid w:val="00660162"/>
    <w:rsid w:val="0066036D"/>
    <w:rsid w:val="006604FA"/>
    <w:rsid w:val="00660879"/>
    <w:rsid w:val="00661639"/>
    <w:rsid w:val="0066174D"/>
    <w:rsid w:val="00661E36"/>
    <w:rsid w:val="00661F03"/>
    <w:rsid w:val="006631D3"/>
    <w:rsid w:val="00663D0F"/>
    <w:rsid w:val="00664525"/>
    <w:rsid w:val="0066465B"/>
    <w:rsid w:val="00664C81"/>
    <w:rsid w:val="0066521A"/>
    <w:rsid w:val="0066540C"/>
    <w:rsid w:val="00665EAE"/>
    <w:rsid w:val="006661EA"/>
    <w:rsid w:val="00666909"/>
    <w:rsid w:val="00666EBC"/>
    <w:rsid w:val="00667034"/>
    <w:rsid w:val="00667189"/>
    <w:rsid w:val="0066749E"/>
    <w:rsid w:val="00667CCB"/>
    <w:rsid w:val="00667EFD"/>
    <w:rsid w:val="00670475"/>
    <w:rsid w:val="00670B8C"/>
    <w:rsid w:val="00670C4A"/>
    <w:rsid w:val="00671F3E"/>
    <w:rsid w:val="00672482"/>
    <w:rsid w:val="00672A18"/>
    <w:rsid w:val="006735D0"/>
    <w:rsid w:val="006739E9"/>
    <w:rsid w:val="00674AF5"/>
    <w:rsid w:val="00674D52"/>
    <w:rsid w:val="00674F93"/>
    <w:rsid w:val="0067546F"/>
    <w:rsid w:val="00675A94"/>
    <w:rsid w:val="00676CE4"/>
    <w:rsid w:val="00676EC2"/>
    <w:rsid w:val="00676FA5"/>
    <w:rsid w:val="006771A4"/>
    <w:rsid w:val="006771AD"/>
    <w:rsid w:val="006774A8"/>
    <w:rsid w:val="00677572"/>
    <w:rsid w:val="00681229"/>
    <w:rsid w:val="0068185E"/>
    <w:rsid w:val="00681BE5"/>
    <w:rsid w:val="00681E30"/>
    <w:rsid w:val="0068379B"/>
    <w:rsid w:val="00683D98"/>
    <w:rsid w:val="00683D99"/>
    <w:rsid w:val="00683E23"/>
    <w:rsid w:val="00684079"/>
    <w:rsid w:val="0068629B"/>
    <w:rsid w:val="00686C12"/>
    <w:rsid w:val="00686D75"/>
    <w:rsid w:val="0068736A"/>
    <w:rsid w:val="00687D17"/>
    <w:rsid w:val="00690024"/>
    <w:rsid w:val="0069017D"/>
    <w:rsid w:val="006903A4"/>
    <w:rsid w:val="00690883"/>
    <w:rsid w:val="00690CAA"/>
    <w:rsid w:val="00690E5A"/>
    <w:rsid w:val="00690EFB"/>
    <w:rsid w:val="006911F9"/>
    <w:rsid w:val="006912CB"/>
    <w:rsid w:val="0069137B"/>
    <w:rsid w:val="006913EC"/>
    <w:rsid w:val="006914B7"/>
    <w:rsid w:val="00691742"/>
    <w:rsid w:val="00691DEE"/>
    <w:rsid w:val="00692147"/>
    <w:rsid w:val="00692242"/>
    <w:rsid w:val="0069236E"/>
    <w:rsid w:val="00692704"/>
    <w:rsid w:val="00692B26"/>
    <w:rsid w:val="00692E67"/>
    <w:rsid w:val="00693ACF"/>
    <w:rsid w:val="00693EE5"/>
    <w:rsid w:val="00693FBC"/>
    <w:rsid w:val="006944C5"/>
    <w:rsid w:val="00694A7E"/>
    <w:rsid w:val="00694B8D"/>
    <w:rsid w:val="0069561C"/>
    <w:rsid w:val="00695634"/>
    <w:rsid w:val="0069600D"/>
    <w:rsid w:val="00696143"/>
    <w:rsid w:val="006963AE"/>
    <w:rsid w:val="0069640F"/>
    <w:rsid w:val="00696B07"/>
    <w:rsid w:val="00697053"/>
    <w:rsid w:val="006A066A"/>
    <w:rsid w:val="006A06CA"/>
    <w:rsid w:val="006A083E"/>
    <w:rsid w:val="006A0FFD"/>
    <w:rsid w:val="006A1170"/>
    <w:rsid w:val="006A14A3"/>
    <w:rsid w:val="006A159D"/>
    <w:rsid w:val="006A18BF"/>
    <w:rsid w:val="006A1F58"/>
    <w:rsid w:val="006A242E"/>
    <w:rsid w:val="006A26AB"/>
    <w:rsid w:val="006A298D"/>
    <w:rsid w:val="006A2F80"/>
    <w:rsid w:val="006A3FD6"/>
    <w:rsid w:val="006A4076"/>
    <w:rsid w:val="006A436F"/>
    <w:rsid w:val="006A4E5B"/>
    <w:rsid w:val="006A59D8"/>
    <w:rsid w:val="006A5A45"/>
    <w:rsid w:val="006A5C13"/>
    <w:rsid w:val="006A608E"/>
    <w:rsid w:val="006A6B7B"/>
    <w:rsid w:val="006A6CE2"/>
    <w:rsid w:val="006A73D2"/>
    <w:rsid w:val="006A78F8"/>
    <w:rsid w:val="006A7991"/>
    <w:rsid w:val="006A7C26"/>
    <w:rsid w:val="006A7E27"/>
    <w:rsid w:val="006B010E"/>
    <w:rsid w:val="006B091F"/>
    <w:rsid w:val="006B0CAF"/>
    <w:rsid w:val="006B0ED0"/>
    <w:rsid w:val="006B0EED"/>
    <w:rsid w:val="006B147E"/>
    <w:rsid w:val="006B1DF6"/>
    <w:rsid w:val="006B233F"/>
    <w:rsid w:val="006B275E"/>
    <w:rsid w:val="006B28EA"/>
    <w:rsid w:val="006B2DA3"/>
    <w:rsid w:val="006B2FBB"/>
    <w:rsid w:val="006B378A"/>
    <w:rsid w:val="006B3BD5"/>
    <w:rsid w:val="006B4185"/>
    <w:rsid w:val="006B4224"/>
    <w:rsid w:val="006B4493"/>
    <w:rsid w:val="006B4B62"/>
    <w:rsid w:val="006B53DC"/>
    <w:rsid w:val="006B5423"/>
    <w:rsid w:val="006B5855"/>
    <w:rsid w:val="006B5AB2"/>
    <w:rsid w:val="006B5C67"/>
    <w:rsid w:val="006B6B5D"/>
    <w:rsid w:val="006B6C0D"/>
    <w:rsid w:val="006B7825"/>
    <w:rsid w:val="006B7D68"/>
    <w:rsid w:val="006C033F"/>
    <w:rsid w:val="006C1818"/>
    <w:rsid w:val="006C1F8B"/>
    <w:rsid w:val="006C2721"/>
    <w:rsid w:val="006C323A"/>
    <w:rsid w:val="006C3868"/>
    <w:rsid w:val="006C38FF"/>
    <w:rsid w:val="006C39EC"/>
    <w:rsid w:val="006C3E6E"/>
    <w:rsid w:val="006C3EEA"/>
    <w:rsid w:val="006C43A6"/>
    <w:rsid w:val="006C44EC"/>
    <w:rsid w:val="006C4A4A"/>
    <w:rsid w:val="006C53EB"/>
    <w:rsid w:val="006C5D29"/>
    <w:rsid w:val="006C650D"/>
    <w:rsid w:val="006C69A5"/>
    <w:rsid w:val="006C6A4D"/>
    <w:rsid w:val="006C6CF3"/>
    <w:rsid w:val="006C7740"/>
    <w:rsid w:val="006D0389"/>
    <w:rsid w:val="006D0848"/>
    <w:rsid w:val="006D0BA5"/>
    <w:rsid w:val="006D0C15"/>
    <w:rsid w:val="006D0D8B"/>
    <w:rsid w:val="006D0FBF"/>
    <w:rsid w:val="006D10DC"/>
    <w:rsid w:val="006D1586"/>
    <w:rsid w:val="006D19C1"/>
    <w:rsid w:val="006D2827"/>
    <w:rsid w:val="006D2848"/>
    <w:rsid w:val="006D2B19"/>
    <w:rsid w:val="006D2EC9"/>
    <w:rsid w:val="006D3A05"/>
    <w:rsid w:val="006D3B62"/>
    <w:rsid w:val="006D3FDF"/>
    <w:rsid w:val="006D4527"/>
    <w:rsid w:val="006D4B05"/>
    <w:rsid w:val="006D4EE5"/>
    <w:rsid w:val="006D4F86"/>
    <w:rsid w:val="006D5F98"/>
    <w:rsid w:val="006D6665"/>
    <w:rsid w:val="006D7098"/>
    <w:rsid w:val="006D740E"/>
    <w:rsid w:val="006D7C8A"/>
    <w:rsid w:val="006D7F72"/>
    <w:rsid w:val="006E00B7"/>
    <w:rsid w:val="006E0CB5"/>
    <w:rsid w:val="006E0E5B"/>
    <w:rsid w:val="006E132F"/>
    <w:rsid w:val="006E2701"/>
    <w:rsid w:val="006E3023"/>
    <w:rsid w:val="006E3369"/>
    <w:rsid w:val="006E3D12"/>
    <w:rsid w:val="006E449C"/>
    <w:rsid w:val="006E4726"/>
    <w:rsid w:val="006E4E72"/>
    <w:rsid w:val="006E4FCD"/>
    <w:rsid w:val="006E50D0"/>
    <w:rsid w:val="006E5B0B"/>
    <w:rsid w:val="006E663E"/>
    <w:rsid w:val="006E6655"/>
    <w:rsid w:val="006E6EDF"/>
    <w:rsid w:val="006E7BA5"/>
    <w:rsid w:val="006F01E8"/>
    <w:rsid w:val="006F02D7"/>
    <w:rsid w:val="006F07FA"/>
    <w:rsid w:val="006F0EBB"/>
    <w:rsid w:val="006F1E96"/>
    <w:rsid w:val="006F2D24"/>
    <w:rsid w:val="006F37F7"/>
    <w:rsid w:val="006F38C3"/>
    <w:rsid w:val="006F3909"/>
    <w:rsid w:val="006F4036"/>
    <w:rsid w:val="006F428E"/>
    <w:rsid w:val="006F48E1"/>
    <w:rsid w:val="006F5160"/>
    <w:rsid w:val="006F5374"/>
    <w:rsid w:val="006F60DF"/>
    <w:rsid w:val="006F68C1"/>
    <w:rsid w:val="006F6B60"/>
    <w:rsid w:val="006F6CE2"/>
    <w:rsid w:val="006F6E10"/>
    <w:rsid w:val="006F7800"/>
    <w:rsid w:val="00700F17"/>
    <w:rsid w:val="007014F8"/>
    <w:rsid w:val="0070150D"/>
    <w:rsid w:val="007016D2"/>
    <w:rsid w:val="007018D8"/>
    <w:rsid w:val="007029E8"/>
    <w:rsid w:val="00703107"/>
    <w:rsid w:val="00703138"/>
    <w:rsid w:val="00703277"/>
    <w:rsid w:val="0070356D"/>
    <w:rsid w:val="00703981"/>
    <w:rsid w:val="00703D7E"/>
    <w:rsid w:val="00703DE6"/>
    <w:rsid w:val="007041A7"/>
    <w:rsid w:val="0070495F"/>
    <w:rsid w:val="00704B6E"/>
    <w:rsid w:val="00704F73"/>
    <w:rsid w:val="0070508D"/>
    <w:rsid w:val="0070542E"/>
    <w:rsid w:val="00706096"/>
    <w:rsid w:val="007060D4"/>
    <w:rsid w:val="0070624C"/>
    <w:rsid w:val="00706451"/>
    <w:rsid w:val="00707E0F"/>
    <w:rsid w:val="007100F9"/>
    <w:rsid w:val="0071068A"/>
    <w:rsid w:val="00710E19"/>
    <w:rsid w:val="00710E52"/>
    <w:rsid w:val="0071154B"/>
    <w:rsid w:val="007116B6"/>
    <w:rsid w:val="0071174F"/>
    <w:rsid w:val="0071196A"/>
    <w:rsid w:val="00711C03"/>
    <w:rsid w:val="0071227C"/>
    <w:rsid w:val="007131CF"/>
    <w:rsid w:val="007132CD"/>
    <w:rsid w:val="007133C0"/>
    <w:rsid w:val="00713613"/>
    <w:rsid w:val="007137C6"/>
    <w:rsid w:val="007138FC"/>
    <w:rsid w:val="0071393D"/>
    <w:rsid w:val="00713E79"/>
    <w:rsid w:val="00714245"/>
    <w:rsid w:val="00714C20"/>
    <w:rsid w:val="00715441"/>
    <w:rsid w:val="00715739"/>
    <w:rsid w:val="0071576C"/>
    <w:rsid w:val="00715C94"/>
    <w:rsid w:val="00715EA7"/>
    <w:rsid w:val="00716A09"/>
    <w:rsid w:val="007170DB"/>
    <w:rsid w:val="00717880"/>
    <w:rsid w:val="00717CA8"/>
    <w:rsid w:val="007205E7"/>
    <w:rsid w:val="007209C4"/>
    <w:rsid w:val="00721ACB"/>
    <w:rsid w:val="00721E9E"/>
    <w:rsid w:val="007227FE"/>
    <w:rsid w:val="0072290A"/>
    <w:rsid w:val="007233C3"/>
    <w:rsid w:val="00723C95"/>
    <w:rsid w:val="007244E7"/>
    <w:rsid w:val="0072505F"/>
    <w:rsid w:val="00725B00"/>
    <w:rsid w:val="00725E54"/>
    <w:rsid w:val="0072680C"/>
    <w:rsid w:val="0072698B"/>
    <w:rsid w:val="00726A25"/>
    <w:rsid w:val="00726B3D"/>
    <w:rsid w:val="00726C64"/>
    <w:rsid w:val="007310B7"/>
    <w:rsid w:val="00731237"/>
    <w:rsid w:val="0073207E"/>
    <w:rsid w:val="00732664"/>
    <w:rsid w:val="00732BA7"/>
    <w:rsid w:val="007333EA"/>
    <w:rsid w:val="00733535"/>
    <w:rsid w:val="00733601"/>
    <w:rsid w:val="00733A57"/>
    <w:rsid w:val="00733F36"/>
    <w:rsid w:val="007340CE"/>
    <w:rsid w:val="00734781"/>
    <w:rsid w:val="007349FC"/>
    <w:rsid w:val="00734B6F"/>
    <w:rsid w:val="00735293"/>
    <w:rsid w:val="00735376"/>
    <w:rsid w:val="007363EA"/>
    <w:rsid w:val="00736E06"/>
    <w:rsid w:val="00736E37"/>
    <w:rsid w:val="00737286"/>
    <w:rsid w:val="007373DB"/>
    <w:rsid w:val="00737F27"/>
    <w:rsid w:val="00737FD3"/>
    <w:rsid w:val="007407DB"/>
    <w:rsid w:val="0074085F"/>
    <w:rsid w:val="00740BFC"/>
    <w:rsid w:val="00740F76"/>
    <w:rsid w:val="00741037"/>
    <w:rsid w:val="0074198F"/>
    <w:rsid w:val="007422B3"/>
    <w:rsid w:val="007424BF"/>
    <w:rsid w:val="007434BD"/>
    <w:rsid w:val="007435F1"/>
    <w:rsid w:val="00743DDD"/>
    <w:rsid w:val="00744625"/>
    <w:rsid w:val="007446BB"/>
    <w:rsid w:val="00745882"/>
    <w:rsid w:val="00745A04"/>
    <w:rsid w:val="00745A0F"/>
    <w:rsid w:val="00745DFD"/>
    <w:rsid w:val="00746197"/>
    <w:rsid w:val="0074689C"/>
    <w:rsid w:val="00746B3F"/>
    <w:rsid w:val="00747117"/>
    <w:rsid w:val="007479C2"/>
    <w:rsid w:val="00747B0D"/>
    <w:rsid w:val="00750712"/>
    <w:rsid w:val="007511BA"/>
    <w:rsid w:val="00751452"/>
    <w:rsid w:val="00751D06"/>
    <w:rsid w:val="00751D74"/>
    <w:rsid w:val="007521A5"/>
    <w:rsid w:val="00752243"/>
    <w:rsid w:val="007531BA"/>
    <w:rsid w:val="00753959"/>
    <w:rsid w:val="00753DD6"/>
    <w:rsid w:val="00754A4A"/>
    <w:rsid w:val="007567A8"/>
    <w:rsid w:val="00760D1E"/>
    <w:rsid w:val="00760F66"/>
    <w:rsid w:val="00761103"/>
    <w:rsid w:val="007611F8"/>
    <w:rsid w:val="00761200"/>
    <w:rsid w:val="007615F6"/>
    <w:rsid w:val="007618E2"/>
    <w:rsid w:val="00761931"/>
    <w:rsid w:val="00761BD1"/>
    <w:rsid w:val="007627BA"/>
    <w:rsid w:val="0076291E"/>
    <w:rsid w:val="00762D81"/>
    <w:rsid w:val="0076317B"/>
    <w:rsid w:val="007634C7"/>
    <w:rsid w:val="00763CB9"/>
    <w:rsid w:val="007643D5"/>
    <w:rsid w:val="00765366"/>
    <w:rsid w:val="00765614"/>
    <w:rsid w:val="00765914"/>
    <w:rsid w:val="0076614D"/>
    <w:rsid w:val="0076624C"/>
    <w:rsid w:val="0076627D"/>
    <w:rsid w:val="00766304"/>
    <w:rsid w:val="00767A28"/>
    <w:rsid w:val="00767DD2"/>
    <w:rsid w:val="0077082B"/>
    <w:rsid w:val="00770B12"/>
    <w:rsid w:val="00770E60"/>
    <w:rsid w:val="00771C8F"/>
    <w:rsid w:val="00772019"/>
    <w:rsid w:val="0077266E"/>
    <w:rsid w:val="0077292E"/>
    <w:rsid w:val="007737D8"/>
    <w:rsid w:val="0077391C"/>
    <w:rsid w:val="00773D24"/>
    <w:rsid w:val="00774576"/>
    <w:rsid w:val="0077508A"/>
    <w:rsid w:val="00775567"/>
    <w:rsid w:val="00775E0D"/>
    <w:rsid w:val="00776343"/>
    <w:rsid w:val="00776416"/>
    <w:rsid w:val="00776C7B"/>
    <w:rsid w:val="00776CEF"/>
    <w:rsid w:val="0077790B"/>
    <w:rsid w:val="00777E7E"/>
    <w:rsid w:val="007804DD"/>
    <w:rsid w:val="0078095A"/>
    <w:rsid w:val="00780F3B"/>
    <w:rsid w:val="007816EE"/>
    <w:rsid w:val="00782071"/>
    <w:rsid w:val="00782946"/>
    <w:rsid w:val="00782AB1"/>
    <w:rsid w:val="00782ECD"/>
    <w:rsid w:val="0078363B"/>
    <w:rsid w:val="00783CCF"/>
    <w:rsid w:val="00783F5B"/>
    <w:rsid w:val="00784609"/>
    <w:rsid w:val="00784720"/>
    <w:rsid w:val="0078481D"/>
    <w:rsid w:val="007859FC"/>
    <w:rsid w:val="00785F4C"/>
    <w:rsid w:val="0078609C"/>
    <w:rsid w:val="00786355"/>
    <w:rsid w:val="00787370"/>
    <w:rsid w:val="007874AE"/>
    <w:rsid w:val="0078750B"/>
    <w:rsid w:val="00787F5E"/>
    <w:rsid w:val="0079024D"/>
    <w:rsid w:val="007911B8"/>
    <w:rsid w:val="00791DAE"/>
    <w:rsid w:val="007930E8"/>
    <w:rsid w:val="007935F5"/>
    <w:rsid w:val="00793D04"/>
    <w:rsid w:val="00793F28"/>
    <w:rsid w:val="00793FDB"/>
    <w:rsid w:val="00794252"/>
    <w:rsid w:val="007944D2"/>
    <w:rsid w:val="00794B19"/>
    <w:rsid w:val="00795B8D"/>
    <w:rsid w:val="00795EB9"/>
    <w:rsid w:val="00795F0E"/>
    <w:rsid w:val="007960A9"/>
    <w:rsid w:val="00797D8F"/>
    <w:rsid w:val="007A0C00"/>
    <w:rsid w:val="007A0E15"/>
    <w:rsid w:val="007A176E"/>
    <w:rsid w:val="007A19BF"/>
    <w:rsid w:val="007A2A69"/>
    <w:rsid w:val="007A2CF1"/>
    <w:rsid w:val="007A41B5"/>
    <w:rsid w:val="007A4486"/>
    <w:rsid w:val="007A4682"/>
    <w:rsid w:val="007A5879"/>
    <w:rsid w:val="007A58A8"/>
    <w:rsid w:val="007A5BDC"/>
    <w:rsid w:val="007A629D"/>
    <w:rsid w:val="007A637A"/>
    <w:rsid w:val="007A6610"/>
    <w:rsid w:val="007A6DD3"/>
    <w:rsid w:val="007A6FF3"/>
    <w:rsid w:val="007A71DC"/>
    <w:rsid w:val="007A7A04"/>
    <w:rsid w:val="007B04FF"/>
    <w:rsid w:val="007B0976"/>
    <w:rsid w:val="007B0CAC"/>
    <w:rsid w:val="007B15F3"/>
    <w:rsid w:val="007B1701"/>
    <w:rsid w:val="007B17C0"/>
    <w:rsid w:val="007B1C32"/>
    <w:rsid w:val="007B1DBB"/>
    <w:rsid w:val="007B2319"/>
    <w:rsid w:val="007B2FBF"/>
    <w:rsid w:val="007B3E13"/>
    <w:rsid w:val="007B4046"/>
    <w:rsid w:val="007B4300"/>
    <w:rsid w:val="007B44CE"/>
    <w:rsid w:val="007B44F9"/>
    <w:rsid w:val="007B565C"/>
    <w:rsid w:val="007B595F"/>
    <w:rsid w:val="007B5D75"/>
    <w:rsid w:val="007B6388"/>
    <w:rsid w:val="007B6D5E"/>
    <w:rsid w:val="007B7115"/>
    <w:rsid w:val="007B736B"/>
    <w:rsid w:val="007C0090"/>
    <w:rsid w:val="007C0853"/>
    <w:rsid w:val="007C08D0"/>
    <w:rsid w:val="007C08FD"/>
    <w:rsid w:val="007C0C90"/>
    <w:rsid w:val="007C0E07"/>
    <w:rsid w:val="007C0E86"/>
    <w:rsid w:val="007C249E"/>
    <w:rsid w:val="007C26CF"/>
    <w:rsid w:val="007C271B"/>
    <w:rsid w:val="007C2C14"/>
    <w:rsid w:val="007C2D50"/>
    <w:rsid w:val="007C357D"/>
    <w:rsid w:val="007C380B"/>
    <w:rsid w:val="007C3A55"/>
    <w:rsid w:val="007C4166"/>
    <w:rsid w:val="007C44E1"/>
    <w:rsid w:val="007C48DD"/>
    <w:rsid w:val="007C4A05"/>
    <w:rsid w:val="007C4D79"/>
    <w:rsid w:val="007C5711"/>
    <w:rsid w:val="007C57B9"/>
    <w:rsid w:val="007C6325"/>
    <w:rsid w:val="007C6C53"/>
    <w:rsid w:val="007C71FB"/>
    <w:rsid w:val="007C73A3"/>
    <w:rsid w:val="007C7975"/>
    <w:rsid w:val="007C7EF5"/>
    <w:rsid w:val="007D06AC"/>
    <w:rsid w:val="007D0741"/>
    <w:rsid w:val="007D0A53"/>
    <w:rsid w:val="007D0C62"/>
    <w:rsid w:val="007D0FFC"/>
    <w:rsid w:val="007D1013"/>
    <w:rsid w:val="007D19EC"/>
    <w:rsid w:val="007D2180"/>
    <w:rsid w:val="007D2608"/>
    <w:rsid w:val="007D30C3"/>
    <w:rsid w:val="007D35AC"/>
    <w:rsid w:val="007D36B1"/>
    <w:rsid w:val="007D36D7"/>
    <w:rsid w:val="007D3BA1"/>
    <w:rsid w:val="007D3BDB"/>
    <w:rsid w:val="007D3EC8"/>
    <w:rsid w:val="007D40AC"/>
    <w:rsid w:val="007D4317"/>
    <w:rsid w:val="007D4C12"/>
    <w:rsid w:val="007D57E0"/>
    <w:rsid w:val="007D5962"/>
    <w:rsid w:val="007D63B2"/>
    <w:rsid w:val="007D651D"/>
    <w:rsid w:val="007D71B7"/>
    <w:rsid w:val="007D7C66"/>
    <w:rsid w:val="007D7CF3"/>
    <w:rsid w:val="007E0274"/>
    <w:rsid w:val="007E02A7"/>
    <w:rsid w:val="007E0415"/>
    <w:rsid w:val="007E0991"/>
    <w:rsid w:val="007E0B2C"/>
    <w:rsid w:val="007E107F"/>
    <w:rsid w:val="007E1C84"/>
    <w:rsid w:val="007E25ED"/>
    <w:rsid w:val="007E2FD7"/>
    <w:rsid w:val="007E310B"/>
    <w:rsid w:val="007E38DA"/>
    <w:rsid w:val="007E3D65"/>
    <w:rsid w:val="007E3EE2"/>
    <w:rsid w:val="007E47E7"/>
    <w:rsid w:val="007E4A98"/>
    <w:rsid w:val="007E4EB6"/>
    <w:rsid w:val="007E5DD7"/>
    <w:rsid w:val="007E7139"/>
    <w:rsid w:val="007E7366"/>
    <w:rsid w:val="007E7EA1"/>
    <w:rsid w:val="007E7EA4"/>
    <w:rsid w:val="007F03CE"/>
    <w:rsid w:val="007F04D3"/>
    <w:rsid w:val="007F092A"/>
    <w:rsid w:val="007F0DB7"/>
    <w:rsid w:val="007F0E95"/>
    <w:rsid w:val="007F137D"/>
    <w:rsid w:val="007F2D8D"/>
    <w:rsid w:val="007F2EBF"/>
    <w:rsid w:val="007F3044"/>
    <w:rsid w:val="007F3249"/>
    <w:rsid w:val="007F4657"/>
    <w:rsid w:val="007F49E6"/>
    <w:rsid w:val="007F5609"/>
    <w:rsid w:val="007F5625"/>
    <w:rsid w:val="007F568A"/>
    <w:rsid w:val="007F59F7"/>
    <w:rsid w:val="007F5D13"/>
    <w:rsid w:val="007F5E21"/>
    <w:rsid w:val="007F619D"/>
    <w:rsid w:val="007F6413"/>
    <w:rsid w:val="007F676E"/>
    <w:rsid w:val="007F6B11"/>
    <w:rsid w:val="007F6C91"/>
    <w:rsid w:val="007F6E2B"/>
    <w:rsid w:val="007F6F3C"/>
    <w:rsid w:val="007F7D12"/>
    <w:rsid w:val="007F7F02"/>
    <w:rsid w:val="00800258"/>
    <w:rsid w:val="00800562"/>
    <w:rsid w:val="00800C97"/>
    <w:rsid w:val="00800E69"/>
    <w:rsid w:val="008015BF"/>
    <w:rsid w:val="0080220F"/>
    <w:rsid w:val="00802735"/>
    <w:rsid w:val="008028C2"/>
    <w:rsid w:val="00802DDB"/>
    <w:rsid w:val="00803165"/>
    <w:rsid w:val="008037D8"/>
    <w:rsid w:val="00803B7E"/>
    <w:rsid w:val="00803DA6"/>
    <w:rsid w:val="008040D9"/>
    <w:rsid w:val="0080436E"/>
    <w:rsid w:val="00804937"/>
    <w:rsid w:val="00804E1E"/>
    <w:rsid w:val="00804E43"/>
    <w:rsid w:val="008050F5"/>
    <w:rsid w:val="00805112"/>
    <w:rsid w:val="0080512F"/>
    <w:rsid w:val="0080519C"/>
    <w:rsid w:val="00810BC2"/>
    <w:rsid w:val="00811683"/>
    <w:rsid w:val="00811AFF"/>
    <w:rsid w:val="00812102"/>
    <w:rsid w:val="00812373"/>
    <w:rsid w:val="00813F3A"/>
    <w:rsid w:val="008140E8"/>
    <w:rsid w:val="00814271"/>
    <w:rsid w:val="00814941"/>
    <w:rsid w:val="00814955"/>
    <w:rsid w:val="00814A65"/>
    <w:rsid w:val="00814BD9"/>
    <w:rsid w:val="008158AC"/>
    <w:rsid w:val="00816805"/>
    <w:rsid w:val="00816BE8"/>
    <w:rsid w:val="00816CD5"/>
    <w:rsid w:val="00816DBD"/>
    <w:rsid w:val="00816FE2"/>
    <w:rsid w:val="00817062"/>
    <w:rsid w:val="00817991"/>
    <w:rsid w:val="00817F58"/>
    <w:rsid w:val="008203C5"/>
    <w:rsid w:val="00820B84"/>
    <w:rsid w:val="0082199B"/>
    <w:rsid w:val="00821C2A"/>
    <w:rsid w:val="008227B7"/>
    <w:rsid w:val="008243A8"/>
    <w:rsid w:val="00824925"/>
    <w:rsid w:val="00824C8B"/>
    <w:rsid w:val="008252E8"/>
    <w:rsid w:val="00825BA8"/>
    <w:rsid w:val="00825C14"/>
    <w:rsid w:val="00825FD5"/>
    <w:rsid w:val="0082641D"/>
    <w:rsid w:val="008267CA"/>
    <w:rsid w:val="0082722B"/>
    <w:rsid w:val="00827C1B"/>
    <w:rsid w:val="0083016B"/>
    <w:rsid w:val="008301F1"/>
    <w:rsid w:val="00830C0E"/>
    <w:rsid w:val="008313E0"/>
    <w:rsid w:val="00831742"/>
    <w:rsid w:val="008317EC"/>
    <w:rsid w:val="0083195D"/>
    <w:rsid w:val="00831B7B"/>
    <w:rsid w:val="00831D90"/>
    <w:rsid w:val="008324F3"/>
    <w:rsid w:val="00832691"/>
    <w:rsid w:val="0083296B"/>
    <w:rsid w:val="00833547"/>
    <w:rsid w:val="00833852"/>
    <w:rsid w:val="00833AB9"/>
    <w:rsid w:val="008344EC"/>
    <w:rsid w:val="00834820"/>
    <w:rsid w:val="00834C82"/>
    <w:rsid w:val="00834DB6"/>
    <w:rsid w:val="00834F93"/>
    <w:rsid w:val="008354DB"/>
    <w:rsid w:val="00840C4A"/>
    <w:rsid w:val="008411B9"/>
    <w:rsid w:val="0084122F"/>
    <w:rsid w:val="00841573"/>
    <w:rsid w:val="00841D08"/>
    <w:rsid w:val="00842D43"/>
    <w:rsid w:val="0084323E"/>
    <w:rsid w:val="0084375D"/>
    <w:rsid w:val="00843D50"/>
    <w:rsid w:val="0084464E"/>
    <w:rsid w:val="008458BF"/>
    <w:rsid w:val="00846262"/>
    <w:rsid w:val="00846370"/>
    <w:rsid w:val="00846DCD"/>
    <w:rsid w:val="00847665"/>
    <w:rsid w:val="00847BC5"/>
    <w:rsid w:val="00847F11"/>
    <w:rsid w:val="00850010"/>
    <w:rsid w:val="008503F4"/>
    <w:rsid w:val="008504A0"/>
    <w:rsid w:val="00850AC1"/>
    <w:rsid w:val="00850C2A"/>
    <w:rsid w:val="00850DFA"/>
    <w:rsid w:val="00851331"/>
    <w:rsid w:val="008516D1"/>
    <w:rsid w:val="00852003"/>
    <w:rsid w:val="0085212C"/>
    <w:rsid w:val="008523CA"/>
    <w:rsid w:val="00852F9E"/>
    <w:rsid w:val="00854053"/>
    <w:rsid w:val="008543AC"/>
    <w:rsid w:val="008548B8"/>
    <w:rsid w:val="00854965"/>
    <w:rsid w:val="008554D1"/>
    <w:rsid w:val="008558E0"/>
    <w:rsid w:val="00857AF7"/>
    <w:rsid w:val="00860109"/>
    <w:rsid w:val="008601BD"/>
    <w:rsid w:val="00860359"/>
    <w:rsid w:val="00860700"/>
    <w:rsid w:val="00860E43"/>
    <w:rsid w:val="00860EE9"/>
    <w:rsid w:val="00861075"/>
    <w:rsid w:val="00861252"/>
    <w:rsid w:val="0086171A"/>
    <w:rsid w:val="00861B89"/>
    <w:rsid w:val="0086226C"/>
    <w:rsid w:val="00862C76"/>
    <w:rsid w:val="00863968"/>
    <w:rsid w:val="008644A4"/>
    <w:rsid w:val="00864A6C"/>
    <w:rsid w:val="00864BB1"/>
    <w:rsid w:val="00864DF7"/>
    <w:rsid w:val="00864FDB"/>
    <w:rsid w:val="00865278"/>
    <w:rsid w:val="008654F9"/>
    <w:rsid w:val="008657DA"/>
    <w:rsid w:val="008658C0"/>
    <w:rsid w:val="00866388"/>
    <w:rsid w:val="00866FE3"/>
    <w:rsid w:val="0086722D"/>
    <w:rsid w:val="00867D56"/>
    <w:rsid w:val="00870026"/>
    <w:rsid w:val="0087028A"/>
    <w:rsid w:val="00870BAA"/>
    <w:rsid w:val="00870D91"/>
    <w:rsid w:val="008716D1"/>
    <w:rsid w:val="008716ED"/>
    <w:rsid w:val="0087193F"/>
    <w:rsid w:val="008724E6"/>
    <w:rsid w:val="00872767"/>
    <w:rsid w:val="008728C8"/>
    <w:rsid w:val="00873205"/>
    <w:rsid w:val="008735E8"/>
    <w:rsid w:val="0087377E"/>
    <w:rsid w:val="008739AB"/>
    <w:rsid w:val="00874043"/>
    <w:rsid w:val="00874594"/>
    <w:rsid w:val="00874776"/>
    <w:rsid w:val="0087487C"/>
    <w:rsid w:val="00874A07"/>
    <w:rsid w:val="00874B75"/>
    <w:rsid w:val="00875007"/>
    <w:rsid w:val="008750DB"/>
    <w:rsid w:val="00875144"/>
    <w:rsid w:val="008751B4"/>
    <w:rsid w:val="0087527F"/>
    <w:rsid w:val="0087543F"/>
    <w:rsid w:val="008754B5"/>
    <w:rsid w:val="008758A8"/>
    <w:rsid w:val="00875AF3"/>
    <w:rsid w:val="008765E9"/>
    <w:rsid w:val="00876605"/>
    <w:rsid w:val="00876B13"/>
    <w:rsid w:val="00880017"/>
    <w:rsid w:val="00880305"/>
    <w:rsid w:val="00880315"/>
    <w:rsid w:val="0088031C"/>
    <w:rsid w:val="0088088A"/>
    <w:rsid w:val="00880A3F"/>
    <w:rsid w:val="00880EE2"/>
    <w:rsid w:val="00881318"/>
    <w:rsid w:val="00881732"/>
    <w:rsid w:val="008818A2"/>
    <w:rsid w:val="008820FB"/>
    <w:rsid w:val="0088213D"/>
    <w:rsid w:val="008821C6"/>
    <w:rsid w:val="0088243C"/>
    <w:rsid w:val="0088243D"/>
    <w:rsid w:val="0088251A"/>
    <w:rsid w:val="00882D28"/>
    <w:rsid w:val="00883A67"/>
    <w:rsid w:val="0088400F"/>
    <w:rsid w:val="008848E9"/>
    <w:rsid w:val="00884FD8"/>
    <w:rsid w:val="00885244"/>
    <w:rsid w:val="008857C7"/>
    <w:rsid w:val="008858B3"/>
    <w:rsid w:val="008866CF"/>
    <w:rsid w:val="00886782"/>
    <w:rsid w:val="008869A1"/>
    <w:rsid w:val="00886B3F"/>
    <w:rsid w:val="0089015D"/>
    <w:rsid w:val="0089021A"/>
    <w:rsid w:val="0089022E"/>
    <w:rsid w:val="00890475"/>
    <w:rsid w:val="00890A7C"/>
    <w:rsid w:val="00890D11"/>
    <w:rsid w:val="008910EE"/>
    <w:rsid w:val="00891A26"/>
    <w:rsid w:val="008923F8"/>
    <w:rsid w:val="0089253F"/>
    <w:rsid w:val="008928F1"/>
    <w:rsid w:val="00892BBF"/>
    <w:rsid w:val="00892DB5"/>
    <w:rsid w:val="00892F62"/>
    <w:rsid w:val="0089389C"/>
    <w:rsid w:val="0089414C"/>
    <w:rsid w:val="008942BD"/>
    <w:rsid w:val="0089478A"/>
    <w:rsid w:val="0089480A"/>
    <w:rsid w:val="00894BEE"/>
    <w:rsid w:val="00894FE5"/>
    <w:rsid w:val="008954D2"/>
    <w:rsid w:val="00895658"/>
    <w:rsid w:val="008956DA"/>
    <w:rsid w:val="008959E5"/>
    <w:rsid w:val="00895BA9"/>
    <w:rsid w:val="00895D79"/>
    <w:rsid w:val="0089601B"/>
    <w:rsid w:val="0089655D"/>
    <w:rsid w:val="00896784"/>
    <w:rsid w:val="00897824"/>
    <w:rsid w:val="008979DB"/>
    <w:rsid w:val="00897BCB"/>
    <w:rsid w:val="00897C07"/>
    <w:rsid w:val="00897DBA"/>
    <w:rsid w:val="00897E63"/>
    <w:rsid w:val="008A02FA"/>
    <w:rsid w:val="008A06A8"/>
    <w:rsid w:val="008A1AAC"/>
    <w:rsid w:val="008A1D3C"/>
    <w:rsid w:val="008A20CA"/>
    <w:rsid w:val="008A239B"/>
    <w:rsid w:val="008A2956"/>
    <w:rsid w:val="008A2EA1"/>
    <w:rsid w:val="008A2EF6"/>
    <w:rsid w:val="008A3480"/>
    <w:rsid w:val="008A425D"/>
    <w:rsid w:val="008A4B88"/>
    <w:rsid w:val="008A4F3C"/>
    <w:rsid w:val="008A51AD"/>
    <w:rsid w:val="008A53BA"/>
    <w:rsid w:val="008A551D"/>
    <w:rsid w:val="008A56BA"/>
    <w:rsid w:val="008A570A"/>
    <w:rsid w:val="008A58E4"/>
    <w:rsid w:val="008A58E7"/>
    <w:rsid w:val="008A5C1D"/>
    <w:rsid w:val="008A615A"/>
    <w:rsid w:val="008A650C"/>
    <w:rsid w:val="008A6A36"/>
    <w:rsid w:val="008A6CB9"/>
    <w:rsid w:val="008A6DC1"/>
    <w:rsid w:val="008A7100"/>
    <w:rsid w:val="008A7139"/>
    <w:rsid w:val="008A776D"/>
    <w:rsid w:val="008A7C74"/>
    <w:rsid w:val="008B0107"/>
    <w:rsid w:val="008B04C0"/>
    <w:rsid w:val="008B0A83"/>
    <w:rsid w:val="008B0E93"/>
    <w:rsid w:val="008B198D"/>
    <w:rsid w:val="008B29A4"/>
    <w:rsid w:val="008B2BB4"/>
    <w:rsid w:val="008B2C30"/>
    <w:rsid w:val="008B2D73"/>
    <w:rsid w:val="008B3AB6"/>
    <w:rsid w:val="008B3C2B"/>
    <w:rsid w:val="008B4679"/>
    <w:rsid w:val="008B4D00"/>
    <w:rsid w:val="008B4D13"/>
    <w:rsid w:val="008B4E78"/>
    <w:rsid w:val="008B4FE2"/>
    <w:rsid w:val="008B61A1"/>
    <w:rsid w:val="008B66EE"/>
    <w:rsid w:val="008B6793"/>
    <w:rsid w:val="008B6E62"/>
    <w:rsid w:val="008B6E87"/>
    <w:rsid w:val="008B728A"/>
    <w:rsid w:val="008B7342"/>
    <w:rsid w:val="008B75C2"/>
    <w:rsid w:val="008B770F"/>
    <w:rsid w:val="008B787A"/>
    <w:rsid w:val="008C0773"/>
    <w:rsid w:val="008C0A89"/>
    <w:rsid w:val="008C0E71"/>
    <w:rsid w:val="008C1852"/>
    <w:rsid w:val="008C27B4"/>
    <w:rsid w:val="008C2CFF"/>
    <w:rsid w:val="008C2E1E"/>
    <w:rsid w:val="008C2E22"/>
    <w:rsid w:val="008C2ED2"/>
    <w:rsid w:val="008C3D4D"/>
    <w:rsid w:val="008C4026"/>
    <w:rsid w:val="008C417E"/>
    <w:rsid w:val="008C4CF1"/>
    <w:rsid w:val="008C5B51"/>
    <w:rsid w:val="008C5F0A"/>
    <w:rsid w:val="008C6105"/>
    <w:rsid w:val="008C6124"/>
    <w:rsid w:val="008C6334"/>
    <w:rsid w:val="008C66BD"/>
    <w:rsid w:val="008C6968"/>
    <w:rsid w:val="008C742A"/>
    <w:rsid w:val="008C74C7"/>
    <w:rsid w:val="008C7714"/>
    <w:rsid w:val="008C7F4F"/>
    <w:rsid w:val="008D00F3"/>
    <w:rsid w:val="008D0F27"/>
    <w:rsid w:val="008D15A2"/>
    <w:rsid w:val="008D18CD"/>
    <w:rsid w:val="008D1F86"/>
    <w:rsid w:val="008D20E0"/>
    <w:rsid w:val="008D2796"/>
    <w:rsid w:val="008D2B6E"/>
    <w:rsid w:val="008D2E89"/>
    <w:rsid w:val="008D335C"/>
    <w:rsid w:val="008D35B7"/>
    <w:rsid w:val="008D4007"/>
    <w:rsid w:val="008D436A"/>
    <w:rsid w:val="008D4C72"/>
    <w:rsid w:val="008D50BA"/>
    <w:rsid w:val="008D561B"/>
    <w:rsid w:val="008D582B"/>
    <w:rsid w:val="008D5CF9"/>
    <w:rsid w:val="008D5D0A"/>
    <w:rsid w:val="008D6794"/>
    <w:rsid w:val="008D7F65"/>
    <w:rsid w:val="008E0178"/>
    <w:rsid w:val="008E02F8"/>
    <w:rsid w:val="008E061F"/>
    <w:rsid w:val="008E1189"/>
    <w:rsid w:val="008E12AF"/>
    <w:rsid w:val="008E1592"/>
    <w:rsid w:val="008E211C"/>
    <w:rsid w:val="008E2BB3"/>
    <w:rsid w:val="008E2BC5"/>
    <w:rsid w:val="008E2C79"/>
    <w:rsid w:val="008E3176"/>
    <w:rsid w:val="008E3564"/>
    <w:rsid w:val="008E3A0B"/>
    <w:rsid w:val="008E3A90"/>
    <w:rsid w:val="008E3AAB"/>
    <w:rsid w:val="008E4043"/>
    <w:rsid w:val="008E4163"/>
    <w:rsid w:val="008E41E2"/>
    <w:rsid w:val="008E4520"/>
    <w:rsid w:val="008E54E8"/>
    <w:rsid w:val="008E5740"/>
    <w:rsid w:val="008E5868"/>
    <w:rsid w:val="008E5DC8"/>
    <w:rsid w:val="008E6465"/>
    <w:rsid w:val="008E6C57"/>
    <w:rsid w:val="008E6E66"/>
    <w:rsid w:val="008E7082"/>
    <w:rsid w:val="008E72AF"/>
    <w:rsid w:val="008F0952"/>
    <w:rsid w:val="008F1154"/>
    <w:rsid w:val="008F1B84"/>
    <w:rsid w:val="008F1B9D"/>
    <w:rsid w:val="008F1DB6"/>
    <w:rsid w:val="008F1DDC"/>
    <w:rsid w:val="008F2CA5"/>
    <w:rsid w:val="008F39C0"/>
    <w:rsid w:val="008F3CC0"/>
    <w:rsid w:val="008F57CD"/>
    <w:rsid w:val="008F5960"/>
    <w:rsid w:val="008F5CD0"/>
    <w:rsid w:val="008F6100"/>
    <w:rsid w:val="008F629A"/>
    <w:rsid w:val="008F6A9B"/>
    <w:rsid w:val="008F6F03"/>
    <w:rsid w:val="008F6F9D"/>
    <w:rsid w:val="008F7603"/>
    <w:rsid w:val="008F769D"/>
    <w:rsid w:val="008F76DC"/>
    <w:rsid w:val="008F7A06"/>
    <w:rsid w:val="008F7D2F"/>
    <w:rsid w:val="009013C5"/>
    <w:rsid w:val="0090147B"/>
    <w:rsid w:val="00901649"/>
    <w:rsid w:val="00901CBA"/>
    <w:rsid w:val="00901DC6"/>
    <w:rsid w:val="009021DC"/>
    <w:rsid w:val="00903026"/>
    <w:rsid w:val="0090357B"/>
    <w:rsid w:val="00903832"/>
    <w:rsid w:val="009044BE"/>
    <w:rsid w:val="009048EB"/>
    <w:rsid w:val="00904913"/>
    <w:rsid w:val="00904D4B"/>
    <w:rsid w:val="009050B3"/>
    <w:rsid w:val="00905945"/>
    <w:rsid w:val="00905FEB"/>
    <w:rsid w:val="00906252"/>
    <w:rsid w:val="0090672E"/>
    <w:rsid w:val="00906A4F"/>
    <w:rsid w:val="00906BD6"/>
    <w:rsid w:val="00907074"/>
    <w:rsid w:val="009073C7"/>
    <w:rsid w:val="009078BA"/>
    <w:rsid w:val="009079C7"/>
    <w:rsid w:val="009079F7"/>
    <w:rsid w:val="00907B44"/>
    <w:rsid w:val="00907C33"/>
    <w:rsid w:val="009108D2"/>
    <w:rsid w:val="00910C20"/>
    <w:rsid w:val="00910FE1"/>
    <w:rsid w:val="0091106A"/>
    <w:rsid w:val="009117D0"/>
    <w:rsid w:val="00911C77"/>
    <w:rsid w:val="00911D1C"/>
    <w:rsid w:val="00912F38"/>
    <w:rsid w:val="00913C58"/>
    <w:rsid w:val="00913FCD"/>
    <w:rsid w:val="009140B4"/>
    <w:rsid w:val="00914174"/>
    <w:rsid w:val="0091428A"/>
    <w:rsid w:val="00914733"/>
    <w:rsid w:val="00914AA5"/>
    <w:rsid w:val="009162DD"/>
    <w:rsid w:val="009163E7"/>
    <w:rsid w:val="0091671A"/>
    <w:rsid w:val="009169F6"/>
    <w:rsid w:val="00916D5B"/>
    <w:rsid w:val="0091715C"/>
    <w:rsid w:val="0091719D"/>
    <w:rsid w:val="00917903"/>
    <w:rsid w:val="009200D3"/>
    <w:rsid w:val="00920997"/>
    <w:rsid w:val="00920B1E"/>
    <w:rsid w:val="00920DD5"/>
    <w:rsid w:val="00921161"/>
    <w:rsid w:val="0092158B"/>
    <w:rsid w:val="00921E0A"/>
    <w:rsid w:val="00922492"/>
    <w:rsid w:val="009224EB"/>
    <w:rsid w:val="0092272F"/>
    <w:rsid w:val="00922BE2"/>
    <w:rsid w:val="00922EDE"/>
    <w:rsid w:val="0092337C"/>
    <w:rsid w:val="009237D9"/>
    <w:rsid w:val="009239D2"/>
    <w:rsid w:val="0092406C"/>
    <w:rsid w:val="00924096"/>
    <w:rsid w:val="009243BC"/>
    <w:rsid w:val="009244D5"/>
    <w:rsid w:val="009252F1"/>
    <w:rsid w:val="00925588"/>
    <w:rsid w:val="00925AF5"/>
    <w:rsid w:val="00925C76"/>
    <w:rsid w:val="00926268"/>
    <w:rsid w:val="009264A2"/>
    <w:rsid w:val="00926F3D"/>
    <w:rsid w:val="0092715D"/>
    <w:rsid w:val="00927206"/>
    <w:rsid w:val="00930057"/>
    <w:rsid w:val="00930632"/>
    <w:rsid w:val="009310BC"/>
    <w:rsid w:val="00931D3F"/>
    <w:rsid w:val="009324C4"/>
    <w:rsid w:val="00932671"/>
    <w:rsid w:val="00932A7A"/>
    <w:rsid w:val="009330BF"/>
    <w:rsid w:val="00933817"/>
    <w:rsid w:val="00933C07"/>
    <w:rsid w:val="00934510"/>
    <w:rsid w:val="0093476C"/>
    <w:rsid w:val="00935A1E"/>
    <w:rsid w:val="00935B7C"/>
    <w:rsid w:val="00935E3A"/>
    <w:rsid w:val="00936005"/>
    <w:rsid w:val="0093607C"/>
    <w:rsid w:val="00937A83"/>
    <w:rsid w:val="00937B51"/>
    <w:rsid w:val="00940008"/>
    <w:rsid w:val="00940FFA"/>
    <w:rsid w:val="009411DE"/>
    <w:rsid w:val="00941503"/>
    <w:rsid w:val="00941543"/>
    <w:rsid w:val="0094187D"/>
    <w:rsid w:val="00942C90"/>
    <w:rsid w:val="00942F29"/>
    <w:rsid w:val="00942FB6"/>
    <w:rsid w:val="009434EB"/>
    <w:rsid w:val="00943EA6"/>
    <w:rsid w:val="00944400"/>
    <w:rsid w:val="009448F2"/>
    <w:rsid w:val="009448F3"/>
    <w:rsid w:val="0094524B"/>
    <w:rsid w:val="009456E3"/>
    <w:rsid w:val="00945759"/>
    <w:rsid w:val="009466E9"/>
    <w:rsid w:val="00946CB3"/>
    <w:rsid w:val="00946D20"/>
    <w:rsid w:val="00946E51"/>
    <w:rsid w:val="009473F4"/>
    <w:rsid w:val="0094767D"/>
    <w:rsid w:val="00950231"/>
    <w:rsid w:val="00950794"/>
    <w:rsid w:val="009507AA"/>
    <w:rsid w:val="009509EF"/>
    <w:rsid w:val="009515CA"/>
    <w:rsid w:val="00951691"/>
    <w:rsid w:val="00951A1F"/>
    <w:rsid w:val="00951FCE"/>
    <w:rsid w:val="009521CC"/>
    <w:rsid w:val="0095226C"/>
    <w:rsid w:val="00952C05"/>
    <w:rsid w:val="00952D52"/>
    <w:rsid w:val="009540B7"/>
    <w:rsid w:val="009543D0"/>
    <w:rsid w:val="00954DAE"/>
    <w:rsid w:val="00955410"/>
    <w:rsid w:val="0095555D"/>
    <w:rsid w:val="009558EE"/>
    <w:rsid w:val="009559D5"/>
    <w:rsid w:val="00955C17"/>
    <w:rsid w:val="00955D04"/>
    <w:rsid w:val="00955FFA"/>
    <w:rsid w:val="00956170"/>
    <w:rsid w:val="00956BA1"/>
    <w:rsid w:val="00956D42"/>
    <w:rsid w:val="00956F0F"/>
    <w:rsid w:val="00957065"/>
    <w:rsid w:val="0095727F"/>
    <w:rsid w:val="009572AF"/>
    <w:rsid w:val="00957D91"/>
    <w:rsid w:val="00957E41"/>
    <w:rsid w:val="0096023A"/>
    <w:rsid w:val="009607AB"/>
    <w:rsid w:val="00960A9A"/>
    <w:rsid w:val="009615DB"/>
    <w:rsid w:val="00961C53"/>
    <w:rsid w:val="00962683"/>
    <w:rsid w:val="00962E23"/>
    <w:rsid w:val="00963149"/>
    <w:rsid w:val="0096456D"/>
    <w:rsid w:val="0096487C"/>
    <w:rsid w:val="00964BC2"/>
    <w:rsid w:val="00964D4A"/>
    <w:rsid w:val="00964EAE"/>
    <w:rsid w:val="00965023"/>
    <w:rsid w:val="009650B7"/>
    <w:rsid w:val="0096515D"/>
    <w:rsid w:val="00965841"/>
    <w:rsid w:val="00965EE1"/>
    <w:rsid w:val="00966623"/>
    <w:rsid w:val="009668D5"/>
    <w:rsid w:val="00966D23"/>
    <w:rsid w:val="009678DB"/>
    <w:rsid w:val="00970728"/>
    <w:rsid w:val="009707C9"/>
    <w:rsid w:val="0097082A"/>
    <w:rsid w:val="00971E0B"/>
    <w:rsid w:val="00972101"/>
    <w:rsid w:val="00972D22"/>
    <w:rsid w:val="00972FB5"/>
    <w:rsid w:val="00973510"/>
    <w:rsid w:val="009736FE"/>
    <w:rsid w:val="00973B96"/>
    <w:rsid w:val="00973BAA"/>
    <w:rsid w:val="00973E3C"/>
    <w:rsid w:val="00974763"/>
    <w:rsid w:val="009757CA"/>
    <w:rsid w:val="00975C9D"/>
    <w:rsid w:val="00976E76"/>
    <w:rsid w:val="00977A14"/>
    <w:rsid w:val="00977E9B"/>
    <w:rsid w:val="009807BF"/>
    <w:rsid w:val="009809CE"/>
    <w:rsid w:val="00980D42"/>
    <w:rsid w:val="0098131F"/>
    <w:rsid w:val="00981479"/>
    <w:rsid w:val="00981CF9"/>
    <w:rsid w:val="00982295"/>
    <w:rsid w:val="009829B3"/>
    <w:rsid w:val="00982C31"/>
    <w:rsid w:val="00982D45"/>
    <w:rsid w:val="00982FE4"/>
    <w:rsid w:val="00983165"/>
    <w:rsid w:val="00983343"/>
    <w:rsid w:val="009833C4"/>
    <w:rsid w:val="009834E0"/>
    <w:rsid w:val="009838FF"/>
    <w:rsid w:val="00984149"/>
    <w:rsid w:val="00984788"/>
    <w:rsid w:val="00984909"/>
    <w:rsid w:val="00984D7E"/>
    <w:rsid w:val="00984FF3"/>
    <w:rsid w:val="00984FF9"/>
    <w:rsid w:val="009850C5"/>
    <w:rsid w:val="00986326"/>
    <w:rsid w:val="00986849"/>
    <w:rsid w:val="00986BB7"/>
    <w:rsid w:val="00986D4B"/>
    <w:rsid w:val="00986E1E"/>
    <w:rsid w:val="00986F6D"/>
    <w:rsid w:val="0098727C"/>
    <w:rsid w:val="00987708"/>
    <w:rsid w:val="00987DDD"/>
    <w:rsid w:val="00987DF0"/>
    <w:rsid w:val="00987DF4"/>
    <w:rsid w:val="00987E2E"/>
    <w:rsid w:val="0099008B"/>
    <w:rsid w:val="00991202"/>
    <w:rsid w:val="0099177B"/>
    <w:rsid w:val="009917E0"/>
    <w:rsid w:val="0099367E"/>
    <w:rsid w:val="00993FE4"/>
    <w:rsid w:val="0099425E"/>
    <w:rsid w:val="0099482F"/>
    <w:rsid w:val="00994CDC"/>
    <w:rsid w:val="009969CD"/>
    <w:rsid w:val="00996CFC"/>
    <w:rsid w:val="0099770A"/>
    <w:rsid w:val="00997769"/>
    <w:rsid w:val="00997A2E"/>
    <w:rsid w:val="009A048E"/>
    <w:rsid w:val="009A119F"/>
    <w:rsid w:val="009A1609"/>
    <w:rsid w:val="009A1A7E"/>
    <w:rsid w:val="009A3480"/>
    <w:rsid w:val="009A3DB8"/>
    <w:rsid w:val="009A4356"/>
    <w:rsid w:val="009A43B3"/>
    <w:rsid w:val="009A464D"/>
    <w:rsid w:val="009A496F"/>
    <w:rsid w:val="009A4B78"/>
    <w:rsid w:val="009A4D73"/>
    <w:rsid w:val="009A4E41"/>
    <w:rsid w:val="009A5297"/>
    <w:rsid w:val="009A5326"/>
    <w:rsid w:val="009A5D40"/>
    <w:rsid w:val="009A5E10"/>
    <w:rsid w:val="009A5E9E"/>
    <w:rsid w:val="009A6665"/>
    <w:rsid w:val="009A6785"/>
    <w:rsid w:val="009A743F"/>
    <w:rsid w:val="009A74F7"/>
    <w:rsid w:val="009A76B0"/>
    <w:rsid w:val="009A7FD7"/>
    <w:rsid w:val="009B00F2"/>
    <w:rsid w:val="009B0FB2"/>
    <w:rsid w:val="009B1113"/>
    <w:rsid w:val="009B1C34"/>
    <w:rsid w:val="009B1D22"/>
    <w:rsid w:val="009B1E86"/>
    <w:rsid w:val="009B27C4"/>
    <w:rsid w:val="009B2D92"/>
    <w:rsid w:val="009B3250"/>
    <w:rsid w:val="009B3344"/>
    <w:rsid w:val="009B42D2"/>
    <w:rsid w:val="009B4A06"/>
    <w:rsid w:val="009B5E9C"/>
    <w:rsid w:val="009B609E"/>
    <w:rsid w:val="009B70C8"/>
    <w:rsid w:val="009B722F"/>
    <w:rsid w:val="009B737C"/>
    <w:rsid w:val="009B742E"/>
    <w:rsid w:val="009C0AC6"/>
    <w:rsid w:val="009C0E66"/>
    <w:rsid w:val="009C11B2"/>
    <w:rsid w:val="009C1456"/>
    <w:rsid w:val="009C164F"/>
    <w:rsid w:val="009C1C30"/>
    <w:rsid w:val="009C22DD"/>
    <w:rsid w:val="009C29D5"/>
    <w:rsid w:val="009C30A0"/>
    <w:rsid w:val="009C359E"/>
    <w:rsid w:val="009C37FE"/>
    <w:rsid w:val="009C4082"/>
    <w:rsid w:val="009C4806"/>
    <w:rsid w:val="009C4A38"/>
    <w:rsid w:val="009C4AD8"/>
    <w:rsid w:val="009C4D3D"/>
    <w:rsid w:val="009C55E2"/>
    <w:rsid w:val="009C5A4E"/>
    <w:rsid w:val="009C5EE5"/>
    <w:rsid w:val="009C61E3"/>
    <w:rsid w:val="009C6B56"/>
    <w:rsid w:val="009C6C93"/>
    <w:rsid w:val="009C76F9"/>
    <w:rsid w:val="009C7785"/>
    <w:rsid w:val="009C7DB8"/>
    <w:rsid w:val="009C7FF0"/>
    <w:rsid w:val="009D010D"/>
    <w:rsid w:val="009D0244"/>
    <w:rsid w:val="009D050F"/>
    <w:rsid w:val="009D0F71"/>
    <w:rsid w:val="009D111C"/>
    <w:rsid w:val="009D141A"/>
    <w:rsid w:val="009D17A0"/>
    <w:rsid w:val="009D1A08"/>
    <w:rsid w:val="009D1F7A"/>
    <w:rsid w:val="009D2165"/>
    <w:rsid w:val="009D2873"/>
    <w:rsid w:val="009D2942"/>
    <w:rsid w:val="009D3827"/>
    <w:rsid w:val="009D3A1A"/>
    <w:rsid w:val="009D426A"/>
    <w:rsid w:val="009D5BDB"/>
    <w:rsid w:val="009D5CCA"/>
    <w:rsid w:val="009D5FF8"/>
    <w:rsid w:val="009D6B03"/>
    <w:rsid w:val="009D6B3D"/>
    <w:rsid w:val="009D7422"/>
    <w:rsid w:val="009D77A4"/>
    <w:rsid w:val="009D78E7"/>
    <w:rsid w:val="009E0505"/>
    <w:rsid w:val="009E0742"/>
    <w:rsid w:val="009E1291"/>
    <w:rsid w:val="009E12BC"/>
    <w:rsid w:val="009E224D"/>
    <w:rsid w:val="009E26D5"/>
    <w:rsid w:val="009E276C"/>
    <w:rsid w:val="009E2A07"/>
    <w:rsid w:val="009E3398"/>
    <w:rsid w:val="009E3577"/>
    <w:rsid w:val="009E3681"/>
    <w:rsid w:val="009E3D2B"/>
    <w:rsid w:val="009E3E84"/>
    <w:rsid w:val="009E4097"/>
    <w:rsid w:val="009E4664"/>
    <w:rsid w:val="009E4D8E"/>
    <w:rsid w:val="009E4E90"/>
    <w:rsid w:val="009E4EB7"/>
    <w:rsid w:val="009E56C7"/>
    <w:rsid w:val="009E57C1"/>
    <w:rsid w:val="009E624A"/>
    <w:rsid w:val="009E6B32"/>
    <w:rsid w:val="009E70F3"/>
    <w:rsid w:val="009E7E98"/>
    <w:rsid w:val="009F00EE"/>
    <w:rsid w:val="009F0827"/>
    <w:rsid w:val="009F0BED"/>
    <w:rsid w:val="009F1673"/>
    <w:rsid w:val="009F1EA5"/>
    <w:rsid w:val="009F3255"/>
    <w:rsid w:val="009F34AA"/>
    <w:rsid w:val="009F3DCE"/>
    <w:rsid w:val="009F44FF"/>
    <w:rsid w:val="009F46E8"/>
    <w:rsid w:val="009F472D"/>
    <w:rsid w:val="009F4CF0"/>
    <w:rsid w:val="009F4E88"/>
    <w:rsid w:val="009F50D1"/>
    <w:rsid w:val="009F568A"/>
    <w:rsid w:val="009F573B"/>
    <w:rsid w:val="009F5918"/>
    <w:rsid w:val="009F596D"/>
    <w:rsid w:val="009F6A91"/>
    <w:rsid w:val="009F71A6"/>
    <w:rsid w:val="009F71AA"/>
    <w:rsid w:val="009F7326"/>
    <w:rsid w:val="009F754A"/>
    <w:rsid w:val="009F791F"/>
    <w:rsid w:val="009F7F86"/>
    <w:rsid w:val="00A0034D"/>
    <w:rsid w:val="00A00BFB"/>
    <w:rsid w:val="00A00DCF"/>
    <w:rsid w:val="00A0126C"/>
    <w:rsid w:val="00A012DA"/>
    <w:rsid w:val="00A0187E"/>
    <w:rsid w:val="00A02450"/>
    <w:rsid w:val="00A026F0"/>
    <w:rsid w:val="00A02F2D"/>
    <w:rsid w:val="00A02F61"/>
    <w:rsid w:val="00A03E0E"/>
    <w:rsid w:val="00A040D1"/>
    <w:rsid w:val="00A04424"/>
    <w:rsid w:val="00A04A0A"/>
    <w:rsid w:val="00A050A8"/>
    <w:rsid w:val="00A056A3"/>
    <w:rsid w:val="00A056AA"/>
    <w:rsid w:val="00A05B51"/>
    <w:rsid w:val="00A06286"/>
    <w:rsid w:val="00A06318"/>
    <w:rsid w:val="00A063BC"/>
    <w:rsid w:val="00A068E1"/>
    <w:rsid w:val="00A06A80"/>
    <w:rsid w:val="00A06D8A"/>
    <w:rsid w:val="00A0711F"/>
    <w:rsid w:val="00A07B0B"/>
    <w:rsid w:val="00A102A0"/>
    <w:rsid w:val="00A108C2"/>
    <w:rsid w:val="00A114FA"/>
    <w:rsid w:val="00A11AF3"/>
    <w:rsid w:val="00A12C09"/>
    <w:rsid w:val="00A13084"/>
    <w:rsid w:val="00A1327F"/>
    <w:rsid w:val="00A13817"/>
    <w:rsid w:val="00A138D3"/>
    <w:rsid w:val="00A13E0F"/>
    <w:rsid w:val="00A144B7"/>
    <w:rsid w:val="00A149B4"/>
    <w:rsid w:val="00A15F4F"/>
    <w:rsid w:val="00A160AB"/>
    <w:rsid w:val="00A160F0"/>
    <w:rsid w:val="00A16745"/>
    <w:rsid w:val="00A16747"/>
    <w:rsid w:val="00A17C1D"/>
    <w:rsid w:val="00A20013"/>
    <w:rsid w:val="00A20582"/>
    <w:rsid w:val="00A20C65"/>
    <w:rsid w:val="00A214B2"/>
    <w:rsid w:val="00A21767"/>
    <w:rsid w:val="00A21FD5"/>
    <w:rsid w:val="00A22751"/>
    <w:rsid w:val="00A22940"/>
    <w:rsid w:val="00A22CD7"/>
    <w:rsid w:val="00A23102"/>
    <w:rsid w:val="00A23284"/>
    <w:rsid w:val="00A2343F"/>
    <w:rsid w:val="00A23505"/>
    <w:rsid w:val="00A23598"/>
    <w:rsid w:val="00A2428B"/>
    <w:rsid w:val="00A2476B"/>
    <w:rsid w:val="00A247E5"/>
    <w:rsid w:val="00A24D81"/>
    <w:rsid w:val="00A24EA5"/>
    <w:rsid w:val="00A25173"/>
    <w:rsid w:val="00A252F0"/>
    <w:rsid w:val="00A259F2"/>
    <w:rsid w:val="00A25FDB"/>
    <w:rsid w:val="00A26463"/>
    <w:rsid w:val="00A26608"/>
    <w:rsid w:val="00A2660E"/>
    <w:rsid w:val="00A26916"/>
    <w:rsid w:val="00A26B47"/>
    <w:rsid w:val="00A26FF1"/>
    <w:rsid w:val="00A27806"/>
    <w:rsid w:val="00A3068C"/>
    <w:rsid w:val="00A3127F"/>
    <w:rsid w:val="00A31922"/>
    <w:rsid w:val="00A31BCC"/>
    <w:rsid w:val="00A31C70"/>
    <w:rsid w:val="00A32382"/>
    <w:rsid w:val="00A325BB"/>
    <w:rsid w:val="00A3297A"/>
    <w:rsid w:val="00A32A58"/>
    <w:rsid w:val="00A32EEC"/>
    <w:rsid w:val="00A336C5"/>
    <w:rsid w:val="00A3510A"/>
    <w:rsid w:val="00A3515F"/>
    <w:rsid w:val="00A35751"/>
    <w:rsid w:val="00A35762"/>
    <w:rsid w:val="00A3577F"/>
    <w:rsid w:val="00A35BBC"/>
    <w:rsid w:val="00A35DAB"/>
    <w:rsid w:val="00A36724"/>
    <w:rsid w:val="00A367AF"/>
    <w:rsid w:val="00A36AA0"/>
    <w:rsid w:val="00A36C13"/>
    <w:rsid w:val="00A377C2"/>
    <w:rsid w:val="00A37A31"/>
    <w:rsid w:val="00A40B1F"/>
    <w:rsid w:val="00A40B4D"/>
    <w:rsid w:val="00A40D6E"/>
    <w:rsid w:val="00A411E2"/>
    <w:rsid w:val="00A41373"/>
    <w:rsid w:val="00A41638"/>
    <w:rsid w:val="00A41B15"/>
    <w:rsid w:val="00A4224E"/>
    <w:rsid w:val="00A4229F"/>
    <w:rsid w:val="00A428A9"/>
    <w:rsid w:val="00A42ACA"/>
    <w:rsid w:val="00A43AAB"/>
    <w:rsid w:val="00A43AFE"/>
    <w:rsid w:val="00A44AAD"/>
    <w:rsid w:val="00A44E8A"/>
    <w:rsid w:val="00A45280"/>
    <w:rsid w:val="00A45BF7"/>
    <w:rsid w:val="00A463B5"/>
    <w:rsid w:val="00A463BA"/>
    <w:rsid w:val="00A46675"/>
    <w:rsid w:val="00A471A3"/>
    <w:rsid w:val="00A47597"/>
    <w:rsid w:val="00A47E08"/>
    <w:rsid w:val="00A47E44"/>
    <w:rsid w:val="00A47F91"/>
    <w:rsid w:val="00A507D7"/>
    <w:rsid w:val="00A50A5C"/>
    <w:rsid w:val="00A50BE2"/>
    <w:rsid w:val="00A50CC6"/>
    <w:rsid w:val="00A50E40"/>
    <w:rsid w:val="00A51462"/>
    <w:rsid w:val="00A51946"/>
    <w:rsid w:val="00A51C1F"/>
    <w:rsid w:val="00A51FF7"/>
    <w:rsid w:val="00A52079"/>
    <w:rsid w:val="00A52143"/>
    <w:rsid w:val="00A521E9"/>
    <w:rsid w:val="00A5298E"/>
    <w:rsid w:val="00A52B3E"/>
    <w:rsid w:val="00A5313B"/>
    <w:rsid w:val="00A5320E"/>
    <w:rsid w:val="00A53F7B"/>
    <w:rsid w:val="00A54090"/>
    <w:rsid w:val="00A54282"/>
    <w:rsid w:val="00A549D3"/>
    <w:rsid w:val="00A54DF0"/>
    <w:rsid w:val="00A56E99"/>
    <w:rsid w:val="00A57212"/>
    <w:rsid w:val="00A57E98"/>
    <w:rsid w:val="00A60849"/>
    <w:rsid w:val="00A6105B"/>
    <w:rsid w:val="00A61355"/>
    <w:rsid w:val="00A61668"/>
    <w:rsid w:val="00A621D3"/>
    <w:rsid w:val="00A628F8"/>
    <w:rsid w:val="00A62B7A"/>
    <w:rsid w:val="00A632EA"/>
    <w:rsid w:val="00A634BE"/>
    <w:rsid w:val="00A63AD7"/>
    <w:rsid w:val="00A63BFD"/>
    <w:rsid w:val="00A6444A"/>
    <w:rsid w:val="00A6491F"/>
    <w:rsid w:val="00A64C72"/>
    <w:rsid w:val="00A64D1A"/>
    <w:rsid w:val="00A65320"/>
    <w:rsid w:val="00A65BA5"/>
    <w:rsid w:val="00A66288"/>
    <w:rsid w:val="00A66354"/>
    <w:rsid w:val="00A66E37"/>
    <w:rsid w:val="00A66ECF"/>
    <w:rsid w:val="00A67E38"/>
    <w:rsid w:val="00A703E4"/>
    <w:rsid w:val="00A70DC6"/>
    <w:rsid w:val="00A71080"/>
    <w:rsid w:val="00A713B3"/>
    <w:rsid w:val="00A71986"/>
    <w:rsid w:val="00A71E73"/>
    <w:rsid w:val="00A72740"/>
    <w:rsid w:val="00A73A64"/>
    <w:rsid w:val="00A742AD"/>
    <w:rsid w:val="00A746D7"/>
    <w:rsid w:val="00A74AB2"/>
    <w:rsid w:val="00A75A46"/>
    <w:rsid w:val="00A75B36"/>
    <w:rsid w:val="00A762F1"/>
    <w:rsid w:val="00A7663A"/>
    <w:rsid w:val="00A76707"/>
    <w:rsid w:val="00A7696B"/>
    <w:rsid w:val="00A769D4"/>
    <w:rsid w:val="00A80268"/>
    <w:rsid w:val="00A804C7"/>
    <w:rsid w:val="00A80857"/>
    <w:rsid w:val="00A80A39"/>
    <w:rsid w:val="00A80DF0"/>
    <w:rsid w:val="00A80E64"/>
    <w:rsid w:val="00A81A16"/>
    <w:rsid w:val="00A823A7"/>
    <w:rsid w:val="00A825C8"/>
    <w:rsid w:val="00A82742"/>
    <w:rsid w:val="00A83984"/>
    <w:rsid w:val="00A83A1E"/>
    <w:rsid w:val="00A84198"/>
    <w:rsid w:val="00A841AB"/>
    <w:rsid w:val="00A84FFD"/>
    <w:rsid w:val="00A86104"/>
    <w:rsid w:val="00A8655A"/>
    <w:rsid w:val="00A87203"/>
    <w:rsid w:val="00A87744"/>
    <w:rsid w:val="00A87AE6"/>
    <w:rsid w:val="00A87B09"/>
    <w:rsid w:val="00A87C22"/>
    <w:rsid w:val="00A90590"/>
    <w:rsid w:val="00A90A97"/>
    <w:rsid w:val="00A90CB4"/>
    <w:rsid w:val="00A910DA"/>
    <w:rsid w:val="00A920E1"/>
    <w:rsid w:val="00A923D6"/>
    <w:rsid w:val="00A92B42"/>
    <w:rsid w:val="00A933AE"/>
    <w:rsid w:val="00A93863"/>
    <w:rsid w:val="00A9415E"/>
    <w:rsid w:val="00A9423F"/>
    <w:rsid w:val="00A94EBD"/>
    <w:rsid w:val="00A9510D"/>
    <w:rsid w:val="00A956AC"/>
    <w:rsid w:val="00A95D2A"/>
    <w:rsid w:val="00A96214"/>
    <w:rsid w:val="00A967E8"/>
    <w:rsid w:val="00A97AF8"/>
    <w:rsid w:val="00A97D38"/>
    <w:rsid w:val="00A97F4B"/>
    <w:rsid w:val="00AA04C5"/>
    <w:rsid w:val="00AA04F4"/>
    <w:rsid w:val="00AA1044"/>
    <w:rsid w:val="00AA10B1"/>
    <w:rsid w:val="00AA239B"/>
    <w:rsid w:val="00AA2803"/>
    <w:rsid w:val="00AA297E"/>
    <w:rsid w:val="00AA2BF2"/>
    <w:rsid w:val="00AA2D65"/>
    <w:rsid w:val="00AA2D68"/>
    <w:rsid w:val="00AA2D6F"/>
    <w:rsid w:val="00AA3987"/>
    <w:rsid w:val="00AA3B68"/>
    <w:rsid w:val="00AA3E79"/>
    <w:rsid w:val="00AA447C"/>
    <w:rsid w:val="00AA4FB4"/>
    <w:rsid w:val="00AA5C0B"/>
    <w:rsid w:val="00AA5E3B"/>
    <w:rsid w:val="00AA63AD"/>
    <w:rsid w:val="00AA65B4"/>
    <w:rsid w:val="00AA745E"/>
    <w:rsid w:val="00AA7E43"/>
    <w:rsid w:val="00AB0352"/>
    <w:rsid w:val="00AB047A"/>
    <w:rsid w:val="00AB04AB"/>
    <w:rsid w:val="00AB0733"/>
    <w:rsid w:val="00AB09D2"/>
    <w:rsid w:val="00AB0B64"/>
    <w:rsid w:val="00AB0C30"/>
    <w:rsid w:val="00AB161B"/>
    <w:rsid w:val="00AB176B"/>
    <w:rsid w:val="00AB37E6"/>
    <w:rsid w:val="00AB3DBA"/>
    <w:rsid w:val="00AB431C"/>
    <w:rsid w:val="00AB470E"/>
    <w:rsid w:val="00AB5A7E"/>
    <w:rsid w:val="00AB7538"/>
    <w:rsid w:val="00AB75A7"/>
    <w:rsid w:val="00AB77F3"/>
    <w:rsid w:val="00AB7BE7"/>
    <w:rsid w:val="00AC0AAD"/>
    <w:rsid w:val="00AC0C2A"/>
    <w:rsid w:val="00AC1231"/>
    <w:rsid w:val="00AC15D4"/>
    <w:rsid w:val="00AC1992"/>
    <w:rsid w:val="00AC1E14"/>
    <w:rsid w:val="00AC2CFA"/>
    <w:rsid w:val="00AC3263"/>
    <w:rsid w:val="00AC3E12"/>
    <w:rsid w:val="00AC406E"/>
    <w:rsid w:val="00AC430C"/>
    <w:rsid w:val="00AC4A6B"/>
    <w:rsid w:val="00AC5C19"/>
    <w:rsid w:val="00AC60F0"/>
    <w:rsid w:val="00AC6657"/>
    <w:rsid w:val="00AC6A24"/>
    <w:rsid w:val="00AC6D7A"/>
    <w:rsid w:val="00AC72B0"/>
    <w:rsid w:val="00AC7363"/>
    <w:rsid w:val="00AC7401"/>
    <w:rsid w:val="00AC7901"/>
    <w:rsid w:val="00AC79F3"/>
    <w:rsid w:val="00AC7F15"/>
    <w:rsid w:val="00AC7FDD"/>
    <w:rsid w:val="00AD0949"/>
    <w:rsid w:val="00AD0F1D"/>
    <w:rsid w:val="00AD1179"/>
    <w:rsid w:val="00AD1359"/>
    <w:rsid w:val="00AD194B"/>
    <w:rsid w:val="00AD19F0"/>
    <w:rsid w:val="00AD1FCE"/>
    <w:rsid w:val="00AD26E1"/>
    <w:rsid w:val="00AD29CC"/>
    <w:rsid w:val="00AD3268"/>
    <w:rsid w:val="00AD3DE2"/>
    <w:rsid w:val="00AD4261"/>
    <w:rsid w:val="00AD4473"/>
    <w:rsid w:val="00AD46F5"/>
    <w:rsid w:val="00AD51A3"/>
    <w:rsid w:val="00AD598B"/>
    <w:rsid w:val="00AD7154"/>
    <w:rsid w:val="00AD7844"/>
    <w:rsid w:val="00AD797D"/>
    <w:rsid w:val="00AD7C94"/>
    <w:rsid w:val="00AD7E02"/>
    <w:rsid w:val="00AE0483"/>
    <w:rsid w:val="00AE08DD"/>
    <w:rsid w:val="00AE13BD"/>
    <w:rsid w:val="00AE1681"/>
    <w:rsid w:val="00AE1AF9"/>
    <w:rsid w:val="00AE1E60"/>
    <w:rsid w:val="00AE2068"/>
    <w:rsid w:val="00AE2258"/>
    <w:rsid w:val="00AE277E"/>
    <w:rsid w:val="00AE2A36"/>
    <w:rsid w:val="00AE2BC6"/>
    <w:rsid w:val="00AE3251"/>
    <w:rsid w:val="00AE3FE0"/>
    <w:rsid w:val="00AE44A2"/>
    <w:rsid w:val="00AE4A71"/>
    <w:rsid w:val="00AE5058"/>
    <w:rsid w:val="00AE5170"/>
    <w:rsid w:val="00AE51CD"/>
    <w:rsid w:val="00AE5471"/>
    <w:rsid w:val="00AE54AA"/>
    <w:rsid w:val="00AE60E4"/>
    <w:rsid w:val="00AE6872"/>
    <w:rsid w:val="00AE6C58"/>
    <w:rsid w:val="00AE72C4"/>
    <w:rsid w:val="00AE7F05"/>
    <w:rsid w:val="00AE7F38"/>
    <w:rsid w:val="00AF054D"/>
    <w:rsid w:val="00AF0939"/>
    <w:rsid w:val="00AF0A7C"/>
    <w:rsid w:val="00AF1813"/>
    <w:rsid w:val="00AF24E7"/>
    <w:rsid w:val="00AF272B"/>
    <w:rsid w:val="00AF291B"/>
    <w:rsid w:val="00AF2DAA"/>
    <w:rsid w:val="00AF2EBD"/>
    <w:rsid w:val="00AF33AE"/>
    <w:rsid w:val="00AF409A"/>
    <w:rsid w:val="00AF44B1"/>
    <w:rsid w:val="00AF5800"/>
    <w:rsid w:val="00AF6986"/>
    <w:rsid w:val="00AF6D1B"/>
    <w:rsid w:val="00AF73ED"/>
    <w:rsid w:val="00AF7D69"/>
    <w:rsid w:val="00AF7ED2"/>
    <w:rsid w:val="00B004D8"/>
    <w:rsid w:val="00B00830"/>
    <w:rsid w:val="00B00CC5"/>
    <w:rsid w:val="00B016D2"/>
    <w:rsid w:val="00B01E41"/>
    <w:rsid w:val="00B02091"/>
    <w:rsid w:val="00B02B3F"/>
    <w:rsid w:val="00B02B43"/>
    <w:rsid w:val="00B02BCB"/>
    <w:rsid w:val="00B03D36"/>
    <w:rsid w:val="00B03F3D"/>
    <w:rsid w:val="00B04384"/>
    <w:rsid w:val="00B04540"/>
    <w:rsid w:val="00B05116"/>
    <w:rsid w:val="00B051A7"/>
    <w:rsid w:val="00B05574"/>
    <w:rsid w:val="00B05F1A"/>
    <w:rsid w:val="00B07B33"/>
    <w:rsid w:val="00B07FA2"/>
    <w:rsid w:val="00B100CF"/>
    <w:rsid w:val="00B10E82"/>
    <w:rsid w:val="00B111A6"/>
    <w:rsid w:val="00B115E5"/>
    <w:rsid w:val="00B118EE"/>
    <w:rsid w:val="00B11B03"/>
    <w:rsid w:val="00B11C5B"/>
    <w:rsid w:val="00B121CD"/>
    <w:rsid w:val="00B12343"/>
    <w:rsid w:val="00B12529"/>
    <w:rsid w:val="00B128C5"/>
    <w:rsid w:val="00B12B11"/>
    <w:rsid w:val="00B12C94"/>
    <w:rsid w:val="00B135AB"/>
    <w:rsid w:val="00B137BF"/>
    <w:rsid w:val="00B13A1B"/>
    <w:rsid w:val="00B13A59"/>
    <w:rsid w:val="00B142D9"/>
    <w:rsid w:val="00B14BC4"/>
    <w:rsid w:val="00B156C8"/>
    <w:rsid w:val="00B158A3"/>
    <w:rsid w:val="00B15B25"/>
    <w:rsid w:val="00B15EA0"/>
    <w:rsid w:val="00B17A4E"/>
    <w:rsid w:val="00B17B30"/>
    <w:rsid w:val="00B17C2F"/>
    <w:rsid w:val="00B21175"/>
    <w:rsid w:val="00B2153E"/>
    <w:rsid w:val="00B21FA7"/>
    <w:rsid w:val="00B22022"/>
    <w:rsid w:val="00B225E4"/>
    <w:rsid w:val="00B23402"/>
    <w:rsid w:val="00B23F7A"/>
    <w:rsid w:val="00B240B1"/>
    <w:rsid w:val="00B24208"/>
    <w:rsid w:val="00B24728"/>
    <w:rsid w:val="00B248A9"/>
    <w:rsid w:val="00B24D28"/>
    <w:rsid w:val="00B24F1C"/>
    <w:rsid w:val="00B2538A"/>
    <w:rsid w:val="00B25890"/>
    <w:rsid w:val="00B25D76"/>
    <w:rsid w:val="00B27032"/>
    <w:rsid w:val="00B30003"/>
    <w:rsid w:val="00B31201"/>
    <w:rsid w:val="00B3167E"/>
    <w:rsid w:val="00B319F7"/>
    <w:rsid w:val="00B31B4B"/>
    <w:rsid w:val="00B31CD5"/>
    <w:rsid w:val="00B31E36"/>
    <w:rsid w:val="00B32474"/>
    <w:rsid w:val="00B32E26"/>
    <w:rsid w:val="00B338B7"/>
    <w:rsid w:val="00B34061"/>
    <w:rsid w:val="00B3440A"/>
    <w:rsid w:val="00B34441"/>
    <w:rsid w:val="00B35534"/>
    <w:rsid w:val="00B35A87"/>
    <w:rsid w:val="00B35AB6"/>
    <w:rsid w:val="00B35AFD"/>
    <w:rsid w:val="00B35F9A"/>
    <w:rsid w:val="00B36236"/>
    <w:rsid w:val="00B3662E"/>
    <w:rsid w:val="00B366D2"/>
    <w:rsid w:val="00B366FA"/>
    <w:rsid w:val="00B36E86"/>
    <w:rsid w:val="00B37122"/>
    <w:rsid w:val="00B379BA"/>
    <w:rsid w:val="00B40139"/>
    <w:rsid w:val="00B410E1"/>
    <w:rsid w:val="00B412FD"/>
    <w:rsid w:val="00B422BE"/>
    <w:rsid w:val="00B4241D"/>
    <w:rsid w:val="00B426BB"/>
    <w:rsid w:val="00B42EB9"/>
    <w:rsid w:val="00B434E9"/>
    <w:rsid w:val="00B441FE"/>
    <w:rsid w:val="00B44821"/>
    <w:rsid w:val="00B44AD3"/>
    <w:rsid w:val="00B44BDC"/>
    <w:rsid w:val="00B45152"/>
    <w:rsid w:val="00B45E54"/>
    <w:rsid w:val="00B461E5"/>
    <w:rsid w:val="00B46325"/>
    <w:rsid w:val="00B464E4"/>
    <w:rsid w:val="00B4689A"/>
    <w:rsid w:val="00B46D5F"/>
    <w:rsid w:val="00B46E7B"/>
    <w:rsid w:val="00B47DC5"/>
    <w:rsid w:val="00B505B3"/>
    <w:rsid w:val="00B50A74"/>
    <w:rsid w:val="00B520A0"/>
    <w:rsid w:val="00B5257E"/>
    <w:rsid w:val="00B525CE"/>
    <w:rsid w:val="00B52CFD"/>
    <w:rsid w:val="00B545A8"/>
    <w:rsid w:val="00B548E8"/>
    <w:rsid w:val="00B56527"/>
    <w:rsid w:val="00B56918"/>
    <w:rsid w:val="00B576DA"/>
    <w:rsid w:val="00B57710"/>
    <w:rsid w:val="00B601C9"/>
    <w:rsid w:val="00B60D04"/>
    <w:rsid w:val="00B61EE8"/>
    <w:rsid w:val="00B62D9B"/>
    <w:rsid w:val="00B633A3"/>
    <w:rsid w:val="00B63533"/>
    <w:rsid w:val="00B63BDB"/>
    <w:rsid w:val="00B64A0E"/>
    <w:rsid w:val="00B64CC6"/>
    <w:rsid w:val="00B64DDF"/>
    <w:rsid w:val="00B65728"/>
    <w:rsid w:val="00B6601E"/>
    <w:rsid w:val="00B663AA"/>
    <w:rsid w:val="00B66DD5"/>
    <w:rsid w:val="00B6715C"/>
    <w:rsid w:val="00B67B97"/>
    <w:rsid w:val="00B67F01"/>
    <w:rsid w:val="00B711AB"/>
    <w:rsid w:val="00B714E9"/>
    <w:rsid w:val="00B714F0"/>
    <w:rsid w:val="00B71A40"/>
    <w:rsid w:val="00B71BFA"/>
    <w:rsid w:val="00B71C8C"/>
    <w:rsid w:val="00B71CB4"/>
    <w:rsid w:val="00B71FD7"/>
    <w:rsid w:val="00B72003"/>
    <w:rsid w:val="00B7210F"/>
    <w:rsid w:val="00B725E7"/>
    <w:rsid w:val="00B72C07"/>
    <w:rsid w:val="00B72DF7"/>
    <w:rsid w:val="00B72F42"/>
    <w:rsid w:val="00B73E44"/>
    <w:rsid w:val="00B74290"/>
    <w:rsid w:val="00B74510"/>
    <w:rsid w:val="00B74822"/>
    <w:rsid w:val="00B74BD4"/>
    <w:rsid w:val="00B74BF7"/>
    <w:rsid w:val="00B76185"/>
    <w:rsid w:val="00B7676C"/>
    <w:rsid w:val="00B76BCD"/>
    <w:rsid w:val="00B76FBC"/>
    <w:rsid w:val="00B7782B"/>
    <w:rsid w:val="00B779E6"/>
    <w:rsid w:val="00B804E2"/>
    <w:rsid w:val="00B811B2"/>
    <w:rsid w:val="00B82024"/>
    <w:rsid w:val="00B8276E"/>
    <w:rsid w:val="00B83997"/>
    <w:rsid w:val="00B83A62"/>
    <w:rsid w:val="00B83B59"/>
    <w:rsid w:val="00B84252"/>
    <w:rsid w:val="00B84677"/>
    <w:rsid w:val="00B8468F"/>
    <w:rsid w:val="00B84FC6"/>
    <w:rsid w:val="00B857F5"/>
    <w:rsid w:val="00B85A56"/>
    <w:rsid w:val="00B85B2C"/>
    <w:rsid w:val="00B86D6C"/>
    <w:rsid w:val="00B86F47"/>
    <w:rsid w:val="00B874B4"/>
    <w:rsid w:val="00B875E9"/>
    <w:rsid w:val="00B8787A"/>
    <w:rsid w:val="00B87887"/>
    <w:rsid w:val="00B90123"/>
    <w:rsid w:val="00B90196"/>
    <w:rsid w:val="00B90FBE"/>
    <w:rsid w:val="00B911C1"/>
    <w:rsid w:val="00B92008"/>
    <w:rsid w:val="00B922C3"/>
    <w:rsid w:val="00B9272E"/>
    <w:rsid w:val="00B927A7"/>
    <w:rsid w:val="00B92B9E"/>
    <w:rsid w:val="00B93315"/>
    <w:rsid w:val="00B93519"/>
    <w:rsid w:val="00B9372A"/>
    <w:rsid w:val="00B93FD0"/>
    <w:rsid w:val="00B9425C"/>
    <w:rsid w:val="00B94AAF"/>
    <w:rsid w:val="00B94DB1"/>
    <w:rsid w:val="00B953FF"/>
    <w:rsid w:val="00B9622D"/>
    <w:rsid w:val="00B96263"/>
    <w:rsid w:val="00B968A5"/>
    <w:rsid w:val="00B972CD"/>
    <w:rsid w:val="00B9769B"/>
    <w:rsid w:val="00B97D02"/>
    <w:rsid w:val="00BA0304"/>
    <w:rsid w:val="00BA0557"/>
    <w:rsid w:val="00BA2A34"/>
    <w:rsid w:val="00BA3038"/>
    <w:rsid w:val="00BA3319"/>
    <w:rsid w:val="00BA370A"/>
    <w:rsid w:val="00BA3826"/>
    <w:rsid w:val="00BA48BC"/>
    <w:rsid w:val="00BA4A29"/>
    <w:rsid w:val="00BA4BE7"/>
    <w:rsid w:val="00BA5F20"/>
    <w:rsid w:val="00BA68D9"/>
    <w:rsid w:val="00BA7172"/>
    <w:rsid w:val="00BA7B01"/>
    <w:rsid w:val="00BB02D7"/>
    <w:rsid w:val="00BB0D9F"/>
    <w:rsid w:val="00BB0DEE"/>
    <w:rsid w:val="00BB1031"/>
    <w:rsid w:val="00BB1B33"/>
    <w:rsid w:val="00BB2480"/>
    <w:rsid w:val="00BB2B78"/>
    <w:rsid w:val="00BB2C4E"/>
    <w:rsid w:val="00BB2E29"/>
    <w:rsid w:val="00BB2F74"/>
    <w:rsid w:val="00BB3206"/>
    <w:rsid w:val="00BB32C2"/>
    <w:rsid w:val="00BB3B0D"/>
    <w:rsid w:val="00BB524C"/>
    <w:rsid w:val="00BB5DAB"/>
    <w:rsid w:val="00BB6195"/>
    <w:rsid w:val="00BB61A3"/>
    <w:rsid w:val="00BB707E"/>
    <w:rsid w:val="00BB7568"/>
    <w:rsid w:val="00BB7F82"/>
    <w:rsid w:val="00BC007C"/>
    <w:rsid w:val="00BC0AB2"/>
    <w:rsid w:val="00BC1308"/>
    <w:rsid w:val="00BC1BF4"/>
    <w:rsid w:val="00BC2600"/>
    <w:rsid w:val="00BC2F24"/>
    <w:rsid w:val="00BC33BE"/>
    <w:rsid w:val="00BC3A47"/>
    <w:rsid w:val="00BC3DA4"/>
    <w:rsid w:val="00BC3EEB"/>
    <w:rsid w:val="00BC4780"/>
    <w:rsid w:val="00BC4DD7"/>
    <w:rsid w:val="00BC4F46"/>
    <w:rsid w:val="00BC52C8"/>
    <w:rsid w:val="00BC5485"/>
    <w:rsid w:val="00BC549C"/>
    <w:rsid w:val="00BC570E"/>
    <w:rsid w:val="00BC5A6C"/>
    <w:rsid w:val="00BC5AF6"/>
    <w:rsid w:val="00BC5B4B"/>
    <w:rsid w:val="00BC5EDB"/>
    <w:rsid w:val="00BC69A2"/>
    <w:rsid w:val="00BC6ED6"/>
    <w:rsid w:val="00BC6F03"/>
    <w:rsid w:val="00BC6FA1"/>
    <w:rsid w:val="00BD024F"/>
    <w:rsid w:val="00BD0570"/>
    <w:rsid w:val="00BD0853"/>
    <w:rsid w:val="00BD112D"/>
    <w:rsid w:val="00BD214E"/>
    <w:rsid w:val="00BD22F7"/>
    <w:rsid w:val="00BD2395"/>
    <w:rsid w:val="00BD25B8"/>
    <w:rsid w:val="00BD2842"/>
    <w:rsid w:val="00BD2892"/>
    <w:rsid w:val="00BD3120"/>
    <w:rsid w:val="00BD3354"/>
    <w:rsid w:val="00BD368C"/>
    <w:rsid w:val="00BD384E"/>
    <w:rsid w:val="00BD3E76"/>
    <w:rsid w:val="00BD3EE2"/>
    <w:rsid w:val="00BD3FCF"/>
    <w:rsid w:val="00BD42D2"/>
    <w:rsid w:val="00BD47D7"/>
    <w:rsid w:val="00BD4EFB"/>
    <w:rsid w:val="00BD5076"/>
    <w:rsid w:val="00BD5551"/>
    <w:rsid w:val="00BD5AF1"/>
    <w:rsid w:val="00BD6D43"/>
    <w:rsid w:val="00BD7090"/>
    <w:rsid w:val="00BD7490"/>
    <w:rsid w:val="00BD767F"/>
    <w:rsid w:val="00BE09C3"/>
    <w:rsid w:val="00BE0C27"/>
    <w:rsid w:val="00BE15BB"/>
    <w:rsid w:val="00BE198F"/>
    <w:rsid w:val="00BE1A78"/>
    <w:rsid w:val="00BE473E"/>
    <w:rsid w:val="00BE5135"/>
    <w:rsid w:val="00BE5964"/>
    <w:rsid w:val="00BE5F2B"/>
    <w:rsid w:val="00BE660B"/>
    <w:rsid w:val="00BE6AFE"/>
    <w:rsid w:val="00BE6BBE"/>
    <w:rsid w:val="00BE6FDA"/>
    <w:rsid w:val="00BE7021"/>
    <w:rsid w:val="00BE7300"/>
    <w:rsid w:val="00BE784F"/>
    <w:rsid w:val="00BE78CE"/>
    <w:rsid w:val="00BF0238"/>
    <w:rsid w:val="00BF0717"/>
    <w:rsid w:val="00BF071D"/>
    <w:rsid w:val="00BF1750"/>
    <w:rsid w:val="00BF178E"/>
    <w:rsid w:val="00BF189F"/>
    <w:rsid w:val="00BF1B44"/>
    <w:rsid w:val="00BF1F01"/>
    <w:rsid w:val="00BF21FF"/>
    <w:rsid w:val="00BF23CC"/>
    <w:rsid w:val="00BF243F"/>
    <w:rsid w:val="00BF284E"/>
    <w:rsid w:val="00BF2F93"/>
    <w:rsid w:val="00BF3ACF"/>
    <w:rsid w:val="00BF3C2A"/>
    <w:rsid w:val="00BF4C2B"/>
    <w:rsid w:val="00BF507A"/>
    <w:rsid w:val="00BF53F1"/>
    <w:rsid w:val="00BF5717"/>
    <w:rsid w:val="00BF5B9D"/>
    <w:rsid w:val="00BF5CD8"/>
    <w:rsid w:val="00BF5FA3"/>
    <w:rsid w:val="00BF62F2"/>
    <w:rsid w:val="00BF63A5"/>
    <w:rsid w:val="00BF72A7"/>
    <w:rsid w:val="00BF7558"/>
    <w:rsid w:val="00C01106"/>
    <w:rsid w:val="00C0111E"/>
    <w:rsid w:val="00C02676"/>
    <w:rsid w:val="00C029AB"/>
    <w:rsid w:val="00C03BD5"/>
    <w:rsid w:val="00C03C8B"/>
    <w:rsid w:val="00C03F3C"/>
    <w:rsid w:val="00C049BE"/>
    <w:rsid w:val="00C04A71"/>
    <w:rsid w:val="00C04DF0"/>
    <w:rsid w:val="00C05A4C"/>
    <w:rsid w:val="00C05A67"/>
    <w:rsid w:val="00C073E0"/>
    <w:rsid w:val="00C1001D"/>
    <w:rsid w:val="00C10B5A"/>
    <w:rsid w:val="00C11113"/>
    <w:rsid w:val="00C11687"/>
    <w:rsid w:val="00C117BE"/>
    <w:rsid w:val="00C11E28"/>
    <w:rsid w:val="00C1225B"/>
    <w:rsid w:val="00C122F9"/>
    <w:rsid w:val="00C12459"/>
    <w:rsid w:val="00C1253A"/>
    <w:rsid w:val="00C128C9"/>
    <w:rsid w:val="00C12CF3"/>
    <w:rsid w:val="00C12F88"/>
    <w:rsid w:val="00C131A8"/>
    <w:rsid w:val="00C1322D"/>
    <w:rsid w:val="00C135A3"/>
    <w:rsid w:val="00C1477A"/>
    <w:rsid w:val="00C14A62"/>
    <w:rsid w:val="00C158EB"/>
    <w:rsid w:val="00C159B1"/>
    <w:rsid w:val="00C161F5"/>
    <w:rsid w:val="00C16C92"/>
    <w:rsid w:val="00C1706B"/>
    <w:rsid w:val="00C17648"/>
    <w:rsid w:val="00C17DB7"/>
    <w:rsid w:val="00C17E48"/>
    <w:rsid w:val="00C17E81"/>
    <w:rsid w:val="00C17FF5"/>
    <w:rsid w:val="00C201E7"/>
    <w:rsid w:val="00C20AA2"/>
    <w:rsid w:val="00C20B91"/>
    <w:rsid w:val="00C21155"/>
    <w:rsid w:val="00C21180"/>
    <w:rsid w:val="00C2146C"/>
    <w:rsid w:val="00C214D7"/>
    <w:rsid w:val="00C21561"/>
    <w:rsid w:val="00C21759"/>
    <w:rsid w:val="00C2177E"/>
    <w:rsid w:val="00C217EE"/>
    <w:rsid w:val="00C21CBF"/>
    <w:rsid w:val="00C22784"/>
    <w:rsid w:val="00C227D6"/>
    <w:rsid w:val="00C2395D"/>
    <w:rsid w:val="00C23A4C"/>
    <w:rsid w:val="00C2419D"/>
    <w:rsid w:val="00C243A4"/>
    <w:rsid w:val="00C24416"/>
    <w:rsid w:val="00C248DB"/>
    <w:rsid w:val="00C26170"/>
    <w:rsid w:val="00C26B5A"/>
    <w:rsid w:val="00C26D52"/>
    <w:rsid w:val="00C26F21"/>
    <w:rsid w:val="00C277DA"/>
    <w:rsid w:val="00C303E4"/>
    <w:rsid w:val="00C30775"/>
    <w:rsid w:val="00C30B8D"/>
    <w:rsid w:val="00C310BA"/>
    <w:rsid w:val="00C3134E"/>
    <w:rsid w:val="00C315D8"/>
    <w:rsid w:val="00C31C4A"/>
    <w:rsid w:val="00C31D2D"/>
    <w:rsid w:val="00C32639"/>
    <w:rsid w:val="00C32AD2"/>
    <w:rsid w:val="00C34193"/>
    <w:rsid w:val="00C347FD"/>
    <w:rsid w:val="00C34DAE"/>
    <w:rsid w:val="00C34E1E"/>
    <w:rsid w:val="00C34E5A"/>
    <w:rsid w:val="00C35A84"/>
    <w:rsid w:val="00C36219"/>
    <w:rsid w:val="00C3698E"/>
    <w:rsid w:val="00C36CCA"/>
    <w:rsid w:val="00C36E1C"/>
    <w:rsid w:val="00C36F42"/>
    <w:rsid w:val="00C3718A"/>
    <w:rsid w:val="00C377B1"/>
    <w:rsid w:val="00C37911"/>
    <w:rsid w:val="00C379C5"/>
    <w:rsid w:val="00C37E84"/>
    <w:rsid w:val="00C37EEE"/>
    <w:rsid w:val="00C40453"/>
    <w:rsid w:val="00C40E71"/>
    <w:rsid w:val="00C41879"/>
    <w:rsid w:val="00C41A7C"/>
    <w:rsid w:val="00C42651"/>
    <w:rsid w:val="00C42CEF"/>
    <w:rsid w:val="00C42D55"/>
    <w:rsid w:val="00C43080"/>
    <w:rsid w:val="00C4370E"/>
    <w:rsid w:val="00C43823"/>
    <w:rsid w:val="00C4384B"/>
    <w:rsid w:val="00C4393C"/>
    <w:rsid w:val="00C44068"/>
    <w:rsid w:val="00C442AE"/>
    <w:rsid w:val="00C4518B"/>
    <w:rsid w:val="00C45538"/>
    <w:rsid w:val="00C45780"/>
    <w:rsid w:val="00C458D6"/>
    <w:rsid w:val="00C46268"/>
    <w:rsid w:val="00C4655A"/>
    <w:rsid w:val="00C466BF"/>
    <w:rsid w:val="00C47385"/>
    <w:rsid w:val="00C47555"/>
    <w:rsid w:val="00C476AC"/>
    <w:rsid w:val="00C47E67"/>
    <w:rsid w:val="00C47FD9"/>
    <w:rsid w:val="00C50387"/>
    <w:rsid w:val="00C50C1A"/>
    <w:rsid w:val="00C51508"/>
    <w:rsid w:val="00C51D73"/>
    <w:rsid w:val="00C51DEB"/>
    <w:rsid w:val="00C52A05"/>
    <w:rsid w:val="00C52E97"/>
    <w:rsid w:val="00C52EAF"/>
    <w:rsid w:val="00C53189"/>
    <w:rsid w:val="00C534E5"/>
    <w:rsid w:val="00C534F4"/>
    <w:rsid w:val="00C5375B"/>
    <w:rsid w:val="00C53B15"/>
    <w:rsid w:val="00C53DA9"/>
    <w:rsid w:val="00C53EF7"/>
    <w:rsid w:val="00C54280"/>
    <w:rsid w:val="00C54929"/>
    <w:rsid w:val="00C556B1"/>
    <w:rsid w:val="00C55A05"/>
    <w:rsid w:val="00C55A12"/>
    <w:rsid w:val="00C56101"/>
    <w:rsid w:val="00C565F2"/>
    <w:rsid w:val="00C56C45"/>
    <w:rsid w:val="00C573CC"/>
    <w:rsid w:val="00C57B81"/>
    <w:rsid w:val="00C57FB9"/>
    <w:rsid w:val="00C60145"/>
    <w:rsid w:val="00C6077B"/>
    <w:rsid w:val="00C60950"/>
    <w:rsid w:val="00C609FD"/>
    <w:rsid w:val="00C60DD1"/>
    <w:rsid w:val="00C61565"/>
    <w:rsid w:val="00C61574"/>
    <w:rsid w:val="00C615B4"/>
    <w:rsid w:val="00C61765"/>
    <w:rsid w:val="00C61A90"/>
    <w:rsid w:val="00C6211D"/>
    <w:rsid w:val="00C62B32"/>
    <w:rsid w:val="00C63DED"/>
    <w:rsid w:val="00C63E88"/>
    <w:rsid w:val="00C64F97"/>
    <w:rsid w:val="00C65585"/>
    <w:rsid w:val="00C656EB"/>
    <w:rsid w:val="00C65C5A"/>
    <w:rsid w:val="00C65D7B"/>
    <w:rsid w:val="00C65DF4"/>
    <w:rsid w:val="00C66976"/>
    <w:rsid w:val="00C6762C"/>
    <w:rsid w:val="00C67B49"/>
    <w:rsid w:val="00C70942"/>
    <w:rsid w:val="00C711F5"/>
    <w:rsid w:val="00C713A1"/>
    <w:rsid w:val="00C71828"/>
    <w:rsid w:val="00C72105"/>
    <w:rsid w:val="00C72BCE"/>
    <w:rsid w:val="00C74954"/>
    <w:rsid w:val="00C76028"/>
    <w:rsid w:val="00C76184"/>
    <w:rsid w:val="00C7673D"/>
    <w:rsid w:val="00C76A80"/>
    <w:rsid w:val="00C76C27"/>
    <w:rsid w:val="00C76F07"/>
    <w:rsid w:val="00C77EF6"/>
    <w:rsid w:val="00C80B4B"/>
    <w:rsid w:val="00C80D63"/>
    <w:rsid w:val="00C812D5"/>
    <w:rsid w:val="00C818D0"/>
    <w:rsid w:val="00C81BEA"/>
    <w:rsid w:val="00C81DF5"/>
    <w:rsid w:val="00C82188"/>
    <w:rsid w:val="00C8242B"/>
    <w:rsid w:val="00C829FA"/>
    <w:rsid w:val="00C82A50"/>
    <w:rsid w:val="00C83240"/>
    <w:rsid w:val="00C832E7"/>
    <w:rsid w:val="00C83381"/>
    <w:rsid w:val="00C83607"/>
    <w:rsid w:val="00C83768"/>
    <w:rsid w:val="00C83B18"/>
    <w:rsid w:val="00C840C3"/>
    <w:rsid w:val="00C841B4"/>
    <w:rsid w:val="00C84266"/>
    <w:rsid w:val="00C849E0"/>
    <w:rsid w:val="00C84B74"/>
    <w:rsid w:val="00C8512A"/>
    <w:rsid w:val="00C85970"/>
    <w:rsid w:val="00C85E9B"/>
    <w:rsid w:val="00C874C8"/>
    <w:rsid w:val="00C90165"/>
    <w:rsid w:val="00C90733"/>
    <w:rsid w:val="00C921C4"/>
    <w:rsid w:val="00C9235F"/>
    <w:rsid w:val="00C9257F"/>
    <w:rsid w:val="00C9319C"/>
    <w:rsid w:val="00C931C4"/>
    <w:rsid w:val="00C934F6"/>
    <w:rsid w:val="00C93874"/>
    <w:rsid w:val="00C93A4C"/>
    <w:rsid w:val="00C9448D"/>
    <w:rsid w:val="00C94FD2"/>
    <w:rsid w:val="00C9514C"/>
    <w:rsid w:val="00C95341"/>
    <w:rsid w:val="00C95B76"/>
    <w:rsid w:val="00C964C3"/>
    <w:rsid w:val="00C96635"/>
    <w:rsid w:val="00C966B7"/>
    <w:rsid w:val="00C969DB"/>
    <w:rsid w:val="00C97A4A"/>
    <w:rsid w:val="00C97DC9"/>
    <w:rsid w:val="00C97EE3"/>
    <w:rsid w:val="00CA12BA"/>
    <w:rsid w:val="00CA165C"/>
    <w:rsid w:val="00CA1C0D"/>
    <w:rsid w:val="00CA1DAE"/>
    <w:rsid w:val="00CA2267"/>
    <w:rsid w:val="00CA38AD"/>
    <w:rsid w:val="00CA413F"/>
    <w:rsid w:val="00CA5098"/>
    <w:rsid w:val="00CA5503"/>
    <w:rsid w:val="00CA55C3"/>
    <w:rsid w:val="00CA65B3"/>
    <w:rsid w:val="00CA66C3"/>
    <w:rsid w:val="00CA6CAD"/>
    <w:rsid w:val="00CA70A8"/>
    <w:rsid w:val="00CA70D0"/>
    <w:rsid w:val="00CA74A4"/>
    <w:rsid w:val="00CA7683"/>
    <w:rsid w:val="00CA7EA1"/>
    <w:rsid w:val="00CA7EEB"/>
    <w:rsid w:val="00CB009B"/>
    <w:rsid w:val="00CB0231"/>
    <w:rsid w:val="00CB0838"/>
    <w:rsid w:val="00CB1AFD"/>
    <w:rsid w:val="00CB1E7F"/>
    <w:rsid w:val="00CB1EB3"/>
    <w:rsid w:val="00CB2126"/>
    <w:rsid w:val="00CB24AD"/>
    <w:rsid w:val="00CB2C59"/>
    <w:rsid w:val="00CB2D9C"/>
    <w:rsid w:val="00CB34AB"/>
    <w:rsid w:val="00CB3529"/>
    <w:rsid w:val="00CB3562"/>
    <w:rsid w:val="00CB38A9"/>
    <w:rsid w:val="00CB4728"/>
    <w:rsid w:val="00CB4994"/>
    <w:rsid w:val="00CB556C"/>
    <w:rsid w:val="00CB59E7"/>
    <w:rsid w:val="00CB5E4A"/>
    <w:rsid w:val="00CB668A"/>
    <w:rsid w:val="00CB6976"/>
    <w:rsid w:val="00CB6FCA"/>
    <w:rsid w:val="00CB724D"/>
    <w:rsid w:val="00CB73EA"/>
    <w:rsid w:val="00CB7D4E"/>
    <w:rsid w:val="00CC002B"/>
    <w:rsid w:val="00CC07E5"/>
    <w:rsid w:val="00CC09F0"/>
    <w:rsid w:val="00CC0C11"/>
    <w:rsid w:val="00CC15B5"/>
    <w:rsid w:val="00CC1671"/>
    <w:rsid w:val="00CC1F52"/>
    <w:rsid w:val="00CC233F"/>
    <w:rsid w:val="00CC27FD"/>
    <w:rsid w:val="00CC31E8"/>
    <w:rsid w:val="00CC33C6"/>
    <w:rsid w:val="00CC3AB9"/>
    <w:rsid w:val="00CC3C9E"/>
    <w:rsid w:val="00CC45E0"/>
    <w:rsid w:val="00CC4BBE"/>
    <w:rsid w:val="00CC4BC3"/>
    <w:rsid w:val="00CC50C7"/>
    <w:rsid w:val="00CC55AC"/>
    <w:rsid w:val="00CC5859"/>
    <w:rsid w:val="00CC6159"/>
    <w:rsid w:val="00CC65A8"/>
    <w:rsid w:val="00CC6FF2"/>
    <w:rsid w:val="00CC71F3"/>
    <w:rsid w:val="00CC72C0"/>
    <w:rsid w:val="00CC757D"/>
    <w:rsid w:val="00CC7C74"/>
    <w:rsid w:val="00CD00DB"/>
    <w:rsid w:val="00CD0119"/>
    <w:rsid w:val="00CD07FD"/>
    <w:rsid w:val="00CD0866"/>
    <w:rsid w:val="00CD1169"/>
    <w:rsid w:val="00CD16C7"/>
    <w:rsid w:val="00CD1A40"/>
    <w:rsid w:val="00CD1B33"/>
    <w:rsid w:val="00CD25F3"/>
    <w:rsid w:val="00CD27FF"/>
    <w:rsid w:val="00CD305C"/>
    <w:rsid w:val="00CD3A6D"/>
    <w:rsid w:val="00CD3E5A"/>
    <w:rsid w:val="00CD3E63"/>
    <w:rsid w:val="00CD40A3"/>
    <w:rsid w:val="00CD4CD3"/>
    <w:rsid w:val="00CD578C"/>
    <w:rsid w:val="00CD589F"/>
    <w:rsid w:val="00CD60C9"/>
    <w:rsid w:val="00CD6345"/>
    <w:rsid w:val="00CD6BBB"/>
    <w:rsid w:val="00CD6C19"/>
    <w:rsid w:val="00CD6E47"/>
    <w:rsid w:val="00CD7482"/>
    <w:rsid w:val="00CE07C1"/>
    <w:rsid w:val="00CE1567"/>
    <w:rsid w:val="00CE186F"/>
    <w:rsid w:val="00CE1BC4"/>
    <w:rsid w:val="00CE1C09"/>
    <w:rsid w:val="00CE20E3"/>
    <w:rsid w:val="00CE24B7"/>
    <w:rsid w:val="00CE273A"/>
    <w:rsid w:val="00CE321C"/>
    <w:rsid w:val="00CE32E8"/>
    <w:rsid w:val="00CE3700"/>
    <w:rsid w:val="00CE3B69"/>
    <w:rsid w:val="00CE3B77"/>
    <w:rsid w:val="00CE4559"/>
    <w:rsid w:val="00CE5118"/>
    <w:rsid w:val="00CE5487"/>
    <w:rsid w:val="00CE59B5"/>
    <w:rsid w:val="00CE59DB"/>
    <w:rsid w:val="00CE5D3A"/>
    <w:rsid w:val="00CE7381"/>
    <w:rsid w:val="00CE7447"/>
    <w:rsid w:val="00CE74CE"/>
    <w:rsid w:val="00CE7F36"/>
    <w:rsid w:val="00CF0829"/>
    <w:rsid w:val="00CF0E74"/>
    <w:rsid w:val="00CF1833"/>
    <w:rsid w:val="00CF1AEA"/>
    <w:rsid w:val="00CF1B4F"/>
    <w:rsid w:val="00CF2091"/>
    <w:rsid w:val="00CF21F6"/>
    <w:rsid w:val="00CF2278"/>
    <w:rsid w:val="00CF2C62"/>
    <w:rsid w:val="00CF2F66"/>
    <w:rsid w:val="00CF337B"/>
    <w:rsid w:val="00CF3FE7"/>
    <w:rsid w:val="00CF4059"/>
    <w:rsid w:val="00CF4416"/>
    <w:rsid w:val="00CF5762"/>
    <w:rsid w:val="00CF65B4"/>
    <w:rsid w:val="00CF69B0"/>
    <w:rsid w:val="00CF6C05"/>
    <w:rsid w:val="00CF7485"/>
    <w:rsid w:val="00CF7E56"/>
    <w:rsid w:val="00D0139C"/>
    <w:rsid w:val="00D01744"/>
    <w:rsid w:val="00D025CE"/>
    <w:rsid w:val="00D02A0F"/>
    <w:rsid w:val="00D02DF3"/>
    <w:rsid w:val="00D02FB3"/>
    <w:rsid w:val="00D03181"/>
    <w:rsid w:val="00D037DC"/>
    <w:rsid w:val="00D0383B"/>
    <w:rsid w:val="00D03A8A"/>
    <w:rsid w:val="00D03DA5"/>
    <w:rsid w:val="00D03F27"/>
    <w:rsid w:val="00D043EE"/>
    <w:rsid w:val="00D0470D"/>
    <w:rsid w:val="00D05249"/>
    <w:rsid w:val="00D055CA"/>
    <w:rsid w:val="00D059FC"/>
    <w:rsid w:val="00D05DEF"/>
    <w:rsid w:val="00D06861"/>
    <w:rsid w:val="00D0688A"/>
    <w:rsid w:val="00D06F22"/>
    <w:rsid w:val="00D07A9C"/>
    <w:rsid w:val="00D10076"/>
    <w:rsid w:val="00D1033B"/>
    <w:rsid w:val="00D10477"/>
    <w:rsid w:val="00D107E2"/>
    <w:rsid w:val="00D11D76"/>
    <w:rsid w:val="00D11E73"/>
    <w:rsid w:val="00D121F5"/>
    <w:rsid w:val="00D126E4"/>
    <w:rsid w:val="00D131BF"/>
    <w:rsid w:val="00D140E6"/>
    <w:rsid w:val="00D158EF"/>
    <w:rsid w:val="00D15C14"/>
    <w:rsid w:val="00D15E74"/>
    <w:rsid w:val="00D15FAA"/>
    <w:rsid w:val="00D16ECB"/>
    <w:rsid w:val="00D16EEE"/>
    <w:rsid w:val="00D17167"/>
    <w:rsid w:val="00D1794C"/>
    <w:rsid w:val="00D17BA5"/>
    <w:rsid w:val="00D17EC9"/>
    <w:rsid w:val="00D2058D"/>
    <w:rsid w:val="00D2176E"/>
    <w:rsid w:val="00D2182A"/>
    <w:rsid w:val="00D22105"/>
    <w:rsid w:val="00D2211C"/>
    <w:rsid w:val="00D22945"/>
    <w:rsid w:val="00D22B55"/>
    <w:rsid w:val="00D23055"/>
    <w:rsid w:val="00D230AD"/>
    <w:rsid w:val="00D251AB"/>
    <w:rsid w:val="00D25AC6"/>
    <w:rsid w:val="00D261D3"/>
    <w:rsid w:val="00D31255"/>
    <w:rsid w:val="00D319DF"/>
    <w:rsid w:val="00D3225E"/>
    <w:rsid w:val="00D324BC"/>
    <w:rsid w:val="00D32B27"/>
    <w:rsid w:val="00D33565"/>
    <w:rsid w:val="00D33762"/>
    <w:rsid w:val="00D34025"/>
    <w:rsid w:val="00D3413A"/>
    <w:rsid w:val="00D34BD1"/>
    <w:rsid w:val="00D35177"/>
    <w:rsid w:val="00D356E1"/>
    <w:rsid w:val="00D35D14"/>
    <w:rsid w:val="00D37006"/>
    <w:rsid w:val="00D40609"/>
    <w:rsid w:val="00D40983"/>
    <w:rsid w:val="00D41188"/>
    <w:rsid w:val="00D417D3"/>
    <w:rsid w:val="00D418D5"/>
    <w:rsid w:val="00D41A6B"/>
    <w:rsid w:val="00D41DB1"/>
    <w:rsid w:val="00D42045"/>
    <w:rsid w:val="00D4276D"/>
    <w:rsid w:val="00D42798"/>
    <w:rsid w:val="00D42970"/>
    <w:rsid w:val="00D43492"/>
    <w:rsid w:val="00D4364E"/>
    <w:rsid w:val="00D43AED"/>
    <w:rsid w:val="00D44916"/>
    <w:rsid w:val="00D45CA4"/>
    <w:rsid w:val="00D45EA7"/>
    <w:rsid w:val="00D45F22"/>
    <w:rsid w:val="00D46485"/>
    <w:rsid w:val="00D47178"/>
    <w:rsid w:val="00D4752E"/>
    <w:rsid w:val="00D47842"/>
    <w:rsid w:val="00D478A8"/>
    <w:rsid w:val="00D47BEF"/>
    <w:rsid w:val="00D50826"/>
    <w:rsid w:val="00D51675"/>
    <w:rsid w:val="00D51A75"/>
    <w:rsid w:val="00D51F73"/>
    <w:rsid w:val="00D52827"/>
    <w:rsid w:val="00D529BE"/>
    <w:rsid w:val="00D52CF6"/>
    <w:rsid w:val="00D53198"/>
    <w:rsid w:val="00D53D3E"/>
    <w:rsid w:val="00D547E0"/>
    <w:rsid w:val="00D54992"/>
    <w:rsid w:val="00D55291"/>
    <w:rsid w:val="00D55C48"/>
    <w:rsid w:val="00D55E47"/>
    <w:rsid w:val="00D56997"/>
    <w:rsid w:val="00D570E6"/>
    <w:rsid w:val="00D5730F"/>
    <w:rsid w:val="00D5774F"/>
    <w:rsid w:val="00D578B1"/>
    <w:rsid w:val="00D57A52"/>
    <w:rsid w:val="00D60809"/>
    <w:rsid w:val="00D60D7F"/>
    <w:rsid w:val="00D61C9C"/>
    <w:rsid w:val="00D62111"/>
    <w:rsid w:val="00D62229"/>
    <w:rsid w:val="00D625B8"/>
    <w:rsid w:val="00D626F8"/>
    <w:rsid w:val="00D634CD"/>
    <w:rsid w:val="00D636DC"/>
    <w:rsid w:val="00D63F4C"/>
    <w:rsid w:val="00D64265"/>
    <w:rsid w:val="00D64613"/>
    <w:rsid w:val="00D64702"/>
    <w:rsid w:val="00D66BD9"/>
    <w:rsid w:val="00D66BFD"/>
    <w:rsid w:val="00D66C91"/>
    <w:rsid w:val="00D674EE"/>
    <w:rsid w:val="00D67535"/>
    <w:rsid w:val="00D67B2A"/>
    <w:rsid w:val="00D67BC9"/>
    <w:rsid w:val="00D67DBC"/>
    <w:rsid w:val="00D704D9"/>
    <w:rsid w:val="00D70BD2"/>
    <w:rsid w:val="00D713F2"/>
    <w:rsid w:val="00D721AA"/>
    <w:rsid w:val="00D72705"/>
    <w:rsid w:val="00D738BF"/>
    <w:rsid w:val="00D73B93"/>
    <w:rsid w:val="00D73C95"/>
    <w:rsid w:val="00D73F99"/>
    <w:rsid w:val="00D745C1"/>
    <w:rsid w:val="00D75676"/>
    <w:rsid w:val="00D75731"/>
    <w:rsid w:val="00D75B45"/>
    <w:rsid w:val="00D75B5C"/>
    <w:rsid w:val="00D75F8C"/>
    <w:rsid w:val="00D76050"/>
    <w:rsid w:val="00D76309"/>
    <w:rsid w:val="00D76423"/>
    <w:rsid w:val="00D767BF"/>
    <w:rsid w:val="00D77278"/>
    <w:rsid w:val="00D775B5"/>
    <w:rsid w:val="00D77961"/>
    <w:rsid w:val="00D77B20"/>
    <w:rsid w:val="00D77B3B"/>
    <w:rsid w:val="00D8007C"/>
    <w:rsid w:val="00D8079F"/>
    <w:rsid w:val="00D8103B"/>
    <w:rsid w:val="00D8111B"/>
    <w:rsid w:val="00D81242"/>
    <w:rsid w:val="00D812D2"/>
    <w:rsid w:val="00D822FA"/>
    <w:rsid w:val="00D82D02"/>
    <w:rsid w:val="00D82D0F"/>
    <w:rsid w:val="00D83A5A"/>
    <w:rsid w:val="00D84157"/>
    <w:rsid w:val="00D84BD7"/>
    <w:rsid w:val="00D84DCA"/>
    <w:rsid w:val="00D850FC"/>
    <w:rsid w:val="00D85114"/>
    <w:rsid w:val="00D857BC"/>
    <w:rsid w:val="00D86144"/>
    <w:rsid w:val="00D8622E"/>
    <w:rsid w:val="00D8718F"/>
    <w:rsid w:val="00D871B6"/>
    <w:rsid w:val="00D875E1"/>
    <w:rsid w:val="00D90275"/>
    <w:rsid w:val="00D902F5"/>
    <w:rsid w:val="00D9075D"/>
    <w:rsid w:val="00D90959"/>
    <w:rsid w:val="00D91410"/>
    <w:rsid w:val="00D91438"/>
    <w:rsid w:val="00D91594"/>
    <w:rsid w:val="00D91A8F"/>
    <w:rsid w:val="00D91ABE"/>
    <w:rsid w:val="00D91DFB"/>
    <w:rsid w:val="00D921DA"/>
    <w:rsid w:val="00D92C2F"/>
    <w:rsid w:val="00D92F7F"/>
    <w:rsid w:val="00D9459D"/>
    <w:rsid w:val="00D94730"/>
    <w:rsid w:val="00D94858"/>
    <w:rsid w:val="00D94972"/>
    <w:rsid w:val="00D954A1"/>
    <w:rsid w:val="00D95519"/>
    <w:rsid w:val="00D95744"/>
    <w:rsid w:val="00D958FC"/>
    <w:rsid w:val="00D959AE"/>
    <w:rsid w:val="00D95DC2"/>
    <w:rsid w:val="00D960E5"/>
    <w:rsid w:val="00D96678"/>
    <w:rsid w:val="00D96C73"/>
    <w:rsid w:val="00D96D46"/>
    <w:rsid w:val="00D97C27"/>
    <w:rsid w:val="00DA0526"/>
    <w:rsid w:val="00DA0639"/>
    <w:rsid w:val="00DA0CF7"/>
    <w:rsid w:val="00DA0E96"/>
    <w:rsid w:val="00DA1203"/>
    <w:rsid w:val="00DA18DA"/>
    <w:rsid w:val="00DA1F0C"/>
    <w:rsid w:val="00DA1F38"/>
    <w:rsid w:val="00DA2F0F"/>
    <w:rsid w:val="00DA3565"/>
    <w:rsid w:val="00DA3A5B"/>
    <w:rsid w:val="00DA3D0B"/>
    <w:rsid w:val="00DA3F51"/>
    <w:rsid w:val="00DA45DB"/>
    <w:rsid w:val="00DA48D9"/>
    <w:rsid w:val="00DA49F8"/>
    <w:rsid w:val="00DA4AAE"/>
    <w:rsid w:val="00DA5572"/>
    <w:rsid w:val="00DA6A15"/>
    <w:rsid w:val="00DA6CC2"/>
    <w:rsid w:val="00DA7029"/>
    <w:rsid w:val="00DA77A0"/>
    <w:rsid w:val="00DB09A2"/>
    <w:rsid w:val="00DB0C79"/>
    <w:rsid w:val="00DB103D"/>
    <w:rsid w:val="00DB1448"/>
    <w:rsid w:val="00DB1998"/>
    <w:rsid w:val="00DB1FC4"/>
    <w:rsid w:val="00DB21F0"/>
    <w:rsid w:val="00DB24C0"/>
    <w:rsid w:val="00DB2C5F"/>
    <w:rsid w:val="00DB3A58"/>
    <w:rsid w:val="00DB3BDF"/>
    <w:rsid w:val="00DB3C58"/>
    <w:rsid w:val="00DB3D46"/>
    <w:rsid w:val="00DB401C"/>
    <w:rsid w:val="00DB46C8"/>
    <w:rsid w:val="00DB540E"/>
    <w:rsid w:val="00DB5A63"/>
    <w:rsid w:val="00DB6166"/>
    <w:rsid w:val="00DB656B"/>
    <w:rsid w:val="00DB691E"/>
    <w:rsid w:val="00DB75A3"/>
    <w:rsid w:val="00DB799D"/>
    <w:rsid w:val="00DB79C8"/>
    <w:rsid w:val="00DC0574"/>
    <w:rsid w:val="00DC0C65"/>
    <w:rsid w:val="00DC16BF"/>
    <w:rsid w:val="00DC16E1"/>
    <w:rsid w:val="00DC16FC"/>
    <w:rsid w:val="00DC1881"/>
    <w:rsid w:val="00DC1ED7"/>
    <w:rsid w:val="00DC3A6F"/>
    <w:rsid w:val="00DC3D1C"/>
    <w:rsid w:val="00DC43E1"/>
    <w:rsid w:val="00DC4EE7"/>
    <w:rsid w:val="00DC5199"/>
    <w:rsid w:val="00DC5A32"/>
    <w:rsid w:val="00DC5E4E"/>
    <w:rsid w:val="00DC651B"/>
    <w:rsid w:val="00DC662F"/>
    <w:rsid w:val="00DC6E78"/>
    <w:rsid w:val="00DC729A"/>
    <w:rsid w:val="00DC7328"/>
    <w:rsid w:val="00DC73B1"/>
    <w:rsid w:val="00DC7519"/>
    <w:rsid w:val="00DC75C6"/>
    <w:rsid w:val="00DC7630"/>
    <w:rsid w:val="00DC7EB5"/>
    <w:rsid w:val="00DD04AC"/>
    <w:rsid w:val="00DD04DD"/>
    <w:rsid w:val="00DD0891"/>
    <w:rsid w:val="00DD0B35"/>
    <w:rsid w:val="00DD0F9F"/>
    <w:rsid w:val="00DD11A7"/>
    <w:rsid w:val="00DD1298"/>
    <w:rsid w:val="00DD2300"/>
    <w:rsid w:val="00DD2309"/>
    <w:rsid w:val="00DD28B3"/>
    <w:rsid w:val="00DD2DE3"/>
    <w:rsid w:val="00DD2DE8"/>
    <w:rsid w:val="00DD316F"/>
    <w:rsid w:val="00DD357C"/>
    <w:rsid w:val="00DD37CA"/>
    <w:rsid w:val="00DD3D55"/>
    <w:rsid w:val="00DD3DF7"/>
    <w:rsid w:val="00DD4AE2"/>
    <w:rsid w:val="00DD4BFA"/>
    <w:rsid w:val="00DD51F8"/>
    <w:rsid w:val="00DD6388"/>
    <w:rsid w:val="00DD6C53"/>
    <w:rsid w:val="00DD7198"/>
    <w:rsid w:val="00DD7199"/>
    <w:rsid w:val="00DD7C44"/>
    <w:rsid w:val="00DD7CB6"/>
    <w:rsid w:val="00DE0077"/>
    <w:rsid w:val="00DE0137"/>
    <w:rsid w:val="00DE01BA"/>
    <w:rsid w:val="00DE0DCF"/>
    <w:rsid w:val="00DE137B"/>
    <w:rsid w:val="00DE13D4"/>
    <w:rsid w:val="00DE13FD"/>
    <w:rsid w:val="00DE19D9"/>
    <w:rsid w:val="00DE1C18"/>
    <w:rsid w:val="00DE1DC6"/>
    <w:rsid w:val="00DE1F77"/>
    <w:rsid w:val="00DE21C6"/>
    <w:rsid w:val="00DE22AA"/>
    <w:rsid w:val="00DE288F"/>
    <w:rsid w:val="00DE2D49"/>
    <w:rsid w:val="00DE388A"/>
    <w:rsid w:val="00DE3E66"/>
    <w:rsid w:val="00DE3F75"/>
    <w:rsid w:val="00DE45F5"/>
    <w:rsid w:val="00DE4AAD"/>
    <w:rsid w:val="00DE4C0C"/>
    <w:rsid w:val="00DE4FC8"/>
    <w:rsid w:val="00DE53B5"/>
    <w:rsid w:val="00DE5A50"/>
    <w:rsid w:val="00DE60C5"/>
    <w:rsid w:val="00DE7323"/>
    <w:rsid w:val="00DE75F0"/>
    <w:rsid w:val="00DE77CB"/>
    <w:rsid w:val="00DE7EBA"/>
    <w:rsid w:val="00DF04BD"/>
    <w:rsid w:val="00DF068D"/>
    <w:rsid w:val="00DF0D3A"/>
    <w:rsid w:val="00DF1A9A"/>
    <w:rsid w:val="00DF1C2D"/>
    <w:rsid w:val="00DF1DB6"/>
    <w:rsid w:val="00DF1F8A"/>
    <w:rsid w:val="00DF248E"/>
    <w:rsid w:val="00DF253D"/>
    <w:rsid w:val="00DF3222"/>
    <w:rsid w:val="00DF3577"/>
    <w:rsid w:val="00DF4063"/>
    <w:rsid w:val="00DF5F13"/>
    <w:rsid w:val="00DF63DD"/>
    <w:rsid w:val="00DF6B62"/>
    <w:rsid w:val="00DF7828"/>
    <w:rsid w:val="00DF7BD0"/>
    <w:rsid w:val="00DF7BDF"/>
    <w:rsid w:val="00E00303"/>
    <w:rsid w:val="00E00489"/>
    <w:rsid w:val="00E00A62"/>
    <w:rsid w:val="00E010A0"/>
    <w:rsid w:val="00E0125E"/>
    <w:rsid w:val="00E01668"/>
    <w:rsid w:val="00E0173A"/>
    <w:rsid w:val="00E01849"/>
    <w:rsid w:val="00E020D1"/>
    <w:rsid w:val="00E0250C"/>
    <w:rsid w:val="00E02B64"/>
    <w:rsid w:val="00E02EAD"/>
    <w:rsid w:val="00E03D3F"/>
    <w:rsid w:val="00E04090"/>
    <w:rsid w:val="00E0437C"/>
    <w:rsid w:val="00E0452C"/>
    <w:rsid w:val="00E04D61"/>
    <w:rsid w:val="00E0504C"/>
    <w:rsid w:val="00E05074"/>
    <w:rsid w:val="00E05489"/>
    <w:rsid w:val="00E05741"/>
    <w:rsid w:val="00E05F7F"/>
    <w:rsid w:val="00E06930"/>
    <w:rsid w:val="00E06971"/>
    <w:rsid w:val="00E06B43"/>
    <w:rsid w:val="00E06E32"/>
    <w:rsid w:val="00E06EC4"/>
    <w:rsid w:val="00E070D9"/>
    <w:rsid w:val="00E105B3"/>
    <w:rsid w:val="00E10846"/>
    <w:rsid w:val="00E108F4"/>
    <w:rsid w:val="00E10A4B"/>
    <w:rsid w:val="00E10D4E"/>
    <w:rsid w:val="00E1100C"/>
    <w:rsid w:val="00E11489"/>
    <w:rsid w:val="00E11711"/>
    <w:rsid w:val="00E11E63"/>
    <w:rsid w:val="00E12696"/>
    <w:rsid w:val="00E12DEE"/>
    <w:rsid w:val="00E1310D"/>
    <w:rsid w:val="00E13359"/>
    <w:rsid w:val="00E138BF"/>
    <w:rsid w:val="00E14EFA"/>
    <w:rsid w:val="00E151B9"/>
    <w:rsid w:val="00E1566E"/>
    <w:rsid w:val="00E158C4"/>
    <w:rsid w:val="00E161E6"/>
    <w:rsid w:val="00E167C9"/>
    <w:rsid w:val="00E1698C"/>
    <w:rsid w:val="00E172BE"/>
    <w:rsid w:val="00E17CF7"/>
    <w:rsid w:val="00E205D6"/>
    <w:rsid w:val="00E216EC"/>
    <w:rsid w:val="00E2189A"/>
    <w:rsid w:val="00E22B5A"/>
    <w:rsid w:val="00E22B68"/>
    <w:rsid w:val="00E231C9"/>
    <w:rsid w:val="00E23379"/>
    <w:rsid w:val="00E23EBF"/>
    <w:rsid w:val="00E23FD5"/>
    <w:rsid w:val="00E24669"/>
    <w:rsid w:val="00E248B2"/>
    <w:rsid w:val="00E24C48"/>
    <w:rsid w:val="00E24D50"/>
    <w:rsid w:val="00E25981"/>
    <w:rsid w:val="00E25BC1"/>
    <w:rsid w:val="00E26141"/>
    <w:rsid w:val="00E266F5"/>
    <w:rsid w:val="00E26F90"/>
    <w:rsid w:val="00E270D3"/>
    <w:rsid w:val="00E27FC7"/>
    <w:rsid w:val="00E30700"/>
    <w:rsid w:val="00E30D87"/>
    <w:rsid w:val="00E30E57"/>
    <w:rsid w:val="00E31360"/>
    <w:rsid w:val="00E31D28"/>
    <w:rsid w:val="00E325FF"/>
    <w:rsid w:val="00E32CB8"/>
    <w:rsid w:val="00E3419B"/>
    <w:rsid w:val="00E3440F"/>
    <w:rsid w:val="00E34F3A"/>
    <w:rsid w:val="00E35030"/>
    <w:rsid w:val="00E35F99"/>
    <w:rsid w:val="00E35F9A"/>
    <w:rsid w:val="00E3637F"/>
    <w:rsid w:val="00E364B6"/>
    <w:rsid w:val="00E36723"/>
    <w:rsid w:val="00E3713C"/>
    <w:rsid w:val="00E3767B"/>
    <w:rsid w:val="00E37A3D"/>
    <w:rsid w:val="00E37E1C"/>
    <w:rsid w:val="00E40126"/>
    <w:rsid w:val="00E40CBF"/>
    <w:rsid w:val="00E40E7D"/>
    <w:rsid w:val="00E40EE4"/>
    <w:rsid w:val="00E413C6"/>
    <w:rsid w:val="00E41C4E"/>
    <w:rsid w:val="00E420D5"/>
    <w:rsid w:val="00E42517"/>
    <w:rsid w:val="00E42D55"/>
    <w:rsid w:val="00E42FFE"/>
    <w:rsid w:val="00E4316E"/>
    <w:rsid w:val="00E435AB"/>
    <w:rsid w:val="00E44275"/>
    <w:rsid w:val="00E44777"/>
    <w:rsid w:val="00E4535F"/>
    <w:rsid w:val="00E466BC"/>
    <w:rsid w:val="00E4686A"/>
    <w:rsid w:val="00E47538"/>
    <w:rsid w:val="00E479FD"/>
    <w:rsid w:val="00E504D6"/>
    <w:rsid w:val="00E50B6F"/>
    <w:rsid w:val="00E50DF1"/>
    <w:rsid w:val="00E50EBE"/>
    <w:rsid w:val="00E50F69"/>
    <w:rsid w:val="00E50FC6"/>
    <w:rsid w:val="00E517CD"/>
    <w:rsid w:val="00E52185"/>
    <w:rsid w:val="00E52372"/>
    <w:rsid w:val="00E52786"/>
    <w:rsid w:val="00E52C21"/>
    <w:rsid w:val="00E52F05"/>
    <w:rsid w:val="00E53785"/>
    <w:rsid w:val="00E53DB1"/>
    <w:rsid w:val="00E540CA"/>
    <w:rsid w:val="00E54B37"/>
    <w:rsid w:val="00E54DE9"/>
    <w:rsid w:val="00E55B28"/>
    <w:rsid w:val="00E56D4A"/>
    <w:rsid w:val="00E57119"/>
    <w:rsid w:val="00E5719E"/>
    <w:rsid w:val="00E57D7B"/>
    <w:rsid w:val="00E57F4B"/>
    <w:rsid w:val="00E602E5"/>
    <w:rsid w:val="00E602F8"/>
    <w:rsid w:val="00E6085B"/>
    <w:rsid w:val="00E60FBA"/>
    <w:rsid w:val="00E60FBF"/>
    <w:rsid w:val="00E616F9"/>
    <w:rsid w:val="00E61852"/>
    <w:rsid w:val="00E61A0C"/>
    <w:rsid w:val="00E61D22"/>
    <w:rsid w:val="00E61D96"/>
    <w:rsid w:val="00E61E4B"/>
    <w:rsid w:val="00E62D78"/>
    <w:rsid w:val="00E6342F"/>
    <w:rsid w:val="00E63DA2"/>
    <w:rsid w:val="00E642AF"/>
    <w:rsid w:val="00E644C6"/>
    <w:rsid w:val="00E64555"/>
    <w:rsid w:val="00E64595"/>
    <w:rsid w:val="00E646BB"/>
    <w:rsid w:val="00E64D24"/>
    <w:rsid w:val="00E64E69"/>
    <w:rsid w:val="00E6549C"/>
    <w:rsid w:val="00E654B9"/>
    <w:rsid w:val="00E6589D"/>
    <w:rsid w:val="00E65E8C"/>
    <w:rsid w:val="00E665E7"/>
    <w:rsid w:val="00E66C96"/>
    <w:rsid w:val="00E6703E"/>
    <w:rsid w:val="00E70130"/>
    <w:rsid w:val="00E7063F"/>
    <w:rsid w:val="00E715FC"/>
    <w:rsid w:val="00E71A45"/>
    <w:rsid w:val="00E71C21"/>
    <w:rsid w:val="00E72D84"/>
    <w:rsid w:val="00E730FC"/>
    <w:rsid w:val="00E7318D"/>
    <w:rsid w:val="00E7385A"/>
    <w:rsid w:val="00E73CE6"/>
    <w:rsid w:val="00E74780"/>
    <w:rsid w:val="00E7487D"/>
    <w:rsid w:val="00E74956"/>
    <w:rsid w:val="00E752F7"/>
    <w:rsid w:val="00E75848"/>
    <w:rsid w:val="00E759D4"/>
    <w:rsid w:val="00E76A3C"/>
    <w:rsid w:val="00E76F9B"/>
    <w:rsid w:val="00E771FC"/>
    <w:rsid w:val="00E773E5"/>
    <w:rsid w:val="00E77511"/>
    <w:rsid w:val="00E77BDD"/>
    <w:rsid w:val="00E806D3"/>
    <w:rsid w:val="00E81C34"/>
    <w:rsid w:val="00E81D83"/>
    <w:rsid w:val="00E821BB"/>
    <w:rsid w:val="00E822E9"/>
    <w:rsid w:val="00E826FE"/>
    <w:rsid w:val="00E8275E"/>
    <w:rsid w:val="00E827AF"/>
    <w:rsid w:val="00E82DE9"/>
    <w:rsid w:val="00E83253"/>
    <w:rsid w:val="00E844AB"/>
    <w:rsid w:val="00E84C97"/>
    <w:rsid w:val="00E85005"/>
    <w:rsid w:val="00E85296"/>
    <w:rsid w:val="00E8533B"/>
    <w:rsid w:val="00E8575B"/>
    <w:rsid w:val="00E85931"/>
    <w:rsid w:val="00E85E4E"/>
    <w:rsid w:val="00E862BB"/>
    <w:rsid w:val="00E86327"/>
    <w:rsid w:val="00E86DF0"/>
    <w:rsid w:val="00E87BD2"/>
    <w:rsid w:val="00E87CDC"/>
    <w:rsid w:val="00E906E0"/>
    <w:rsid w:val="00E90B33"/>
    <w:rsid w:val="00E911E0"/>
    <w:rsid w:val="00E93407"/>
    <w:rsid w:val="00E937CC"/>
    <w:rsid w:val="00E940A8"/>
    <w:rsid w:val="00E94759"/>
    <w:rsid w:val="00E947E8"/>
    <w:rsid w:val="00E94B0F"/>
    <w:rsid w:val="00E9503F"/>
    <w:rsid w:val="00E96726"/>
    <w:rsid w:val="00E96E68"/>
    <w:rsid w:val="00E973BA"/>
    <w:rsid w:val="00E97EA1"/>
    <w:rsid w:val="00EA0BBE"/>
    <w:rsid w:val="00EA1FBC"/>
    <w:rsid w:val="00EA20A1"/>
    <w:rsid w:val="00EA212B"/>
    <w:rsid w:val="00EA24FB"/>
    <w:rsid w:val="00EA2D44"/>
    <w:rsid w:val="00EA306E"/>
    <w:rsid w:val="00EA32F4"/>
    <w:rsid w:val="00EA33FA"/>
    <w:rsid w:val="00EA3A1D"/>
    <w:rsid w:val="00EA3CD7"/>
    <w:rsid w:val="00EA3E2D"/>
    <w:rsid w:val="00EA429D"/>
    <w:rsid w:val="00EA43AF"/>
    <w:rsid w:val="00EA4676"/>
    <w:rsid w:val="00EA4C7C"/>
    <w:rsid w:val="00EA4D4C"/>
    <w:rsid w:val="00EA554F"/>
    <w:rsid w:val="00EA6250"/>
    <w:rsid w:val="00EA66A4"/>
    <w:rsid w:val="00EA6819"/>
    <w:rsid w:val="00EA69E4"/>
    <w:rsid w:val="00EA6A1E"/>
    <w:rsid w:val="00EA75BD"/>
    <w:rsid w:val="00EA760C"/>
    <w:rsid w:val="00EA7C47"/>
    <w:rsid w:val="00EB0C01"/>
    <w:rsid w:val="00EB0F0F"/>
    <w:rsid w:val="00EB1053"/>
    <w:rsid w:val="00EB12A5"/>
    <w:rsid w:val="00EB24D8"/>
    <w:rsid w:val="00EB277B"/>
    <w:rsid w:val="00EB2F20"/>
    <w:rsid w:val="00EB2F35"/>
    <w:rsid w:val="00EB31DB"/>
    <w:rsid w:val="00EB3422"/>
    <w:rsid w:val="00EB3A31"/>
    <w:rsid w:val="00EB4EAF"/>
    <w:rsid w:val="00EB548E"/>
    <w:rsid w:val="00EB5C41"/>
    <w:rsid w:val="00EB5F5A"/>
    <w:rsid w:val="00EB657E"/>
    <w:rsid w:val="00EB695E"/>
    <w:rsid w:val="00EB69D1"/>
    <w:rsid w:val="00EB6FE9"/>
    <w:rsid w:val="00EB72FF"/>
    <w:rsid w:val="00EB756F"/>
    <w:rsid w:val="00EB79C8"/>
    <w:rsid w:val="00EB7E78"/>
    <w:rsid w:val="00EC0301"/>
    <w:rsid w:val="00EC09C6"/>
    <w:rsid w:val="00EC0EA5"/>
    <w:rsid w:val="00EC1056"/>
    <w:rsid w:val="00EC1470"/>
    <w:rsid w:val="00EC222E"/>
    <w:rsid w:val="00EC25CD"/>
    <w:rsid w:val="00EC2716"/>
    <w:rsid w:val="00EC2DBB"/>
    <w:rsid w:val="00EC3107"/>
    <w:rsid w:val="00EC358E"/>
    <w:rsid w:val="00EC3F3F"/>
    <w:rsid w:val="00EC3FD2"/>
    <w:rsid w:val="00EC4095"/>
    <w:rsid w:val="00EC43B5"/>
    <w:rsid w:val="00EC4537"/>
    <w:rsid w:val="00EC4960"/>
    <w:rsid w:val="00EC4AE3"/>
    <w:rsid w:val="00EC522B"/>
    <w:rsid w:val="00EC52E9"/>
    <w:rsid w:val="00EC54EE"/>
    <w:rsid w:val="00EC59B2"/>
    <w:rsid w:val="00EC5A3B"/>
    <w:rsid w:val="00EC6BCB"/>
    <w:rsid w:val="00EC774E"/>
    <w:rsid w:val="00EC786C"/>
    <w:rsid w:val="00EC7ADD"/>
    <w:rsid w:val="00ED04FE"/>
    <w:rsid w:val="00ED0DD0"/>
    <w:rsid w:val="00ED16A2"/>
    <w:rsid w:val="00ED1989"/>
    <w:rsid w:val="00ED28F2"/>
    <w:rsid w:val="00ED3145"/>
    <w:rsid w:val="00ED3309"/>
    <w:rsid w:val="00ED356E"/>
    <w:rsid w:val="00ED3BDA"/>
    <w:rsid w:val="00ED3DA4"/>
    <w:rsid w:val="00ED4B67"/>
    <w:rsid w:val="00ED4B69"/>
    <w:rsid w:val="00ED5A3B"/>
    <w:rsid w:val="00ED5C30"/>
    <w:rsid w:val="00ED5E02"/>
    <w:rsid w:val="00ED5EED"/>
    <w:rsid w:val="00ED6B1C"/>
    <w:rsid w:val="00ED6CF7"/>
    <w:rsid w:val="00ED6F33"/>
    <w:rsid w:val="00ED741E"/>
    <w:rsid w:val="00ED7716"/>
    <w:rsid w:val="00ED7737"/>
    <w:rsid w:val="00ED7747"/>
    <w:rsid w:val="00ED7CF4"/>
    <w:rsid w:val="00EE0EA8"/>
    <w:rsid w:val="00EE1B0E"/>
    <w:rsid w:val="00EE22FB"/>
    <w:rsid w:val="00EE2407"/>
    <w:rsid w:val="00EE26AE"/>
    <w:rsid w:val="00EE29C8"/>
    <w:rsid w:val="00EE2A54"/>
    <w:rsid w:val="00EE2FC2"/>
    <w:rsid w:val="00EE3B88"/>
    <w:rsid w:val="00EE4B75"/>
    <w:rsid w:val="00EE4DBD"/>
    <w:rsid w:val="00EE57D6"/>
    <w:rsid w:val="00EE6025"/>
    <w:rsid w:val="00EE6AC6"/>
    <w:rsid w:val="00EE6E26"/>
    <w:rsid w:val="00EE784F"/>
    <w:rsid w:val="00EE7A1D"/>
    <w:rsid w:val="00EF0500"/>
    <w:rsid w:val="00EF0B66"/>
    <w:rsid w:val="00EF1002"/>
    <w:rsid w:val="00EF143F"/>
    <w:rsid w:val="00EF23D8"/>
    <w:rsid w:val="00EF2A5A"/>
    <w:rsid w:val="00EF2A87"/>
    <w:rsid w:val="00EF3A74"/>
    <w:rsid w:val="00EF3AE9"/>
    <w:rsid w:val="00EF3EA5"/>
    <w:rsid w:val="00EF40DC"/>
    <w:rsid w:val="00EF49FB"/>
    <w:rsid w:val="00EF4D23"/>
    <w:rsid w:val="00EF55D6"/>
    <w:rsid w:val="00EF644D"/>
    <w:rsid w:val="00EF6D29"/>
    <w:rsid w:val="00EF7138"/>
    <w:rsid w:val="00EF7149"/>
    <w:rsid w:val="00F00881"/>
    <w:rsid w:val="00F00917"/>
    <w:rsid w:val="00F01032"/>
    <w:rsid w:val="00F010BB"/>
    <w:rsid w:val="00F012C1"/>
    <w:rsid w:val="00F0175F"/>
    <w:rsid w:val="00F01C5B"/>
    <w:rsid w:val="00F03280"/>
    <w:rsid w:val="00F0362A"/>
    <w:rsid w:val="00F0385C"/>
    <w:rsid w:val="00F03ABE"/>
    <w:rsid w:val="00F04345"/>
    <w:rsid w:val="00F047A4"/>
    <w:rsid w:val="00F04F52"/>
    <w:rsid w:val="00F0510F"/>
    <w:rsid w:val="00F0563F"/>
    <w:rsid w:val="00F06239"/>
    <w:rsid w:val="00F064EF"/>
    <w:rsid w:val="00F06558"/>
    <w:rsid w:val="00F06F42"/>
    <w:rsid w:val="00F07122"/>
    <w:rsid w:val="00F074C9"/>
    <w:rsid w:val="00F07C82"/>
    <w:rsid w:val="00F07F5E"/>
    <w:rsid w:val="00F1001E"/>
    <w:rsid w:val="00F106BB"/>
    <w:rsid w:val="00F11027"/>
    <w:rsid w:val="00F1106C"/>
    <w:rsid w:val="00F111BA"/>
    <w:rsid w:val="00F116DD"/>
    <w:rsid w:val="00F1195D"/>
    <w:rsid w:val="00F11D9F"/>
    <w:rsid w:val="00F11E31"/>
    <w:rsid w:val="00F13137"/>
    <w:rsid w:val="00F13AA1"/>
    <w:rsid w:val="00F13F2A"/>
    <w:rsid w:val="00F140EC"/>
    <w:rsid w:val="00F15097"/>
    <w:rsid w:val="00F15671"/>
    <w:rsid w:val="00F15DC7"/>
    <w:rsid w:val="00F16695"/>
    <w:rsid w:val="00F202E3"/>
    <w:rsid w:val="00F20C6E"/>
    <w:rsid w:val="00F20D6C"/>
    <w:rsid w:val="00F2242D"/>
    <w:rsid w:val="00F2255F"/>
    <w:rsid w:val="00F225CF"/>
    <w:rsid w:val="00F22882"/>
    <w:rsid w:val="00F22985"/>
    <w:rsid w:val="00F22AEF"/>
    <w:rsid w:val="00F22F7A"/>
    <w:rsid w:val="00F2322E"/>
    <w:rsid w:val="00F2343C"/>
    <w:rsid w:val="00F23CFC"/>
    <w:rsid w:val="00F24076"/>
    <w:rsid w:val="00F240CB"/>
    <w:rsid w:val="00F2492F"/>
    <w:rsid w:val="00F2500D"/>
    <w:rsid w:val="00F252B0"/>
    <w:rsid w:val="00F256DA"/>
    <w:rsid w:val="00F25742"/>
    <w:rsid w:val="00F2596D"/>
    <w:rsid w:val="00F25CAA"/>
    <w:rsid w:val="00F26AD6"/>
    <w:rsid w:val="00F2711C"/>
    <w:rsid w:val="00F277E8"/>
    <w:rsid w:val="00F27B04"/>
    <w:rsid w:val="00F27E3D"/>
    <w:rsid w:val="00F301D0"/>
    <w:rsid w:val="00F3069F"/>
    <w:rsid w:val="00F30BA9"/>
    <w:rsid w:val="00F30C3F"/>
    <w:rsid w:val="00F30C60"/>
    <w:rsid w:val="00F30EFB"/>
    <w:rsid w:val="00F30F38"/>
    <w:rsid w:val="00F311D1"/>
    <w:rsid w:val="00F3158A"/>
    <w:rsid w:val="00F318DB"/>
    <w:rsid w:val="00F3199C"/>
    <w:rsid w:val="00F31F7D"/>
    <w:rsid w:val="00F32AFF"/>
    <w:rsid w:val="00F33825"/>
    <w:rsid w:val="00F33A8B"/>
    <w:rsid w:val="00F33D3B"/>
    <w:rsid w:val="00F341D4"/>
    <w:rsid w:val="00F34A96"/>
    <w:rsid w:val="00F34EBF"/>
    <w:rsid w:val="00F34F05"/>
    <w:rsid w:val="00F34F85"/>
    <w:rsid w:val="00F353B0"/>
    <w:rsid w:val="00F356D5"/>
    <w:rsid w:val="00F361AE"/>
    <w:rsid w:val="00F36240"/>
    <w:rsid w:val="00F363EB"/>
    <w:rsid w:val="00F365DE"/>
    <w:rsid w:val="00F36764"/>
    <w:rsid w:val="00F367CF"/>
    <w:rsid w:val="00F36D37"/>
    <w:rsid w:val="00F3719A"/>
    <w:rsid w:val="00F379BF"/>
    <w:rsid w:val="00F37EA7"/>
    <w:rsid w:val="00F40805"/>
    <w:rsid w:val="00F40C5E"/>
    <w:rsid w:val="00F40E3E"/>
    <w:rsid w:val="00F4163A"/>
    <w:rsid w:val="00F41873"/>
    <w:rsid w:val="00F419C3"/>
    <w:rsid w:val="00F41D91"/>
    <w:rsid w:val="00F41E2B"/>
    <w:rsid w:val="00F423BE"/>
    <w:rsid w:val="00F424A5"/>
    <w:rsid w:val="00F425EF"/>
    <w:rsid w:val="00F428AC"/>
    <w:rsid w:val="00F42EE3"/>
    <w:rsid w:val="00F43660"/>
    <w:rsid w:val="00F44542"/>
    <w:rsid w:val="00F448DD"/>
    <w:rsid w:val="00F44C5F"/>
    <w:rsid w:val="00F44DB8"/>
    <w:rsid w:val="00F45760"/>
    <w:rsid w:val="00F45925"/>
    <w:rsid w:val="00F46BA6"/>
    <w:rsid w:val="00F46C97"/>
    <w:rsid w:val="00F4703E"/>
    <w:rsid w:val="00F50511"/>
    <w:rsid w:val="00F50781"/>
    <w:rsid w:val="00F50CA3"/>
    <w:rsid w:val="00F517ED"/>
    <w:rsid w:val="00F51F3F"/>
    <w:rsid w:val="00F528B5"/>
    <w:rsid w:val="00F528E7"/>
    <w:rsid w:val="00F52C8A"/>
    <w:rsid w:val="00F53615"/>
    <w:rsid w:val="00F53A91"/>
    <w:rsid w:val="00F54783"/>
    <w:rsid w:val="00F547E9"/>
    <w:rsid w:val="00F5494E"/>
    <w:rsid w:val="00F54ABE"/>
    <w:rsid w:val="00F553D2"/>
    <w:rsid w:val="00F5564F"/>
    <w:rsid w:val="00F55804"/>
    <w:rsid w:val="00F55F1A"/>
    <w:rsid w:val="00F56310"/>
    <w:rsid w:val="00F5684C"/>
    <w:rsid w:val="00F57210"/>
    <w:rsid w:val="00F577FC"/>
    <w:rsid w:val="00F602F0"/>
    <w:rsid w:val="00F6098E"/>
    <w:rsid w:val="00F60C90"/>
    <w:rsid w:val="00F619EE"/>
    <w:rsid w:val="00F61CF5"/>
    <w:rsid w:val="00F61FF9"/>
    <w:rsid w:val="00F62069"/>
    <w:rsid w:val="00F62159"/>
    <w:rsid w:val="00F62A7C"/>
    <w:rsid w:val="00F62B93"/>
    <w:rsid w:val="00F633E5"/>
    <w:rsid w:val="00F63A07"/>
    <w:rsid w:val="00F63C89"/>
    <w:rsid w:val="00F64073"/>
    <w:rsid w:val="00F643CA"/>
    <w:rsid w:val="00F647EC"/>
    <w:rsid w:val="00F64D57"/>
    <w:rsid w:val="00F64FAB"/>
    <w:rsid w:val="00F65329"/>
    <w:rsid w:val="00F6546A"/>
    <w:rsid w:val="00F65CEA"/>
    <w:rsid w:val="00F65F15"/>
    <w:rsid w:val="00F66443"/>
    <w:rsid w:val="00F675EA"/>
    <w:rsid w:val="00F67BEB"/>
    <w:rsid w:val="00F7074A"/>
    <w:rsid w:val="00F711A0"/>
    <w:rsid w:val="00F71687"/>
    <w:rsid w:val="00F71708"/>
    <w:rsid w:val="00F717C1"/>
    <w:rsid w:val="00F71AB3"/>
    <w:rsid w:val="00F725D3"/>
    <w:rsid w:val="00F7281E"/>
    <w:rsid w:val="00F72C1A"/>
    <w:rsid w:val="00F72C3D"/>
    <w:rsid w:val="00F73269"/>
    <w:rsid w:val="00F737AB"/>
    <w:rsid w:val="00F74216"/>
    <w:rsid w:val="00F74F0F"/>
    <w:rsid w:val="00F75731"/>
    <w:rsid w:val="00F75841"/>
    <w:rsid w:val="00F76333"/>
    <w:rsid w:val="00F77100"/>
    <w:rsid w:val="00F77C84"/>
    <w:rsid w:val="00F8090F"/>
    <w:rsid w:val="00F8139A"/>
    <w:rsid w:val="00F82AAE"/>
    <w:rsid w:val="00F834BE"/>
    <w:rsid w:val="00F838A9"/>
    <w:rsid w:val="00F849E3"/>
    <w:rsid w:val="00F84B4E"/>
    <w:rsid w:val="00F84C44"/>
    <w:rsid w:val="00F851B7"/>
    <w:rsid w:val="00F8566C"/>
    <w:rsid w:val="00F858D4"/>
    <w:rsid w:val="00F85C65"/>
    <w:rsid w:val="00F860EB"/>
    <w:rsid w:val="00F86268"/>
    <w:rsid w:val="00F868B6"/>
    <w:rsid w:val="00F86968"/>
    <w:rsid w:val="00F86C37"/>
    <w:rsid w:val="00F86E21"/>
    <w:rsid w:val="00F86E42"/>
    <w:rsid w:val="00F86FD9"/>
    <w:rsid w:val="00F87194"/>
    <w:rsid w:val="00F876E6"/>
    <w:rsid w:val="00F87825"/>
    <w:rsid w:val="00F87838"/>
    <w:rsid w:val="00F879E8"/>
    <w:rsid w:val="00F87FCE"/>
    <w:rsid w:val="00F9008B"/>
    <w:rsid w:val="00F91669"/>
    <w:rsid w:val="00F9184F"/>
    <w:rsid w:val="00F91943"/>
    <w:rsid w:val="00F92A66"/>
    <w:rsid w:val="00F931CF"/>
    <w:rsid w:val="00F93A31"/>
    <w:rsid w:val="00F93BA1"/>
    <w:rsid w:val="00F93D6E"/>
    <w:rsid w:val="00F93E0A"/>
    <w:rsid w:val="00F9423D"/>
    <w:rsid w:val="00F94609"/>
    <w:rsid w:val="00F95182"/>
    <w:rsid w:val="00F957D2"/>
    <w:rsid w:val="00F95D94"/>
    <w:rsid w:val="00F96F86"/>
    <w:rsid w:val="00F97711"/>
    <w:rsid w:val="00FA02B8"/>
    <w:rsid w:val="00FA0980"/>
    <w:rsid w:val="00FA1028"/>
    <w:rsid w:val="00FA10F7"/>
    <w:rsid w:val="00FA157E"/>
    <w:rsid w:val="00FA181F"/>
    <w:rsid w:val="00FA1C1F"/>
    <w:rsid w:val="00FA1E82"/>
    <w:rsid w:val="00FA2137"/>
    <w:rsid w:val="00FA21B0"/>
    <w:rsid w:val="00FA272D"/>
    <w:rsid w:val="00FA2C40"/>
    <w:rsid w:val="00FA338D"/>
    <w:rsid w:val="00FA34A2"/>
    <w:rsid w:val="00FA3645"/>
    <w:rsid w:val="00FA3742"/>
    <w:rsid w:val="00FA3837"/>
    <w:rsid w:val="00FA39FC"/>
    <w:rsid w:val="00FA44B4"/>
    <w:rsid w:val="00FA4538"/>
    <w:rsid w:val="00FA486C"/>
    <w:rsid w:val="00FA4998"/>
    <w:rsid w:val="00FA4DC2"/>
    <w:rsid w:val="00FA4E24"/>
    <w:rsid w:val="00FA5EA3"/>
    <w:rsid w:val="00FA67E3"/>
    <w:rsid w:val="00FA7157"/>
    <w:rsid w:val="00FA73A6"/>
    <w:rsid w:val="00FA7698"/>
    <w:rsid w:val="00FA78C2"/>
    <w:rsid w:val="00FA7A2D"/>
    <w:rsid w:val="00FA7B4F"/>
    <w:rsid w:val="00FA7F36"/>
    <w:rsid w:val="00FB06E7"/>
    <w:rsid w:val="00FB06E9"/>
    <w:rsid w:val="00FB0822"/>
    <w:rsid w:val="00FB09AA"/>
    <w:rsid w:val="00FB1093"/>
    <w:rsid w:val="00FB13A0"/>
    <w:rsid w:val="00FB227E"/>
    <w:rsid w:val="00FB267D"/>
    <w:rsid w:val="00FB2A18"/>
    <w:rsid w:val="00FB2BF4"/>
    <w:rsid w:val="00FB2C8D"/>
    <w:rsid w:val="00FB2DC6"/>
    <w:rsid w:val="00FB4FDE"/>
    <w:rsid w:val="00FB5E81"/>
    <w:rsid w:val="00FB6E6C"/>
    <w:rsid w:val="00FB71B0"/>
    <w:rsid w:val="00FB7ABA"/>
    <w:rsid w:val="00FB7C21"/>
    <w:rsid w:val="00FB7C46"/>
    <w:rsid w:val="00FB7DC4"/>
    <w:rsid w:val="00FC04E0"/>
    <w:rsid w:val="00FC0D98"/>
    <w:rsid w:val="00FC1042"/>
    <w:rsid w:val="00FC11C6"/>
    <w:rsid w:val="00FC17D8"/>
    <w:rsid w:val="00FC279A"/>
    <w:rsid w:val="00FC324D"/>
    <w:rsid w:val="00FC39A1"/>
    <w:rsid w:val="00FC3BC3"/>
    <w:rsid w:val="00FC3E47"/>
    <w:rsid w:val="00FC4B53"/>
    <w:rsid w:val="00FC4BAE"/>
    <w:rsid w:val="00FC5160"/>
    <w:rsid w:val="00FC5A36"/>
    <w:rsid w:val="00FC69CF"/>
    <w:rsid w:val="00FC6B0B"/>
    <w:rsid w:val="00FC713B"/>
    <w:rsid w:val="00FC7862"/>
    <w:rsid w:val="00FC79D5"/>
    <w:rsid w:val="00FC7B35"/>
    <w:rsid w:val="00FC7B53"/>
    <w:rsid w:val="00FD0177"/>
    <w:rsid w:val="00FD051A"/>
    <w:rsid w:val="00FD0AE7"/>
    <w:rsid w:val="00FD0B44"/>
    <w:rsid w:val="00FD0F70"/>
    <w:rsid w:val="00FD2315"/>
    <w:rsid w:val="00FD29A7"/>
    <w:rsid w:val="00FD2B15"/>
    <w:rsid w:val="00FD3092"/>
    <w:rsid w:val="00FD35A1"/>
    <w:rsid w:val="00FD40FC"/>
    <w:rsid w:val="00FD412E"/>
    <w:rsid w:val="00FD420F"/>
    <w:rsid w:val="00FD4F2F"/>
    <w:rsid w:val="00FD51F7"/>
    <w:rsid w:val="00FD5258"/>
    <w:rsid w:val="00FD5602"/>
    <w:rsid w:val="00FD5A2A"/>
    <w:rsid w:val="00FD5AE2"/>
    <w:rsid w:val="00FD62B4"/>
    <w:rsid w:val="00FD7142"/>
    <w:rsid w:val="00FD750F"/>
    <w:rsid w:val="00FE011C"/>
    <w:rsid w:val="00FE07DC"/>
    <w:rsid w:val="00FE1116"/>
    <w:rsid w:val="00FE1E64"/>
    <w:rsid w:val="00FE2075"/>
    <w:rsid w:val="00FE2080"/>
    <w:rsid w:val="00FE2647"/>
    <w:rsid w:val="00FE27B9"/>
    <w:rsid w:val="00FE2E37"/>
    <w:rsid w:val="00FE3156"/>
    <w:rsid w:val="00FE3640"/>
    <w:rsid w:val="00FE3780"/>
    <w:rsid w:val="00FE3954"/>
    <w:rsid w:val="00FE3CF7"/>
    <w:rsid w:val="00FE4071"/>
    <w:rsid w:val="00FE42E3"/>
    <w:rsid w:val="00FE4ECD"/>
    <w:rsid w:val="00FE52B7"/>
    <w:rsid w:val="00FE53C5"/>
    <w:rsid w:val="00FE5807"/>
    <w:rsid w:val="00FE5C39"/>
    <w:rsid w:val="00FE5C57"/>
    <w:rsid w:val="00FE624E"/>
    <w:rsid w:val="00FE6415"/>
    <w:rsid w:val="00FE69E7"/>
    <w:rsid w:val="00FE6BB8"/>
    <w:rsid w:val="00FE6E76"/>
    <w:rsid w:val="00FE79AD"/>
    <w:rsid w:val="00FF027B"/>
    <w:rsid w:val="00FF1174"/>
    <w:rsid w:val="00FF165A"/>
    <w:rsid w:val="00FF1B72"/>
    <w:rsid w:val="00FF1CF1"/>
    <w:rsid w:val="00FF1F4C"/>
    <w:rsid w:val="00FF2654"/>
    <w:rsid w:val="00FF35DC"/>
    <w:rsid w:val="00FF3A6A"/>
    <w:rsid w:val="00FF3C7A"/>
    <w:rsid w:val="00FF3E09"/>
    <w:rsid w:val="00FF411C"/>
    <w:rsid w:val="00FF4B2E"/>
    <w:rsid w:val="00FF4E4B"/>
    <w:rsid w:val="00FF4E4E"/>
    <w:rsid w:val="00FF5049"/>
    <w:rsid w:val="00FF5D1F"/>
    <w:rsid w:val="00FF5F95"/>
    <w:rsid w:val="00FF6126"/>
    <w:rsid w:val="00FF61F5"/>
    <w:rsid w:val="00FF62AA"/>
    <w:rsid w:val="00FF64D7"/>
    <w:rsid w:val="00FF6B6C"/>
    <w:rsid w:val="01420B2A"/>
    <w:rsid w:val="019F2050"/>
    <w:rsid w:val="01AA2C10"/>
    <w:rsid w:val="01B43B68"/>
    <w:rsid w:val="0201343C"/>
    <w:rsid w:val="02412B40"/>
    <w:rsid w:val="02BC4522"/>
    <w:rsid w:val="02CB76A6"/>
    <w:rsid w:val="02D7201B"/>
    <w:rsid w:val="0328539C"/>
    <w:rsid w:val="03292E3E"/>
    <w:rsid w:val="037738D8"/>
    <w:rsid w:val="03D814FB"/>
    <w:rsid w:val="03EE579D"/>
    <w:rsid w:val="04137447"/>
    <w:rsid w:val="048C777F"/>
    <w:rsid w:val="059E3096"/>
    <w:rsid w:val="05A96137"/>
    <w:rsid w:val="05B53FF0"/>
    <w:rsid w:val="05C200BF"/>
    <w:rsid w:val="064E058F"/>
    <w:rsid w:val="066C0BFD"/>
    <w:rsid w:val="069908F5"/>
    <w:rsid w:val="06BD3CC0"/>
    <w:rsid w:val="075F0692"/>
    <w:rsid w:val="076D0A84"/>
    <w:rsid w:val="07D60CC2"/>
    <w:rsid w:val="08071A24"/>
    <w:rsid w:val="08E16B89"/>
    <w:rsid w:val="08F53B23"/>
    <w:rsid w:val="097937D1"/>
    <w:rsid w:val="09806BB8"/>
    <w:rsid w:val="09903C9B"/>
    <w:rsid w:val="0993176D"/>
    <w:rsid w:val="0A070656"/>
    <w:rsid w:val="0A48631A"/>
    <w:rsid w:val="0A52393D"/>
    <w:rsid w:val="0A913ED8"/>
    <w:rsid w:val="0B24171E"/>
    <w:rsid w:val="0B4B1C27"/>
    <w:rsid w:val="0B507DEF"/>
    <w:rsid w:val="0B675E29"/>
    <w:rsid w:val="0BB33687"/>
    <w:rsid w:val="0BEF4AC3"/>
    <w:rsid w:val="0BF169FF"/>
    <w:rsid w:val="0C203B70"/>
    <w:rsid w:val="0C5865E4"/>
    <w:rsid w:val="0C9B098C"/>
    <w:rsid w:val="0D081F34"/>
    <w:rsid w:val="0D38142E"/>
    <w:rsid w:val="0D584403"/>
    <w:rsid w:val="0D5A4775"/>
    <w:rsid w:val="0DDA523F"/>
    <w:rsid w:val="0DDE4BDD"/>
    <w:rsid w:val="0E625C06"/>
    <w:rsid w:val="0EAB6A89"/>
    <w:rsid w:val="0F333B7C"/>
    <w:rsid w:val="0F632E3F"/>
    <w:rsid w:val="0FDC2F2D"/>
    <w:rsid w:val="101C0A97"/>
    <w:rsid w:val="10503315"/>
    <w:rsid w:val="10BE10EE"/>
    <w:rsid w:val="10F67974"/>
    <w:rsid w:val="116353E3"/>
    <w:rsid w:val="117C7228"/>
    <w:rsid w:val="11F748B7"/>
    <w:rsid w:val="12062D6A"/>
    <w:rsid w:val="122D30E1"/>
    <w:rsid w:val="12744836"/>
    <w:rsid w:val="1291787D"/>
    <w:rsid w:val="12D6790A"/>
    <w:rsid w:val="12DB7D35"/>
    <w:rsid w:val="12F438A7"/>
    <w:rsid w:val="133A44C3"/>
    <w:rsid w:val="13592E88"/>
    <w:rsid w:val="135E44C2"/>
    <w:rsid w:val="13977E74"/>
    <w:rsid w:val="141B7F51"/>
    <w:rsid w:val="146F2C7A"/>
    <w:rsid w:val="149C4D8A"/>
    <w:rsid w:val="149E4992"/>
    <w:rsid w:val="14B412C1"/>
    <w:rsid w:val="14D40EDF"/>
    <w:rsid w:val="14EB72AF"/>
    <w:rsid w:val="14FC19F6"/>
    <w:rsid w:val="15510EA2"/>
    <w:rsid w:val="156102B8"/>
    <w:rsid w:val="159B0AFE"/>
    <w:rsid w:val="15A217AD"/>
    <w:rsid w:val="15B55C69"/>
    <w:rsid w:val="15C026F1"/>
    <w:rsid w:val="15C34AB0"/>
    <w:rsid w:val="15CD0F54"/>
    <w:rsid w:val="15E11B06"/>
    <w:rsid w:val="16615DD0"/>
    <w:rsid w:val="1672102C"/>
    <w:rsid w:val="167C2A26"/>
    <w:rsid w:val="16F24A85"/>
    <w:rsid w:val="17064457"/>
    <w:rsid w:val="170C5478"/>
    <w:rsid w:val="17807ED6"/>
    <w:rsid w:val="17B701CF"/>
    <w:rsid w:val="183B4DEC"/>
    <w:rsid w:val="189439F5"/>
    <w:rsid w:val="18C643E3"/>
    <w:rsid w:val="19E35A0F"/>
    <w:rsid w:val="1A3F729E"/>
    <w:rsid w:val="1A442DE9"/>
    <w:rsid w:val="1A516B2E"/>
    <w:rsid w:val="1A554870"/>
    <w:rsid w:val="1A5A3DE4"/>
    <w:rsid w:val="1AB52BBF"/>
    <w:rsid w:val="1BF12377"/>
    <w:rsid w:val="1C022CE0"/>
    <w:rsid w:val="1D321E13"/>
    <w:rsid w:val="1D84721B"/>
    <w:rsid w:val="1DE5415D"/>
    <w:rsid w:val="1E084A5D"/>
    <w:rsid w:val="1E752BE2"/>
    <w:rsid w:val="1E8079E2"/>
    <w:rsid w:val="1EA03AE2"/>
    <w:rsid w:val="1F1A78D0"/>
    <w:rsid w:val="1F2C479B"/>
    <w:rsid w:val="1F3975F4"/>
    <w:rsid w:val="1F462152"/>
    <w:rsid w:val="1F6B6784"/>
    <w:rsid w:val="1F6B68E4"/>
    <w:rsid w:val="1FCE2663"/>
    <w:rsid w:val="20780ECB"/>
    <w:rsid w:val="208704B8"/>
    <w:rsid w:val="210A174A"/>
    <w:rsid w:val="21455F84"/>
    <w:rsid w:val="21466C89"/>
    <w:rsid w:val="21C8332B"/>
    <w:rsid w:val="22066660"/>
    <w:rsid w:val="224176AA"/>
    <w:rsid w:val="2265761B"/>
    <w:rsid w:val="228C1199"/>
    <w:rsid w:val="229870CA"/>
    <w:rsid w:val="22EE44E8"/>
    <w:rsid w:val="22F50136"/>
    <w:rsid w:val="231128A5"/>
    <w:rsid w:val="23241284"/>
    <w:rsid w:val="234B6811"/>
    <w:rsid w:val="235634BB"/>
    <w:rsid w:val="237E3B0E"/>
    <w:rsid w:val="23930DD4"/>
    <w:rsid w:val="23C807C0"/>
    <w:rsid w:val="23CE221A"/>
    <w:rsid w:val="242D24F6"/>
    <w:rsid w:val="24540A05"/>
    <w:rsid w:val="246F4781"/>
    <w:rsid w:val="24801EBF"/>
    <w:rsid w:val="2496315D"/>
    <w:rsid w:val="24977600"/>
    <w:rsid w:val="24B66149"/>
    <w:rsid w:val="24C15E8D"/>
    <w:rsid w:val="2563786A"/>
    <w:rsid w:val="25E95111"/>
    <w:rsid w:val="261849A4"/>
    <w:rsid w:val="264C2FC6"/>
    <w:rsid w:val="26517A4F"/>
    <w:rsid w:val="265D3BB9"/>
    <w:rsid w:val="26AA0F6E"/>
    <w:rsid w:val="26F747B3"/>
    <w:rsid w:val="272F1A96"/>
    <w:rsid w:val="27AC0841"/>
    <w:rsid w:val="27B6199A"/>
    <w:rsid w:val="28260244"/>
    <w:rsid w:val="2848646B"/>
    <w:rsid w:val="286909E6"/>
    <w:rsid w:val="288B2282"/>
    <w:rsid w:val="28D341DE"/>
    <w:rsid w:val="2952197F"/>
    <w:rsid w:val="297B0CF7"/>
    <w:rsid w:val="29F80327"/>
    <w:rsid w:val="2A51423E"/>
    <w:rsid w:val="2A564F1C"/>
    <w:rsid w:val="2A842ABF"/>
    <w:rsid w:val="2AF0459A"/>
    <w:rsid w:val="2AF32708"/>
    <w:rsid w:val="2B1E0D76"/>
    <w:rsid w:val="2B7357F6"/>
    <w:rsid w:val="2BA86AE1"/>
    <w:rsid w:val="2BC52284"/>
    <w:rsid w:val="2C00554D"/>
    <w:rsid w:val="2C5367BE"/>
    <w:rsid w:val="2CB00693"/>
    <w:rsid w:val="2CEB0F5C"/>
    <w:rsid w:val="2D177764"/>
    <w:rsid w:val="2DA336ED"/>
    <w:rsid w:val="2DAE631A"/>
    <w:rsid w:val="2DF767B4"/>
    <w:rsid w:val="2EBF307B"/>
    <w:rsid w:val="2EDD2DD9"/>
    <w:rsid w:val="2EEF2748"/>
    <w:rsid w:val="2EF55319"/>
    <w:rsid w:val="2EFA61AC"/>
    <w:rsid w:val="2F5F53F2"/>
    <w:rsid w:val="2F723467"/>
    <w:rsid w:val="2FF16992"/>
    <w:rsid w:val="3025663B"/>
    <w:rsid w:val="306972E7"/>
    <w:rsid w:val="30A76502"/>
    <w:rsid w:val="30D869D8"/>
    <w:rsid w:val="315B16AB"/>
    <w:rsid w:val="31C66EB6"/>
    <w:rsid w:val="32256095"/>
    <w:rsid w:val="329B2BE5"/>
    <w:rsid w:val="32A001FB"/>
    <w:rsid w:val="32A02B99"/>
    <w:rsid w:val="32A92FC3"/>
    <w:rsid w:val="32D16A1D"/>
    <w:rsid w:val="32EE3BF1"/>
    <w:rsid w:val="33015F31"/>
    <w:rsid w:val="337F50A0"/>
    <w:rsid w:val="339969C2"/>
    <w:rsid w:val="33A9017A"/>
    <w:rsid w:val="33C43F5B"/>
    <w:rsid w:val="33C85E8D"/>
    <w:rsid w:val="33D414D0"/>
    <w:rsid w:val="33E365F1"/>
    <w:rsid w:val="34106E72"/>
    <w:rsid w:val="34C76E8F"/>
    <w:rsid w:val="35C67F79"/>
    <w:rsid w:val="35CD358A"/>
    <w:rsid w:val="362A09EF"/>
    <w:rsid w:val="36512FD4"/>
    <w:rsid w:val="36974221"/>
    <w:rsid w:val="369C1105"/>
    <w:rsid w:val="36BB0EBE"/>
    <w:rsid w:val="37467D39"/>
    <w:rsid w:val="37873738"/>
    <w:rsid w:val="37991DE9"/>
    <w:rsid w:val="385F359C"/>
    <w:rsid w:val="389F7439"/>
    <w:rsid w:val="38FF4107"/>
    <w:rsid w:val="396C52DB"/>
    <w:rsid w:val="39F93CF2"/>
    <w:rsid w:val="3A040A3F"/>
    <w:rsid w:val="3A2D4A6A"/>
    <w:rsid w:val="3A550950"/>
    <w:rsid w:val="3A7B4B22"/>
    <w:rsid w:val="3AF11C2B"/>
    <w:rsid w:val="3AFD61EB"/>
    <w:rsid w:val="3B284C72"/>
    <w:rsid w:val="3B305B33"/>
    <w:rsid w:val="3B977BE9"/>
    <w:rsid w:val="3BA80B19"/>
    <w:rsid w:val="3BBF7944"/>
    <w:rsid w:val="3BF5780A"/>
    <w:rsid w:val="3C08753D"/>
    <w:rsid w:val="3C186701"/>
    <w:rsid w:val="3C4240EC"/>
    <w:rsid w:val="3C5D4096"/>
    <w:rsid w:val="3D080631"/>
    <w:rsid w:val="3D2832C7"/>
    <w:rsid w:val="3D670293"/>
    <w:rsid w:val="3DA101CD"/>
    <w:rsid w:val="3DAE1A1E"/>
    <w:rsid w:val="3E3B5C86"/>
    <w:rsid w:val="3E997760"/>
    <w:rsid w:val="3EB03C03"/>
    <w:rsid w:val="3F1E2BD3"/>
    <w:rsid w:val="3F3A1FEB"/>
    <w:rsid w:val="3F610607"/>
    <w:rsid w:val="3F8773DB"/>
    <w:rsid w:val="405F6B9A"/>
    <w:rsid w:val="40805350"/>
    <w:rsid w:val="40885740"/>
    <w:rsid w:val="40912903"/>
    <w:rsid w:val="41067DC3"/>
    <w:rsid w:val="41CB5019"/>
    <w:rsid w:val="42253D73"/>
    <w:rsid w:val="424D27A0"/>
    <w:rsid w:val="427174BE"/>
    <w:rsid w:val="42DC0426"/>
    <w:rsid w:val="430A1DED"/>
    <w:rsid w:val="43561CA9"/>
    <w:rsid w:val="43AB47E9"/>
    <w:rsid w:val="43AF32DF"/>
    <w:rsid w:val="43BF32E9"/>
    <w:rsid w:val="43C76649"/>
    <w:rsid w:val="444B06B6"/>
    <w:rsid w:val="44B91A5D"/>
    <w:rsid w:val="452F03D4"/>
    <w:rsid w:val="454F56BD"/>
    <w:rsid w:val="45967968"/>
    <w:rsid w:val="459A3BBF"/>
    <w:rsid w:val="459C1BB1"/>
    <w:rsid w:val="45DE19D9"/>
    <w:rsid w:val="462311B6"/>
    <w:rsid w:val="46295027"/>
    <w:rsid w:val="46432368"/>
    <w:rsid w:val="46494D56"/>
    <w:rsid w:val="47302557"/>
    <w:rsid w:val="47735BB3"/>
    <w:rsid w:val="47843179"/>
    <w:rsid w:val="47B71E17"/>
    <w:rsid w:val="48457423"/>
    <w:rsid w:val="4878027E"/>
    <w:rsid w:val="48C37541"/>
    <w:rsid w:val="498303BC"/>
    <w:rsid w:val="49AD4EE6"/>
    <w:rsid w:val="49ED4347"/>
    <w:rsid w:val="49FB7291"/>
    <w:rsid w:val="4A1F7490"/>
    <w:rsid w:val="4A6265F6"/>
    <w:rsid w:val="4AAC19DB"/>
    <w:rsid w:val="4AC62FB7"/>
    <w:rsid w:val="4AF875FC"/>
    <w:rsid w:val="4B143684"/>
    <w:rsid w:val="4B515E20"/>
    <w:rsid w:val="4B861669"/>
    <w:rsid w:val="4B9C37FE"/>
    <w:rsid w:val="4D4A1757"/>
    <w:rsid w:val="4D584965"/>
    <w:rsid w:val="4D7009BD"/>
    <w:rsid w:val="4DE730E2"/>
    <w:rsid w:val="4DEC52A6"/>
    <w:rsid w:val="4E51443B"/>
    <w:rsid w:val="4E6268C7"/>
    <w:rsid w:val="4E7445BE"/>
    <w:rsid w:val="4EAC5711"/>
    <w:rsid w:val="4EDA0D8F"/>
    <w:rsid w:val="4F9808BF"/>
    <w:rsid w:val="4FBE01E7"/>
    <w:rsid w:val="4FEA3BF4"/>
    <w:rsid w:val="501E7361"/>
    <w:rsid w:val="50393424"/>
    <w:rsid w:val="50534BE9"/>
    <w:rsid w:val="505C7478"/>
    <w:rsid w:val="509C7EDA"/>
    <w:rsid w:val="50CD0C48"/>
    <w:rsid w:val="51136310"/>
    <w:rsid w:val="514F6023"/>
    <w:rsid w:val="51B2004B"/>
    <w:rsid w:val="51F4182D"/>
    <w:rsid w:val="521A722A"/>
    <w:rsid w:val="525C5CA9"/>
    <w:rsid w:val="527C2D46"/>
    <w:rsid w:val="52B458D1"/>
    <w:rsid w:val="52CA2422"/>
    <w:rsid w:val="532C4DA1"/>
    <w:rsid w:val="53510DA2"/>
    <w:rsid w:val="53715570"/>
    <w:rsid w:val="53C47D96"/>
    <w:rsid w:val="54013662"/>
    <w:rsid w:val="55156127"/>
    <w:rsid w:val="55285859"/>
    <w:rsid w:val="55622629"/>
    <w:rsid w:val="557701D2"/>
    <w:rsid w:val="55B91357"/>
    <w:rsid w:val="56214EC6"/>
    <w:rsid w:val="562626CC"/>
    <w:rsid w:val="56442422"/>
    <w:rsid w:val="56A738A1"/>
    <w:rsid w:val="56FD7EE0"/>
    <w:rsid w:val="57514B11"/>
    <w:rsid w:val="577C0AA7"/>
    <w:rsid w:val="57B341F3"/>
    <w:rsid w:val="58171515"/>
    <w:rsid w:val="581E2406"/>
    <w:rsid w:val="5832241E"/>
    <w:rsid w:val="59350FDF"/>
    <w:rsid w:val="597C69BE"/>
    <w:rsid w:val="59B9618C"/>
    <w:rsid w:val="5A3A2DDD"/>
    <w:rsid w:val="5A417A01"/>
    <w:rsid w:val="5A68152E"/>
    <w:rsid w:val="5AAC6D3A"/>
    <w:rsid w:val="5ADF330A"/>
    <w:rsid w:val="5AE72137"/>
    <w:rsid w:val="5B61411C"/>
    <w:rsid w:val="5B751975"/>
    <w:rsid w:val="5B9F00C5"/>
    <w:rsid w:val="5BCE1AB6"/>
    <w:rsid w:val="5BF84A80"/>
    <w:rsid w:val="5C010D5E"/>
    <w:rsid w:val="5C257476"/>
    <w:rsid w:val="5C4C447D"/>
    <w:rsid w:val="5CAD11D1"/>
    <w:rsid w:val="5D201747"/>
    <w:rsid w:val="5D236C42"/>
    <w:rsid w:val="5D66172C"/>
    <w:rsid w:val="5DA31D4F"/>
    <w:rsid w:val="5DA54957"/>
    <w:rsid w:val="5DF76D59"/>
    <w:rsid w:val="5E016FD2"/>
    <w:rsid w:val="5EC425A6"/>
    <w:rsid w:val="5ECA1FD8"/>
    <w:rsid w:val="5EDA6979"/>
    <w:rsid w:val="5F1162B8"/>
    <w:rsid w:val="5F2D35C0"/>
    <w:rsid w:val="5F5F6BC4"/>
    <w:rsid w:val="6031230F"/>
    <w:rsid w:val="60447752"/>
    <w:rsid w:val="6063409F"/>
    <w:rsid w:val="607C2B6F"/>
    <w:rsid w:val="60855860"/>
    <w:rsid w:val="60AA2E6B"/>
    <w:rsid w:val="613A2954"/>
    <w:rsid w:val="61501C31"/>
    <w:rsid w:val="61C13B66"/>
    <w:rsid w:val="623A6737"/>
    <w:rsid w:val="625247BE"/>
    <w:rsid w:val="62991FE0"/>
    <w:rsid w:val="63352116"/>
    <w:rsid w:val="63730F98"/>
    <w:rsid w:val="63A14D89"/>
    <w:rsid w:val="63CA5CD9"/>
    <w:rsid w:val="63FF1893"/>
    <w:rsid w:val="640970FF"/>
    <w:rsid w:val="64441196"/>
    <w:rsid w:val="644D54B3"/>
    <w:rsid w:val="646978EA"/>
    <w:rsid w:val="64810A22"/>
    <w:rsid w:val="64A532CB"/>
    <w:rsid w:val="64D9684F"/>
    <w:rsid w:val="654A1084"/>
    <w:rsid w:val="657D479F"/>
    <w:rsid w:val="65E87914"/>
    <w:rsid w:val="66925AD1"/>
    <w:rsid w:val="66AA18FE"/>
    <w:rsid w:val="66B04994"/>
    <w:rsid w:val="66BF018E"/>
    <w:rsid w:val="66E423AF"/>
    <w:rsid w:val="66FE2FE9"/>
    <w:rsid w:val="671F7BF6"/>
    <w:rsid w:val="672056DD"/>
    <w:rsid w:val="6761234C"/>
    <w:rsid w:val="677E1BB2"/>
    <w:rsid w:val="67877E34"/>
    <w:rsid w:val="68442DFB"/>
    <w:rsid w:val="68B910F3"/>
    <w:rsid w:val="68C70FC8"/>
    <w:rsid w:val="68F4037D"/>
    <w:rsid w:val="68FD5EA1"/>
    <w:rsid w:val="693410C2"/>
    <w:rsid w:val="69843FC2"/>
    <w:rsid w:val="69F53552"/>
    <w:rsid w:val="6A4D0118"/>
    <w:rsid w:val="6A6652AB"/>
    <w:rsid w:val="6A7744B4"/>
    <w:rsid w:val="6AC61AB6"/>
    <w:rsid w:val="6B241A17"/>
    <w:rsid w:val="6B28556D"/>
    <w:rsid w:val="6B7A2359"/>
    <w:rsid w:val="6C1F3182"/>
    <w:rsid w:val="6C7A6DEC"/>
    <w:rsid w:val="6CFF17A4"/>
    <w:rsid w:val="6D0C5512"/>
    <w:rsid w:val="6D8819DC"/>
    <w:rsid w:val="6DED00D0"/>
    <w:rsid w:val="6E9C0F6F"/>
    <w:rsid w:val="6EC864D6"/>
    <w:rsid w:val="6ECC4A08"/>
    <w:rsid w:val="6EDF575B"/>
    <w:rsid w:val="6F7F37A1"/>
    <w:rsid w:val="6F983C7A"/>
    <w:rsid w:val="6FC13B19"/>
    <w:rsid w:val="6FD902CD"/>
    <w:rsid w:val="70293D7A"/>
    <w:rsid w:val="703A21BF"/>
    <w:rsid w:val="70716758"/>
    <w:rsid w:val="70857767"/>
    <w:rsid w:val="70CC39C6"/>
    <w:rsid w:val="70FA1D0F"/>
    <w:rsid w:val="7103031A"/>
    <w:rsid w:val="71121F70"/>
    <w:rsid w:val="71AD7318"/>
    <w:rsid w:val="71DF7820"/>
    <w:rsid w:val="71FC4D8C"/>
    <w:rsid w:val="72522BEE"/>
    <w:rsid w:val="726D70E7"/>
    <w:rsid w:val="72BE71E2"/>
    <w:rsid w:val="72E27330"/>
    <w:rsid w:val="73BD1556"/>
    <w:rsid w:val="73DA4A3B"/>
    <w:rsid w:val="740C0C71"/>
    <w:rsid w:val="74264E1B"/>
    <w:rsid w:val="744D5EC9"/>
    <w:rsid w:val="75151D30"/>
    <w:rsid w:val="75727FCC"/>
    <w:rsid w:val="75D00F7C"/>
    <w:rsid w:val="75FC6AC3"/>
    <w:rsid w:val="76275962"/>
    <w:rsid w:val="764746B2"/>
    <w:rsid w:val="76D14572"/>
    <w:rsid w:val="7792036D"/>
    <w:rsid w:val="77C10136"/>
    <w:rsid w:val="77CC74DE"/>
    <w:rsid w:val="77E85551"/>
    <w:rsid w:val="783F6BBC"/>
    <w:rsid w:val="786C2AD1"/>
    <w:rsid w:val="78BD70C0"/>
    <w:rsid w:val="78D81A29"/>
    <w:rsid w:val="79E65A52"/>
    <w:rsid w:val="7A00024C"/>
    <w:rsid w:val="7A013D0B"/>
    <w:rsid w:val="7A3538A9"/>
    <w:rsid w:val="7A7C4102"/>
    <w:rsid w:val="7AE2589C"/>
    <w:rsid w:val="7B1403CC"/>
    <w:rsid w:val="7B2745E3"/>
    <w:rsid w:val="7B4A432A"/>
    <w:rsid w:val="7BF614AB"/>
    <w:rsid w:val="7C67035B"/>
    <w:rsid w:val="7C744EE5"/>
    <w:rsid w:val="7C9C4E59"/>
    <w:rsid w:val="7CD442F6"/>
    <w:rsid w:val="7D3B4132"/>
    <w:rsid w:val="7D3D3C30"/>
    <w:rsid w:val="7D6455EB"/>
    <w:rsid w:val="7D755AD9"/>
    <w:rsid w:val="7D776176"/>
    <w:rsid w:val="7D9E7361"/>
    <w:rsid w:val="7DBD6467"/>
    <w:rsid w:val="7E0D6426"/>
    <w:rsid w:val="7E1700E3"/>
    <w:rsid w:val="7E477448"/>
    <w:rsid w:val="7ED2669B"/>
    <w:rsid w:val="7F651B7D"/>
    <w:rsid w:val="7F8E34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semiHidden="0"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qFormat="1" w:uiPriority="99" w:semiHidden="0" w:name="footnote reference"/>
    <w:lsdException w:qFormat="1" w:uiPriority="99" w:semiHidden="0" w:name="annotation reference"/>
    <w:lsdException w:uiPriority="99" w:name="line number"/>
    <w:lsdException w:qFormat="1" w:unhideWhenUsed="0" w:uiPriority="0" w:semiHidden="0"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59"/>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62"/>
    <w:qFormat/>
    <w:uiPriority w:val="0"/>
    <w:pPr>
      <w:keepNext/>
      <w:keepLines/>
      <w:spacing w:before="260" w:after="260" w:line="416" w:lineRule="auto"/>
      <w:outlineLvl w:val="2"/>
    </w:pPr>
    <w:rPr>
      <w:b/>
      <w:bCs/>
      <w:kern w:val="0"/>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link w:val="63"/>
    <w:qFormat/>
    <w:uiPriority w:val="0"/>
    <w:pPr>
      <w:keepNext/>
      <w:keepLines/>
      <w:numPr>
        <w:ilvl w:val="4"/>
        <w:numId w:val="1"/>
      </w:numPr>
      <w:spacing w:before="280" w:after="290" w:line="376" w:lineRule="auto"/>
      <w:outlineLvl w:val="4"/>
    </w:pPr>
    <w:rPr>
      <w:b/>
      <w:sz w:val="28"/>
    </w:rPr>
  </w:style>
  <w:style w:type="paragraph" w:styleId="8">
    <w:name w:val="heading 6"/>
    <w:basedOn w:val="1"/>
    <w:next w:val="7"/>
    <w:link w:val="64"/>
    <w:qFormat/>
    <w:uiPriority w:val="0"/>
    <w:pPr>
      <w:keepNext/>
      <w:keepLines/>
      <w:numPr>
        <w:ilvl w:val="5"/>
        <w:numId w:val="1"/>
      </w:numPr>
      <w:spacing w:before="240" w:after="64" w:line="320" w:lineRule="auto"/>
      <w:outlineLvl w:val="5"/>
    </w:pPr>
    <w:rPr>
      <w:rFonts w:ascii="Arial" w:hAnsi="Arial" w:eastAsia="黑体"/>
      <w:b/>
      <w:sz w:val="24"/>
    </w:rPr>
  </w:style>
  <w:style w:type="paragraph" w:styleId="9">
    <w:name w:val="heading 7"/>
    <w:basedOn w:val="1"/>
    <w:next w:val="7"/>
    <w:link w:val="65"/>
    <w:qFormat/>
    <w:uiPriority w:val="0"/>
    <w:pPr>
      <w:keepNext/>
      <w:keepLines/>
      <w:numPr>
        <w:ilvl w:val="6"/>
        <w:numId w:val="1"/>
      </w:numPr>
      <w:spacing w:before="240" w:after="64" w:line="320" w:lineRule="auto"/>
      <w:outlineLvl w:val="6"/>
    </w:pPr>
    <w:rPr>
      <w:b/>
      <w:sz w:val="24"/>
    </w:rPr>
  </w:style>
  <w:style w:type="paragraph" w:styleId="10">
    <w:name w:val="heading 8"/>
    <w:basedOn w:val="1"/>
    <w:next w:val="7"/>
    <w:link w:val="66"/>
    <w:qFormat/>
    <w:uiPriority w:val="0"/>
    <w:pPr>
      <w:keepNext/>
      <w:keepLines/>
      <w:numPr>
        <w:ilvl w:val="7"/>
        <w:numId w:val="1"/>
      </w:numPr>
      <w:spacing w:before="240" w:after="64" w:line="320" w:lineRule="auto"/>
      <w:outlineLvl w:val="7"/>
    </w:pPr>
    <w:rPr>
      <w:rFonts w:ascii="Arial" w:hAnsi="Arial" w:eastAsia="黑体"/>
      <w:sz w:val="24"/>
    </w:rPr>
  </w:style>
  <w:style w:type="paragraph" w:styleId="11">
    <w:name w:val="heading 9"/>
    <w:basedOn w:val="1"/>
    <w:next w:val="7"/>
    <w:link w:val="67"/>
    <w:qFormat/>
    <w:uiPriority w:val="0"/>
    <w:pPr>
      <w:keepNext/>
      <w:keepLines/>
      <w:numPr>
        <w:ilvl w:val="8"/>
        <w:numId w:val="1"/>
      </w:numPr>
      <w:spacing w:before="240" w:after="64" w:line="320" w:lineRule="auto"/>
      <w:outlineLvl w:val="8"/>
    </w:pPr>
    <w:rPr>
      <w:rFonts w:ascii="Arial" w:hAnsi="Arial" w:eastAsia="黑体"/>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0"/>
    <w:pPr>
      <w:ind w:firstLine="420"/>
    </w:pPr>
    <w:rPr>
      <w:szCs w:val="20"/>
    </w:rPr>
  </w:style>
  <w:style w:type="paragraph" w:styleId="12">
    <w:name w:val="toc 7"/>
    <w:basedOn w:val="1"/>
    <w:next w:val="1"/>
    <w:unhideWhenUsed/>
    <w:qFormat/>
    <w:uiPriority w:val="39"/>
    <w:pPr>
      <w:ind w:left="2520" w:leftChars="1200"/>
    </w:pPr>
    <w:rPr>
      <w:rFonts w:ascii="Calibri" w:hAnsi="Calibri"/>
      <w:szCs w:val="22"/>
    </w:rPr>
  </w:style>
  <w:style w:type="paragraph" w:styleId="13">
    <w:name w:val="List Number"/>
    <w:basedOn w:val="1"/>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4">
    <w:name w:val="caption"/>
    <w:basedOn w:val="1"/>
    <w:next w:val="1"/>
    <w:qFormat/>
    <w:uiPriority w:val="0"/>
    <w:pPr>
      <w:spacing w:before="152" w:after="160"/>
    </w:pPr>
    <w:rPr>
      <w:rFonts w:ascii="Arial" w:hAnsi="Arial" w:eastAsia="黑体" w:cs="Arial"/>
      <w:sz w:val="20"/>
      <w:szCs w:val="20"/>
    </w:rPr>
  </w:style>
  <w:style w:type="paragraph" w:styleId="15">
    <w:name w:val="annotation text"/>
    <w:basedOn w:val="1"/>
    <w:link w:val="68"/>
    <w:unhideWhenUsed/>
    <w:qFormat/>
    <w:uiPriority w:val="0"/>
    <w:pPr>
      <w:jc w:val="left"/>
    </w:pPr>
  </w:style>
  <w:style w:type="paragraph" w:styleId="16">
    <w:name w:val="Body Text 3"/>
    <w:basedOn w:val="1"/>
    <w:link w:val="69"/>
    <w:qFormat/>
    <w:uiPriority w:val="0"/>
    <w:pPr>
      <w:spacing w:line="500" w:lineRule="exact"/>
    </w:pPr>
    <w:rPr>
      <w:b/>
      <w:bCs/>
      <w:kern w:val="0"/>
      <w:sz w:val="24"/>
    </w:rPr>
  </w:style>
  <w:style w:type="paragraph" w:styleId="17">
    <w:name w:val="Body Text"/>
    <w:basedOn w:val="1"/>
    <w:link w:val="60"/>
    <w:qFormat/>
    <w:uiPriority w:val="99"/>
    <w:pPr>
      <w:spacing w:line="380" w:lineRule="exact"/>
    </w:pPr>
    <w:rPr>
      <w:kern w:val="0"/>
      <w:sz w:val="24"/>
    </w:rPr>
  </w:style>
  <w:style w:type="paragraph" w:styleId="18">
    <w:name w:val="Body Text Indent"/>
    <w:basedOn w:val="1"/>
    <w:link w:val="70"/>
    <w:qFormat/>
    <w:uiPriority w:val="0"/>
    <w:pPr>
      <w:ind w:firstLine="830" w:firstLineChars="352"/>
    </w:pPr>
    <w:rPr>
      <w:rFonts w:ascii="仿宋_GB2312" w:eastAsia="仿宋_GB2312"/>
      <w:kern w:val="0"/>
      <w:sz w:val="32"/>
      <w:szCs w:val="20"/>
    </w:rPr>
  </w:style>
  <w:style w:type="paragraph" w:styleId="19">
    <w:name w:val="List Number 3"/>
    <w:basedOn w:val="1"/>
    <w:qFormat/>
    <w:uiPriority w:val="0"/>
    <w:pPr>
      <w:numPr>
        <w:ilvl w:val="0"/>
        <w:numId w:val="2"/>
      </w:numPr>
    </w:pPr>
  </w:style>
  <w:style w:type="paragraph" w:styleId="20">
    <w:name w:val="List 2"/>
    <w:basedOn w:val="1"/>
    <w:qFormat/>
    <w:uiPriority w:val="0"/>
    <w:pPr>
      <w:ind w:left="100" w:leftChars="200" w:hanging="200" w:hangingChars="200"/>
    </w:pPr>
    <w:rPr>
      <w:sz w:val="28"/>
    </w:rPr>
  </w:style>
  <w:style w:type="paragraph" w:styleId="21">
    <w:name w:val="toc 5"/>
    <w:basedOn w:val="1"/>
    <w:next w:val="1"/>
    <w:unhideWhenUsed/>
    <w:qFormat/>
    <w:uiPriority w:val="39"/>
    <w:pPr>
      <w:ind w:left="1680" w:leftChars="800"/>
    </w:pPr>
    <w:rPr>
      <w:rFonts w:ascii="Calibri" w:hAnsi="Calibri"/>
      <w:szCs w:val="22"/>
    </w:rPr>
  </w:style>
  <w:style w:type="paragraph" w:styleId="22">
    <w:name w:val="toc 3"/>
    <w:basedOn w:val="1"/>
    <w:next w:val="1"/>
    <w:unhideWhenUsed/>
    <w:qFormat/>
    <w:uiPriority w:val="39"/>
    <w:pPr>
      <w:ind w:left="840" w:leftChars="400"/>
    </w:pPr>
    <w:rPr>
      <w:rFonts w:ascii="Calibri" w:hAnsi="Calibri"/>
      <w:szCs w:val="22"/>
    </w:rPr>
  </w:style>
  <w:style w:type="paragraph" w:styleId="23">
    <w:name w:val="Plain Text"/>
    <w:basedOn w:val="1"/>
    <w:next w:val="5"/>
    <w:link w:val="71"/>
    <w:qFormat/>
    <w:uiPriority w:val="0"/>
    <w:rPr>
      <w:rFonts w:ascii="宋体" w:hAnsi="Courier New"/>
      <w:kern w:val="0"/>
      <w:sz w:val="20"/>
      <w:szCs w:val="21"/>
    </w:rPr>
  </w:style>
  <w:style w:type="paragraph" w:styleId="24">
    <w:name w:val="toc 8"/>
    <w:basedOn w:val="1"/>
    <w:next w:val="1"/>
    <w:unhideWhenUsed/>
    <w:qFormat/>
    <w:uiPriority w:val="39"/>
    <w:pPr>
      <w:ind w:left="2940" w:leftChars="1400"/>
    </w:pPr>
    <w:rPr>
      <w:rFonts w:ascii="Calibri" w:hAnsi="Calibri"/>
      <w:szCs w:val="22"/>
    </w:rPr>
  </w:style>
  <w:style w:type="paragraph" w:styleId="25">
    <w:name w:val="Date"/>
    <w:basedOn w:val="1"/>
    <w:next w:val="1"/>
    <w:link w:val="72"/>
    <w:qFormat/>
    <w:uiPriority w:val="0"/>
    <w:pPr>
      <w:ind w:left="100" w:leftChars="2500"/>
    </w:pPr>
    <w:rPr>
      <w:rFonts w:ascii="宋体" w:hAnsi="Courier New"/>
      <w:kern w:val="0"/>
      <w:sz w:val="20"/>
      <w:szCs w:val="21"/>
    </w:rPr>
  </w:style>
  <w:style w:type="paragraph" w:styleId="26">
    <w:name w:val="Body Text Indent 2"/>
    <w:basedOn w:val="1"/>
    <w:link w:val="73"/>
    <w:qFormat/>
    <w:uiPriority w:val="0"/>
    <w:pPr>
      <w:ind w:firstLine="630"/>
    </w:pPr>
    <w:rPr>
      <w:kern w:val="0"/>
      <w:sz w:val="32"/>
      <w:szCs w:val="20"/>
    </w:rPr>
  </w:style>
  <w:style w:type="paragraph" w:styleId="27">
    <w:name w:val="endnote text"/>
    <w:basedOn w:val="1"/>
    <w:link w:val="74"/>
    <w:unhideWhenUsed/>
    <w:qFormat/>
    <w:uiPriority w:val="99"/>
    <w:pPr>
      <w:snapToGrid w:val="0"/>
      <w:jc w:val="left"/>
    </w:pPr>
  </w:style>
  <w:style w:type="paragraph" w:styleId="28">
    <w:name w:val="Balloon Text"/>
    <w:basedOn w:val="1"/>
    <w:link w:val="75"/>
    <w:semiHidden/>
    <w:qFormat/>
    <w:uiPriority w:val="0"/>
    <w:rPr>
      <w:kern w:val="0"/>
      <w:sz w:val="18"/>
      <w:szCs w:val="18"/>
    </w:rPr>
  </w:style>
  <w:style w:type="paragraph" w:styleId="29">
    <w:name w:val="footer"/>
    <w:basedOn w:val="1"/>
    <w:link w:val="76"/>
    <w:unhideWhenUsed/>
    <w:qFormat/>
    <w:uiPriority w:val="99"/>
    <w:pPr>
      <w:tabs>
        <w:tab w:val="center" w:pos="4153"/>
        <w:tab w:val="right" w:pos="8306"/>
      </w:tabs>
      <w:snapToGrid w:val="0"/>
      <w:jc w:val="left"/>
    </w:pPr>
    <w:rPr>
      <w:kern w:val="0"/>
      <w:sz w:val="18"/>
      <w:szCs w:val="18"/>
    </w:rPr>
  </w:style>
  <w:style w:type="paragraph" w:styleId="30">
    <w:name w:val="envelope return"/>
    <w:basedOn w:val="1"/>
    <w:qFormat/>
    <w:uiPriority w:val="0"/>
  </w:style>
  <w:style w:type="paragraph" w:styleId="31">
    <w:name w:val="header"/>
    <w:basedOn w:val="1"/>
    <w:link w:val="77"/>
    <w:unhideWhenUsed/>
    <w:qFormat/>
    <w:uiPriority w:val="99"/>
    <w:pPr>
      <w:pBdr>
        <w:bottom w:val="single" w:color="auto" w:sz="6" w:space="1"/>
      </w:pBdr>
      <w:tabs>
        <w:tab w:val="center" w:pos="0"/>
        <w:tab w:val="left" w:pos="8306"/>
      </w:tabs>
      <w:snapToGrid w:val="0"/>
      <w:jc w:val="center"/>
    </w:pPr>
    <w:rPr>
      <w:sz w:val="18"/>
      <w:szCs w:val="18"/>
    </w:rPr>
  </w:style>
  <w:style w:type="paragraph" w:styleId="32">
    <w:name w:val="toc 1"/>
    <w:basedOn w:val="1"/>
    <w:next w:val="1"/>
    <w:qFormat/>
    <w:uiPriority w:val="39"/>
    <w:pPr>
      <w:tabs>
        <w:tab w:val="right" w:leader="dot" w:pos="8398"/>
      </w:tabs>
      <w:spacing w:before="120" w:after="120"/>
      <w:ind w:firstLine="240" w:firstLineChars="100"/>
      <w:jc w:val="left"/>
    </w:pPr>
    <w:rPr>
      <w:rFonts w:ascii="宋体" w:hAnsi="宋体"/>
      <w:b/>
      <w:bCs/>
      <w:caps/>
      <w:sz w:val="24"/>
    </w:rPr>
  </w:style>
  <w:style w:type="paragraph" w:styleId="33">
    <w:name w:val="toc 4"/>
    <w:basedOn w:val="1"/>
    <w:next w:val="1"/>
    <w:unhideWhenUsed/>
    <w:qFormat/>
    <w:uiPriority w:val="39"/>
    <w:pPr>
      <w:ind w:left="1260" w:leftChars="600"/>
    </w:pPr>
    <w:rPr>
      <w:rFonts w:ascii="Calibri" w:hAnsi="Calibri"/>
      <w:szCs w:val="22"/>
    </w:rPr>
  </w:style>
  <w:style w:type="paragraph" w:styleId="34">
    <w:name w:val="List"/>
    <w:basedOn w:val="1"/>
    <w:qFormat/>
    <w:uiPriority w:val="0"/>
    <w:pPr>
      <w:ind w:left="200" w:hanging="200" w:hangingChars="200"/>
    </w:pPr>
    <w:rPr>
      <w:sz w:val="28"/>
    </w:rPr>
  </w:style>
  <w:style w:type="paragraph" w:styleId="35">
    <w:name w:val="footnote text"/>
    <w:basedOn w:val="1"/>
    <w:link w:val="78"/>
    <w:unhideWhenUsed/>
    <w:qFormat/>
    <w:uiPriority w:val="99"/>
    <w:pPr>
      <w:snapToGrid w:val="0"/>
      <w:jc w:val="left"/>
    </w:pPr>
    <w:rPr>
      <w:sz w:val="18"/>
      <w:szCs w:val="18"/>
    </w:rPr>
  </w:style>
  <w:style w:type="paragraph" w:styleId="36">
    <w:name w:val="toc 6"/>
    <w:basedOn w:val="1"/>
    <w:next w:val="1"/>
    <w:unhideWhenUsed/>
    <w:qFormat/>
    <w:uiPriority w:val="39"/>
    <w:pPr>
      <w:ind w:left="2100" w:leftChars="1000"/>
    </w:pPr>
    <w:rPr>
      <w:rFonts w:ascii="Calibri" w:hAnsi="Calibri"/>
      <w:szCs w:val="22"/>
    </w:rPr>
  </w:style>
  <w:style w:type="paragraph" w:styleId="37">
    <w:name w:val="Body Text Indent 3"/>
    <w:basedOn w:val="1"/>
    <w:link w:val="79"/>
    <w:qFormat/>
    <w:uiPriority w:val="0"/>
    <w:pPr>
      <w:spacing w:after="120"/>
      <w:ind w:left="420" w:leftChars="200"/>
    </w:pPr>
    <w:rPr>
      <w:kern w:val="0"/>
      <w:sz w:val="16"/>
      <w:szCs w:val="16"/>
    </w:rPr>
  </w:style>
  <w:style w:type="paragraph" w:styleId="38">
    <w:name w:val="toc 2"/>
    <w:basedOn w:val="1"/>
    <w:next w:val="1"/>
    <w:unhideWhenUsed/>
    <w:qFormat/>
    <w:uiPriority w:val="39"/>
    <w:pPr>
      <w:ind w:left="420" w:leftChars="200"/>
    </w:pPr>
  </w:style>
  <w:style w:type="paragraph" w:styleId="39">
    <w:name w:val="toc 9"/>
    <w:basedOn w:val="1"/>
    <w:next w:val="1"/>
    <w:unhideWhenUsed/>
    <w:qFormat/>
    <w:uiPriority w:val="39"/>
    <w:pPr>
      <w:ind w:left="3360" w:leftChars="1600"/>
    </w:pPr>
    <w:rPr>
      <w:rFonts w:ascii="Calibri" w:hAnsi="Calibri"/>
      <w:szCs w:val="22"/>
    </w:rPr>
  </w:style>
  <w:style w:type="paragraph" w:styleId="40">
    <w:name w:val="Body Text 2"/>
    <w:basedOn w:val="1"/>
    <w:link w:val="80"/>
    <w:qFormat/>
    <w:uiPriority w:val="0"/>
    <w:pPr>
      <w:spacing w:after="120" w:line="480" w:lineRule="auto"/>
    </w:pPr>
    <w:rPr>
      <w:kern w:val="0"/>
      <w:sz w:val="20"/>
    </w:rPr>
  </w:style>
  <w:style w:type="paragraph" w:styleId="41">
    <w:name w:val="Normal (Web)"/>
    <w:basedOn w:val="1"/>
    <w:qFormat/>
    <w:uiPriority w:val="99"/>
    <w:pPr>
      <w:widowControl/>
      <w:spacing w:before="100" w:beforeAutospacing="1" w:after="100" w:afterAutospacing="1"/>
      <w:jc w:val="left"/>
    </w:pPr>
    <w:rPr>
      <w:rFonts w:ascii="宋体" w:hAnsi="宋体"/>
      <w:kern w:val="0"/>
      <w:sz w:val="24"/>
    </w:rPr>
  </w:style>
  <w:style w:type="paragraph" w:styleId="42">
    <w:name w:val="index 1"/>
    <w:basedOn w:val="1"/>
    <w:next w:val="1"/>
    <w:semiHidden/>
    <w:qFormat/>
    <w:uiPriority w:val="0"/>
    <w:pPr>
      <w:spacing w:line="400" w:lineRule="exact"/>
      <w:ind w:firstLine="420" w:firstLineChars="200"/>
    </w:pPr>
    <w:rPr>
      <w:rFonts w:ascii="宋体" w:hAnsi="Courier New"/>
      <w:b/>
      <w:szCs w:val="20"/>
    </w:rPr>
  </w:style>
  <w:style w:type="paragraph" w:styleId="43">
    <w:name w:val="Title"/>
    <w:basedOn w:val="1"/>
    <w:next w:val="1"/>
    <w:link w:val="81"/>
    <w:qFormat/>
    <w:uiPriority w:val="10"/>
    <w:pPr>
      <w:spacing w:before="240" w:after="60"/>
      <w:jc w:val="center"/>
      <w:outlineLvl w:val="0"/>
    </w:pPr>
    <w:rPr>
      <w:rFonts w:ascii="Cambria" w:hAnsi="Cambria"/>
      <w:b/>
      <w:bCs/>
      <w:sz w:val="32"/>
      <w:szCs w:val="32"/>
    </w:rPr>
  </w:style>
  <w:style w:type="paragraph" w:styleId="44">
    <w:name w:val="annotation subject"/>
    <w:basedOn w:val="15"/>
    <w:next w:val="15"/>
    <w:link w:val="82"/>
    <w:unhideWhenUsed/>
    <w:qFormat/>
    <w:uiPriority w:val="99"/>
    <w:rPr>
      <w:b/>
      <w:bCs/>
    </w:rPr>
  </w:style>
  <w:style w:type="paragraph" w:styleId="45">
    <w:name w:val="Body Text First Indent"/>
    <w:basedOn w:val="1"/>
    <w:next w:val="46"/>
    <w:qFormat/>
    <w:uiPriority w:val="0"/>
    <w:pPr>
      <w:spacing w:line="600" w:lineRule="exact"/>
      <w:ind w:firstLine="602"/>
      <w:jc w:val="left"/>
    </w:pPr>
  </w:style>
  <w:style w:type="paragraph" w:styleId="46">
    <w:name w:val="Body Text First Indent 2"/>
    <w:basedOn w:val="18"/>
    <w:qFormat/>
    <w:uiPriority w:val="0"/>
    <w:pPr>
      <w:ind w:firstLine="420" w:firstLineChars="200"/>
    </w:pPr>
    <w:rPr>
      <w:kern w:val="2"/>
    </w:rPr>
  </w:style>
  <w:style w:type="table" w:styleId="48">
    <w:name w:val="Table Grid"/>
    <w:basedOn w:val="4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0">
    <w:name w:val="Strong"/>
    <w:basedOn w:val="49"/>
    <w:qFormat/>
    <w:uiPriority w:val="22"/>
    <w:rPr>
      <w:b/>
    </w:rPr>
  </w:style>
  <w:style w:type="character" w:styleId="51">
    <w:name w:val="endnote reference"/>
    <w:unhideWhenUsed/>
    <w:qFormat/>
    <w:uiPriority w:val="99"/>
    <w:rPr>
      <w:vertAlign w:val="superscript"/>
    </w:rPr>
  </w:style>
  <w:style w:type="character" w:styleId="52">
    <w:name w:val="page number"/>
    <w:qFormat/>
    <w:uiPriority w:val="0"/>
  </w:style>
  <w:style w:type="character" w:styleId="53">
    <w:name w:val="FollowedHyperlink"/>
    <w:qFormat/>
    <w:uiPriority w:val="0"/>
    <w:rPr>
      <w:color w:val="800080"/>
      <w:u w:val="single"/>
    </w:rPr>
  </w:style>
  <w:style w:type="character" w:styleId="54">
    <w:name w:val="Emphasis"/>
    <w:basedOn w:val="49"/>
    <w:qFormat/>
    <w:uiPriority w:val="20"/>
    <w:rPr>
      <w:i/>
    </w:rPr>
  </w:style>
  <w:style w:type="character" w:styleId="55">
    <w:name w:val="Hyperlink"/>
    <w:qFormat/>
    <w:uiPriority w:val="99"/>
    <w:rPr>
      <w:color w:val="0000FF"/>
      <w:u w:val="single"/>
    </w:rPr>
  </w:style>
  <w:style w:type="character" w:styleId="56">
    <w:name w:val="annotation reference"/>
    <w:unhideWhenUsed/>
    <w:qFormat/>
    <w:uiPriority w:val="99"/>
    <w:rPr>
      <w:sz w:val="21"/>
      <w:szCs w:val="21"/>
    </w:rPr>
  </w:style>
  <w:style w:type="character" w:styleId="57">
    <w:name w:val="footnote reference"/>
    <w:unhideWhenUsed/>
    <w:qFormat/>
    <w:uiPriority w:val="99"/>
    <w:rPr>
      <w:vertAlign w:val="superscript"/>
    </w:rPr>
  </w:style>
  <w:style w:type="character" w:customStyle="1" w:styleId="58">
    <w:name w:val="标题 1 字符"/>
    <w:qFormat/>
    <w:uiPriority w:val="9"/>
    <w:rPr>
      <w:rFonts w:ascii="Times New Roman" w:hAnsi="Times New Roman" w:eastAsia="宋体" w:cs="Times New Roman"/>
      <w:b/>
      <w:bCs/>
      <w:kern w:val="44"/>
      <w:sz w:val="44"/>
      <w:szCs w:val="44"/>
    </w:rPr>
  </w:style>
  <w:style w:type="character" w:customStyle="1" w:styleId="59">
    <w:name w:val="标题 2 Char"/>
    <w:link w:val="3"/>
    <w:qFormat/>
    <w:uiPriority w:val="0"/>
    <w:rPr>
      <w:rFonts w:ascii="Arial" w:hAnsi="Arial" w:eastAsia="黑体" w:cs="Times New Roman"/>
      <w:b/>
      <w:bCs/>
      <w:sz w:val="32"/>
      <w:szCs w:val="32"/>
    </w:rPr>
  </w:style>
  <w:style w:type="character" w:customStyle="1" w:styleId="60">
    <w:name w:val="正文文本 Char"/>
    <w:link w:val="17"/>
    <w:qFormat/>
    <w:uiPriority w:val="99"/>
    <w:rPr>
      <w:rFonts w:ascii="Times New Roman" w:hAnsi="Times New Roman" w:eastAsia="宋体" w:cs="Times New Roman"/>
      <w:sz w:val="24"/>
      <w:szCs w:val="24"/>
    </w:rPr>
  </w:style>
  <w:style w:type="character" w:customStyle="1" w:styleId="61">
    <w:name w:val="标题 1 Char"/>
    <w:link w:val="2"/>
    <w:qFormat/>
    <w:uiPriority w:val="0"/>
    <w:rPr>
      <w:rFonts w:ascii="Times New Roman" w:hAnsi="Times New Roman" w:eastAsia="宋体" w:cs="Times New Roman"/>
      <w:b/>
      <w:bCs/>
      <w:kern w:val="44"/>
      <w:sz w:val="44"/>
      <w:szCs w:val="44"/>
    </w:rPr>
  </w:style>
  <w:style w:type="character" w:customStyle="1" w:styleId="62">
    <w:name w:val="标题 3 Char"/>
    <w:link w:val="4"/>
    <w:qFormat/>
    <w:uiPriority w:val="0"/>
    <w:rPr>
      <w:rFonts w:ascii="Times New Roman" w:hAnsi="Times New Roman" w:eastAsia="宋体" w:cs="Times New Roman"/>
      <w:b/>
      <w:bCs/>
      <w:sz w:val="32"/>
      <w:szCs w:val="32"/>
    </w:rPr>
  </w:style>
  <w:style w:type="character" w:customStyle="1" w:styleId="63">
    <w:name w:val="标题 5 Char2"/>
    <w:link w:val="6"/>
    <w:qFormat/>
    <w:uiPriority w:val="0"/>
    <w:rPr>
      <w:b/>
      <w:kern w:val="2"/>
      <w:sz w:val="28"/>
      <w:szCs w:val="24"/>
    </w:rPr>
  </w:style>
  <w:style w:type="character" w:customStyle="1" w:styleId="64">
    <w:name w:val="标题 6 Char"/>
    <w:link w:val="8"/>
    <w:qFormat/>
    <w:uiPriority w:val="0"/>
    <w:rPr>
      <w:rFonts w:ascii="Arial" w:hAnsi="Arial" w:eastAsia="黑体"/>
      <w:b/>
      <w:kern w:val="2"/>
      <w:sz w:val="24"/>
      <w:szCs w:val="24"/>
    </w:rPr>
  </w:style>
  <w:style w:type="character" w:customStyle="1" w:styleId="65">
    <w:name w:val="标题 7 Char"/>
    <w:link w:val="9"/>
    <w:qFormat/>
    <w:uiPriority w:val="0"/>
    <w:rPr>
      <w:rFonts w:ascii="Times New Roman" w:hAnsi="Times New Roman"/>
      <w:b/>
      <w:kern w:val="2"/>
      <w:sz w:val="24"/>
      <w:szCs w:val="24"/>
    </w:rPr>
  </w:style>
  <w:style w:type="character" w:customStyle="1" w:styleId="66">
    <w:name w:val="标题 8 Char"/>
    <w:link w:val="10"/>
    <w:qFormat/>
    <w:uiPriority w:val="0"/>
    <w:rPr>
      <w:rFonts w:ascii="Arial" w:hAnsi="Arial" w:eastAsia="黑体"/>
      <w:kern w:val="2"/>
      <w:sz w:val="24"/>
      <w:szCs w:val="24"/>
    </w:rPr>
  </w:style>
  <w:style w:type="character" w:customStyle="1" w:styleId="67">
    <w:name w:val="标题 9 Char"/>
    <w:link w:val="11"/>
    <w:qFormat/>
    <w:uiPriority w:val="0"/>
    <w:rPr>
      <w:rFonts w:ascii="Arial" w:hAnsi="Arial" w:eastAsia="黑体"/>
      <w:kern w:val="2"/>
      <w:sz w:val="21"/>
      <w:szCs w:val="24"/>
    </w:rPr>
  </w:style>
  <w:style w:type="character" w:customStyle="1" w:styleId="68">
    <w:name w:val="批注文字 Char2"/>
    <w:link w:val="15"/>
    <w:qFormat/>
    <w:uiPriority w:val="0"/>
    <w:rPr>
      <w:rFonts w:ascii="Times New Roman" w:hAnsi="Times New Roman"/>
      <w:kern w:val="2"/>
      <w:sz w:val="21"/>
      <w:szCs w:val="24"/>
    </w:rPr>
  </w:style>
  <w:style w:type="character" w:customStyle="1" w:styleId="69">
    <w:name w:val="正文文本 3 Char"/>
    <w:link w:val="16"/>
    <w:qFormat/>
    <w:uiPriority w:val="0"/>
    <w:rPr>
      <w:rFonts w:ascii="Times New Roman" w:hAnsi="Times New Roman" w:eastAsia="宋体" w:cs="Times New Roman"/>
      <w:b/>
      <w:bCs/>
      <w:sz w:val="24"/>
      <w:szCs w:val="24"/>
    </w:rPr>
  </w:style>
  <w:style w:type="character" w:customStyle="1" w:styleId="70">
    <w:name w:val="正文文本缩进 Char"/>
    <w:link w:val="18"/>
    <w:qFormat/>
    <w:uiPriority w:val="0"/>
    <w:rPr>
      <w:rFonts w:ascii="仿宋_GB2312" w:hAnsi="Times New Roman" w:eastAsia="仿宋_GB2312" w:cs="Times New Roman"/>
      <w:sz w:val="32"/>
      <w:szCs w:val="20"/>
    </w:rPr>
  </w:style>
  <w:style w:type="character" w:customStyle="1" w:styleId="71">
    <w:name w:val="纯文本 Char2"/>
    <w:link w:val="23"/>
    <w:qFormat/>
    <w:uiPriority w:val="0"/>
    <w:rPr>
      <w:rFonts w:ascii="宋体" w:hAnsi="Courier New" w:eastAsia="宋体" w:cs="Courier New"/>
      <w:szCs w:val="21"/>
    </w:rPr>
  </w:style>
  <w:style w:type="character" w:customStyle="1" w:styleId="72">
    <w:name w:val="日期 Char"/>
    <w:link w:val="25"/>
    <w:qFormat/>
    <w:uiPriority w:val="0"/>
    <w:rPr>
      <w:rFonts w:ascii="宋体" w:hAnsi="Courier New" w:eastAsia="宋体" w:cs="Courier New"/>
      <w:szCs w:val="21"/>
    </w:rPr>
  </w:style>
  <w:style w:type="character" w:customStyle="1" w:styleId="73">
    <w:name w:val="正文文本缩进 2 Char"/>
    <w:link w:val="26"/>
    <w:qFormat/>
    <w:uiPriority w:val="0"/>
    <w:rPr>
      <w:rFonts w:ascii="Times New Roman" w:hAnsi="Times New Roman" w:eastAsia="宋体" w:cs="Times New Roman"/>
      <w:sz w:val="32"/>
      <w:szCs w:val="20"/>
    </w:rPr>
  </w:style>
  <w:style w:type="character" w:customStyle="1" w:styleId="74">
    <w:name w:val="尾注文本 Char"/>
    <w:link w:val="27"/>
    <w:semiHidden/>
    <w:qFormat/>
    <w:uiPriority w:val="99"/>
    <w:rPr>
      <w:rFonts w:ascii="Times New Roman" w:hAnsi="Times New Roman"/>
      <w:kern w:val="2"/>
      <w:sz w:val="21"/>
      <w:szCs w:val="24"/>
    </w:rPr>
  </w:style>
  <w:style w:type="character" w:customStyle="1" w:styleId="75">
    <w:name w:val="批注框文本 Char"/>
    <w:link w:val="28"/>
    <w:semiHidden/>
    <w:qFormat/>
    <w:uiPriority w:val="0"/>
    <w:rPr>
      <w:rFonts w:ascii="Times New Roman" w:hAnsi="Times New Roman" w:eastAsia="宋体" w:cs="Times New Roman"/>
      <w:sz w:val="18"/>
      <w:szCs w:val="18"/>
    </w:rPr>
  </w:style>
  <w:style w:type="character" w:customStyle="1" w:styleId="76">
    <w:name w:val="页脚 Char"/>
    <w:link w:val="29"/>
    <w:qFormat/>
    <w:uiPriority w:val="99"/>
    <w:rPr>
      <w:sz w:val="18"/>
      <w:szCs w:val="18"/>
    </w:rPr>
  </w:style>
  <w:style w:type="character" w:customStyle="1" w:styleId="77">
    <w:name w:val="页眉 Char"/>
    <w:link w:val="31"/>
    <w:qFormat/>
    <w:uiPriority w:val="99"/>
    <w:rPr>
      <w:rFonts w:ascii="Times New Roman" w:hAnsi="Times New Roman"/>
      <w:kern w:val="2"/>
      <w:sz w:val="18"/>
      <w:szCs w:val="18"/>
    </w:rPr>
  </w:style>
  <w:style w:type="character" w:customStyle="1" w:styleId="78">
    <w:name w:val="脚注文本 Char"/>
    <w:link w:val="35"/>
    <w:semiHidden/>
    <w:qFormat/>
    <w:uiPriority w:val="99"/>
    <w:rPr>
      <w:rFonts w:ascii="Times New Roman" w:hAnsi="Times New Roman"/>
      <w:kern w:val="2"/>
      <w:sz w:val="18"/>
      <w:szCs w:val="18"/>
    </w:rPr>
  </w:style>
  <w:style w:type="character" w:customStyle="1" w:styleId="79">
    <w:name w:val="正文文本缩进 3 Char"/>
    <w:link w:val="37"/>
    <w:qFormat/>
    <w:uiPriority w:val="0"/>
    <w:rPr>
      <w:rFonts w:ascii="Times New Roman" w:hAnsi="Times New Roman" w:eastAsia="宋体" w:cs="Times New Roman"/>
      <w:sz w:val="16"/>
      <w:szCs w:val="16"/>
    </w:rPr>
  </w:style>
  <w:style w:type="character" w:customStyle="1" w:styleId="80">
    <w:name w:val="正文文本 2 Char"/>
    <w:link w:val="40"/>
    <w:qFormat/>
    <w:uiPriority w:val="0"/>
    <w:rPr>
      <w:rFonts w:ascii="Times New Roman" w:hAnsi="Times New Roman" w:eastAsia="宋体" w:cs="Times New Roman"/>
      <w:szCs w:val="24"/>
    </w:rPr>
  </w:style>
  <w:style w:type="character" w:customStyle="1" w:styleId="81">
    <w:name w:val="标题 Char"/>
    <w:link w:val="43"/>
    <w:qFormat/>
    <w:uiPriority w:val="10"/>
    <w:rPr>
      <w:rFonts w:ascii="Cambria" w:hAnsi="Cambria" w:cs="Times New Roman"/>
      <w:b/>
      <w:bCs/>
      <w:kern w:val="2"/>
      <w:sz w:val="32"/>
      <w:szCs w:val="32"/>
    </w:rPr>
  </w:style>
  <w:style w:type="character" w:customStyle="1" w:styleId="82">
    <w:name w:val="批注主题 Char"/>
    <w:link w:val="44"/>
    <w:semiHidden/>
    <w:qFormat/>
    <w:uiPriority w:val="99"/>
    <w:rPr>
      <w:rFonts w:ascii="Times New Roman" w:hAnsi="Times New Roman"/>
      <w:b/>
      <w:bCs/>
      <w:kern w:val="2"/>
      <w:sz w:val="21"/>
      <w:szCs w:val="24"/>
    </w:rPr>
  </w:style>
  <w:style w:type="character" w:customStyle="1" w:styleId="83">
    <w:name w:val="纯文本 字符1"/>
    <w:qFormat/>
    <w:uiPriority w:val="0"/>
    <w:rPr>
      <w:rFonts w:ascii="宋体" w:hAnsi="Courier New"/>
    </w:rPr>
  </w:style>
  <w:style w:type="character" w:customStyle="1" w:styleId="84">
    <w:name w:val="批注文字 Char1"/>
    <w:semiHidden/>
    <w:qFormat/>
    <w:locked/>
    <w:uiPriority w:val="0"/>
    <w:rPr>
      <w:rFonts w:ascii="Times New Roman" w:hAnsi="Times New Roman"/>
      <w:kern w:val="2"/>
      <w:sz w:val="21"/>
      <w:szCs w:val="24"/>
    </w:rPr>
  </w:style>
  <w:style w:type="character" w:customStyle="1" w:styleId="85">
    <w:name w:val="headline-content4"/>
    <w:qFormat/>
    <w:uiPriority w:val="0"/>
  </w:style>
  <w:style w:type="character" w:customStyle="1" w:styleId="86">
    <w:name w:val="批注文字 字符"/>
    <w:qFormat/>
    <w:uiPriority w:val="0"/>
    <w:rPr>
      <w:rFonts w:ascii="Times New Roman" w:hAnsi="Times New Roman"/>
      <w:kern w:val="2"/>
      <w:sz w:val="21"/>
      <w:szCs w:val="24"/>
    </w:rPr>
  </w:style>
  <w:style w:type="character" w:customStyle="1" w:styleId="87">
    <w:name w:val="标题 5 Char"/>
    <w:qFormat/>
    <w:uiPriority w:val="0"/>
    <w:rPr>
      <w:b/>
      <w:kern w:val="2"/>
      <w:sz w:val="28"/>
      <w:szCs w:val="24"/>
    </w:rPr>
  </w:style>
  <w:style w:type="character" w:customStyle="1" w:styleId="88">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89">
    <w:name w:val="批注文字 Char"/>
    <w:qFormat/>
    <w:uiPriority w:val="0"/>
    <w:rPr>
      <w:rFonts w:ascii="Times New Roman" w:hAnsi="Times New Roman"/>
      <w:kern w:val="2"/>
      <w:sz w:val="21"/>
      <w:szCs w:val="24"/>
    </w:rPr>
  </w:style>
  <w:style w:type="character" w:customStyle="1" w:styleId="90">
    <w:name w:val="apple-style-span"/>
    <w:qFormat/>
    <w:uiPriority w:val="0"/>
  </w:style>
  <w:style w:type="character" w:customStyle="1" w:styleId="91">
    <w:name w:val="正文文本缩进 字符"/>
    <w:qFormat/>
    <w:uiPriority w:val="0"/>
    <w:rPr>
      <w:rFonts w:ascii="仿宋_GB2312" w:hAnsi="Times New Roman" w:eastAsia="仿宋_GB2312" w:cs="Times New Roman"/>
      <w:sz w:val="32"/>
      <w:szCs w:val="20"/>
    </w:rPr>
  </w:style>
  <w:style w:type="character" w:customStyle="1" w:styleId="92">
    <w:name w:val="case31"/>
    <w:qFormat/>
    <w:uiPriority w:val="0"/>
    <w:rPr>
      <w:rFonts w:hint="default" w:ascii="_x000B__x000C_" w:hAnsi="_x000B__x000C_"/>
      <w:sz w:val="21"/>
      <w:szCs w:val="21"/>
    </w:rPr>
  </w:style>
  <w:style w:type="character" w:customStyle="1" w:styleId="93">
    <w:name w:val="纯文本 字符"/>
    <w:qFormat/>
    <w:uiPriority w:val="0"/>
    <w:rPr>
      <w:rFonts w:ascii="宋体" w:hAnsi="Courier New" w:eastAsia="宋体" w:cs="Courier New"/>
      <w:szCs w:val="21"/>
    </w:rPr>
  </w:style>
  <w:style w:type="character" w:customStyle="1" w:styleId="94">
    <w:name w:val="textcontents"/>
    <w:qFormat/>
    <w:uiPriority w:val="0"/>
  </w:style>
  <w:style w:type="character" w:customStyle="1" w:styleId="95">
    <w:name w:val="普通文字 Char Char2"/>
    <w:qFormat/>
    <w:uiPriority w:val="0"/>
    <w:rPr>
      <w:rFonts w:ascii="宋体" w:hAnsi="Courier New" w:eastAsia="宋体"/>
      <w:kern w:val="2"/>
      <w:sz w:val="21"/>
      <w:lang w:val="en-US" w:eastAsia="zh-CN" w:bidi="ar-SA"/>
    </w:rPr>
  </w:style>
  <w:style w:type="paragraph" w:customStyle="1" w:styleId="96">
    <w:name w:val="正文段"/>
    <w:basedOn w:val="1"/>
    <w:qFormat/>
    <w:uiPriority w:val="0"/>
    <w:pPr>
      <w:widowControl/>
      <w:snapToGrid w:val="0"/>
      <w:spacing w:after="50" w:afterLines="50"/>
      <w:ind w:firstLine="200" w:firstLineChars="200"/>
    </w:pPr>
    <w:rPr>
      <w:kern w:val="0"/>
      <w:sz w:val="24"/>
      <w:szCs w:val="20"/>
    </w:rPr>
  </w:style>
  <w:style w:type="paragraph" w:customStyle="1" w:styleId="97">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98">
    <w:name w:val="默认段落字体 Para Char Char Char Char Char Char Char Char Char1 Char Char Char Char"/>
    <w:basedOn w:val="1"/>
    <w:qFormat/>
    <w:uiPriority w:val="0"/>
    <w:rPr>
      <w:rFonts w:ascii="Tahoma" w:hAnsi="Tahoma"/>
      <w:sz w:val="24"/>
      <w:szCs w:val="20"/>
    </w:rPr>
  </w:style>
  <w:style w:type="paragraph" w:customStyle="1" w:styleId="99">
    <w:name w:val="xl22"/>
    <w:basedOn w:val="1"/>
    <w:qFormat/>
    <w:uiPriority w:val="0"/>
    <w:pPr>
      <w:widowControl/>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100">
    <w:name w:val="样式"/>
    <w:qFormat/>
    <w:uiPriority w:val="0"/>
    <w:pPr>
      <w:widowControl w:val="0"/>
      <w:autoSpaceDE w:val="0"/>
      <w:autoSpaceDN w:val="0"/>
      <w:adjustRightInd w:val="0"/>
      <w:jc w:val="center"/>
    </w:pPr>
    <w:rPr>
      <w:rFonts w:ascii="宋体" w:hAnsi="宋体" w:eastAsia="宋体" w:cs="宋体"/>
      <w:sz w:val="24"/>
      <w:szCs w:val="24"/>
      <w:lang w:val="en-US" w:eastAsia="zh-CN" w:bidi="ar-SA"/>
    </w:rPr>
  </w:style>
  <w:style w:type="paragraph" w:customStyle="1" w:styleId="101">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02">
    <w:name w:val="Table Paragraph"/>
    <w:basedOn w:val="1"/>
    <w:qFormat/>
    <w:uiPriority w:val="1"/>
    <w:pPr>
      <w:jc w:val="left"/>
    </w:pPr>
    <w:rPr>
      <w:rFonts w:ascii="Calibri" w:hAnsi="Calibri"/>
      <w:kern w:val="0"/>
      <w:sz w:val="22"/>
      <w:szCs w:val="22"/>
      <w:lang w:eastAsia="en-US"/>
    </w:rPr>
  </w:style>
  <w:style w:type="paragraph" w:customStyle="1" w:styleId="103">
    <w:name w:val="Char1"/>
    <w:basedOn w:val="1"/>
    <w:qFormat/>
    <w:uiPriority w:val="0"/>
    <w:rPr>
      <w:szCs w:val="21"/>
    </w:rPr>
  </w:style>
  <w:style w:type="paragraph" w:customStyle="1" w:styleId="104">
    <w:name w:val="正文首行缩进两字符"/>
    <w:basedOn w:val="1"/>
    <w:qFormat/>
    <w:uiPriority w:val="0"/>
    <w:pPr>
      <w:spacing w:line="360" w:lineRule="auto"/>
      <w:ind w:firstLine="200" w:firstLineChars="200"/>
    </w:pPr>
  </w:style>
  <w:style w:type="paragraph" w:customStyle="1" w:styleId="105">
    <w:name w:val="表格"/>
    <w:basedOn w:val="1"/>
    <w:qFormat/>
    <w:uiPriority w:val="0"/>
    <w:pPr>
      <w:spacing w:line="400" w:lineRule="exact"/>
    </w:pPr>
    <w:rPr>
      <w:sz w:val="24"/>
    </w:rPr>
  </w:style>
  <w:style w:type="paragraph" w:customStyle="1" w:styleId="106">
    <w:name w:val="样式 首行缩进:  2 字符"/>
    <w:basedOn w:val="1"/>
    <w:qFormat/>
    <w:uiPriority w:val="0"/>
    <w:pPr>
      <w:spacing w:line="400" w:lineRule="exact"/>
      <w:ind w:firstLine="200" w:firstLineChars="200"/>
    </w:pPr>
    <w:rPr>
      <w:rFonts w:cs="宋体"/>
      <w:sz w:val="24"/>
    </w:rPr>
  </w:style>
  <w:style w:type="paragraph" w:customStyle="1" w:styleId="107">
    <w:name w:val="纯文本1"/>
    <w:basedOn w:val="1"/>
    <w:qFormat/>
    <w:uiPriority w:val="0"/>
    <w:rPr>
      <w:rFonts w:ascii="宋体" w:hAnsi="Courier New" w:cs="Century"/>
      <w:szCs w:val="21"/>
    </w:rPr>
  </w:style>
  <w:style w:type="paragraph" w:customStyle="1" w:styleId="108">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styleId="109">
    <w:name w:val="List Paragraph"/>
    <w:basedOn w:val="1"/>
    <w:qFormat/>
    <w:uiPriority w:val="34"/>
    <w:pPr>
      <w:ind w:firstLine="420" w:firstLineChars="200"/>
    </w:pPr>
  </w:style>
  <w:style w:type="table" w:customStyle="1" w:styleId="110">
    <w:name w:val="Table Normal"/>
    <w:semiHidden/>
    <w:qFormat/>
    <w:uiPriority w:val="2"/>
    <w:pPr>
      <w:widowControl w:val="0"/>
    </w:pPr>
    <w:rPr>
      <w:rFonts w:ascii="Calibri" w:hAnsi="Calibri" w:eastAsia="Times New Roman"/>
      <w:sz w:val="22"/>
      <w:szCs w:val="22"/>
      <w:lang w:eastAsia="en-US"/>
    </w:rPr>
    <w:tblPr>
      <w:tblCellMar>
        <w:top w:w="0" w:type="dxa"/>
        <w:left w:w="0" w:type="dxa"/>
        <w:bottom w:w="0" w:type="dxa"/>
        <w:right w:w="0" w:type="dxa"/>
      </w:tblCellMar>
    </w:tblPr>
  </w:style>
  <w:style w:type="character" w:customStyle="1" w:styleId="111">
    <w:name w:val="纯文本 Char1"/>
    <w:qFormat/>
    <w:uiPriority w:val="0"/>
    <w:rPr>
      <w:rFonts w:ascii="宋体" w:hAnsi="Courier New" w:eastAsia="宋体" w:cs="Courier New"/>
      <w:szCs w:val="21"/>
    </w:rPr>
  </w:style>
  <w:style w:type="character" w:customStyle="1" w:styleId="112">
    <w:name w:val="标题 5 Char1"/>
    <w:qFormat/>
    <w:uiPriority w:val="0"/>
    <w:rPr>
      <w:b/>
      <w:kern w:val="2"/>
      <w:sz w:val="28"/>
      <w:szCs w:val="24"/>
    </w:rPr>
  </w:style>
  <w:style w:type="character" w:customStyle="1" w:styleId="113">
    <w:name w:val="批注文字 字符2"/>
    <w:qFormat/>
    <w:uiPriority w:val="0"/>
    <w:rPr>
      <w:rFonts w:ascii="Times New Roman" w:hAnsi="Times New Roman"/>
      <w:kern w:val="2"/>
      <w:sz w:val="21"/>
      <w:szCs w:val="24"/>
    </w:rPr>
  </w:style>
  <w:style w:type="character" w:customStyle="1" w:styleId="114">
    <w:name w:val="纯文本 Char"/>
    <w:qFormat/>
    <w:uiPriority w:val="0"/>
    <w:rPr>
      <w:rFonts w:ascii="宋体" w:hAnsi="Courier New" w:eastAsia="宋体" w:cs="Courier New"/>
      <w:szCs w:val="21"/>
    </w:rPr>
  </w:style>
  <w:style w:type="paragraph" w:customStyle="1" w:styleId="115">
    <w:name w:val="正文2"/>
    <w:basedOn w:val="1"/>
    <w:qFormat/>
    <w:uiPriority w:val="0"/>
    <w:pPr>
      <w:adjustRightInd w:val="0"/>
      <w:spacing w:before="156" w:line="360" w:lineRule="auto"/>
      <w:ind w:firstLine="510" w:firstLineChars="200"/>
    </w:pPr>
    <w:rPr>
      <w:sz w:val="24"/>
      <w:szCs w:val="20"/>
    </w:rPr>
  </w:style>
  <w:style w:type="character" w:customStyle="1" w:styleId="116">
    <w:name w:val="font11"/>
    <w:basedOn w:val="49"/>
    <w:qFormat/>
    <w:uiPriority w:val="0"/>
    <w:rPr>
      <w:rFonts w:hint="eastAsia" w:ascii="宋体" w:hAnsi="宋体" w:eastAsia="宋体" w:cs="宋体"/>
      <w:color w:val="000000"/>
      <w:sz w:val="24"/>
      <w:szCs w:val="24"/>
      <w:u w:val="none"/>
    </w:rPr>
  </w:style>
  <w:style w:type="character" w:customStyle="1" w:styleId="117">
    <w:name w:val="font21"/>
    <w:basedOn w:val="49"/>
    <w:qFormat/>
    <w:uiPriority w:val="0"/>
    <w:rPr>
      <w:rFonts w:hint="eastAsia" w:ascii="宋体" w:hAnsi="宋体" w:eastAsia="宋体" w:cs="宋体"/>
      <w:color w:val="000000"/>
      <w:sz w:val="22"/>
      <w:szCs w:val="22"/>
      <w:u w:val="none"/>
    </w:rPr>
  </w:style>
  <w:style w:type="character" w:customStyle="1" w:styleId="118">
    <w:name w:val="font41"/>
    <w:basedOn w:val="49"/>
    <w:qFormat/>
    <w:uiPriority w:val="0"/>
    <w:rPr>
      <w:rFonts w:hint="default" w:ascii="Arial" w:hAnsi="Arial" w:cs="Arial"/>
      <w:color w:val="000000"/>
      <w:sz w:val="21"/>
      <w:szCs w:val="21"/>
      <w:u w:val="none"/>
    </w:rPr>
  </w:style>
  <w:style w:type="character" w:customStyle="1" w:styleId="119">
    <w:name w:val="font51"/>
    <w:basedOn w:val="49"/>
    <w:qFormat/>
    <w:uiPriority w:val="0"/>
    <w:rPr>
      <w:rFonts w:hint="default" w:ascii="Arial" w:hAnsi="Arial" w:cs="Arial"/>
      <w:color w:val="333333"/>
      <w:sz w:val="21"/>
      <w:szCs w:val="21"/>
      <w:u w:val="none"/>
    </w:rPr>
  </w:style>
  <w:style w:type="character" w:customStyle="1" w:styleId="120">
    <w:name w:val="font141"/>
    <w:basedOn w:val="49"/>
    <w:qFormat/>
    <w:uiPriority w:val="0"/>
    <w:rPr>
      <w:rFonts w:hint="eastAsia" w:ascii="宋体" w:hAnsi="宋体" w:eastAsia="宋体" w:cs="宋体"/>
      <w:color w:val="333333"/>
      <w:sz w:val="21"/>
      <w:szCs w:val="21"/>
      <w:u w:val="none"/>
    </w:rPr>
  </w:style>
  <w:style w:type="character" w:customStyle="1" w:styleId="121">
    <w:name w:val="font91"/>
    <w:basedOn w:val="49"/>
    <w:qFormat/>
    <w:uiPriority w:val="0"/>
    <w:rPr>
      <w:rFonts w:hint="default" w:ascii="Times New Roman" w:hAnsi="Times New Roman" w:cs="Times New Roman"/>
      <w:color w:val="000000"/>
      <w:sz w:val="24"/>
      <w:szCs w:val="24"/>
      <w:u w:val="none"/>
    </w:rPr>
  </w:style>
  <w:style w:type="character" w:customStyle="1" w:styleId="122">
    <w:name w:val="font151"/>
    <w:basedOn w:val="49"/>
    <w:qFormat/>
    <w:uiPriority w:val="0"/>
    <w:rPr>
      <w:rFonts w:hint="eastAsia" w:ascii="宋体" w:hAnsi="宋体" w:eastAsia="宋体" w:cs="宋体"/>
      <w:color w:val="000000"/>
      <w:sz w:val="24"/>
      <w:szCs w:val="24"/>
      <w:u w:val="none"/>
    </w:rPr>
  </w:style>
  <w:style w:type="character" w:customStyle="1" w:styleId="123">
    <w:name w:val="font61"/>
    <w:basedOn w:val="49"/>
    <w:qFormat/>
    <w:uiPriority w:val="0"/>
    <w:rPr>
      <w:rFonts w:hint="default" w:ascii="Arial" w:hAnsi="Arial" w:cs="Arial"/>
      <w:color w:val="333333"/>
      <w:sz w:val="19"/>
      <w:szCs w:val="19"/>
      <w:u w:val="none"/>
    </w:rPr>
  </w:style>
  <w:style w:type="character" w:customStyle="1" w:styleId="124">
    <w:name w:val="font131"/>
    <w:basedOn w:val="49"/>
    <w:qFormat/>
    <w:uiPriority w:val="0"/>
    <w:rPr>
      <w:rFonts w:hint="eastAsia" w:ascii="宋体" w:hAnsi="宋体" w:eastAsia="宋体" w:cs="宋体"/>
      <w:color w:val="000000"/>
      <w:sz w:val="20"/>
      <w:szCs w:val="20"/>
      <w:u w:val="none"/>
    </w:rPr>
  </w:style>
  <w:style w:type="character" w:customStyle="1" w:styleId="125">
    <w:name w:val="font161"/>
    <w:basedOn w:val="49"/>
    <w:qFormat/>
    <w:uiPriority w:val="0"/>
    <w:rPr>
      <w:rFonts w:hint="default" w:ascii="Times New Roman" w:hAnsi="Times New Roman" w:cs="Times New Roman"/>
      <w:color w:val="000000"/>
      <w:sz w:val="16"/>
      <w:szCs w:val="16"/>
      <w:u w:val="none"/>
    </w:rPr>
  </w:style>
  <w:style w:type="character" w:customStyle="1" w:styleId="126">
    <w:name w:val="font81"/>
    <w:basedOn w:val="49"/>
    <w:qFormat/>
    <w:uiPriority w:val="0"/>
    <w:rPr>
      <w:rFonts w:hint="default" w:ascii="Arial" w:hAnsi="Arial" w:cs="Arial"/>
      <w:color w:val="333333"/>
      <w:sz w:val="20"/>
      <w:szCs w:val="20"/>
      <w:u w:val="none"/>
    </w:rPr>
  </w:style>
  <w:style w:type="character" w:customStyle="1" w:styleId="127">
    <w:name w:val="font171"/>
    <w:basedOn w:val="49"/>
    <w:qFormat/>
    <w:uiPriority w:val="0"/>
    <w:rPr>
      <w:rFonts w:hint="eastAsia" w:ascii="宋体" w:hAnsi="宋体" w:eastAsia="宋体" w:cs="宋体"/>
      <w:color w:val="333333"/>
      <w:sz w:val="20"/>
      <w:szCs w:val="20"/>
      <w:u w:val="none"/>
    </w:rPr>
  </w:style>
  <w:style w:type="character" w:customStyle="1" w:styleId="128">
    <w:name w:val="font101"/>
    <w:basedOn w:val="49"/>
    <w:qFormat/>
    <w:uiPriority w:val="0"/>
    <w:rPr>
      <w:rFonts w:hint="default" w:ascii="Times New Roman" w:hAnsi="Times New Roman" w:cs="Times New Roman"/>
      <w:color w:val="000000"/>
      <w:sz w:val="21"/>
      <w:szCs w:val="21"/>
      <w:u w:val="none"/>
    </w:rPr>
  </w:style>
  <w:style w:type="character" w:customStyle="1" w:styleId="129">
    <w:name w:val="font181"/>
    <w:basedOn w:val="49"/>
    <w:qFormat/>
    <w:uiPriority w:val="0"/>
    <w:rPr>
      <w:rFonts w:hint="eastAsia" w:ascii="宋体" w:hAnsi="宋体" w:eastAsia="宋体" w:cs="宋体"/>
      <w:color w:val="000000"/>
      <w:sz w:val="21"/>
      <w:szCs w:val="21"/>
      <w:u w:val="none"/>
    </w:rPr>
  </w:style>
  <w:style w:type="character" w:customStyle="1" w:styleId="130">
    <w:name w:val="font191"/>
    <w:basedOn w:val="49"/>
    <w:qFormat/>
    <w:uiPriority w:val="0"/>
    <w:rPr>
      <w:rFonts w:hint="default" w:ascii="Times New Roman" w:hAnsi="Times New Roman" w:cs="Times New Roman"/>
      <w:color w:val="000000"/>
      <w:sz w:val="21"/>
      <w:szCs w:val="21"/>
      <w:u w:val="none"/>
      <w:vertAlign w:val="subscript"/>
    </w:rPr>
  </w:style>
  <w:style w:type="character" w:customStyle="1" w:styleId="131">
    <w:name w:val="font201"/>
    <w:basedOn w:val="49"/>
    <w:qFormat/>
    <w:uiPriority w:val="0"/>
    <w:rPr>
      <w:rFonts w:hint="default" w:ascii="Arial" w:hAnsi="Arial" w:cs="Arial"/>
      <w:b/>
      <w:bCs/>
      <w:color w:val="333333"/>
      <w:sz w:val="30"/>
      <w:szCs w:val="30"/>
      <w:u w:val="none"/>
    </w:rPr>
  </w:style>
  <w:style w:type="character" w:customStyle="1" w:styleId="132">
    <w:name w:val="font121"/>
    <w:basedOn w:val="49"/>
    <w:qFormat/>
    <w:uiPriority w:val="0"/>
    <w:rPr>
      <w:rFonts w:hint="eastAsia" w:ascii="宋体" w:hAnsi="宋体" w:eastAsia="宋体" w:cs="宋体"/>
      <w:color w:val="000000"/>
      <w:sz w:val="19"/>
      <w:szCs w:val="19"/>
      <w:u w:val="none"/>
    </w:rPr>
  </w:style>
  <w:style w:type="character" w:customStyle="1" w:styleId="133">
    <w:name w:val="font112"/>
    <w:basedOn w:val="49"/>
    <w:qFormat/>
    <w:uiPriority w:val="0"/>
    <w:rPr>
      <w:rFonts w:hint="default" w:ascii="Arial" w:hAnsi="Arial" w:cs="Arial"/>
      <w:color w:val="000000"/>
      <w:sz w:val="19"/>
      <w:szCs w:val="19"/>
      <w:u w:val="none"/>
    </w:rPr>
  </w:style>
  <w:style w:type="character" w:customStyle="1" w:styleId="134">
    <w:name w:val="font212"/>
    <w:basedOn w:val="49"/>
    <w:qFormat/>
    <w:uiPriority w:val="0"/>
    <w:rPr>
      <w:rFonts w:hint="default" w:ascii="Arial" w:hAnsi="Arial" w:cs="Arial"/>
      <w:b/>
      <w:bCs/>
      <w:color w:val="333333"/>
      <w:sz w:val="21"/>
      <w:szCs w:val="21"/>
      <w:u w:val="none"/>
    </w:rPr>
  </w:style>
  <w:style w:type="character" w:customStyle="1" w:styleId="135">
    <w:name w:val="font71"/>
    <w:basedOn w:val="49"/>
    <w:qFormat/>
    <w:uiPriority w:val="0"/>
    <w:rPr>
      <w:rFonts w:hint="default" w:ascii="Times New Roman" w:hAnsi="Times New Roman" w:cs="Times New Roman"/>
      <w:color w:val="000000"/>
      <w:sz w:val="20"/>
      <w:szCs w:val="20"/>
      <w:u w:val="none"/>
    </w:rPr>
  </w:style>
  <w:style w:type="character" w:customStyle="1" w:styleId="136">
    <w:name w:val="font221"/>
    <w:basedOn w:val="49"/>
    <w:qFormat/>
    <w:uiPriority w:val="0"/>
    <w:rPr>
      <w:rFonts w:hint="eastAsia" w:ascii="宋体" w:hAnsi="宋体" w:eastAsia="宋体" w:cs="宋体"/>
      <w:color w:val="333333"/>
      <w:sz w:val="20"/>
      <w:szCs w:val="20"/>
      <w:u w:val="none"/>
    </w:rPr>
  </w:style>
  <w:style w:type="character" w:customStyle="1" w:styleId="137">
    <w:name w:val="font231"/>
    <w:basedOn w:val="49"/>
    <w:qFormat/>
    <w:uiPriority w:val="0"/>
    <w:rPr>
      <w:rFonts w:hint="default" w:ascii="Helvetica" w:hAnsi="Helvetica" w:eastAsia="Helvetica" w:cs="Helvetica"/>
      <w:color w:val="333333"/>
      <w:sz w:val="21"/>
      <w:szCs w:val="21"/>
      <w:u w:val="none"/>
    </w:rPr>
  </w:style>
  <w:style w:type="character" w:customStyle="1" w:styleId="138">
    <w:name w:val="font241"/>
    <w:basedOn w:val="49"/>
    <w:qFormat/>
    <w:uiPriority w:val="0"/>
    <w:rPr>
      <w:rFonts w:hint="eastAsia" w:ascii="宋体" w:hAnsi="宋体" w:eastAsia="宋体" w:cs="宋体"/>
      <w:color w:val="333333"/>
      <w:sz w:val="21"/>
      <w:szCs w:val="21"/>
      <w:u w:val="none"/>
    </w:rPr>
  </w:style>
  <w:style w:type="character" w:customStyle="1" w:styleId="139">
    <w:name w:val="font251"/>
    <w:basedOn w:val="49"/>
    <w:qFormat/>
    <w:uiPriority w:val="0"/>
    <w:rPr>
      <w:rFonts w:hint="default" w:ascii="Times New Roman" w:hAnsi="Times New Roman" w:cs="Times New Roman"/>
      <w:color w:val="000000"/>
      <w:sz w:val="18"/>
      <w:szCs w:val="18"/>
      <w:u w:val="none"/>
    </w:rPr>
  </w:style>
  <w:style w:type="character" w:customStyle="1" w:styleId="140">
    <w:name w:val="font261"/>
    <w:basedOn w:val="49"/>
    <w:qFormat/>
    <w:uiPriority w:val="0"/>
    <w:rPr>
      <w:rFonts w:hint="eastAsia" w:ascii="宋体" w:hAnsi="宋体" w:eastAsia="宋体" w:cs="宋体"/>
      <w:color w:val="000000"/>
      <w:sz w:val="20"/>
      <w:szCs w:val="20"/>
      <w:u w:val="none"/>
    </w:rPr>
  </w:style>
  <w:style w:type="character" w:customStyle="1" w:styleId="141">
    <w:name w:val="font271"/>
    <w:basedOn w:val="49"/>
    <w:qFormat/>
    <w:uiPriority w:val="0"/>
    <w:rPr>
      <w:rFonts w:hint="default" w:ascii="Times New Roman" w:hAnsi="Times New Roman" w:cs="Times New Roman"/>
      <w:color w:val="000000"/>
      <w:sz w:val="20"/>
      <w:szCs w:val="20"/>
      <w:u w:val="none"/>
    </w:rPr>
  </w:style>
  <w:style w:type="character" w:customStyle="1" w:styleId="142">
    <w:name w:val="font281"/>
    <w:basedOn w:val="49"/>
    <w:qFormat/>
    <w:uiPriority w:val="0"/>
    <w:rPr>
      <w:rFonts w:hint="eastAsia" w:ascii="宋体" w:hAnsi="宋体" w:eastAsia="宋体" w:cs="宋体"/>
      <w:color w:val="333333"/>
      <w:sz w:val="22"/>
      <w:szCs w:val="22"/>
      <w:u w:val="none"/>
    </w:rPr>
  </w:style>
  <w:style w:type="character" w:customStyle="1" w:styleId="143">
    <w:name w:val="font22"/>
    <w:basedOn w:val="49"/>
    <w:qFormat/>
    <w:uiPriority w:val="0"/>
    <w:rPr>
      <w:rFonts w:hint="eastAsia" w:ascii="宋体" w:hAnsi="宋体" w:eastAsia="宋体" w:cs="宋体"/>
      <w:color w:val="000000"/>
      <w:sz w:val="22"/>
      <w:szCs w:val="22"/>
      <w:u w:val="none"/>
    </w:rPr>
  </w:style>
  <w:style w:type="character" w:customStyle="1" w:styleId="144">
    <w:name w:val="font211"/>
    <w:basedOn w:val="49"/>
    <w:qFormat/>
    <w:uiPriority w:val="0"/>
    <w:rPr>
      <w:rFonts w:hint="eastAsia" w:ascii="宋体" w:hAnsi="宋体" w:eastAsia="宋体" w:cs="宋体"/>
      <w:b/>
      <w:bCs/>
      <w:color w:val="333333"/>
      <w:sz w:val="22"/>
      <w:szCs w:val="22"/>
      <w:u w:val="none"/>
    </w:rPr>
  </w:style>
  <w:style w:type="character" w:customStyle="1" w:styleId="145">
    <w:name w:val="font01"/>
    <w:basedOn w:val="49"/>
    <w:qFormat/>
    <w:uiPriority w:val="0"/>
    <w:rPr>
      <w:rFonts w:hint="eastAsia" w:ascii="宋体" w:hAnsi="宋体" w:eastAsia="宋体" w:cs="宋体"/>
      <w:color w:val="000000"/>
      <w:sz w:val="22"/>
      <w:szCs w:val="22"/>
      <w:u w:val="none"/>
    </w:rPr>
  </w:style>
  <w:style w:type="character" w:customStyle="1" w:styleId="146">
    <w:name w:val="font31"/>
    <w:basedOn w:val="49"/>
    <w:qFormat/>
    <w:uiPriority w:val="0"/>
    <w:rPr>
      <w:rFonts w:hint="default" w:ascii="Times New Roman" w:hAnsi="Times New Roman" w:cs="Times New Roman"/>
      <w:color w:val="000000"/>
      <w:sz w:val="24"/>
      <w:szCs w:val="24"/>
      <w:u w:val="none"/>
    </w:rPr>
  </w:style>
  <w:style w:type="paragraph" w:customStyle="1" w:styleId="147">
    <w:name w:val="列出段落1"/>
    <w:basedOn w:val="1"/>
    <w:qFormat/>
    <w:uiPriority w:val="0"/>
    <w:pPr>
      <w:ind w:firstLine="420"/>
    </w:pPr>
  </w:style>
  <w:style w:type="paragraph" w:customStyle="1" w:styleId="14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9">
    <w:name w:val="Table Text"/>
    <w:semiHidden/>
    <w:qFormat/>
    <w:uiPriority w:val="0"/>
    <w:pPr>
      <w:kinsoku w:val="0"/>
      <w:autoSpaceDE w:val="0"/>
      <w:autoSpaceDN w:val="0"/>
      <w:adjustRightInd w:val="0"/>
      <w:snapToGrid w:val="0"/>
      <w:textAlignment w:val="baseline"/>
    </w:pPr>
    <w:rPr>
      <w:rFonts w:ascii="宋体" w:hAnsi="宋体" w:eastAsia="宋体" w:cs="宋体"/>
      <w:snapToGrid w:val="0"/>
      <w:color w:val="000000"/>
      <w:sz w:val="19"/>
      <w:szCs w:val="19"/>
      <w:lang w:val="en-US" w:eastAsia="en-US" w:bidi="ar-SA"/>
    </w:rPr>
  </w:style>
  <w:style w:type="paragraph" w:customStyle="1" w:styleId="150">
    <w:name w:val="表格文字"/>
    <w:basedOn w:val="18"/>
    <w:qFormat/>
    <w:uiPriority w:val="0"/>
    <w:pPr>
      <w:adjustRightInd w:val="0"/>
      <w:spacing w:line="420" w:lineRule="atLeast"/>
      <w:textAlignment w:val="baseline"/>
    </w:pPr>
    <w:rPr>
      <w:rFonts w:ascii="Times New Roman"/>
      <w:sz w:val="21"/>
    </w:rPr>
  </w:style>
  <w:style w:type="paragraph" w:customStyle="1" w:styleId="151">
    <w:name w:val="正文_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2">
    <w:name w:val="修订1"/>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3" Type="http://schemas.openxmlformats.org/officeDocument/2006/relationships/font" Target="fonts/font13.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8796B7-CCDE-4742-AAF6-A29DCCA0CFDE}">
  <ds:schemaRefs/>
</ds:datastoreItem>
</file>

<file path=docProps/app.xml><?xml version="1.0" encoding="utf-8"?>
<Properties xmlns="http://schemas.openxmlformats.org/officeDocument/2006/extended-properties" xmlns:vt="http://schemas.openxmlformats.org/officeDocument/2006/docPropsVTypes">
  <Template>Normal</Template>
  <Company>MS</Company>
  <Pages>112</Pages>
  <Words>24774</Words>
  <Characters>25767</Characters>
  <Lines>548</Lines>
  <Paragraphs>154</Paragraphs>
  <TotalTime>111</TotalTime>
  <ScaleCrop>false</ScaleCrop>
  <LinksUpToDate>false</LinksUpToDate>
  <CharactersWithSpaces>25959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2026-04-09T11:54:00Z</dcterms:created>
  <dc:creator>番茄花园</dc:creator>
  <cp:lastModifiedBy>宏冠公司招标二部-冼凌晨</cp:lastModifiedBy>
  <cp:lastPrinted>2026-04-12T16:52:00Z</cp:lastPrinted>
  <dcterms:modified xsi:type="dcterms:W3CDTF">2026-05-08T08:32:16Z</dcterms:modified>
  <dc:title>公开招标采购文件范本</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EDD519F21539401080632CBB48D150DC_13</vt:lpwstr>
  </property>
  <property fmtid="{D5CDD505-2E9C-101B-9397-08002B2CF9AE}" pid="4" name="KSOTemplateDocerSaveRecord">
    <vt:lpwstr>eyJoZGlkIjoiOTc5ODk5NDY3MmRjZGIxOGQzYzhhMTllYmU0MjI0ZTgiLCJ1c2VySWQiOiIxNjEwMDEyNjg4In0=</vt:lpwstr>
  </property>
</Properties>
</file>