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A376A">
      <w:pPr>
        <w:rPr>
          <w:rFonts w:hint="eastAsia" w:ascii="仿宋" w:hAnsi="仿宋" w:eastAsia="仿宋" w:cs="仿宋"/>
          <w:b/>
          <w:color w:val="auto"/>
          <w:sz w:val="52"/>
          <w:szCs w:val="52"/>
          <w:highlight w:val="none"/>
          <w:lang w:eastAsia="zh-CN"/>
        </w:rPr>
      </w:pPr>
      <w:r>
        <w:rPr>
          <w:rFonts w:hint="eastAsia" w:ascii="仿宋" w:hAnsi="仿宋" w:eastAsia="仿宋" w:cs="仿宋"/>
          <w:b/>
          <w:color w:val="auto"/>
          <w:sz w:val="52"/>
          <w:szCs w:val="52"/>
          <w:highlight w:val="none"/>
          <w:lang w:eastAsia="zh-CN"/>
        </w:rPr>
        <w:drawing>
          <wp:anchor distT="0" distB="0" distL="114300" distR="114300" simplePos="0" relativeHeight="251661312" behindDoc="0" locked="0" layoutInCell="1" allowOverlap="1">
            <wp:simplePos x="0" y="0"/>
            <wp:positionH relativeFrom="column">
              <wp:posOffset>-655955</wp:posOffset>
            </wp:positionH>
            <wp:positionV relativeFrom="paragraph">
              <wp:posOffset>-449580</wp:posOffset>
            </wp:positionV>
            <wp:extent cx="6841490" cy="9670415"/>
            <wp:effectExtent l="0" t="0" r="16510" b="6985"/>
            <wp:wrapSquare wrapText="bothSides"/>
            <wp:docPr id="11" name="图片 11" descr="封面-盖章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封面-盖章资料"/>
                    <pic:cNvPicPr>
                      <a:picLocks noChangeAspect="1"/>
                    </pic:cNvPicPr>
                  </pic:nvPicPr>
                  <pic:blipFill>
                    <a:blip r:embed="rId14"/>
                    <a:stretch>
                      <a:fillRect/>
                    </a:stretch>
                  </pic:blipFill>
                  <pic:spPr>
                    <a:xfrm>
                      <a:off x="0" y="0"/>
                      <a:ext cx="6841490" cy="9670415"/>
                    </a:xfrm>
                    <a:prstGeom prst="rect">
                      <a:avLst/>
                    </a:prstGeom>
                  </pic:spPr>
                </pic:pic>
              </a:graphicData>
            </a:graphic>
          </wp:anchor>
        </w:drawing>
      </w:r>
      <w:r>
        <w:rPr>
          <w:rFonts w:hint="eastAsia" w:ascii="仿宋" w:hAnsi="仿宋" w:eastAsia="仿宋" w:cs="仿宋"/>
          <w:b/>
          <w:color w:val="auto"/>
          <w:sz w:val="52"/>
          <w:szCs w:val="52"/>
          <w:highlight w:val="none"/>
          <w:lang w:eastAsia="zh-CN"/>
        </w:rPr>
        <w:br w:type="page"/>
      </w:r>
    </w:p>
    <w:p w14:paraId="394FC579">
      <w:pPr>
        <w:spacing w:line="360" w:lineRule="auto"/>
        <w:jc w:val="center"/>
        <w:rPr>
          <w:rFonts w:hint="eastAsia" w:ascii="仿宋" w:hAnsi="仿宋" w:eastAsia="仿宋" w:cs="仿宋"/>
          <w:b/>
          <w:color w:val="auto"/>
          <w:sz w:val="52"/>
          <w:szCs w:val="52"/>
          <w:highlight w:val="none"/>
          <w:lang w:eastAsia="zh-CN"/>
        </w:rPr>
      </w:pPr>
      <w:r>
        <w:rPr>
          <w:rFonts w:hint="eastAsia" w:ascii="仿宋" w:hAnsi="仿宋" w:eastAsia="仿宋" w:cs="仿宋"/>
          <w:b/>
          <w:color w:val="auto"/>
          <w:sz w:val="52"/>
          <w:szCs w:val="52"/>
          <w:highlight w:val="none"/>
          <w:lang w:eastAsia="zh-CN"/>
        </w:rPr>
        <w:t>广西中启招标咨询有限公司</w:t>
      </w:r>
    </w:p>
    <w:p w14:paraId="4AA67732">
      <w:pPr>
        <w:pStyle w:val="22"/>
        <w:rPr>
          <w:rFonts w:hint="eastAsia" w:ascii="仿宋" w:hAnsi="仿宋" w:eastAsia="仿宋" w:cs="仿宋"/>
          <w:color w:val="auto"/>
          <w:highlight w:val="none"/>
        </w:rPr>
      </w:pPr>
      <w:r>
        <w:rPr>
          <w:rFonts w:hint="eastAsia" w:ascii="仿宋" w:hAnsi="仿宋" w:eastAsia="仿宋" w:cs="仿宋"/>
          <w:color w:val="auto"/>
          <w:highlight w:val="none"/>
        </w:rPr>
        <w:drawing>
          <wp:anchor distT="0" distB="0" distL="114300" distR="114300" simplePos="0" relativeHeight="251660288" behindDoc="0" locked="0" layoutInCell="1" allowOverlap="1">
            <wp:simplePos x="0" y="0"/>
            <wp:positionH relativeFrom="column">
              <wp:posOffset>2167255</wp:posOffset>
            </wp:positionH>
            <wp:positionV relativeFrom="paragraph">
              <wp:posOffset>144780</wp:posOffset>
            </wp:positionV>
            <wp:extent cx="1346835" cy="1346835"/>
            <wp:effectExtent l="0" t="0" r="5715" b="5715"/>
            <wp:wrapSquare wrapText="bothSides"/>
            <wp:docPr id="6" name="图片 7" descr="57b69ef081d63843b0d78339239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57b69ef081d63843b0d783392390110"/>
                    <pic:cNvPicPr>
                      <a:picLocks noChangeAspect="1"/>
                    </pic:cNvPicPr>
                  </pic:nvPicPr>
                  <pic:blipFill>
                    <a:blip r:embed="rId15"/>
                    <a:stretch>
                      <a:fillRect/>
                    </a:stretch>
                  </pic:blipFill>
                  <pic:spPr>
                    <a:xfrm>
                      <a:off x="0" y="0"/>
                      <a:ext cx="1346835" cy="1346835"/>
                    </a:xfrm>
                    <a:prstGeom prst="rect">
                      <a:avLst/>
                    </a:prstGeom>
                    <a:noFill/>
                    <a:ln>
                      <a:noFill/>
                    </a:ln>
                  </pic:spPr>
                </pic:pic>
              </a:graphicData>
            </a:graphic>
          </wp:anchor>
        </w:drawing>
      </w:r>
    </w:p>
    <w:p w14:paraId="209DA67A">
      <w:pPr>
        <w:pStyle w:val="22"/>
        <w:rPr>
          <w:rFonts w:hint="eastAsia" w:ascii="仿宋" w:hAnsi="仿宋" w:eastAsia="仿宋" w:cs="仿宋"/>
          <w:color w:val="auto"/>
          <w:highlight w:val="none"/>
        </w:rPr>
      </w:pPr>
    </w:p>
    <w:p w14:paraId="5664004F">
      <w:pPr>
        <w:pStyle w:val="22"/>
        <w:rPr>
          <w:rFonts w:hint="eastAsia" w:ascii="仿宋" w:hAnsi="仿宋" w:eastAsia="仿宋" w:cs="仿宋"/>
          <w:color w:val="auto"/>
          <w:highlight w:val="none"/>
        </w:rPr>
      </w:pPr>
    </w:p>
    <w:p w14:paraId="5D0E6F09">
      <w:pPr>
        <w:spacing w:line="360" w:lineRule="auto"/>
        <w:jc w:val="center"/>
        <w:rPr>
          <w:rFonts w:hint="eastAsia" w:ascii="仿宋" w:hAnsi="仿宋" w:eastAsia="仿宋" w:cs="仿宋"/>
          <w:color w:val="auto"/>
          <w:sz w:val="120"/>
          <w:szCs w:val="120"/>
          <w:highlight w:val="none"/>
        </w:rPr>
      </w:pPr>
    </w:p>
    <w:p w14:paraId="537C4326">
      <w:pPr>
        <w:spacing w:line="360" w:lineRule="auto"/>
        <w:jc w:val="center"/>
        <w:rPr>
          <w:rFonts w:hint="eastAsia" w:ascii="仿宋" w:hAnsi="仿宋" w:eastAsia="仿宋" w:cs="仿宋"/>
          <w:color w:val="auto"/>
          <w:sz w:val="120"/>
          <w:szCs w:val="120"/>
          <w:highlight w:val="none"/>
        </w:rPr>
      </w:pPr>
      <w:r>
        <w:rPr>
          <w:rFonts w:hint="eastAsia" w:ascii="仿宋" w:hAnsi="仿宋" w:eastAsia="仿宋" w:cs="仿宋"/>
          <w:color w:val="auto"/>
          <w:sz w:val="120"/>
          <w:szCs w:val="120"/>
          <w:highlight w:val="none"/>
        </w:rPr>
        <w:t>竞争性磋商文件</w:t>
      </w:r>
    </w:p>
    <w:p w14:paraId="22FC7890">
      <w:pPr>
        <w:spacing w:line="360" w:lineRule="auto"/>
        <w:jc w:val="center"/>
        <w:rPr>
          <w:rFonts w:hint="eastAsia" w:ascii="仿宋" w:hAnsi="仿宋" w:eastAsia="仿宋" w:cs="仿宋"/>
          <w:b/>
          <w:color w:val="auto"/>
          <w:sz w:val="48"/>
          <w:szCs w:val="48"/>
          <w:highlight w:val="none"/>
        </w:rPr>
      </w:pPr>
      <w:r>
        <w:rPr>
          <w:rFonts w:hint="eastAsia" w:ascii="仿宋" w:hAnsi="仿宋" w:eastAsia="仿宋" w:cs="仿宋"/>
          <w:b/>
          <w:color w:val="auto"/>
          <w:sz w:val="48"/>
          <w:szCs w:val="48"/>
          <w:highlight w:val="none"/>
        </w:rPr>
        <w:t>（全流程电子化采购）</w:t>
      </w:r>
    </w:p>
    <w:p w14:paraId="4849AA36">
      <w:pPr>
        <w:spacing w:line="360" w:lineRule="auto"/>
        <w:jc w:val="center"/>
        <w:rPr>
          <w:rFonts w:hint="eastAsia" w:ascii="仿宋" w:hAnsi="仿宋" w:eastAsia="仿宋" w:cs="仿宋"/>
          <w:b/>
          <w:color w:val="auto"/>
          <w:sz w:val="30"/>
          <w:szCs w:val="72"/>
          <w:highlight w:val="none"/>
        </w:rPr>
      </w:pPr>
    </w:p>
    <w:p w14:paraId="0A5F4D2D">
      <w:pPr>
        <w:spacing w:line="360" w:lineRule="auto"/>
        <w:rPr>
          <w:rFonts w:hint="eastAsia" w:ascii="仿宋" w:hAnsi="仿宋" w:eastAsia="仿宋" w:cs="仿宋"/>
          <w:color w:val="auto"/>
          <w:sz w:val="30"/>
          <w:szCs w:val="72"/>
          <w:highlight w:val="none"/>
        </w:rPr>
      </w:pPr>
    </w:p>
    <w:p w14:paraId="446E48EA">
      <w:pPr>
        <w:spacing w:line="360" w:lineRule="auto"/>
        <w:ind w:left="2403" w:leftChars="284" w:hanging="1807" w:hangingChars="600"/>
        <w:rPr>
          <w:rFonts w:hint="eastAsia" w:ascii="仿宋" w:hAnsi="仿宋" w:eastAsia="仿宋" w:cs="仿宋"/>
          <w:b/>
          <w:bCs/>
          <w:color w:val="auto"/>
          <w:sz w:val="30"/>
          <w:szCs w:val="30"/>
          <w:highlight w:val="none"/>
        </w:rPr>
      </w:pPr>
    </w:p>
    <w:p w14:paraId="37508B33">
      <w:pPr>
        <w:spacing w:line="360" w:lineRule="auto"/>
        <w:ind w:left="226" w:leftChars="104" w:hanging="8" w:firstLineChars="0"/>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eastAsia="zh-CN"/>
        </w:rPr>
        <w:t>防城港职业技术学院思想政治教育基地建设项目</w:t>
      </w:r>
    </w:p>
    <w:p w14:paraId="13D3CDA7">
      <w:pPr>
        <w:spacing w:line="360" w:lineRule="auto"/>
        <w:ind w:firstLine="602" w:firstLineChars="200"/>
        <w:jc w:val="both"/>
        <w:rPr>
          <w:rFonts w:hint="eastAsia" w:ascii="仿宋" w:hAnsi="仿宋" w:eastAsia="仿宋" w:cs="仿宋"/>
          <w:b/>
          <w:bCs/>
          <w:color w:val="auto"/>
          <w:kern w:val="0"/>
          <w:sz w:val="30"/>
          <w:szCs w:val="30"/>
          <w:highlight w:val="none"/>
        </w:rPr>
      </w:pPr>
      <w:r>
        <w:rPr>
          <w:rFonts w:hint="eastAsia" w:ascii="仿宋" w:hAnsi="仿宋" w:eastAsia="仿宋" w:cs="仿宋"/>
          <w:b/>
          <w:bCs/>
          <w:color w:val="auto"/>
          <w:kern w:val="0"/>
          <w:sz w:val="30"/>
          <w:szCs w:val="30"/>
          <w:highlight w:val="none"/>
        </w:rPr>
        <w:t>项目编号：</w:t>
      </w:r>
      <w:r>
        <w:rPr>
          <w:rFonts w:hint="eastAsia" w:ascii="仿宋" w:hAnsi="仿宋" w:eastAsia="仿宋" w:cs="仿宋"/>
          <w:b/>
          <w:bCs/>
          <w:color w:val="auto"/>
          <w:kern w:val="0"/>
          <w:sz w:val="30"/>
          <w:szCs w:val="30"/>
          <w:highlight w:val="none"/>
          <w:lang w:eastAsia="zh-CN"/>
        </w:rPr>
        <w:t>FCZC2026-C3-990109-ZQZB</w:t>
      </w:r>
    </w:p>
    <w:p w14:paraId="58545282">
      <w:pPr>
        <w:pStyle w:val="40"/>
        <w:spacing w:line="360" w:lineRule="auto"/>
        <w:ind w:left="226" w:leftChars="104" w:hanging="8" w:firstLineChars="0"/>
        <w:jc w:val="center"/>
        <w:rPr>
          <w:rFonts w:hint="eastAsia" w:ascii="仿宋" w:hAnsi="仿宋" w:eastAsia="仿宋" w:cs="仿宋"/>
          <w:b/>
          <w:bCs/>
          <w:color w:val="auto"/>
          <w:sz w:val="30"/>
          <w:szCs w:val="30"/>
          <w:highlight w:val="none"/>
        </w:rPr>
      </w:pPr>
    </w:p>
    <w:p w14:paraId="20328954">
      <w:pPr>
        <w:pStyle w:val="40"/>
        <w:spacing w:line="360" w:lineRule="auto"/>
        <w:ind w:left="226" w:leftChars="104" w:hanging="8" w:firstLineChars="0"/>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采 购 人：</w:t>
      </w:r>
      <w:r>
        <w:rPr>
          <w:rFonts w:hint="eastAsia" w:ascii="仿宋" w:hAnsi="仿宋" w:eastAsia="仿宋" w:cs="仿宋"/>
          <w:b/>
          <w:bCs/>
          <w:color w:val="auto"/>
          <w:sz w:val="30"/>
          <w:szCs w:val="30"/>
          <w:highlight w:val="none"/>
          <w:lang w:eastAsia="zh-CN"/>
        </w:rPr>
        <w:t>防城港职业技术学院</w:t>
      </w:r>
    </w:p>
    <w:p w14:paraId="0EBC94CC">
      <w:pPr>
        <w:pStyle w:val="40"/>
        <w:spacing w:line="360" w:lineRule="auto"/>
        <w:ind w:left="226" w:leftChars="104" w:hanging="8" w:firstLineChars="0"/>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rPr>
        <w:t>采购代理机构：</w:t>
      </w:r>
      <w:r>
        <w:rPr>
          <w:rFonts w:hint="eastAsia" w:ascii="仿宋" w:hAnsi="仿宋" w:eastAsia="仿宋" w:cs="仿宋"/>
          <w:b/>
          <w:bCs/>
          <w:color w:val="auto"/>
          <w:sz w:val="30"/>
          <w:szCs w:val="30"/>
          <w:highlight w:val="none"/>
          <w:lang w:eastAsia="zh-CN"/>
        </w:rPr>
        <w:t>广西中启招标咨询有限公司</w:t>
      </w:r>
    </w:p>
    <w:p w14:paraId="27CE4AD9">
      <w:pPr>
        <w:pStyle w:val="40"/>
        <w:spacing w:line="360" w:lineRule="auto"/>
        <w:ind w:firstLine="1125" w:firstLineChars="393"/>
        <w:rPr>
          <w:rFonts w:hint="eastAsia" w:ascii="仿宋" w:hAnsi="仿宋" w:eastAsia="仿宋" w:cs="仿宋"/>
          <w:b/>
          <w:bCs/>
          <w:color w:val="auto"/>
          <w:w w:val="95"/>
          <w:sz w:val="30"/>
          <w:szCs w:val="30"/>
          <w:highlight w:val="none"/>
        </w:rPr>
      </w:pPr>
    </w:p>
    <w:p w14:paraId="595DD331">
      <w:pPr>
        <w:pStyle w:val="40"/>
        <w:spacing w:line="360" w:lineRule="auto"/>
        <w:jc w:val="center"/>
        <w:rPr>
          <w:rFonts w:hint="eastAsia" w:ascii="仿宋" w:hAnsi="仿宋" w:eastAsia="仿宋" w:cs="仿宋"/>
          <w:color w:val="auto"/>
          <w:szCs w:val="20"/>
          <w:highlight w:val="none"/>
        </w:rPr>
      </w:pPr>
      <w:r>
        <w:rPr>
          <w:rFonts w:hint="eastAsia" w:ascii="仿宋" w:hAnsi="仿宋" w:eastAsia="仿宋" w:cs="仿宋"/>
          <w:b/>
          <w:bCs/>
          <w:color w:val="auto"/>
          <w:w w:val="95"/>
          <w:sz w:val="30"/>
          <w:szCs w:val="30"/>
          <w:highlight w:val="none"/>
        </w:rPr>
        <w:t>202</w:t>
      </w:r>
      <w:r>
        <w:rPr>
          <w:rFonts w:hint="eastAsia" w:ascii="仿宋" w:hAnsi="仿宋" w:eastAsia="仿宋" w:cs="仿宋"/>
          <w:b/>
          <w:bCs/>
          <w:color w:val="auto"/>
          <w:w w:val="95"/>
          <w:sz w:val="30"/>
          <w:szCs w:val="30"/>
          <w:highlight w:val="none"/>
          <w:lang w:val="en-US" w:eastAsia="zh-CN"/>
        </w:rPr>
        <w:t>6</w:t>
      </w:r>
      <w:r>
        <w:rPr>
          <w:rFonts w:hint="eastAsia" w:ascii="仿宋" w:hAnsi="仿宋" w:eastAsia="仿宋" w:cs="仿宋"/>
          <w:b/>
          <w:bCs/>
          <w:color w:val="auto"/>
          <w:w w:val="95"/>
          <w:sz w:val="30"/>
          <w:szCs w:val="30"/>
          <w:highlight w:val="none"/>
        </w:rPr>
        <w:t>年</w:t>
      </w:r>
      <w:r>
        <w:rPr>
          <w:rFonts w:hint="eastAsia" w:ascii="仿宋" w:hAnsi="仿宋" w:eastAsia="仿宋" w:cs="仿宋"/>
          <w:b/>
          <w:bCs/>
          <w:color w:val="auto"/>
          <w:w w:val="95"/>
          <w:sz w:val="30"/>
          <w:szCs w:val="30"/>
          <w:highlight w:val="none"/>
          <w:u w:val="none"/>
          <w:lang w:val="en-US" w:eastAsia="zh-CN"/>
        </w:rPr>
        <w:t xml:space="preserve"> 8</w:t>
      </w:r>
      <w:r>
        <w:rPr>
          <w:rFonts w:hint="eastAsia" w:ascii="仿宋" w:hAnsi="仿宋" w:eastAsia="仿宋" w:cs="仿宋"/>
          <w:b/>
          <w:bCs/>
          <w:color w:val="auto"/>
          <w:w w:val="95"/>
          <w:sz w:val="30"/>
          <w:szCs w:val="30"/>
          <w:highlight w:val="none"/>
        </w:rPr>
        <w:t>月</w:t>
      </w:r>
    </w:p>
    <w:p w14:paraId="74D5F4D1">
      <w:pPr>
        <w:spacing w:line="360" w:lineRule="auto"/>
        <w:jc w:val="center"/>
        <w:rPr>
          <w:rFonts w:hint="eastAsia" w:ascii="仿宋" w:hAnsi="仿宋" w:eastAsia="仿宋" w:cs="仿宋"/>
          <w:b/>
          <w:bCs/>
          <w:color w:val="auto"/>
          <w:kern w:val="0"/>
          <w:sz w:val="32"/>
          <w:szCs w:val="32"/>
          <w:highlight w:val="none"/>
        </w:rPr>
      </w:pPr>
    </w:p>
    <w:p w14:paraId="055C49A5">
      <w:pPr>
        <w:spacing w:line="360" w:lineRule="auto"/>
        <w:jc w:val="center"/>
        <w:rPr>
          <w:rFonts w:hint="eastAsia" w:ascii="仿宋" w:hAnsi="仿宋" w:eastAsia="仿宋" w:cs="仿宋"/>
          <w:b/>
          <w:color w:val="auto"/>
          <w:sz w:val="44"/>
          <w:szCs w:val="44"/>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1FAF778C">
      <w:pPr>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  录</w:t>
      </w:r>
    </w:p>
    <w:p w14:paraId="7D50D145">
      <w:pPr>
        <w:spacing w:line="400" w:lineRule="exact"/>
        <w:jc w:val="center"/>
        <w:rPr>
          <w:rFonts w:hint="eastAsia" w:ascii="仿宋" w:hAnsi="仿宋" w:eastAsia="仿宋" w:cs="仿宋"/>
          <w:b/>
          <w:color w:val="auto"/>
          <w:sz w:val="44"/>
          <w:szCs w:val="44"/>
          <w:highlight w:val="none"/>
        </w:rPr>
      </w:pPr>
    </w:p>
    <w:p w14:paraId="5F6E0782">
      <w:pPr>
        <w:pStyle w:val="49"/>
        <w:tabs>
          <w:tab w:val="right" w:leader="dot" w:pos="8869"/>
        </w:tabs>
        <w:spacing w:line="500" w:lineRule="atLeast"/>
        <w:rPr>
          <w:rFonts w:hint="eastAsia" w:ascii="仿宋" w:hAnsi="仿宋" w:eastAsia="仿宋" w:cs="仿宋"/>
          <w:b/>
          <w:color w:val="auto"/>
          <w:sz w:val="24"/>
          <w:highlight w:val="none"/>
        </w:rPr>
      </w:pPr>
      <w:r>
        <w:rPr>
          <w:rFonts w:hint="eastAsia" w:ascii="仿宋" w:hAnsi="仿宋" w:eastAsia="仿宋" w:cs="仿宋"/>
          <w:b/>
          <w:color w:val="auto"/>
          <w:sz w:val="24"/>
          <w:highlight w:val="none"/>
        </w:rPr>
        <w:fldChar w:fldCharType="begin"/>
      </w:r>
      <w:r>
        <w:rPr>
          <w:rFonts w:hint="eastAsia" w:ascii="仿宋" w:hAnsi="仿宋" w:eastAsia="仿宋" w:cs="仿宋"/>
          <w:b/>
          <w:color w:val="auto"/>
          <w:sz w:val="24"/>
          <w:highlight w:val="none"/>
        </w:rPr>
        <w:instrText xml:space="preserve"> TOC \o "1-3" \h \z \u </w:instrText>
      </w:r>
      <w:r>
        <w:rPr>
          <w:rFonts w:hint="eastAsia" w:ascii="仿宋" w:hAnsi="仿宋" w:eastAsia="仿宋" w:cs="仿宋"/>
          <w:b/>
          <w:color w:val="auto"/>
          <w:sz w:val="24"/>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"_Toc74323456" </w:instrText>
      </w:r>
      <w:r>
        <w:rPr>
          <w:rFonts w:hint="eastAsia" w:ascii="仿宋" w:hAnsi="仿宋" w:eastAsia="仿宋" w:cs="仿宋"/>
          <w:color w:val="auto"/>
          <w:highlight w:val="none"/>
        </w:rPr>
        <w:fldChar w:fldCharType="separate"/>
      </w:r>
      <w:r>
        <w:rPr>
          <w:rFonts w:hint="eastAsia" w:ascii="仿宋" w:hAnsi="仿宋" w:eastAsia="仿宋" w:cs="仿宋"/>
          <w:b/>
          <w:color w:val="auto"/>
          <w:sz w:val="24"/>
          <w:highlight w:val="none"/>
        </w:rPr>
        <w:t>第一章 竞争性磋商公告</w:t>
      </w:r>
      <w:r>
        <w:rPr>
          <w:rFonts w:hint="eastAsia" w:ascii="仿宋" w:hAnsi="仿宋" w:eastAsia="仿宋" w:cs="仿宋"/>
          <w:b/>
          <w:color w:val="auto"/>
          <w:sz w:val="24"/>
          <w:highlight w:val="none"/>
        </w:rPr>
        <w:tab/>
      </w:r>
      <w:r>
        <w:rPr>
          <w:rFonts w:hint="eastAsia" w:ascii="仿宋" w:hAnsi="仿宋" w:eastAsia="仿宋" w:cs="仿宋"/>
          <w:b/>
          <w:color w:val="auto"/>
          <w:sz w:val="24"/>
          <w:highlight w:val="none"/>
        </w:rPr>
        <w:fldChar w:fldCharType="begin"/>
      </w:r>
      <w:r>
        <w:rPr>
          <w:rFonts w:hint="eastAsia" w:ascii="仿宋" w:hAnsi="仿宋" w:eastAsia="仿宋" w:cs="仿宋"/>
          <w:b/>
          <w:color w:val="auto"/>
          <w:sz w:val="24"/>
          <w:highlight w:val="none"/>
        </w:rPr>
        <w:instrText xml:space="preserve"> PAGEREF _Toc74323456 \h </w:instrText>
      </w:r>
      <w:r>
        <w:rPr>
          <w:rFonts w:hint="eastAsia" w:ascii="仿宋" w:hAnsi="仿宋" w:eastAsia="仿宋" w:cs="仿宋"/>
          <w:b/>
          <w:color w:val="auto"/>
          <w:sz w:val="24"/>
          <w:highlight w:val="none"/>
        </w:rPr>
        <w:fldChar w:fldCharType="separate"/>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rPr>
        <w:fldChar w:fldCharType="end"/>
      </w:r>
      <w:r>
        <w:rPr>
          <w:rFonts w:hint="eastAsia" w:ascii="仿宋" w:hAnsi="仿宋" w:eastAsia="仿宋" w:cs="仿宋"/>
          <w:b/>
          <w:color w:val="auto"/>
          <w:sz w:val="24"/>
          <w:highlight w:val="none"/>
        </w:rPr>
        <w:fldChar w:fldCharType="end"/>
      </w:r>
    </w:p>
    <w:p w14:paraId="4AB848A3">
      <w:pPr>
        <w:pStyle w:val="49"/>
        <w:tabs>
          <w:tab w:val="right" w:leader="dot" w:pos="8869"/>
        </w:tabs>
        <w:spacing w:line="500" w:lineRule="atLeast"/>
        <w:rPr>
          <w:rFonts w:hint="eastAsia" w:ascii="仿宋" w:hAnsi="仿宋" w:eastAsia="仿宋" w:cs="仿宋"/>
          <w:b/>
          <w:color w:val="auto"/>
          <w:sz w:val="24"/>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"_Toc74323457" </w:instrText>
      </w:r>
      <w:r>
        <w:rPr>
          <w:rFonts w:hint="eastAsia" w:ascii="仿宋" w:hAnsi="仿宋" w:eastAsia="仿宋" w:cs="仿宋"/>
          <w:color w:val="auto"/>
          <w:highlight w:val="none"/>
        </w:rPr>
        <w:fldChar w:fldCharType="separate"/>
      </w:r>
      <w:r>
        <w:rPr>
          <w:rFonts w:hint="eastAsia" w:ascii="仿宋" w:hAnsi="仿宋" w:eastAsia="仿宋" w:cs="仿宋"/>
          <w:b/>
          <w:color w:val="auto"/>
          <w:sz w:val="24"/>
          <w:highlight w:val="none"/>
        </w:rPr>
        <w:t>第二章 供应商须知</w:t>
      </w:r>
      <w:r>
        <w:rPr>
          <w:rFonts w:hint="eastAsia" w:ascii="仿宋" w:hAnsi="仿宋" w:eastAsia="仿宋" w:cs="仿宋"/>
          <w:b/>
          <w:color w:val="auto"/>
          <w:sz w:val="24"/>
          <w:highlight w:val="none"/>
        </w:rPr>
        <w:tab/>
      </w:r>
      <w:r>
        <w:rPr>
          <w:rFonts w:hint="eastAsia" w:ascii="仿宋" w:hAnsi="仿宋" w:eastAsia="仿宋" w:cs="仿宋"/>
          <w:b/>
          <w:color w:val="auto"/>
          <w:sz w:val="24"/>
          <w:highlight w:val="none"/>
        </w:rPr>
        <w:fldChar w:fldCharType="begin"/>
      </w:r>
      <w:r>
        <w:rPr>
          <w:rFonts w:hint="eastAsia" w:ascii="仿宋" w:hAnsi="仿宋" w:eastAsia="仿宋" w:cs="仿宋"/>
          <w:b/>
          <w:color w:val="auto"/>
          <w:sz w:val="24"/>
          <w:highlight w:val="none"/>
        </w:rPr>
        <w:instrText xml:space="preserve"> PAGEREF _Toc74323457 \h </w:instrText>
      </w:r>
      <w:r>
        <w:rPr>
          <w:rFonts w:hint="eastAsia" w:ascii="仿宋" w:hAnsi="仿宋" w:eastAsia="仿宋" w:cs="仿宋"/>
          <w:b/>
          <w:color w:val="auto"/>
          <w:sz w:val="24"/>
          <w:highlight w:val="none"/>
        </w:rPr>
        <w:fldChar w:fldCharType="separate"/>
      </w: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rPr>
        <w:fldChar w:fldCharType="end"/>
      </w:r>
      <w:r>
        <w:rPr>
          <w:rFonts w:hint="eastAsia" w:ascii="仿宋" w:hAnsi="仿宋" w:eastAsia="仿宋" w:cs="仿宋"/>
          <w:b/>
          <w:color w:val="auto"/>
          <w:sz w:val="24"/>
          <w:highlight w:val="none"/>
        </w:rPr>
        <w:fldChar w:fldCharType="end"/>
      </w:r>
    </w:p>
    <w:p w14:paraId="3EE5E02E">
      <w:pPr>
        <w:pStyle w:val="49"/>
        <w:tabs>
          <w:tab w:val="right" w:leader="dot" w:pos="8869"/>
        </w:tabs>
        <w:spacing w:line="500" w:lineRule="atLeast"/>
        <w:rPr>
          <w:rFonts w:hint="eastAsia" w:ascii="仿宋" w:hAnsi="仿宋" w:eastAsia="仿宋" w:cs="仿宋"/>
          <w:b/>
          <w:color w:val="auto"/>
          <w:sz w:val="24"/>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"_Toc74323458" </w:instrText>
      </w:r>
      <w:r>
        <w:rPr>
          <w:rFonts w:hint="eastAsia" w:ascii="仿宋" w:hAnsi="仿宋" w:eastAsia="仿宋" w:cs="仿宋"/>
          <w:color w:val="auto"/>
          <w:highlight w:val="none"/>
        </w:rPr>
        <w:fldChar w:fldCharType="separate"/>
      </w:r>
      <w:r>
        <w:rPr>
          <w:rFonts w:hint="eastAsia" w:ascii="仿宋" w:hAnsi="仿宋" w:eastAsia="仿宋" w:cs="仿宋"/>
          <w:b/>
          <w:color w:val="auto"/>
          <w:sz w:val="24"/>
          <w:highlight w:val="none"/>
        </w:rPr>
        <w:t>第三章 采购需求</w:t>
      </w:r>
      <w:r>
        <w:rPr>
          <w:rFonts w:hint="eastAsia" w:ascii="仿宋" w:hAnsi="仿宋" w:eastAsia="仿宋" w:cs="仿宋"/>
          <w:b/>
          <w:color w:val="auto"/>
          <w:sz w:val="24"/>
          <w:highlight w:val="none"/>
        </w:rPr>
        <w:tab/>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fldChar w:fldCharType="end"/>
      </w:r>
      <w:r>
        <w:rPr>
          <w:rFonts w:hint="eastAsia" w:ascii="仿宋" w:hAnsi="仿宋" w:eastAsia="仿宋" w:cs="仿宋"/>
          <w:b/>
          <w:color w:val="auto"/>
          <w:sz w:val="24"/>
          <w:highlight w:val="none"/>
          <w:lang w:val="en-US" w:eastAsia="zh-CN"/>
        </w:rPr>
        <w:t>0</w:t>
      </w:r>
    </w:p>
    <w:p w14:paraId="39E15024">
      <w:pPr>
        <w:pStyle w:val="49"/>
        <w:tabs>
          <w:tab w:val="right" w:leader="dot" w:pos="8869"/>
        </w:tabs>
        <w:spacing w:line="500" w:lineRule="atLeast"/>
        <w:rPr>
          <w:rFonts w:hint="eastAsia" w:ascii="仿宋" w:hAnsi="仿宋" w:eastAsia="仿宋" w:cs="仿宋"/>
          <w:b/>
          <w:color w:val="auto"/>
          <w:sz w:val="24"/>
          <w:highlight w:val="none"/>
          <w:lang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"_Toc74323459" </w:instrText>
      </w:r>
      <w:r>
        <w:rPr>
          <w:rFonts w:hint="eastAsia" w:ascii="仿宋" w:hAnsi="仿宋" w:eastAsia="仿宋" w:cs="仿宋"/>
          <w:color w:val="auto"/>
          <w:highlight w:val="none"/>
        </w:rPr>
        <w:fldChar w:fldCharType="separate"/>
      </w:r>
      <w:r>
        <w:rPr>
          <w:rFonts w:hint="eastAsia" w:ascii="仿宋" w:hAnsi="仿宋" w:eastAsia="仿宋" w:cs="仿宋"/>
          <w:b/>
          <w:color w:val="auto"/>
          <w:sz w:val="24"/>
          <w:highlight w:val="none"/>
        </w:rPr>
        <w:t>第四章 评审程序、评审方法和评审标准</w:t>
      </w:r>
      <w:r>
        <w:rPr>
          <w:rFonts w:hint="eastAsia" w:ascii="仿宋" w:hAnsi="仿宋" w:eastAsia="仿宋" w:cs="仿宋"/>
          <w:b/>
          <w:color w:val="auto"/>
          <w:sz w:val="24"/>
          <w:highlight w:val="none"/>
        </w:rPr>
        <w:tab/>
      </w:r>
      <w:r>
        <w:rPr>
          <w:rFonts w:hint="eastAsia" w:ascii="仿宋" w:hAnsi="仿宋" w:eastAsia="仿宋" w:cs="仿宋"/>
          <w:b/>
          <w:color w:val="auto"/>
          <w:sz w:val="24"/>
          <w:highlight w:val="none"/>
        </w:rPr>
        <w:fldChar w:fldCharType="end"/>
      </w:r>
      <w:r>
        <w:rPr>
          <w:rFonts w:hint="eastAsia" w:ascii="仿宋" w:hAnsi="仿宋" w:eastAsia="仿宋" w:cs="仿宋"/>
          <w:b/>
          <w:color w:val="auto"/>
          <w:sz w:val="24"/>
          <w:highlight w:val="none"/>
          <w:lang w:val="en-US" w:eastAsia="zh-CN"/>
        </w:rPr>
        <w:t>31</w:t>
      </w:r>
    </w:p>
    <w:p w14:paraId="30AFA466">
      <w:pPr>
        <w:pStyle w:val="49"/>
        <w:tabs>
          <w:tab w:val="right" w:leader="dot" w:pos="8869"/>
        </w:tabs>
        <w:spacing w:line="500" w:lineRule="atLeast"/>
        <w:rPr>
          <w:rFonts w:hint="default" w:ascii="仿宋" w:hAnsi="仿宋" w:eastAsia="仿宋" w:cs="仿宋"/>
          <w:b/>
          <w:color w:val="auto"/>
          <w:sz w:val="24"/>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"_Toc74323460" </w:instrText>
      </w:r>
      <w:r>
        <w:rPr>
          <w:rFonts w:hint="eastAsia" w:ascii="仿宋" w:hAnsi="仿宋" w:eastAsia="仿宋" w:cs="仿宋"/>
          <w:color w:val="auto"/>
          <w:highlight w:val="none"/>
        </w:rPr>
        <w:fldChar w:fldCharType="separate"/>
      </w:r>
      <w:r>
        <w:rPr>
          <w:rFonts w:hint="eastAsia" w:ascii="仿宋" w:hAnsi="仿宋" w:eastAsia="仿宋" w:cs="仿宋"/>
          <w:b/>
          <w:color w:val="auto"/>
          <w:sz w:val="24"/>
          <w:highlight w:val="none"/>
        </w:rPr>
        <w:t>第五章 响应文件格式</w:t>
      </w:r>
      <w:r>
        <w:rPr>
          <w:rFonts w:hint="eastAsia" w:ascii="仿宋" w:hAnsi="仿宋" w:eastAsia="仿宋" w:cs="仿宋"/>
          <w:b/>
          <w:color w:val="auto"/>
          <w:sz w:val="24"/>
          <w:highlight w:val="none"/>
        </w:rPr>
        <w:tab/>
      </w:r>
      <w:r>
        <w:rPr>
          <w:rFonts w:hint="eastAsia" w:ascii="仿宋" w:hAnsi="仿宋" w:eastAsia="仿宋" w:cs="仿宋"/>
          <w:b/>
          <w:color w:val="auto"/>
          <w:sz w:val="24"/>
          <w:highlight w:val="none"/>
        </w:rPr>
        <w:fldChar w:fldCharType="end"/>
      </w:r>
      <w:r>
        <w:rPr>
          <w:rFonts w:hint="eastAsia" w:ascii="仿宋" w:hAnsi="仿宋" w:eastAsia="仿宋" w:cs="仿宋"/>
          <w:b/>
          <w:color w:val="auto"/>
          <w:sz w:val="24"/>
          <w:highlight w:val="none"/>
          <w:lang w:val="en-US" w:eastAsia="zh-CN"/>
        </w:rPr>
        <w:t>40</w:t>
      </w:r>
    </w:p>
    <w:p w14:paraId="7CFAD4EC">
      <w:pPr>
        <w:pStyle w:val="49"/>
        <w:tabs>
          <w:tab w:val="right" w:leader="dot" w:pos="8869"/>
        </w:tabs>
        <w:spacing w:line="50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"_Toc74323461" </w:instrText>
      </w:r>
      <w:r>
        <w:rPr>
          <w:rFonts w:hint="eastAsia" w:ascii="仿宋" w:hAnsi="仿宋" w:eastAsia="仿宋" w:cs="仿宋"/>
          <w:color w:val="auto"/>
          <w:highlight w:val="none"/>
        </w:rPr>
        <w:fldChar w:fldCharType="separate"/>
      </w:r>
      <w:r>
        <w:rPr>
          <w:rFonts w:hint="eastAsia" w:ascii="仿宋" w:hAnsi="仿宋" w:eastAsia="仿宋" w:cs="仿宋"/>
          <w:b/>
          <w:color w:val="auto"/>
          <w:sz w:val="24"/>
          <w:highlight w:val="none"/>
        </w:rPr>
        <w:t>第六章 合同文本</w:t>
      </w:r>
      <w:r>
        <w:rPr>
          <w:rFonts w:hint="eastAsia" w:ascii="仿宋" w:hAnsi="仿宋" w:eastAsia="仿宋" w:cs="仿宋"/>
          <w:b/>
          <w:color w:val="auto"/>
          <w:sz w:val="24"/>
          <w:highlight w:val="none"/>
        </w:rPr>
        <w:tab/>
      </w:r>
      <w:r>
        <w:rPr>
          <w:rFonts w:hint="eastAsia" w:ascii="仿宋" w:hAnsi="仿宋" w:eastAsia="仿宋" w:cs="仿宋"/>
          <w:b/>
          <w:color w:val="auto"/>
          <w:sz w:val="24"/>
          <w:highlight w:val="none"/>
        </w:rPr>
        <w:fldChar w:fldCharType="end"/>
      </w:r>
      <w:r>
        <w:rPr>
          <w:rFonts w:hint="eastAsia" w:ascii="仿宋" w:hAnsi="仿宋" w:eastAsia="仿宋" w:cs="仿宋"/>
          <w:b/>
          <w:color w:val="auto"/>
          <w:sz w:val="24"/>
          <w:highlight w:val="none"/>
          <w:lang w:val="en-US" w:eastAsia="zh-CN"/>
        </w:rPr>
        <w:t>68</w:t>
      </w:r>
    </w:p>
    <w:p w14:paraId="713B5935">
      <w:pPr>
        <w:pStyle w:val="50"/>
        <w:tabs>
          <w:tab w:val="right" w:leader="dot" w:pos="8931"/>
          <w:tab w:val="clear" w:pos="8296"/>
        </w:tabs>
        <w:spacing w:line="500" w:lineRule="atLeast"/>
        <w:ind w:left="0" w:lef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fldChar w:fldCharType="end"/>
      </w:r>
    </w:p>
    <w:p w14:paraId="2E6FA3F5">
      <w:pPr>
        <w:spacing w:line="400" w:lineRule="exact"/>
        <w:jc w:val="left"/>
        <w:rPr>
          <w:rFonts w:hint="eastAsia" w:ascii="仿宋" w:hAnsi="仿宋" w:eastAsia="仿宋" w:cs="仿宋"/>
          <w:b/>
          <w:color w:val="auto"/>
          <w:sz w:val="32"/>
          <w:szCs w:val="32"/>
          <w:highlight w:val="none"/>
        </w:rPr>
      </w:pPr>
    </w:p>
    <w:p w14:paraId="15D45AFE">
      <w:pPr>
        <w:spacing w:line="400" w:lineRule="exact"/>
        <w:jc w:val="center"/>
        <w:rPr>
          <w:rFonts w:hint="eastAsia" w:ascii="仿宋" w:hAnsi="仿宋" w:eastAsia="仿宋" w:cs="仿宋"/>
          <w:b/>
          <w:color w:val="auto"/>
          <w:sz w:val="32"/>
          <w:szCs w:val="32"/>
          <w:highlight w:val="none"/>
        </w:rPr>
      </w:pPr>
    </w:p>
    <w:p w14:paraId="2537FC84">
      <w:pPr>
        <w:spacing w:line="400" w:lineRule="exact"/>
        <w:jc w:val="center"/>
        <w:rPr>
          <w:rFonts w:hint="eastAsia" w:ascii="仿宋" w:hAnsi="仿宋" w:eastAsia="仿宋" w:cs="仿宋"/>
          <w:b/>
          <w:color w:val="auto"/>
          <w:sz w:val="32"/>
          <w:szCs w:val="32"/>
          <w:highlight w:val="none"/>
        </w:rPr>
      </w:pPr>
    </w:p>
    <w:p w14:paraId="41C86FCB">
      <w:pPr>
        <w:spacing w:line="400" w:lineRule="exact"/>
        <w:jc w:val="center"/>
        <w:rPr>
          <w:rFonts w:hint="eastAsia" w:ascii="仿宋" w:hAnsi="仿宋" w:eastAsia="仿宋" w:cs="仿宋"/>
          <w:b/>
          <w:color w:val="auto"/>
          <w:sz w:val="32"/>
          <w:szCs w:val="32"/>
          <w:highlight w:val="none"/>
        </w:rPr>
      </w:pPr>
    </w:p>
    <w:p w14:paraId="395BE7A1">
      <w:pPr>
        <w:spacing w:line="400" w:lineRule="exact"/>
        <w:jc w:val="center"/>
        <w:rPr>
          <w:rFonts w:hint="eastAsia" w:ascii="仿宋" w:hAnsi="仿宋" w:eastAsia="仿宋" w:cs="仿宋"/>
          <w:b/>
          <w:color w:val="auto"/>
          <w:sz w:val="32"/>
          <w:szCs w:val="32"/>
          <w:highlight w:val="none"/>
        </w:rPr>
      </w:pPr>
    </w:p>
    <w:p w14:paraId="487A604D">
      <w:pPr>
        <w:spacing w:line="400" w:lineRule="exact"/>
        <w:rPr>
          <w:rFonts w:hint="eastAsia" w:ascii="仿宋" w:hAnsi="仿宋" w:eastAsia="仿宋" w:cs="仿宋"/>
          <w:b/>
          <w:color w:val="auto"/>
          <w:sz w:val="32"/>
          <w:szCs w:val="32"/>
          <w:highlight w:val="none"/>
        </w:rPr>
        <w:sectPr>
          <w:footerReference r:id="rId10" w:type="first"/>
          <w:footerReference r:id="rId9" w:type="default"/>
          <w:pgSz w:w="11906" w:h="16838"/>
          <w:pgMar w:top="1440" w:right="1440" w:bottom="1440" w:left="1587" w:header="851" w:footer="992" w:gutter="0"/>
          <w:pgNumType w:fmt="decimal" w:start="1"/>
          <w:cols w:space="720" w:num="1"/>
          <w:titlePg/>
          <w:docGrid w:type="lines" w:linePitch="312" w:charSpace="0"/>
        </w:sectPr>
      </w:pPr>
    </w:p>
    <w:p w14:paraId="6FBE8E5E">
      <w:pPr>
        <w:pStyle w:val="18"/>
        <w:spacing w:line="360" w:lineRule="auto"/>
        <w:jc w:val="center"/>
        <w:rPr>
          <w:rFonts w:hint="eastAsia" w:ascii="仿宋" w:hAnsi="仿宋" w:eastAsia="仿宋" w:cs="仿宋"/>
          <w:color w:val="auto"/>
          <w:highlight w:val="none"/>
        </w:rPr>
      </w:pPr>
      <w:bookmarkStart w:id="0" w:name="_Toc74323456"/>
      <w:r>
        <w:rPr>
          <w:rFonts w:hint="eastAsia" w:ascii="仿宋" w:hAnsi="仿宋" w:eastAsia="仿宋" w:cs="仿宋"/>
          <w:color w:val="auto"/>
          <w:highlight w:val="none"/>
        </w:rPr>
        <w:t>第一章 竞争性磋商公告</w:t>
      </w:r>
      <w:bookmarkEnd w:id="0"/>
    </w:p>
    <w:p w14:paraId="4582D349">
      <w:pPr>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eastAsia="zh-CN"/>
        </w:rPr>
        <w:t>防城港职业技术学院思想政治教育基地建设项目</w:t>
      </w:r>
    </w:p>
    <w:p w14:paraId="05C52C09">
      <w:pPr>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竞争性磋商公告</w:t>
      </w:r>
    </w:p>
    <w:p w14:paraId="21942E1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仿宋" w:hAnsi="仿宋" w:eastAsia="仿宋" w:cs="仿宋"/>
          <w:color w:val="auto"/>
          <w:szCs w:val="21"/>
          <w:highlight w:val="none"/>
        </w:rPr>
      </w:pPr>
      <w:bookmarkStart w:id="1" w:name="_Hlk37430271"/>
      <w:r>
        <w:rPr>
          <w:rFonts w:hint="eastAsia" w:ascii="仿宋" w:hAnsi="仿宋" w:eastAsia="仿宋" w:cs="仿宋"/>
          <w:color w:val="auto"/>
          <w:szCs w:val="21"/>
          <w:highlight w:val="none"/>
        </w:rPr>
        <w:t>项目概况</w:t>
      </w:r>
    </w:p>
    <w:p w14:paraId="0545063A">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防城港职业技术学院思想政治教育基地建设项目</w:t>
      </w:r>
      <w:r>
        <w:rPr>
          <w:rFonts w:hint="eastAsia" w:ascii="仿宋" w:hAnsi="仿宋" w:eastAsia="仿宋" w:cs="仿宋"/>
          <w:color w:val="auto"/>
          <w:szCs w:val="21"/>
          <w:highlight w:val="none"/>
        </w:rPr>
        <w:t>的潜在供应商应在广西政府采购云平台（</w:t>
      </w:r>
      <w:r>
        <w:rPr>
          <w:rFonts w:hint="eastAsia" w:ascii="仿宋" w:hAnsi="仿宋" w:eastAsia="仿宋" w:cs="仿宋"/>
          <w:bCs/>
          <w:color w:val="auto"/>
          <w:szCs w:val="21"/>
          <w:highlight w:val="none"/>
        </w:rPr>
        <w:t>https://www.gcy.zfcg.gxzf.gov.cn/</w:t>
      </w:r>
      <w:r>
        <w:rPr>
          <w:rFonts w:hint="eastAsia" w:ascii="仿宋" w:hAnsi="仿宋" w:eastAsia="仿宋" w:cs="仿宋"/>
          <w:color w:val="auto"/>
          <w:szCs w:val="21"/>
          <w:highlight w:val="none"/>
        </w:rPr>
        <w:t>）获取（下载）竞争性磋商文件，并于202</w:t>
      </w:r>
      <w:r>
        <w:rPr>
          <w:rFonts w:hint="eastAsia" w:ascii="仿宋" w:hAnsi="仿宋" w:eastAsia="仿宋" w:cs="仿宋"/>
          <w:color w:val="auto"/>
          <w:szCs w:val="21"/>
          <w:highlight w:val="none"/>
          <w:lang w:val="en-US" w:eastAsia="zh-CN"/>
        </w:rPr>
        <w:t>6</w:t>
      </w:r>
      <w:r>
        <w:rPr>
          <w:rFonts w:hint="eastAsia" w:ascii="仿宋" w:hAnsi="仿宋" w:eastAsia="仿宋" w:cs="仿宋"/>
          <w:bCs/>
          <w:color w:val="auto"/>
          <w:szCs w:val="21"/>
          <w:highlight w:val="none"/>
        </w:rPr>
        <w:t>年</w:t>
      </w:r>
      <w:r>
        <w:rPr>
          <w:rFonts w:hint="eastAsia" w:ascii="仿宋" w:hAnsi="仿宋" w:eastAsia="仿宋" w:cs="仿宋"/>
          <w:bCs/>
          <w:color w:val="auto"/>
          <w:szCs w:val="21"/>
          <w:highlight w:val="none"/>
          <w:u w:val="none"/>
          <w:lang w:val="en-US" w:eastAsia="zh-CN"/>
        </w:rPr>
        <w:t>8</w:t>
      </w:r>
      <w:r>
        <w:rPr>
          <w:rFonts w:hint="eastAsia" w:ascii="仿宋" w:hAnsi="仿宋" w:eastAsia="仿宋" w:cs="仿宋"/>
          <w:bCs/>
          <w:color w:val="auto"/>
          <w:szCs w:val="21"/>
          <w:highlight w:val="none"/>
          <w:u w:val="none"/>
        </w:rPr>
        <w:t>月</w:t>
      </w:r>
      <w:r>
        <w:rPr>
          <w:rFonts w:hint="eastAsia" w:ascii="仿宋" w:hAnsi="仿宋" w:eastAsia="仿宋" w:cs="仿宋"/>
          <w:bCs/>
          <w:color w:val="auto"/>
          <w:szCs w:val="21"/>
          <w:highlight w:val="none"/>
          <w:u w:val="none"/>
          <w:lang w:val="en-US" w:eastAsia="zh-CN"/>
        </w:rPr>
        <w:t>24</w:t>
      </w:r>
      <w:r>
        <w:rPr>
          <w:rFonts w:hint="eastAsia" w:ascii="仿宋" w:hAnsi="仿宋" w:eastAsia="仿宋" w:cs="仿宋"/>
          <w:bCs/>
          <w:color w:val="auto"/>
          <w:szCs w:val="21"/>
          <w:highlight w:val="none"/>
        </w:rPr>
        <w:t>日</w:t>
      </w:r>
      <w:r>
        <w:rPr>
          <w:rFonts w:hint="eastAsia" w:ascii="仿宋" w:hAnsi="仿宋" w:eastAsia="仿宋" w:cs="仿宋"/>
          <w:bCs/>
          <w:color w:val="auto"/>
          <w:szCs w:val="21"/>
          <w:highlight w:val="none"/>
          <w:lang w:val="en-US" w:eastAsia="zh-CN"/>
        </w:rPr>
        <w:t>9</w:t>
      </w:r>
      <w:r>
        <w:rPr>
          <w:rFonts w:hint="eastAsia" w:ascii="仿宋" w:hAnsi="仿宋" w:eastAsia="仿宋" w:cs="仿宋"/>
          <w:bCs/>
          <w:color w:val="auto"/>
          <w:szCs w:val="21"/>
          <w:highlight w:val="none"/>
        </w:rPr>
        <w:t>时30分（北京时间）前提交（上传）</w:t>
      </w:r>
      <w:r>
        <w:rPr>
          <w:rFonts w:hint="eastAsia" w:ascii="仿宋" w:hAnsi="仿宋" w:eastAsia="仿宋" w:cs="仿宋"/>
          <w:color w:val="auto"/>
          <w:szCs w:val="21"/>
          <w:highlight w:val="none"/>
        </w:rPr>
        <w:t>响应</w:t>
      </w:r>
      <w:r>
        <w:rPr>
          <w:rFonts w:hint="eastAsia" w:ascii="仿宋" w:hAnsi="仿宋" w:eastAsia="仿宋" w:cs="仿宋"/>
          <w:bCs/>
          <w:color w:val="auto"/>
          <w:szCs w:val="21"/>
          <w:highlight w:val="none"/>
        </w:rPr>
        <w:t>文件</w:t>
      </w:r>
      <w:r>
        <w:rPr>
          <w:rFonts w:hint="eastAsia" w:ascii="仿宋" w:hAnsi="仿宋" w:eastAsia="仿宋" w:cs="仿宋"/>
          <w:color w:val="auto"/>
          <w:szCs w:val="21"/>
          <w:highlight w:val="none"/>
        </w:rPr>
        <w:t>。</w:t>
      </w:r>
    </w:p>
    <w:p w14:paraId="6C9E7080">
      <w:pPr>
        <w:spacing w:line="360" w:lineRule="auto"/>
        <w:ind w:firstLine="482" w:firstLineChars="200"/>
        <w:rPr>
          <w:rFonts w:hint="eastAsia" w:ascii="仿宋" w:hAnsi="仿宋" w:eastAsia="仿宋" w:cs="仿宋"/>
          <w:color w:val="auto"/>
          <w:szCs w:val="21"/>
          <w:highlight w:val="none"/>
          <w:lang w:eastAsia="zh-CN"/>
        </w:rPr>
      </w:pPr>
      <w:bookmarkStart w:id="2" w:name="_Toc71365905"/>
      <w:bookmarkStart w:id="3" w:name="_Toc28359089"/>
      <w:bookmarkStart w:id="4" w:name="_Toc35393798"/>
      <w:bookmarkStart w:id="5" w:name="_Toc28359012"/>
      <w:bookmarkStart w:id="6" w:name="_Toc44229878"/>
      <w:bookmarkStart w:id="7" w:name="_Toc35393629"/>
      <w:r>
        <w:rPr>
          <w:rFonts w:hint="eastAsia" w:ascii="仿宋" w:hAnsi="仿宋" w:eastAsia="仿宋" w:cs="仿宋"/>
          <w:b/>
          <w:color w:val="auto"/>
          <w:sz w:val="24"/>
          <w:highlight w:val="none"/>
        </w:rPr>
        <w:t>一、项目基本情况</w:t>
      </w:r>
      <w:bookmarkEnd w:id="1"/>
      <w:bookmarkEnd w:id="2"/>
      <w:bookmarkEnd w:id="3"/>
      <w:bookmarkEnd w:id="4"/>
      <w:bookmarkEnd w:id="5"/>
      <w:bookmarkEnd w:id="6"/>
    </w:p>
    <w:p w14:paraId="06CF568A">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项目编号：FCZC2026-C3-990109-ZQZB</w:t>
      </w:r>
    </w:p>
    <w:p w14:paraId="430FA143">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项目名称：防城港职业技术学院思想政治教育基地建设项目</w:t>
      </w:r>
    </w:p>
    <w:p w14:paraId="52A5AAB0">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采购方式：竞争性磋商</w:t>
      </w:r>
    </w:p>
    <w:p w14:paraId="2FC75C72">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预算金额：人民币</w:t>
      </w:r>
      <w:r>
        <w:rPr>
          <w:rFonts w:hint="eastAsia" w:ascii="仿宋" w:hAnsi="仿宋" w:eastAsia="仿宋" w:cs="仿宋"/>
          <w:color w:val="auto"/>
          <w:szCs w:val="21"/>
          <w:highlight w:val="none"/>
          <w:lang w:val="en-US" w:eastAsia="zh-CN"/>
        </w:rPr>
        <w:t>捌拾玖万柒仟伍佰元整</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897500.00元</w:t>
      </w:r>
      <w:r>
        <w:rPr>
          <w:rFonts w:hint="eastAsia" w:ascii="仿宋" w:hAnsi="仿宋" w:eastAsia="仿宋" w:cs="仿宋"/>
          <w:color w:val="auto"/>
          <w:szCs w:val="21"/>
          <w:highlight w:val="none"/>
          <w:lang w:eastAsia="zh-CN"/>
        </w:rPr>
        <w:t>）</w:t>
      </w:r>
    </w:p>
    <w:p w14:paraId="71A1BF98">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最高限价：同预算</w:t>
      </w:r>
    </w:p>
    <w:p w14:paraId="6720F051">
      <w:pPr>
        <w:pStyle w:val="22"/>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采购需求：包含思政教育基地展出内容图文内容创作、文化版面设计、编排服务和展馆功能布局空间设计、展品布置、现场氛围营造</w:t>
      </w:r>
      <w:r>
        <w:rPr>
          <w:rFonts w:hint="eastAsia" w:ascii="仿宋" w:hAnsi="仿宋" w:eastAsia="仿宋" w:cs="仿宋"/>
          <w:color w:val="auto"/>
          <w:szCs w:val="21"/>
          <w:highlight w:val="none"/>
          <w:lang w:val="en-US" w:eastAsia="zh-CN"/>
        </w:rPr>
        <w:t>等</w:t>
      </w:r>
      <w:r>
        <w:rPr>
          <w:rFonts w:hint="eastAsia" w:ascii="仿宋" w:hAnsi="仿宋" w:eastAsia="仿宋" w:cs="仿宋"/>
          <w:color w:val="auto"/>
          <w:szCs w:val="21"/>
          <w:highlight w:val="none"/>
        </w:rPr>
        <w:t>，整体符合高校思政教育展馆规范与视觉效果。详见</w:t>
      </w:r>
      <w:r>
        <w:rPr>
          <w:rFonts w:hint="eastAsia" w:ascii="仿宋" w:hAnsi="仿宋" w:eastAsia="仿宋" w:cs="仿宋"/>
          <w:color w:val="auto"/>
          <w:szCs w:val="21"/>
          <w:highlight w:val="none"/>
          <w:lang w:eastAsia="zh-CN"/>
        </w:rPr>
        <w:t>附件</w:t>
      </w:r>
      <w:r>
        <w:rPr>
          <w:rFonts w:hint="eastAsia" w:ascii="仿宋" w:hAnsi="仿宋" w:eastAsia="仿宋" w:cs="仿宋"/>
          <w:color w:val="auto"/>
          <w:szCs w:val="21"/>
          <w:highlight w:val="none"/>
        </w:rPr>
        <w:t>采购需求。</w:t>
      </w:r>
    </w:p>
    <w:p w14:paraId="44EA06EE">
      <w:pPr>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合同履行期限：</w:t>
      </w:r>
      <w:r>
        <w:rPr>
          <w:rFonts w:hint="eastAsia" w:ascii="仿宋" w:hAnsi="仿宋" w:eastAsia="仿宋" w:cs="仿宋"/>
          <w:color w:val="auto"/>
          <w:szCs w:val="21"/>
          <w:highlight w:val="none"/>
          <w:lang w:val="en-US" w:eastAsia="zh-CN"/>
        </w:rPr>
        <w:t>自合同签订之日起90日内，完成全部设计、制作、施工、安装调试工作，并通过采购人验收合格交付使用。</w:t>
      </w:r>
    </w:p>
    <w:p w14:paraId="4229B58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本项目不接受联合体竞标。</w:t>
      </w:r>
    </w:p>
    <w:p w14:paraId="2A6E765F">
      <w:pPr>
        <w:spacing w:line="360" w:lineRule="auto"/>
        <w:ind w:firstLine="482" w:firstLineChars="200"/>
        <w:rPr>
          <w:rFonts w:hint="eastAsia" w:ascii="仿宋" w:hAnsi="仿宋" w:eastAsia="仿宋" w:cs="仿宋"/>
          <w:color w:val="auto"/>
          <w:szCs w:val="21"/>
          <w:highlight w:val="none"/>
        </w:rPr>
      </w:pPr>
      <w:bookmarkStart w:id="8" w:name="_Toc35393630"/>
      <w:bookmarkStart w:id="9" w:name="_Toc28359090"/>
      <w:bookmarkStart w:id="10" w:name="_Toc71365906"/>
      <w:bookmarkStart w:id="11" w:name="_Toc28359013"/>
      <w:bookmarkStart w:id="12" w:name="_Toc35393799"/>
      <w:bookmarkStart w:id="13" w:name="_Toc44229879"/>
      <w:r>
        <w:rPr>
          <w:rFonts w:hint="eastAsia" w:ascii="仿宋" w:hAnsi="仿宋" w:eastAsia="仿宋" w:cs="仿宋"/>
          <w:b/>
          <w:color w:val="auto"/>
          <w:sz w:val="24"/>
          <w:highlight w:val="none"/>
        </w:rPr>
        <w:t>二、申请人的资格条件：</w:t>
      </w:r>
      <w:bookmarkEnd w:id="7"/>
      <w:bookmarkEnd w:id="8"/>
      <w:bookmarkEnd w:id="9"/>
      <w:bookmarkEnd w:id="10"/>
      <w:bookmarkEnd w:id="11"/>
      <w:bookmarkEnd w:id="12"/>
    </w:p>
    <w:p w14:paraId="6AC0A092">
      <w:pPr>
        <w:spacing w:line="360" w:lineRule="auto"/>
        <w:ind w:firstLine="420" w:firstLineChars="200"/>
        <w:rPr>
          <w:rFonts w:hint="eastAsia" w:ascii="仿宋" w:hAnsi="仿宋" w:eastAsia="仿宋" w:cs="仿宋"/>
          <w:color w:val="auto"/>
          <w:szCs w:val="21"/>
          <w:highlight w:val="none"/>
        </w:rPr>
      </w:pPr>
      <w:bookmarkStart w:id="14" w:name="_Toc28359014"/>
      <w:bookmarkStart w:id="15" w:name="_Toc28359091"/>
      <w:bookmarkStart w:id="16" w:name="_Toc35393800"/>
      <w:bookmarkStart w:id="17" w:name="_Toc44229880"/>
      <w:bookmarkStart w:id="18" w:name="_Toc35393631"/>
      <w:r>
        <w:rPr>
          <w:rFonts w:hint="eastAsia" w:ascii="仿宋" w:hAnsi="仿宋" w:eastAsia="仿宋" w:cs="仿宋"/>
          <w:color w:val="auto"/>
          <w:szCs w:val="21"/>
          <w:highlight w:val="none"/>
        </w:rPr>
        <w:t>1.满足《中华人民共和国政府采购法》第二十二条规定；</w:t>
      </w:r>
    </w:p>
    <w:p w14:paraId="71F6C071">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2.落实政府采购政策需满足的资格要求：</w:t>
      </w:r>
      <w:r>
        <w:rPr>
          <w:rFonts w:hint="eastAsia" w:ascii="仿宋" w:hAnsi="仿宋" w:eastAsia="仿宋" w:cs="仿宋"/>
          <w:color w:val="auto"/>
          <w:szCs w:val="21"/>
          <w:highlight w:val="none"/>
          <w:lang w:eastAsia="zh-CN"/>
        </w:rPr>
        <w:t>专门面向小微</w:t>
      </w:r>
      <w:r>
        <w:rPr>
          <w:rFonts w:hint="eastAsia" w:ascii="仿宋" w:hAnsi="仿宋" w:eastAsia="仿宋" w:cs="仿宋"/>
          <w:color w:val="auto"/>
          <w:szCs w:val="21"/>
          <w:highlight w:val="none"/>
          <w:lang w:val="en-US" w:eastAsia="zh-CN"/>
        </w:rPr>
        <w:t>企业采购</w:t>
      </w:r>
      <w:r>
        <w:rPr>
          <w:rFonts w:hint="eastAsia" w:ascii="仿宋" w:hAnsi="仿宋" w:eastAsia="仿宋" w:cs="仿宋"/>
          <w:color w:val="auto"/>
          <w:szCs w:val="21"/>
          <w:highlight w:val="none"/>
          <w:lang w:eastAsia="zh-CN"/>
        </w:rPr>
        <w:t>；</w:t>
      </w:r>
    </w:p>
    <w:p w14:paraId="52EBC79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3.本项目的特定资格要求：</w:t>
      </w:r>
      <w:r>
        <w:rPr>
          <w:rFonts w:hint="eastAsia" w:ascii="仿宋" w:hAnsi="仿宋" w:eastAsia="仿宋" w:cs="仿宋"/>
          <w:color w:val="auto"/>
          <w:szCs w:val="21"/>
          <w:highlight w:val="none"/>
          <w:lang w:eastAsia="zh-CN"/>
        </w:rPr>
        <w:t>无</w:t>
      </w:r>
      <w:r>
        <w:rPr>
          <w:rFonts w:hint="eastAsia" w:ascii="仿宋" w:hAnsi="仿宋" w:eastAsia="仿宋" w:cs="仿宋"/>
          <w:color w:val="auto"/>
          <w:szCs w:val="21"/>
          <w:highlight w:val="none"/>
        </w:rPr>
        <w:t>。</w:t>
      </w:r>
    </w:p>
    <w:p w14:paraId="3DFD0F86">
      <w:pPr>
        <w:spacing w:line="360" w:lineRule="auto"/>
        <w:ind w:firstLine="482" w:firstLineChars="200"/>
        <w:rPr>
          <w:rFonts w:hint="eastAsia" w:ascii="仿宋" w:hAnsi="仿宋" w:eastAsia="仿宋" w:cs="仿宋"/>
          <w:color w:val="auto"/>
          <w:szCs w:val="21"/>
          <w:highlight w:val="none"/>
        </w:rPr>
      </w:pPr>
      <w:bookmarkStart w:id="19" w:name="_Toc71365907"/>
      <w:r>
        <w:rPr>
          <w:rFonts w:hint="eastAsia" w:ascii="仿宋" w:hAnsi="仿宋" w:eastAsia="仿宋" w:cs="仿宋"/>
          <w:b/>
          <w:color w:val="auto"/>
          <w:sz w:val="24"/>
          <w:highlight w:val="none"/>
        </w:rPr>
        <w:t>三、获取竞争性磋商文件</w:t>
      </w:r>
      <w:bookmarkEnd w:id="13"/>
      <w:bookmarkEnd w:id="14"/>
      <w:bookmarkEnd w:id="15"/>
      <w:bookmarkEnd w:id="16"/>
      <w:bookmarkEnd w:id="17"/>
      <w:bookmarkEnd w:id="18"/>
    </w:p>
    <w:p w14:paraId="53F19700">
      <w:pPr>
        <w:spacing w:line="360" w:lineRule="auto"/>
        <w:ind w:firstLine="420" w:firstLineChars="200"/>
        <w:rPr>
          <w:rFonts w:hint="eastAsia" w:ascii="仿宋" w:hAnsi="仿宋" w:eastAsia="仿宋" w:cs="仿宋"/>
          <w:color w:val="auto"/>
          <w:szCs w:val="21"/>
          <w:highlight w:val="none"/>
        </w:rPr>
      </w:pPr>
      <w:bookmarkStart w:id="20" w:name="_Toc35393632"/>
      <w:bookmarkStart w:id="21" w:name="_Toc44229881"/>
      <w:bookmarkStart w:id="22" w:name="_Toc28359015"/>
      <w:bookmarkStart w:id="23" w:name="_Toc35393801"/>
      <w:bookmarkStart w:id="24" w:name="_Toc28359092"/>
      <w:r>
        <w:rPr>
          <w:rFonts w:hint="eastAsia" w:ascii="仿宋" w:hAnsi="仿宋" w:eastAsia="仿宋" w:cs="仿宋"/>
          <w:color w:val="auto"/>
          <w:szCs w:val="21"/>
          <w:highlight w:val="none"/>
        </w:rPr>
        <w:t>时间：202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日至202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8月11</w:t>
      </w:r>
      <w:r>
        <w:rPr>
          <w:rFonts w:hint="eastAsia" w:ascii="仿宋" w:hAnsi="仿宋" w:eastAsia="仿宋" w:cs="仿宋"/>
          <w:color w:val="auto"/>
          <w:szCs w:val="21"/>
          <w:highlight w:val="none"/>
        </w:rPr>
        <w:t>日，每天</w:t>
      </w:r>
      <w:r>
        <w:rPr>
          <w:rFonts w:hint="eastAsia" w:ascii="仿宋" w:hAnsi="仿宋" w:eastAsia="仿宋" w:cs="仿宋"/>
          <w:color w:val="auto"/>
          <w:szCs w:val="21"/>
          <w:highlight w:val="none"/>
          <w:lang w:val="en-US" w:eastAsia="zh-CN"/>
        </w:rPr>
        <w:t>上午00:00至11:59，下午12:00至23:59</w:t>
      </w:r>
      <w:r>
        <w:rPr>
          <w:rFonts w:hint="eastAsia" w:ascii="仿宋" w:hAnsi="仿宋" w:eastAsia="仿宋" w:cs="仿宋"/>
          <w:color w:val="auto"/>
          <w:szCs w:val="21"/>
          <w:highlight w:val="none"/>
        </w:rPr>
        <w:t>（北京时间，法定节假日除外）</w:t>
      </w:r>
    </w:p>
    <w:p w14:paraId="65814E0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地点：广西政府采购云平台（https://www.gcy.zfcg.gxzf.gov.cn/）</w:t>
      </w:r>
    </w:p>
    <w:p w14:paraId="5B239F43">
      <w:pPr>
        <w:spacing w:line="360" w:lineRule="auto"/>
        <w:ind w:firstLine="420" w:firstLineChars="200"/>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方式：网上下载。本项目不提供纸质文件，潜在供应商需在广西政府采购云平台（https://www.gcy.zfcg.gxzf.gov.cn/）-进入“项目采购”应用，在获取采购文件菜单中选择项目，获取竞争性磋商文件。电子响应文件制</w:t>
      </w:r>
      <w:r>
        <w:rPr>
          <w:rFonts w:hint="eastAsia" w:ascii="仿宋" w:hAnsi="仿宋" w:eastAsia="仿宋" w:cs="仿宋"/>
          <w:bCs/>
          <w:color w:val="auto"/>
          <w:kern w:val="0"/>
          <w:szCs w:val="21"/>
          <w:highlight w:val="none"/>
        </w:rPr>
        <w:t>作需要基于广西政府采购云平台获取的竞争性磋商文件编制，通过其他方式获取竞争性磋商文件的，将有可能导致供应商无法在广西政府采购云平台编制及上传响应文件。</w:t>
      </w:r>
    </w:p>
    <w:p w14:paraId="2D9FC4E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bCs/>
          <w:color w:val="auto"/>
          <w:kern w:val="0"/>
          <w:szCs w:val="21"/>
          <w:highlight w:val="none"/>
        </w:rPr>
        <w:t>售价：</w:t>
      </w:r>
      <w:r>
        <w:rPr>
          <w:rFonts w:hint="eastAsia" w:ascii="仿宋" w:hAnsi="仿宋" w:eastAsia="仿宋" w:cs="仿宋"/>
          <w:color w:val="auto"/>
          <w:szCs w:val="21"/>
          <w:highlight w:val="none"/>
        </w:rPr>
        <w:t>0元</w:t>
      </w:r>
    </w:p>
    <w:p w14:paraId="32C3A9B5">
      <w:pPr>
        <w:spacing w:line="360" w:lineRule="auto"/>
        <w:ind w:firstLine="482" w:firstLineChars="200"/>
        <w:rPr>
          <w:rFonts w:hint="eastAsia" w:ascii="仿宋" w:hAnsi="仿宋" w:eastAsia="仿宋" w:cs="仿宋"/>
          <w:color w:val="auto"/>
          <w:szCs w:val="21"/>
          <w:highlight w:val="none"/>
        </w:rPr>
      </w:pPr>
      <w:bookmarkStart w:id="25" w:name="_Toc71365908"/>
      <w:r>
        <w:rPr>
          <w:rFonts w:hint="eastAsia" w:ascii="仿宋" w:hAnsi="仿宋" w:eastAsia="仿宋" w:cs="仿宋"/>
          <w:b/>
          <w:color w:val="auto"/>
          <w:sz w:val="24"/>
          <w:highlight w:val="none"/>
        </w:rPr>
        <w:t>四、响应文件提交</w:t>
      </w:r>
      <w:bookmarkEnd w:id="19"/>
      <w:bookmarkEnd w:id="20"/>
      <w:bookmarkEnd w:id="21"/>
      <w:bookmarkEnd w:id="22"/>
      <w:bookmarkEnd w:id="23"/>
      <w:bookmarkEnd w:id="24"/>
    </w:p>
    <w:p w14:paraId="4685CDB2">
      <w:pPr>
        <w:spacing w:line="360" w:lineRule="auto"/>
        <w:ind w:firstLine="420" w:firstLineChars="200"/>
        <w:rPr>
          <w:rFonts w:hint="eastAsia" w:ascii="仿宋" w:hAnsi="仿宋" w:eastAsia="仿宋" w:cs="仿宋"/>
          <w:color w:val="auto"/>
          <w:szCs w:val="21"/>
          <w:highlight w:val="none"/>
        </w:rPr>
      </w:pPr>
      <w:bookmarkStart w:id="26" w:name="_Toc28359093"/>
      <w:bookmarkStart w:id="27" w:name="_Toc35393633"/>
      <w:bookmarkStart w:id="28" w:name="_Toc44229882"/>
      <w:bookmarkStart w:id="29" w:name="_Toc28359016"/>
      <w:bookmarkStart w:id="30" w:name="_Toc35393802"/>
      <w:r>
        <w:rPr>
          <w:rFonts w:hint="eastAsia" w:ascii="仿宋" w:hAnsi="仿宋" w:eastAsia="仿宋" w:cs="仿宋"/>
          <w:color w:val="auto"/>
          <w:szCs w:val="21"/>
          <w:highlight w:val="none"/>
        </w:rPr>
        <w:t>截止时间：202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 xml:space="preserve">24 </w:t>
      </w: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9</w:t>
      </w:r>
      <w:r>
        <w:rPr>
          <w:rFonts w:hint="eastAsia" w:ascii="仿宋" w:hAnsi="仿宋" w:eastAsia="仿宋" w:cs="仿宋"/>
          <w:color w:val="auto"/>
          <w:szCs w:val="21"/>
          <w:highlight w:val="none"/>
        </w:rPr>
        <w:t>时30分（北京时间）</w:t>
      </w:r>
    </w:p>
    <w:p w14:paraId="2085FB6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地点：广西政府采购云平台（</w:t>
      </w:r>
      <w:r>
        <w:rPr>
          <w:rFonts w:hint="eastAsia" w:ascii="仿宋" w:hAnsi="仿宋" w:eastAsia="仿宋" w:cs="仿宋"/>
          <w:bCs/>
          <w:color w:val="auto"/>
          <w:szCs w:val="21"/>
          <w:highlight w:val="none"/>
        </w:rPr>
        <w:t>https://www.gcy.zfcg.gxzf.gov.cn/</w:t>
      </w:r>
      <w:r>
        <w:rPr>
          <w:rFonts w:hint="eastAsia" w:ascii="仿宋" w:hAnsi="仿宋" w:eastAsia="仿宋" w:cs="仿宋"/>
          <w:color w:val="auto"/>
          <w:szCs w:val="21"/>
          <w:highlight w:val="none"/>
        </w:rPr>
        <w:t>）</w:t>
      </w:r>
    </w:p>
    <w:p w14:paraId="67E1B3F0">
      <w:pPr>
        <w:spacing w:line="360" w:lineRule="auto"/>
        <w:ind w:firstLine="482" w:firstLineChars="200"/>
        <w:rPr>
          <w:rFonts w:hint="eastAsia" w:ascii="仿宋" w:hAnsi="仿宋" w:eastAsia="仿宋" w:cs="仿宋"/>
          <w:color w:val="auto"/>
          <w:szCs w:val="21"/>
          <w:highlight w:val="none"/>
        </w:rPr>
      </w:pPr>
      <w:bookmarkStart w:id="31" w:name="_Toc71365909"/>
      <w:r>
        <w:rPr>
          <w:rFonts w:hint="eastAsia" w:ascii="仿宋" w:hAnsi="仿宋" w:eastAsia="仿宋" w:cs="仿宋"/>
          <w:b/>
          <w:color w:val="auto"/>
          <w:sz w:val="24"/>
          <w:highlight w:val="none"/>
        </w:rPr>
        <w:t>五、开启</w:t>
      </w:r>
      <w:bookmarkEnd w:id="25"/>
      <w:bookmarkEnd w:id="26"/>
      <w:bookmarkEnd w:id="27"/>
      <w:bookmarkEnd w:id="28"/>
      <w:bookmarkEnd w:id="29"/>
      <w:bookmarkEnd w:id="30"/>
    </w:p>
    <w:p w14:paraId="18062A3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1.时间：202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24</w:t>
      </w: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9</w:t>
      </w:r>
      <w:r>
        <w:rPr>
          <w:rFonts w:hint="eastAsia" w:ascii="仿宋" w:hAnsi="仿宋" w:eastAsia="仿宋" w:cs="仿宋"/>
          <w:color w:val="auto"/>
          <w:szCs w:val="21"/>
          <w:highlight w:val="none"/>
        </w:rPr>
        <w:t>时30分（北京时间）后</w:t>
      </w:r>
    </w:p>
    <w:p w14:paraId="58D5D4E5">
      <w:pPr>
        <w:spacing w:line="360" w:lineRule="auto"/>
        <w:ind w:firstLine="420" w:firstLineChars="200"/>
        <w:rPr>
          <w:rFonts w:hint="eastAsia" w:ascii="仿宋" w:hAnsi="仿宋" w:eastAsia="仿宋" w:cs="仿宋"/>
          <w:color w:val="auto"/>
          <w:szCs w:val="21"/>
          <w:highlight w:val="none"/>
          <w:u w:val="single"/>
          <w:lang w:val="en-US" w:eastAsia="zh-CN"/>
        </w:rPr>
      </w:pPr>
      <w:r>
        <w:rPr>
          <w:rFonts w:hint="eastAsia" w:ascii="仿宋" w:hAnsi="仿宋" w:eastAsia="仿宋" w:cs="仿宋"/>
          <w:color w:val="auto"/>
          <w:szCs w:val="21"/>
          <w:highlight w:val="none"/>
        </w:rPr>
        <w:t>2.地点：广西政府</w:t>
      </w:r>
      <w:r>
        <w:rPr>
          <w:rFonts w:hint="eastAsia" w:ascii="仿宋" w:hAnsi="仿宋" w:eastAsia="仿宋" w:cs="仿宋"/>
          <w:color w:val="auto"/>
          <w:szCs w:val="21"/>
          <w:highlight w:val="none"/>
          <w:shd w:val="clear" w:color="auto" w:fill="FFFFFF"/>
        </w:rPr>
        <w:t>采购云平台政府采购开评标室</w:t>
      </w:r>
      <w:r>
        <w:rPr>
          <w:rFonts w:hint="eastAsia" w:ascii="仿宋" w:hAnsi="仿宋" w:eastAsia="仿宋" w:cs="仿宋"/>
          <w:color w:val="auto"/>
          <w:szCs w:val="21"/>
          <w:highlight w:val="none"/>
          <w:u w:val="none"/>
          <w:shd w:val="clear" w:color="auto" w:fill="FFFFFF"/>
          <w:lang w:val="en-US" w:eastAsia="zh-CN"/>
        </w:rPr>
        <w:t>3</w:t>
      </w:r>
    </w:p>
    <w:p w14:paraId="2C29901C">
      <w:pPr>
        <w:spacing w:line="360" w:lineRule="auto"/>
        <w:ind w:firstLine="482" w:firstLineChars="200"/>
        <w:rPr>
          <w:rFonts w:hint="eastAsia" w:ascii="仿宋" w:hAnsi="仿宋" w:eastAsia="仿宋" w:cs="仿宋"/>
          <w:color w:val="auto"/>
          <w:szCs w:val="21"/>
          <w:highlight w:val="none"/>
        </w:rPr>
      </w:pPr>
      <w:bookmarkStart w:id="32" w:name="_Toc35393803"/>
      <w:bookmarkStart w:id="33" w:name="_Toc28359017"/>
      <w:bookmarkStart w:id="34" w:name="_Toc44229883"/>
      <w:bookmarkStart w:id="35" w:name="_Toc28359094"/>
      <w:bookmarkStart w:id="36" w:name="_Toc35393634"/>
      <w:bookmarkStart w:id="37" w:name="_Toc71365910"/>
      <w:r>
        <w:rPr>
          <w:rFonts w:hint="eastAsia" w:ascii="仿宋" w:hAnsi="仿宋" w:eastAsia="仿宋" w:cs="仿宋"/>
          <w:b/>
          <w:color w:val="auto"/>
          <w:sz w:val="24"/>
          <w:highlight w:val="none"/>
        </w:rPr>
        <w:t>六、公告期限</w:t>
      </w:r>
      <w:bookmarkEnd w:id="31"/>
      <w:bookmarkEnd w:id="32"/>
      <w:bookmarkEnd w:id="33"/>
      <w:bookmarkEnd w:id="34"/>
      <w:bookmarkEnd w:id="35"/>
      <w:bookmarkEnd w:id="36"/>
    </w:p>
    <w:p w14:paraId="457D0F35">
      <w:pPr>
        <w:spacing w:line="360" w:lineRule="auto"/>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自本公告发布之日起</w:t>
      </w:r>
      <w:r>
        <w:rPr>
          <w:rFonts w:hint="eastAsia" w:ascii="仿宋" w:hAnsi="仿宋" w:eastAsia="仿宋" w:cs="仿宋"/>
          <w:color w:val="auto"/>
          <w:kern w:val="0"/>
          <w:szCs w:val="21"/>
          <w:highlight w:val="none"/>
        </w:rPr>
        <w:t>5个工作日。</w:t>
      </w:r>
    </w:p>
    <w:p w14:paraId="3E522B28">
      <w:pPr>
        <w:spacing w:line="360" w:lineRule="auto"/>
        <w:ind w:firstLine="482" w:firstLineChars="200"/>
        <w:rPr>
          <w:rFonts w:hint="eastAsia" w:ascii="仿宋" w:hAnsi="仿宋" w:eastAsia="仿宋" w:cs="仿宋"/>
          <w:color w:val="auto"/>
          <w:szCs w:val="21"/>
          <w:highlight w:val="none"/>
        </w:rPr>
      </w:pPr>
      <w:bookmarkStart w:id="38" w:name="_Toc35393635"/>
      <w:bookmarkStart w:id="39" w:name="_Toc71365911"/>
      <w:bookmarkStart w:id="40" w:name="_Toc44229884"/>
      <w:bookmarkStart w:id="41" w:name="_Toc35393804"/>
      <w:r>
        <w:rPr>
          <w:rFonts w:hint="eastAsia" w:ascii="仿宋" w:hAnsi="仿宋" w:eastAsia="仿宋" w:cs="仿宋"/>
          <w:b/>
          <w:color w:val="auto"/>
          <w:sz w:val="24"/>
          <w:highlight w:val="none"/>
        </w:rPr>
        <w:t>七、其他补充事宜</w:t>
      </w:r>
      <w:bookmarkEnd w:id="37"/>
      <w:bookmarkEnd w:id="38"/>
      <w:bookmarkEnd w:id="39"/>
      <w:bookmarkEnd w:id="40"/>
    </w:p>
    <w:p w14:paraId="2285FA1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1.网上查询地址：</w:t>
      </w:r>
    </w:p>
    <w:p w14:paraId="42ACAF22">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中国政府采购网（http://www.ccgp.gov.cn/）</w:t>
      </w:r>
      <w:r>
        <w:rPr>
          <w:rFonts w:hint="eastAsia" w:ascii="仿宋" w:hAnsi="仿宋" w:eastAsia="仿宋" w:cs="仿宋"/>
          <w:color w:val="auto"/>
          <w:szCs w:val="21"/>
          <w:highlight w:val="none"/>
          <w:lang w:eastAsia="zh-CN"/>
        </w:rPr>
        <w:t>；</w:t>
      </w:r>
    </w:p>
    <w:p w14:paraId="784CB32B">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广西壮族自治区政府采购网（http://www.ccgp-guangxi.gov.cn/）</w:t>
      </w:r>
      <w:r>
        <w:rPr>
          <w:rFonts w:hint="eastAsia" w:ascii="仿宋" w:hAnsi="仿宋" w:eastAsia="仿宋" w:cs="仿宋"/>
          <w:color w:val="auto"/>
          <w:szCs w:val="21"/>
          <w:highlight w:val="none"/>
          <w:lang w:eastAsia="zh-CN"/>
        </w:rPr>
        <w:t>；</w:t>
      </w:r>
    </w:p>
    <w:p w14:paraId="6602BA8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全国公共资源交易平台(广西·防城港)（http://ggzy.jgswj.gxzf.gov.cn/fcgggzy/）</w:t>
      </w:r>
      <w:r>
        <w:rPr>
          <w:rFonts w:hint="eastAsia" w:ascii="仿宋" w:hAnsi="仿宋" w:eastAsia="仿宋" w:cs="仿宋"/>
          <w:color w:val="auto"/>
          <w:szCs w:val="21"/>
          <w:highlight w:val="none"/>
        </w:rPr>
        <w:t>。</w:t>
      </w:r>
    </w:p>
    <w:p w14:paraId="41AFD157">
      <w:pPr>
        <w:spacing w:line="360" w:lineRule="auto"/>
        <w:ind w:firstLine="420" w:firstLineChars="200"/>
        <w:rPr>
          <w:rFonts w:hint="eastAsia" w:ascii="仿宋" w:hAnsi="仿宋" w:eastAsia="仿宋" w:cs="仿宋"/>
          <w:color w:val="auto"/>
          <w:kern w:val="0"/>
          <w:szCs w:val="21"/>
          <w:highlight w:val="none"/>
        </w:rPr>
      </w:pPr>
      <w:bookmarkStart w:id="42" w:name="_Toc44229885"/>
      <w:bookmarkStart w:id="43" w:name="_Toc35393636"/>
      <w:bookmarkStart w:id="44" w:name="_Toc28359018"/>
      <w:bookmarkStart w:id="45" w:name="_Toc28359095"/>
      <w:bookmarkStart w:id="46" w:name="_Toc35393805"/>
      <w:bookmarkStart w:id="47" w:name="_Hlk37429674"/>
      <w:r>
        <w:rPr>
          <w:rFonts w:hint="eastAsia" w:ascii="仿宋" w:hAnsi="仿宋" w:eastAsia="仿宋" w:cs="仿宋"/>
          <w:color w:val="auto"/>
          <w:szCs w:val="21"/>
          <w:highlight w:val="none"/>
        </w:rPr>
        <w:t>2.本项目需要落实的政府采购政</w:t>
      </w:r>
      <w:r>
        <w:rPr>
          <w:rFonts w:hint="eastAsia" w:ascii="仿宋" w:hAnsi="仿宋" w:eastAsia="仿宋" w:cs="仿宋"/>
          <w:color w:val="auto"/>
          <w:kern w:val="0"/>
          <w:szCs w:val="21"/>
          <w:highlight w:val="none"/>
        </w:rPr>
        <w:t>策</w:t>
      </w:r>
    </w:p>
    <w:bookmarkEnd w:id="41"/>
    <w:p w14:paraId="68A622B0">
      <w:pPr>
        <w:widowControl/>
        <w:spacing w:line="360" w:lineRule="auto"/>
        <w:ind w:firstLine="420" w:firstLineChars="200"/>
        <w:jc w:val="left"/>
        <w:rPr>
          <w:rFonts w:hint="eastAsia" w:ascii="仿宋" w:hAnsi="仿宋" w:eastAsia="仿宋" w:cs="仿宋"/>
          <w:iCs/>
          <w:color w:val="auto"/>
          <w:kern w:val="0"/>
          <w:szCs w:val="21"/>
          <w:highlight w:val="none"/>
        </w:rPr>
      </w:pPr>
      <w:r>
        <w:rPr>
          <w:rFonts w:hint="eastAsia" w:ascii="仿宋" w:hAnsi="仿宋" w:eastAsia="仿宋" w:cs="仿宋"/>
          <w:iCs/>
          <w:color w:val="auto"/>
          <w:kern w:val="0"/>
          <w:szCs w:val="21"/>
          <w:highlight w:val="none"/>
        </w:rPr>
        <w:t>（1）政府采购促进中小企业发展。</w:t>
      </w:r>
    </w:p>
    <w:p w14:paraId="4C73398F">
      <w:pPr>
        <w:widowControl/>
        <w:spacing w:line="360" w:lineRule="auto"/>
        <w:ind w:firstLine="420" w:firstLineChars="200"/>
        <w:jc w:val="left"/>
        <w:rPr>
          <w:rFonts w:hint="eastAsia" w:ascii="仿宋" w:hAnsi="仿宋" w:eastAsia="仿宋" w:cs="仿宋"/>
          <w:iCs/>
          <w:color w:val="auto"/>
          <w:kern w:val="0"/>
          <w:szCs w:val="21"/>
          <w:highlight w:val="none"/>
        </w:rPr>
      </w:pPr>
      <w:r>
        <w:rPr>
          <w:rFonts w:hint="eastAsia" w:ascii="仿宋" w:hAnsi="仿宋" w:eastAsia="仿宋" w:cs="仿宋"/>
          <w:iCs/>
          <w:color w:val="auto"/>
          <w:kern w:val="0"/>
          <w:szCs w:val="21"/>
          <w:highlight w:val="none"/>
        </w:rPr>
        <w:t>（2）政府采购支持采用本国产品的政策。</w:t>
      </w:r>
    </w:p>
    <w:p w14:paraId="5A66743E">
      <w:pPr>
        <w:widowControl/>
        <w:spacing w:line="360" w:lineRule="auto"/>
        <w:ind w:firstLine="420" w:firstLineChars="200"/>
        <w:jc w:val="left"/>
        <w:rPr>
          <w:rFonts w:hint="eastAsia" w:ascii="仿宋" w:hAnsi="仿宋" w:eastAsia="仿宋" w:cs="仿宋"/>
          <w:iCs/>
          <w:color w:val="auto"/>
          <w:kern w:val="0"/>
          <w:szCs w:val="21"/>
          <w:highlight w:val="none"/>
        </w:rPr>
      </w:pPr>
      <w:r>
        <w:rPr>
          <w:rFonts w:hint="eastAsia" w:ascii="仿宋" w:hAnsi="仿宋" w:eastAsia="仿宋" w:cs="仿宋"/>
          <w:iCs/>
          <w:color w:val="auto"/>
          <w:kern w:val="0"/>
          <w:szCs w:val="21"/>
          <w:highlight w:val="none"/>
        </w:rPr>
        <w:t>（3）强制采购节能产品；优先采购节能产品、环境标志产品。</w:t>
      </w:r>
    </w:p>
    <w:p w14:paraId="2100556A">
      <w:pPr>
        <w:widowControl/>
        <w:spacing w:line="360" w:lineRule="auto"/>
        <w:ind w:firstLine="420" w:firstLineChars="200"/>
        <w:jc w:val="left"/>
        <w:rPr>
          <w:rFonts w:hint="eastAsia" w:ascii="仿宋" w:hAnsi="仿宋" w:eastAsia="仿宋" w:cs="仿宋"/>
          <w:iCs/>
          <w:color w:val="auto"/>
          <w:kern w:val="0"/>
          <w:szCs w:val="21"/>
          <w:highlight w:val="none"/>
        </w:rPr>
      </w:pPr>
      <w:r>
        <w:rPr>
          <w:rFonts w:hint="eastAsia" w:ascii="仿宋" w:hAnsi="仿宋" w:eastAsia="仿宋" w:cs="仿宋"/>
          <w:iCs/>
          <w:color w:val="auto"/>
          <w:kern w:val="0"/>
          <w:szCs w:val="21"/>
          <w:highlight w:val="none"/>
        </w:rPr>
        <w:t>（4）政府采购促进残疾人就业政策。</w:t>
      </w:r>
    </w:p>
    <w:p w14:paraId="7D0CBA90">
      <w:pPr>
        <w:widowControl/>
        <w:spacing w:line="360" w:lineRule="auto"/>
        <w:ind w:firstLine="420" w:firstLineChars="200"/>
        <w:jc w:val="left"/>
        <w:rPr>
          <w:rFonts w:hint="eastAsia" w:ascii="仿宋" w:hAnsi="仿宋" w:eastAsia="仿宋" w:cs="仿宋"/>
          <w:iCs/>
          <w:color w:val="auto"/>
          <w:kern w:val="0"/>
          <w:szCs w:val="21"/>
          <w:highlight w:val="none"/>
        </w:rPr>
      </w:pPr>
      <w:r>
        <w:rPr>
          <w:rFonts w:hint="eastAsia" w:ascii="仿宋" w:hAnsi="仿宋" w:eastAsia="仿宋" w:cs="仿宋"/>
          <w:iCs/>
          <w:color w:val="auto"/>
          <w:kern w:val="0"/>
          <w:szCs w:val="21"/>
          <w:highlight w:val="none"/>
        </w:rPr>
        <w:t>（5）政府采购支持监狱企业发展。</w:t>
      </w:r>
    </w:p>
    <w:p w14:paraId="62A0ECB5">
      <w:pPr>
        <w:widowControl/>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3.供应商</w:t>
      </w:r>
      <w:r>
        <w:rPr>
          <w:rFonts w:hint="eastAsia" w:ascii="仿宋" w:hAnsi="仿宋" w:eastAsia="仿宋" w:cs="仿宋"/>
          <w:color w:val="auto"/>
          <w:szCs w:val="21"/>
          <w:highlight w:val="none"/>
        </w:rPr>
        <w:t>竞标注意事项</w:t>
      </w:r>
    </w:p>
    <w:p w14:paraId="333967A4">
      <w:pPr>
        <w:widowControl/>
        <w:spacing w:line="360" w:lineRule="auto"/>
        <w:ind w:firstLine="525" w:firstLineChars="2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（1）本项目为全流程电子化采购项目，通过广西政府采购云平台（</w:t>
      </w:r>
      <w:r>
        <w:rPr>
          <w:rFonts w:hint="eastAsia" w:ascii="仿宋" w:hAnsi="仿宋" w:eastAsia="仿宋" w:cs="仿宋"/>
          <w:bCs/>
          <w:color w:val="auto"/>
          <w:szCs w:val="21"/>
          <w:highlight w:val="none"/>
        </w:rPr>
        <w:t>https://www.gcy.zfcg.gxzf.gov.cn/</w:t>
      </w:r>
      <w:r>
        <w:rPr>
          <w:rFonts w:hint="eastAsia" w:ascii="仿宋" w:hAnsi="仿宋" w:eastAsia="仿宋" w:cs="仿宋"/>
          <w:color w:val="auto"/>
          <w:szCs w:val="21"/>
          <w:highlight w:val="none"/>
        </w:rPr>
        <w:t>）实行在线电子竞标，供应商应按照本项目竞争性磋商文件和广西政府采购云平台的要求编制、加密后在响应文件递交截止时间前通过网络上传至广西政府采购云平台（加密的电子</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文件是指后缀名为“jmbs”的文件），</w:t>
      </w:r>
      <w:r>
        <w:rPr>
          <w:rFonts w:hint="eastAsia" w:ascii="仿宋" w:hAnsi="仿宋" w:eastAsia="仿宋" w:cs="仿宋"/>
          <w:b/>
          <w:color w:val="auto"/>
          <w:szCs w:val="21"/>
          <w:highlight w:val="none"/>
        </w:rPr>
        <w:t>供应商在</w:t>
      </w:r>
      <w:r>
        <w:rPr>
          <w:rFonts w:hint="eastAsia" w:ascii="仿宋" w:hAnsi="仿宋" w:eastAsia="仿宋" w:cs="仿宋"/>
          <w:b/>
          <w:bCs/>
          <w:color w:val="auto"/>
          <w:szCs w:val="21"/>
          <w:highlight w:val="none"/>
        </w:rPr>
        <w:t>广西政府采购云平台</w:t>
      </w:r>
      <w:r>
        <w:rPr>
          <w:rFonts w:hint="eastAsia" w:ascii="仿宋" w:hAnsi="仿宋" w:eastAsia="仿宋" w:cs="仿宋"/>
          <w:b/>
          <w:color w:val="auto"/>
          <w:szCs w:val="21"/>
          <w:highlight w:val="none"/>
        </w:rPr>
        <w:t>提交电子响应文件时，请填写参加远程开标活动经办人联系方式。</w:t>
      </w:r>
      <w:r>
        <w:rPr>
          <w:rFonts w:hint="eastAsia" w:ascii="仿宋" w:hAnsi="仿宋" w:eastAsia="仿宋" w:cs="仿宋"/>
          <w:color w:val="auto"/>
          <w:szCs w:val="21"/>
          <w:highlight w:val="none"/>
        </w:rPr>
        <w:t>供应商登录广西政府采购云平台，依次进入“服务中心-项目采购-操作流程-电子招投标-政府采购项目电子交易管理操作指南-供应商”查看电子竞标具体操作流程。</w:t>
      </w:r>
    </w:p>
    <w:p w14:paraId="19064D30">
      <w:pPr>
        <w:widowControl/>
        <w:spacing w:line="360" w:lineRule="auto"/>
        <w:ind w:firstLine="525" w:firstLineChars="2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进行网上注册并办理数字证书（CA认证）的供应商将无法参与本项目政府采购活动，竞标供应商应当在响应文件提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仿宋" w:hAnsi="仿宋" w:eastAsia="仿宋" w:cs="仿宋"/>
          <w:bCs/>
          <w:color w:val="auto"/>
          <w:szCs w:val="21"/>
          <w:highlight w:val="none"/>
        </w:rPr>
        <w:t>如在操作过程中遇到问题或者需要技术支持，请致电客服热线：95763</w:t>
      </w:r>
      <w:r>
        <w:rPr>
          <w:rFonts w:hint="eastAsia" w:ascii="仿宋" w:hAnsi="仿宋" w:eastAsia="仿宋" w:cs="仿宋"/>
          <w:color w:val="auto"/>
          <w:szCs w:val="21"/>
          <w:highlight w:val="none"/>
        </w:rPr>
        <w:t>）。</w:t>
      </w:r>
    </w:p>
    <w:p w14:paraId="00D53227">
      <w:pPr>
        <w:widowControl/>
        <w:spacing w:line="360" w:lineRule="auto"/>
        <w:ind w:firstLine="525" w:firstLineChars="2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4848ADAF">
      <w:pPr>
        <w:widowControl/>
        <w:spacing w:line="360" w:lineRule="auto"/>
        <w:ind w:firstLine="525" w:firstLineChars="250"/>
        <w:jc w:val="left"/>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注：1）为确保网上操作合法、有效和安全，请供应商确保在电子竞标过程中能够对相关数据电文进行加密和使用电子签章，妥善保管CA数字证书并使用有效的CA数字证书参与整个竞标活动。2）</w:t>
      </w:r>
      <w:r>
        <w:rPr>
          <w:rFonts w:hint="eastAsia" w:ascii="仿宋" w:hAnsi="仿宋" w:eastAsia="仿宋" w:cs="仿宋"/>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仿宋" w:hAnsi="仿宋" w:eastAsia="仿宋" w:cs="仿宋"/>
          <w:color w:val="auto"/>
          <w:szCs w:val="21"/>
          <w:highlight w:val="none"/>
        </w:rPr>
        <w:t>广西政府采购云平台</w:t>
      </w:r>
      <w:r>
        <w:rPr>
          <w:rFonts w:hint="eastAsia" w:ascii="仿宋" w:hAnsi="仿宋" w:eastAsia="仿宋" w:cs="仿宋"/>
          <w:bCs/>
          <w:color w:val="auto"/>
          <w:szCs w:val="21"/>
          <w:highlight w:val="none"/>
        </w:rPr>
        <w:t>将予以拒收。</w:t>
      </w:r>
    </w:p>
    <w:p w14:paraId="1261C1C1">
      <w:pPr>
        <w:widowControl/>
        <w:spacing w:line="360" w:lineRule="auto"/>
        <w:ind w:firstLine="525" w:firstLineChars="250"/>
        <w:jc w:val="left"/>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4.评标说明：本项目为远程异地全流程电子评标。</w:t>
      </w:r>
    </w:p>
    <w:p w14:paraId="6F3CC2C9">
      <w:pPr>
        <w:widowControl/>
        <w:spacing w:line="360" w:lineRule="auto"/>
        <w:ind w:firstLine="525" w:firstLineChars="25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5</w:t>
      </w:r>
      <w:r>
        <w:rPr>
          <w:rFonts w:hint="eastAsia" w:ascii="仿宋" w:hAnsi="仿宋" w:eastAsia="仿宋" w:cs="仿宋"/>
          <w:bCs/>
          <w:color w:val="auto"/>
          <w:szCs w:val="21"/>
          <w:highlight w:val="none"/>
        </w:rPr>
        <w:t>.磋商保证金：无。</w:t>
      </w:r>
    </w:p>
    <w:p w14:paraId="23654CD9">
      <w:pPr>
        <w:widowControl/>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 xml:space="preserve"> </w:t>
      </w:r>
      <w:r>
        <w:rPr>
          <w:rFonts w:hint="eastAsia" w:ascii="仿宋" w:hAnsi="仿宋" w:eastAsia="仿宋" w:cs="仿宋"/>
          <w:bCs/>
          <w:color w:val="auto"/>
          <w:szCs w:val="21"/>
          <w:highlight w:val="none"/>
          <w:lang w:val="en-US" w:eastAsia="zh-CN"/>
        </w:rPr>
        <w:t>6</w:t>
      </w:r>
      <w:r>
        <w:rPr>
          <w:rFonts w:hint="eastAsia" w:ascii="仿宋" w:hAnsi="仿宋" w:eastAsia="仿宋" w:cs="仿宋"/>
          <w:bCs/>
          <w:color w:val="auto"/>
          <w:szCs w:val="21"/>
          <w:highlight w:val="none"/>
        </w:rPr>
        <w:t>.监督部门：防城港市财政局</w:t>
      </w: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电话：0770-6102323</w:t>
      </w:r>
    </w:p>
    <w:p w14:paraId="72765743">
      <w:pPr>
        <w:spacing w:line="360" w:lineRule="auto"/>
        <w:ind w:firstLine="482" w:firstLineChars="200"/>
        <w:rPr>
          <w:rFonts w:hint="eastAsia" w:ascii="仿宋" w:hAnsi="仿宋" w:eastAsia="仿宋" w:cs="仿宋"/>
          <w:color w:val="auto"/>
          <w:szCs w:val="21"/>
          <w:highlight w:val="none"/>
        </w:rPr>
      </w:pPr>
      <w:r>
        <w:rPr>
          <w:rFonts w:hint="eastAsia" w:ascii="仿宋" w:hAnsi="仿宋" w:eastAsia="仿宋" w:cs="仿宋"/>
          <w:b/>
          <w:color w:val="auto"/>
          <w:sz w:val="24"/>
          <w:highlight w:val="none"/>
        </w:rPr>
        <w:t>八、凡对本次采购提出询问，请按以下方式联系。</w:t>
      </w:r>
      <w:bookmarkEnd w:id="42"/>
      <w:bookmarkEnd w:id="43"/>
      <w:bookmarkEnd w:id="44"/>
      <w:bookmarkEnd w:id="45"/>
      <w:bookmarkEnd w:id="46"/>
    </w:p>
    <w:p w14:paraId="1AD276D9">
      <w:pPr>
        <w:spacing w:line="360" w:lineRule="auto"/>
        <w:ind w:firstLine="420" w:firstLineChars="200"/>
        <w:rPr>
          <w:rFonts w:hint="eastAsia" w:ascii="仿宋" w:hAnsi="仿宋" w:eastAsia="仿宋" w:cs="仿宋"/>
          <w:color w:val="auto"/>
          <w:szCs w:val="21"/>
          <w:highlight w:val="none"/>
        </w:rPr>
      </w:pPr>
      <w:bookmarkStart w:id="48" w:name="_Toc28359019"/>
      <w:bookmarkStart w:id="49" w:name="_Toc35393806"/>
      <w:bookmarkStart w:id="50" w:name="_Toc35393637"/>
      <w:bookmarkStart w:id="51" w:name="_Toc28359096"/>
      <w:r>
        <w:rPr>
          <w:rFonts w:hint="eastAsia" w:ascii="仿宋" w:hAnsi="仿宋" w:eastAsia="仿宋" w:cs="仿宋"/>
          <w:color w:val="auto"/>
          <w:szCs w:val="21"/>
          <w:highlight w:val="none"/>
        </w:rPr>
        <w:t>1.采购人信息</w:t>
      </w:r>
      <w:bookmarkEnd w:id="47"/>
      <w:bookmarkEnd w:id="48"/>
      <w:bookmarkEnd w:id="49"/>
      <w:bookmarkEnd w:id="50"/>
    </w:p>
    <w:bookmarkEnd w:id="51"/>
    <w:p w14:paraId="115D9707">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防城港职业技术学院</w:t>
      </w:r>
    </w:p>
    <w:p w14:paraId="0A7C17EE">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lang w:eastAsia="zh-CN"/>
        </w:rPr>
        <w:t>防城港市江山半岛科教园区（防东公路南侧）</w:t>
      </w:r>
    </w:p>
    <w:p w14:paraId="5F131DC5">
      <w:pPr>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联系方式：</w:t>
      </w:r>
      <w:r>
        <w:rPr>
          <w:rFonts w:hint="eastAsia" w:ascii="仿宋" w:hAnsi="仿宋" w:eastAsia="仿宋" w:cs="仿宋"/>
          <w:color w:val="auto"/>
          <w:szCs w:val="21"/>
          <w:highlight w:val="none"/>
          <w:lang w:eastAsia="zh-CN"/>
        </w:rPr>
        <w:t xml:space="preserve">刘老师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0770-2076107</w:t>
      </w:r>
    </w:p>
    <w:p w14:paraId="57CCBF46">
      <w:pPr>
        <w:spacing w:line="360" w:lineRule="auto"/>
        <w:ind w:firstLine="420" w:firstLineChars="200"/>
        <w:rPr>
          <w:rFonts w:hint="eastAsia" w:ascii="仿宋" w:hAnsi="仿宋" w:eastAsia="仿宋" w:cs="仿宋"/>
          <w:color w:val="auto"/>
          <w:szCs w:val="21"/>
          <w:highlight w:val="none"/>
        </w:rPr>
      </w:pPr>
      <w:bookmarkStart w:id="52" w:name="_Toc35393638"/>
      <w:bookmarkStart w:id="53" w:name="_Toc35393807"/>
      <w:bookmarkStart w:id="54" w:name="_Toc28359020"/>
      <w:bookmarkStart w:id="55" w:name="_Toc28359097"/>
      <w:r>
        <w:rPr>
          <w:rFonts w:hint="eastAsia" w:ascii="仿宋" w:hAnsi="仿宋" w:eastAsia="仿宋" w:cs="仿宋"/>
          <w:color w:val="auto"/>
          <w:szCs w:val="21"/>
          <w:highlight w:val="none"/>
        </w:rPr>
        <w:t>2.采购代理机构信息</w:t>
      </w:r>
      <w:bookmarkEnd w:id="52"/>
      <w:bookmarkEnd w:id="53"/>
      <w:bookmarkEnd w:id="54"/>
      <w:bookmarkEnd w:id="55"/>
    </w:p>
    <w:p w14:paraId="17CD6A59">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广西中启招标咨询有限公司</w:t>
      </w:r>
    </w:p>
    <w:p w14:paraId="61DF4656">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lang w:eastAsia="zh-CN"/>
        </w:rPr>
        <w:t>广西南宁市那洪大道7号研祥智谷A1栋7楼</w:t>
      </w:r>
    </w:p>
    <w:p w14:paraId="22CD3C69">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联系方式：</w:t>
      </w:r>
      <w:r>
        <w:rPr>
          <w:rFonts w:hint="eastAsia" w:ascii="仿宋" w:hAnsi="仿宋" w:eastAsia="仿宋" w:cs="仿宋"/>
          <w:color w:val="auto"/>
          <w:szCs w:val="21"/>
          <w:highlight w:val="none"/>
          <w:lang w:eastAsia="zh-CN"/>
        </w:rPr>
        <w:t>0771-3154419</w:t>
      </w:r>
    </w:p>
    <w:p w14:paraId="040BA7E6">
      <w:pPr>
        <w:spacing w:line="360" w:lineRule="auto"/>
        <w:ind w:firstLine="420" w:firstLineChars="200"/>
        <w:rPr>
          <w:rFonts w:hint="eastAsia" w:ascii="仿宋" w:hAnsi="仿宋" w:eastAsia="仿宋" w:cs="仿宋"/>
          <w:color w:val="auto"/>
          <w:szCs w:val="21"/>
          <w:highlight w:val="none"/>
        </w:rPr>
      </w:pPr>
      <w:bookmarkStart w:id="56" w:name="_Toc28359021"/>
      <w:bookmarkStart w:id="57" w:name="_Toc35393808"/>
      <w:bookmarkStart w:id="58" w:name="_Toc35393639"/>
      <w:bookmarkStart w:id="59" w:name="_Toc28359098"/>
      <w:r>
        <w:rPr>
          <w:rFonts w:hint="eastAsia" w:ascii="仿宋" w:hAnsi="仿宋" w:eastAsia="仿宋" w:cs="仿宋"/>
          <w:color w:val="auto"/>
          <w:szCs w:val="21"/>
          <w:highlight w:val="none"/>
        </w:rPr>
        <w:t>3.项目联系方式</w:t>
      </w:r>
      <w:bookmarkEnd w:id="56"/>
      <w:bookmarkEnd w:id="57"/>
      <w:bookmarkEnd w:id="58"/>
      <w:bookmarkEnd w:id="59"/>
    </w:p>
    <w:p w14:paraId="5FFE923C">
      <w:pPr>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项目联系人：梁煜、</w:t>
      </w:r>
      <w:r>
        <w:rPr>
          <w:rFonts w:hint="eastAsia" w:ascii="仿宋" w:hAnsi="仿宋" w:eastAsia="仿宋" w:cs="仿宋"/>
          <w:color w:val="auto"/>
          <w:szCs w:val="21"/>
          <w:highlight w:val="none"/>
          <w:lang w:val="en-US" w:eastAsia="zh-CN"/>
        </w:rPr>
        <w:t>方洛菲</w:t>
      </w:r>
    </w:p>
    <w:p w14:paraId="091A34F8">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电话：</w:t>
      </w:r>
      <w:r>
        <w:rPr>
          <w:rFonts w:hint="eastAsia" w:ascii="仿宋" w:hAnsi="仿宋" w:eastAsia="仿宋" w:cs="仿宋"/>
          <w:color w:val="auto"/>
          <w:szCs w:val="21"/>
          <w:highlight w:val="none"/>
          <w:lang w:eastAsia="zh-CN"/>
        </w:rPr>
        <w:t>0771-3154419</w:t>
      </w:r>
    </w:p>
    <w:p w14:paraId="73A4801A">
      <w:pPr>
        <w:spacing w:line="360" w:lineRule="auto"/>
        <w:ind w:firstLine="420" w:firstLineChars="200"/>
        <w:rPr>
          <w:rFonts w:hint="eastAsia" w:ascii="仿宋" w:hAnsi="仿宋" w:eastAsia="仿宋" w:cs="仿宋"/>
          <w:color w:val="auto"/>
          <w:szCs w:val="21"/>
          <w:highlight w:val="none"/>
        </w:rPr>
      </w:pPr>
    </w:p>
    <w:p w14:paraId="03BE6BE7">
      <w:pPr>
        <w:spacing w:line="360" w:lineRule="auto"/>
        <w:ind w:firstLine="420" w:firstLineChars="200"/>
        <w:jc w:val="right"/>
        <w:rPr>
          <w:rFonts w:hint="eastAsia" w:ascii="仿宋" w:hAnsi="仿宋" w:eastAsia="仿宋" w:cs="仿宋"/>
          <w:color w:val="auto"/>
          <w:kern w:val="0"/>
          <w:szCs w:val="21"/>
          <w:highlight w:val="none"/>
        </w:rPr>
      </w:pPr>
    </w:p>
    <w:p w14:paraId="60E5472E">
      <w:pPr>
        <w:spacing w:line="360" w:lineRule="auto"/>
        <w:ind w:firstLine="420" w:firstLineChars="200"/>
        <w:jc w:val="right"/>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采购代理机构：</w:t>
      </w:r>
      <w:r>
        <w:rPr>
          <w:rFonts w:hint="eastAsia" w:ascii="仿宋" w:hAnsi="仿宋" w:eastAsia="仿宋" w:cs="仿宋"/>
          <w:color w:val="auto"/>
          <w:kern w:val="0"/>
          <w:szCs w:val="21"/>
          <w:highlight w:val="none"/>
          <w:lang w:eastAsia="zh-CN"/>
        </w:rPr>
        <w:t>广西中启招标咨询有限公司</w:t>
      </w:r>
    </w:p>
    <w:p w14:paraId="7AE4ABE7">
      <w:pPr>
        <w:wordWrap w:val="0"/>
        <w:spacing w:line="360" w:lineRule="auto"/>
        <w:ind w:firstLine="420" w:firstLineChars="200"/>
        <w:jc w:val="righ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202</w:t>
      </w:r>
      <w:r>
        <w:rPr>
          <w:rFonts w:hint="eastAsia" w:ascii="仿宋" w:hAnsi="仿宋" w:eastAsia="仿宋" w:cs="仿宋"/>
          <w:color w:val="auto"/>
          <w:kern w:val="0"/>
          <w:szCs w:val="21"/>
          <w:highlight w:val="none"/>
          <w:lang w:val="en-US" w:eastAsia="zh-CN"/>
        </w:rPr>
        <w:t>6</w:t>
      </w:r>
      <w:r>
        <w:rPr>
          <w:rFonts w:hint="eastAsia" w:ascii="仿宋" w:hAnsi="仿宋" w:eastAsia="仿宋" w:cs="仿宋"/>
          <w:color w:val="auto"/>
          <w:kern w:val="0"/>
          <w:szCs w:val="21"/>
          <w:highlight w:val="none"/>
        </w:rPr>
        <w:t>年</w:t>
      </w:r>
      <w:r>
        <w:rPr>
          <w:rFonts w:hint="eastAsia" w:ascii="仿宋" w:hAnsi="仿宋" w:eastAsia="仿宋" w:cs="仿宋"/>
          <w:color w:val="auto"/>
          <w:kern w:val="0"/>
          <w:szCs w:val="21"/>
          <w:highlight w:val="none"/>
          <w:u w:val="none"/>
          <w:lang w:val="en-US" w:eastAsia="zh-CN"/>
        </w:rPr>
        <w:t>8</w:t>
      </w:r>
      <w:r>
        <w:rPr>
          <w:rFonts w:hint="eastAsia" w:ascii="仿宋" w:hAnsi="仿宋" w:eastAsia="仿宋" w:cs="仿宋"/>
          <w:color w:val="auto"/>
          <w:kern w:val="0"/>
          <w:szCs w:val="21"/>
          <w:highlight w:val="none"/>
          <w:u w:val="none"/>
        </w:rPr>
        <w:t>月</w:t>
      </w:r>
      <w:r>
        <w:rPr>
          <w:rFonts w:hint="eastAsia" w:ascii="仿宋" w:hAnsi="仿宋" w:eastAsia="仿宋" w:cs="仿宋"/>
          <w:color w:val="auto"/>
          <w:kern w:val="0"/>
          <w:szCs w:val="21"/>
          <w:highlight w:val="none"/>
          <w:u w:val="none"/>
          <w:lang w:val="en-US" w:eastAsia="zh-CN"/>
        </w:rPr>
        <w:t>4</w:t>
      </w:r>
      <w:r>
        <w:rPr>
          <w:rFonts w:hint="eastAsia" w:ascii="仿宋" w:hAnsi="仿宋" w:eastAsia="仿宋" w:cs="仿宋"/>
          <w:color w:val="auto"/>
          <w:kern w:val="0"/>
          <w:szCs w:val="21"/>
          <w:highlight w:val="none"/>
        </w:rPr>
        <w:t>日</w:t>
      </w:r>
    </w:p>
    <w:p w14:paraId="6DBA5926">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br w:type="page"/>
      </w:r>
      <w:bookmarkStart w:id="60" w:name="_Toc74323457"/>
      <w:r>
        <w:rPr>
          <w:rFonts w:hint="eastAsia" w:ascii="仿宋" w:hAnsi="仿宋" w:eastAsia="仿宋" w:cs="仿宋"/>
          <w:b/>
          <w:color w:val="auto"/>
          <w:sz w:val="32"/>
          <w:szCs w:val="32"/>
          <w:highlight w:val="none"/>
        </w:rPr>
        <w:t>第二章 供应商须知</w:t>
      </w:r>
      <w:bookmarkEnd w:id="60"/>
    </w:p>
    <w:p w14:paraId="57044D86">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供应商须知前附表</w:t>
      </w:r>
    </w:p>
    <w:p w14:paraId="674C481C">
      <w:pPr>
        <w:spacing w:line="400" w:lineRule="exact"/>
        <w:jc w:val="center"/>
        <w:rPr>
          <w:rFonts w:hint="eastAsia" w:ascii="仿宋" w:hAnsi="仿宋" w:eastAsia="仿宋" w:cs="仿宋"/>
          <w:b/>
          <w:color w:val="auto"/>
          <w:sz w:val="32"/>
          <w:szCs w:val="32"/>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7912"/>
      </w:tblGrid>
      <w:tr w14:paraId="2F71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top"/>
          </w:tcPr>
          <w:p w14:paraId="7A14DAE5">
            <w:pPr>
              <w:spacing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条款号</w:t>
            </w:r>
          </w:p>
        </w:tc>
        <w:tc>
          <w:tcPr>
            <w:tcW w:w="7912" w:type="dxa"/>
            <w:tcBorders>
              <w:top w:val="single" w:color="auto" w:sz="4" w:space="0"/>
              <w:left w:val="single" w:color="auto" w:sz="4" w:space="0"/>
              <w:bottom w:val="single" w:color="auto" w:sz="4" w:space="0"/>
              <w:right w:val="single" w:color="auto" w:sz="4" w:space="0"/>
            </w:tcBorders>
            <w:noWrap/>
            <w:vAlign w:val="top"/>
          </w:tcPr>
          <w:p w14:paraId="5DF403F8">
            <w:pPr>
              <w:spacing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内    容</w:t>
            </w:r>
          </w:p>
        </w:tc>
      </w:tr>
      <w:tr w14:paraId="354A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62BCFA77">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7912" w:type="dxa"/>
            <w:tcBorders>
              <w:top w:val="single" w:color="auto" w:sz="4" w:space="0"/>
              <w:left w:val="single" w:color="auto" w:sz="4" w:space="0"/>
              <w:bottom w:val="single" w:color="auto" w:sz="4" w:space="0"/>
              <w:right w:val="single" w:color="auto" w:sz="4" w:space="0"/>
            </w:tcBorders>
            <w:noWrap/>
            <w:vAlign w:val="center"/>
          </w:tcPr>
          <w:p w14:paraId="7B3EB60B">
            <w:pPr>
              <w:spacing w:line="360" w:lineRule="auto"/>
              <w:rPr>
                <w:rFonts w:hint="eastAsia" w:ascii="仿宋" w:hAnsi="仿宋" w:eastAsia="仿宋" w:cs="仿宋"/>
                <w:color w:val="auto"/>
                <w:szCs w:val="21"/>
                <w:highlight w:val="none"/>
                <w:lang w:eastAsia="zh-CN"/>
              </w:rPr>
            </w:pPr>
            <w:r>
              <w:rPr>
                <w:rFonts w:hint="eastAsia" w:ascii="仿宋" w:hAnsi="仿宋" w:eastAsia="仿宋" w:cs="仿宋"/>
                <w:bCs/>
                <w:color w:val="auto"/>
                <w:szCs w:val="21"/>
                <w:highlight w:val="none"/>
              </w:rPr>
              <w:t>1.供应商的资格条件</w:t>
            </w:r>
            <w:r>
              <w:rPr>
                <w:rFonts w:hint="eastAsia" w:ascii="仿宋" w:hAnsi="仿宋" w:eastAsia="仿宋" w:cs="仿宋"/>
                <w:color w:val="auto"/>
                <w:szCs w:val="21"/>
                <w:highlight w:val="none"/>
              </w:rPr>
              <w:t>：详见竞争性磋商公告</w:t>
            </w:r>
            <w:r>
              <w:rPr>
                <w:rFonts w:hint="eastAsia" w:ascii="仿宋" w:hAnsi="仿宋" w:eastAsia="仿宋" w:cs="仿宋"/>
                <w:color w:val="auto"/>
                <w:szCs w:val="21"/>
                <w:highlight w:val="none"/>
                <w:lang w:eastAsia="zh-CN"/>
              </w:rPr>
              <w:t>。</w:t>
            </w:r>
          </w:p>
          <w:p w14:paraId="41671441">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bCs/>
                <w:color w:val="auto"/>
                <w:szCs w:val="21"/>
                <w:highlight w:val="none"/>
              </w:rPr>
              <w:t>供应商</w:t>
            </w:r>
            <w:r>
              <w:rPr>
                <w:rFonts w:hint="eastAsia" w:ascii="仿宋" w:hAnsi="仿宋" w:eastAsia="仿宋" w:cs="仿宋"/>
                <w:color w:val="auto"/>
                <w:szCs w:val="21"/>
                <w:highlight w:val="none"/>
              </w:rPr>
              <w:t>出现下列情形之一的，不得参加政府采购活动：</w:t>
            </w:r>
          </w:p>
          <w:p w14:paraId="49089C9C">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7FF6C2B">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6F7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32D5A458">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5.1</w:t>
            </w:r>
          </w:p>
        </w:tc>
        <w:tc>
          <w:tcPr>
            <w:tcW w:w="7912" w:type="dxa"/>
            <w:tcBorders>
              <w:top w:val="single" w:color="auto" w:sz="4" w:space="0"/>
              <w:left w:val="single" w:color="auto" w:sz="4" w:space="0"/>
              <w:bottom w:val="single" w:color="auto" w:sz="4" w:space="0"/>
              <w:right w:val="single" w:color="auto" w:sz="4" w:space="0"/>
            </w:tcBorders>
            <w:noWrap/>
            <w:vAlign w:val="center"/>
          </w:tcPr>
          <w:p w14:paraId="33832F93">
            <w:pPr>
              <w:spacing w:line="360" w:lineRule="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是否接受联合体竞标：详见竞争性磋商公告</w:t>
            </w:r>
            <w:r>
              <w:rPr>
                <w:rFonts w:hint="eastAsia" w:ascii="仿宋" w:hAnsi="仿宋" w:eastAsia="仿宋" w:cs="仿宋"/>
                <w:color w:val="auto"/>
                <w:szCs w:val="21"/>
                <w:highlight w:val="none"/>
                <w:lang w:eastAsia="zh-CN"/>
              </w:rPr>
              <w:t>。</w:t>
            </w:r>
          </w:p>
        </w:tc>
      </w:tr>
      <w:tr w14:paraId="30A9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66466A2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6.2</w:t>
            </w:r>
          </w:p>
        </w:tc>
        <w:tc>
          <w:tcPr>
            <w:tcW w:w="7912" w:type="dxa"/>
            <w:tcBorders>
              <w:top w:val="single" w:color="auto" w:sz="4" w:space="0"/>
              <w:left w:val="single" w:color="auto" w:sz="4" w:space="0"/>
              <w:bottom w:val="single" w:color="auto" w:sz="4" w:space="0"/>
              <w:right w:val="single" w:color="auto" w:sz="4" w:space="0"/>
            </w:tcBorders>
            <w:noWrap/>
            <w:vAlign w:val="center"/>
          </w:tcPr>
          <w:p w14:paraId="32C55685">
            <w:pPr>
              <w:pStyle w:val="31"/>
              <w:spacing w:line="360" w:lineRule="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不允许分包</w:t>
            </w:r>
            <w:r>
              <w:rPr>
                <w:rFonts w:hint="eastAsia" w:ascii="仿宋" w:hAnsi="仿宋" w:eastAsia="仿宋" w:cs="仿宋"/>
                <w:color w:val="auto"/>
                <w:szCs w:val="21"/>
                <w:highlight w:val="none"/>
                <w:lang w:eastAsia="zh-CN"/>
              </w:rPr>
              <w:t>。</w:t>
            </w:r>
          </w:p>
        </w:tc>
      </w:tr>
      <w:tr w14:paraId="4570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080BF835">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w:t>
            </w:r>
          </w:p>
        </w:tc>
        <w:tc>
          <w:tcPr>
            <w:tcW w:w="7912" w:type="dxa"/>
            <w:tcBorders>
              <w:top w:val="single" w:color="auto" w:sz="4" w:space="0"/>
              <w:left w:val="single" w:color="auto" w:sz="4" w:space="0"/>
              <w:bottom w:val="single" w:color="auto" w:sz="4" w:space="0"/>
              <w:right w:val="single" w:color="auto" w:sz="4" w:space="0"/>
            </w:tcBorders>
            <w:noWrap/>
            <w:vAlign w:val="center"/>
          </w:tcPr>
          <w:p w14:paraId="00CF7D69">
            <w:pPr>
              <w:spacing w:line="360" w:lineRule="auto"/>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资格证明文件</w:t>
            </w:r>
          </w:p>
          <w:p w14:paraId="03003BE1">
            <w:pPr>
              <w:pStyle w:val="31"/>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1.供应商为法人或者其他组织的提供其营业执照等证明文件（如营业执照或者事业单位法人证书或者执业许可证或者登记证书等）；（</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7ADF5113">
            <w:pPr>
              <w:spacing w:line="360" w:lineRule="auto"/>
              <w:contextualSpacing/>
              <w:jc w:val="left"/>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供应商</w:t>
            </w:r>
            <w:r>
              <w:rPr>
                <w:rFonts w:hint="eastAsia" w:ascii="仿宋" w:hAnsi="仿宋" w:eastAsia="仿宋" w:cs="仿宋"/>
                <w:color w:val="auto"/>
                <w:szCs w:val="21"/>
                <w:highlight w:val="none"/>
              </w:rPr>
              <w:t>根据防财监〔2023〕58号文要求提供的《防城港市政府采购供应商信用承诺函》（格式附后）</w:t>
            </w:r>
            <w:r>
              <w:rPr>
                <w:rFonts w:hint="eastAsia" w:ascii="仿宋" w:hAnsi="仿宋" w:eastAsia="仿宋" w:cs="仿宋"/>
                <w:bCs/>
                <w:color w:val="auto"/>
                <w:szCs w:val="21"/>
                <w:highlight w:val="none"/>
              </w:rPr>
              <w:t>（</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bCs/>
                <w:color w:val="auto"/>
                <w:szCs w:val="21"/>
                <w:highlight w:val="none"/>
              </w:rPr>
              <w:t>）</w:t>
            </w:r>
          </w:p>
          <w:p w14:paraId="78174880">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3.供应商直接控股、管理关系信息表（格式后附）；（</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1C034100">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4.竞标声明（格式后附）；（</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19F1914F">
            <w:pPr>
              <w:spacing w:line="360" w:lineRule="auto"/>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《小微企业声明函》（或《残疾人福利性单位声明函》或属于监狱企业的证明文件）；</w:t>
            </w:r>
            <w:r>
              <w:rPr>
                <w:rFonts w:hint="eastAsia" w:ascii="仿宋" w:hAnsi="仿宋" w:eastAsia="仿宋" w:cs="仿宋"/>
                <w:b/>
                <w:bCs/>
                <w:color w:val="auto"/>
                <w:szCs w:val="21"/>
                <w:highlight w:val="none"/>
                <w:lang w:val="en-US" w:eastAsia="zh-CN"/>
              </w:rPr>
              <w:t>（必须提供，否则响应文件按无效处理）</w:t>
            </w:r>
          </w:p>
          <w:p w14:paraId="7C7B721F">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除磋商文件规定必须提供以外，供应商认为需要提供的其他证明材料；</w:t>
            </w:r>
          </w:p>
          <w:p w14:paraId="3BA673F5">
            <w:pPr>
              <w:spacing w:line="360" w:lineRule="auto"/>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注：</w:t>
            </w:r>
          </w:p>
          <w:p w14:paraId="58C6727F">
            <w:pPr>
              <w:spacing w:line="360" w:lineRule="auto"/>
              <w:ind w:firstLine="413" w:firstLineChars="196"/>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1.以上标明“必须提供” 的材料 ，必须加盖供应商电子签章；必须提供的材料在第五章“响应文件格式”中 有要求法定代表人或委托代理人签字的，必须由法定代表人或委托代理人签字，否则响应文件按无效响应处理。 其中 ，竞标声明必须由法定代表人或委托代理人在规定签章处签字（或盖章）并加盖供应商电子签章， 否则响应文件按无效响应处理。</w:t>
            </w:r>
          </w:p>
          <w:p w14:paraId="1517BE28">
            <w:pPr>
              <w:pStyle w:val="22"/>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2.分公司参加竞标的，应当取得总公司授权，无授权的则作无效竞标处理。</w:t>
            </w:r>
          </w:p>
        </w:tc>
      </w:tr>
      <w:tr w14:paraId="09F2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2DDF133A">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w:t>
            </w:r>
          </w:p>
        </w:tc>
        <w:tc>
          <w:tcPr>
            <w:tcW w:w="7912" w:type="dxa"/>
            <w:tcBorders>
              <w:top w:val="single" w:color="auto" w:sz="4" w:space="0"/>
              <w:left w:val="single" w:color="auto" w:sz="4" w:space="0"/>
              <w:bottom w:val="single" w:color="auto" w:sz="4" w:space="0"/>
              <w:right w:val="single" w:color="auto" w:sz="4" w:space="0"/>
            </w:tcBorders>
            <w:noWrap/>
            <w:vAlign w:val="center"/>
          </w:tcPr>
          <w:p w14:paraId="146FE6D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报价文件</w:t>
            </w:r>
          </w:p>
          <w:p w14:paraId="1CB00281">
            <w:pPr>
              <w:numPr>
                <w:ilvl w:val="0"/>
                <w:numId w:val="1"/>
              </w:num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竞标报价表（格式后附）；（</w:t>
            </w:r>
            <w:r>
              <w:rPr>
                <w:rFonts w:hint="eastAsia" w:ascii="仿宋" w:hAnsi="仿宋" w:eastAsia="仿宋" w:cs="仿宋"/>
                <w:b/>
                <w:color w:val="auto"/>
                <w:szCs w:val="21"/>
                <w:highlight w:val="none"/>
              </w:rPr>
              <w:t>必须提供，否则响应文件按无效处理</w:t>
            </w:r>
            <w:r>
              <w:rPr>
                <w:rFonts w:hint="eastAsia" w:ascii="仿宋" w:hAnsi="仿宋" w:eastAsia="仿宋" w:cs="仿宋"/>
                <w:color w:val="auto"/>
                <w:szCs w:val="21"/>
                <w:highlight w:val="none"/>
              </w:rPr>
              <w:t>）</w:t>
            </w:r>
          </w:p>
          <w:p w14:paraId="04A960A7">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2.供应商认为需要提供的其他有关资料。</w:t>
            </w:r>
          </w:p>
        </w:tc>
      </w:tr>
      <w:tr w14:paraId="45C4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61BD1482">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12.1.3</w:t>
            </w:r>
          </w:p>
        </w:tc>
        <w:tc>
          <w:tcPr>
            <w:tcW w:w="7912" w:type="dxa"/>
            <w:tcBorders>
              <w:top w:val="single" w:color="auto" w:sz="4" w:space="0"/>
              <w:left w:val="single" w:color="auto" w:sz="4" w:space="0"/>
              <w:bottom w:val="single" w:color="auto" w:sz="4" w:space="0"/>
              <w:right w:val="single" w:color="auto" w:sz="4" w:space="0"/>
            </w:tcBorders>
            <w:noWrap/>
            <w:vAlign w:val="center"/>
          </w:tcPr>
          <w:p w14:paraId="0FC42D68">
            <w:pPr>
              <w:spacing w:line="360" w:lineRule="auto"/>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商务技术文件</w:t>
            </w:r>
          </w:p>
          <w:p w14:paraId="2929F903">
            <w:pPr>
              <w:spacing w:line="360" w:lineRule="auto"/>
              <w:contextualSpacing/>
              <w:jc w:val="left"/>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color w:val="auto"/>
                <w:szCs w:val="21"/>
                <w:highlight w:val="none"/>
              </w:rPr>
              <w:t>1.无</w:t>
            </w:r>
            <w:r>
              <w:rPr>
                <w:rFonts w:hint="eastAsia" w:ascii="仿宋" w:hAnsi="仿宋" w:eastAsia="仿宋" w:cs="仿宋"/>
                <w:bCs/>
                <w:iCs/>
                <w:color w:val="auto"/>
                <w:kern w:val="2"/>
                <w:sz w:val="21"/>
                <w:szCs w:val="21"/>
                <w:highlight w:val="none"/>
                <w:lang w:val="en-US" w:eastAsia="zh-CN" w:bidi="ar-SA"/>
              </w:rPr>
              <w:t>串通竞标行为的承诺函（格式后附）；</w:t>
            </w:r>
            <w:r>
              <w:rPr>
                <w:rFonts w:hint="eastAsia" w:ascii="仿宋" w:hAnsi="仿宋" w:eastAsia="仿宋" w:cs="仿宋"/>
                <w:b/>
                <w:bCs w:val="0"/>
                <w:iCs/>
                <w:color w:val="auto"/>
                <w:kern w:val="2"/>
                <w:sz w:val="21"/>
                <w:szCs w:val="21"/>
                <w:highlight w:val="none"/>
                <w:lang w:val="en-US" w:eastAsia="zh-CN" w:bidi="ar-SA"/>
              </w:rPr>
              <w:t>（必须提供，否则响应文件按无效响应处理）</w:t>
            </w:r>
          </w:p>
          <w:p w14:paraId="7B3F95A2">
            <w:pPr>
              <w:spacing w:line="360" w:lineRule="auto"/>
              <w:contextualSpacing/>
              <w:jc w:val="left"/>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2.法定代表人身份证明书及法定代表人有效身份证正反面复印件或扫描件（格式后附）；</w:t>
            </w:r>
            <w:r>
              <w:rPr>
                <w:rFonts w:hint="eastAsia" w:ascii="仿宋" w:hAnsi="仿宋" w:eastAsia="仿宋" w:cs="仿宋"/>
                <w:b/>
                <w:bCs w:val="0"/>
                <w:iCs/>
                <w:color w:val="auto"/>
                <w:kern w:val="2"/>
                <w:sz w:val="21"/>
                <w:szCs w:val="21"/>
                <w:highlight w:val="none"/>
                <w:lang w:val="en-US" w:eastAsia="zh-CN" w:bidi="ar-SA"/>
              </w:rPr>
              <w:t>（除自然人竞标外必须提供，否则响应文件按无效响应处理）</w:t>
            </w:r>
          </w:p>
          <w:p w14:paraId="24C39914">
            <w:pPr>
              <w:spacing w:line="360" w:lineRule="auto"/>
              <w:contextualSpacing/>
              <w:jc w:val="left"/>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3.授权委托书及委托代理人有效身份证正反面复印件或扫描件（格式后附）；（委托时必须提供，否则响应文件按无效响应处理）</w:t>
            </w:r>
          </w:p>
          <w:p w14:paraId="79F8DD0F">
            <w:pPr>
              <w:spacing w:line="360" w:lineRule="auto"/>
              <w:contextualSpacing/>
              <w:jc w:val="left"/>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4.商务要求偏离表（格式后附）；</w:t>
            </w:r>
            <w:r>
              <w:rPr>
                <w:rFonts w:hint="eastAsia" w:ascii="仿宋" w:hAnsi="仿宋" w:eastAsia="仿宋" w:cs="仿宋"/>
                <w:b/>
                <w:bCs w:val="0"/>
                <w:iCs/>
                <w:color w:val="auto"/>
                <w:kern w:val="2"/>
                <w:sz w:val="21"/>
                <w:szCs w:val="21"/>
                <w:highlight w:val="none"/>
                <w:lang w:val="en-US" w:eastAsia="zh-CN" w:bidi="ar-SA"/>
              </w:rPr>
              <w:t>（必须提供，否则响应文件按无效响应处理）</w:t>
            </w:r>
          </w:p>
          <w:p w14:paraId="66AB7EB4">
            <w:pPr>
              <w:spacing w:line="360" w:lineRule="auto"/>
              <w:contextualSpacing/>
              <w:jc w:val="left"/>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 xml:space="preserve">5.代理服务费承诺书（格式后附）； </w:t>
            </w:r>
          </w:p>
          <w:p w14:paraId="6CD924C8">
            <w:pPr>
              <w:spacing w:line="360" w:lineRule="auto"/>
              <w:contextualSpacing/>
              <w:jc w:val="left"/>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6.技术要求偏离表（格式后附）；</w:t>
            </w:r>
            <w:r>
              <w:rPr>
                <w:rFonts w:hint="eastAsia" w:ascii="仿宋" w:hAnsi="仿宋" w:eastAsia="仿宋" w:cs="仿宋"/>
                <w:b/>
                <w:bCs w:val="0"/>
                <w:iCs/>
                <w:color w:val="auto"/>
                <w:kern w:val="2"/>
                <w:sz w:val="21"/>
                <w:szCs w:val="21"/>
                <w:highlight w:val="none"/>
                <w:lang w:val="en-US" w:eastAsia="zh-CN" w:bidi="ar-SA"/>
              </w:rPr>
              <w:t>（必须提供，否则响应文件按无效响应处理）</w:t>
            </w:r>
          </w:p>
          <w:p w14:paraId="3A1CE939">
            <w:pPr>
              <w:spacing w:line="360" w:lineRule="auto"/>
              <w:contextualSpacing/>
              <w:jc w:val="left"/>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7.服务方案（格式自拟）；</w:t>
            </w:r>
          </w:p>
          <w:p w14:paraId="111DEC60">
            <w:pPr>
              <w:spacing w:line="360" w:lineRule="auto"/>
              <w:contextualSpacing/>
              <w:jc w:val="left"/>
              <w:rPr>
                <w:rFonts w:hint="eastAsia" w:ascii="仿宋" w:hAnsi="仿宋" w:eastAsia="仿宋" w:cs="仿宋"/>
                <w:color w:val="auto"/>
                <w:szCs w:val="21"/>
                <w:highlight w:val="none"/>
              </w:rPr>
            </w:pPr>
            <w:r>
              <w:rPr>
                <w:rFonts w:hint="eastAsia" w:ascii="仿宋" w:hAnsi="仿宋" w:eastAsia="仿宋" w:cs="仿宋"/>
                <w:bCs/>
                <w:iCs/>
                <w:color w:val="auto"/>
                <w:kern w:val="2"/>
                <w:sz w:val="21"/>
                <w:szCs w:val="21"/>
                <w:highlight w:val="none"/>
                <w:lang w:val="en-US" w:eastAsia="zh-CN" w:bidi="ar-SA"/>
              </w:rPr>
              <w:t>8.对应采购需求的</w:t>
            </w:r>
            <w:r>
              <w:rPr>
                <w:rFonts w:hint="eastAsia" w:ascii="仿宋" w:hAnsi="仿宋" w:eastAsia="仿宋" w:cs="仿宋"/>
                <w:color w:val="auto"/>
                <w:szCs w:val="21"/>
                <w:highlight w:val="none"/>
              </w:rPr>
              <w:t>技术要求、商务要求提供的其他文件资料（格式自拟）；</w:t>
            </w:r>
          </w:p>
          <w:p w14:paraId="5B3F47D8">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9.供应商认为需要提供的其他有关资料。</w:t>
            </w:r>
          </w:p>
          <w:p w14:paraId="489C0D15">
            <w:pPr>
              <w:spacing w:line="360" w:lineRule="auto"/>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注：以上标明“必须提供” 的材料 ，必须加盖供应商电子签章；必须提供的材料在第五章“响应文件格式”中 有要求法定代表人或委托代理人签字的，必须由法定代表人或委托代理人签字，否则响应文件按无效响应处理。</w:t>
            </w:r>
          </w:p>
        </w:tc>
      </w:tr>
      <w:tr w14:paraId="5588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4993EE6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w:t>
            </w:r>
          </w:p>
        </w:tc>
        <w:tc>
          <w:tcPr>
            <w:tcW w:w="7912" w:type="dxa"/>
            <w:tcBorders>
              <w:top w:val="single" w:color="auto" w:sz="4" w:space="0"/>
              <w:left w:val="single" w:color="auto" w:sz="4" w:space="0"/>
              <w:bottom w:val="single" w:color="auto" w:sz="4" w:space="0"/>
              <w:right w:val="single" w:color="auto" w:sz="4" w:space="0"/>
            </w:tcBorders>
            <w:noWrap/>
            <w:vAlign w:val="center"/>
          </w:tcPr>
          <w:p w14:paraId="0B7210AC">
            <w:pPr>
              <w:spacing w:line="360" w:lineRule="auto"/>
              <w:contextualSpacing/>
              <w:jc w:val="left"/>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kern w:val="2"/>
                <w:sz w:val="21"/>
                <w:szCs w:val="21"/>
                <w:highlight w:val="none"/>
                <w:lang w:val="en-US" w:eastAsia="zh-CN" w:bidi="ar-SA"/>
              </w:rPr>
              <w:t>竞标报价为供应商完成项目采购需求范围内所需一切费用，包含服务及涉及的全部物资的价款、运输、存储、管理、人工等成本费用，以及保险、税金、利润及其他所有费用的总和，均已包含在竞标报价中。</w:t>
            </w:r>
          </w:p>
        </w:tc>
      </w:tr>
      <w:tr w14:paraId="708E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5B5DD516">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w:t>
            </w:r>
          </w:p>
        </w:tc>
        <w:tc>
          <w:tcPr>
            <w:tcW w:w="7912" w:type="dxa"/>
            <w:tcBorders>
              <w:top w:val="single" w:color="auto" w:sz="4" w:space="0"/>
              <w:left w:val="single" w:color="auto" w:sz="4" w:space="0"/>
              <w:bottom w:val="single" w:color="auto" w:sz="4" w:space="0"/>
              <w:right w:val="single" w:color="auto" w:sz="4" w:space="0"/>
            </w:tcBorders>
            <w:noWrap/>
            <w:vAlign w:val="center"/>
          </w:tcPr>
          <w:p w14:paraId="790C2597">
            <w:pPr>
              <w:pStyle w:val="30"/>
              <w:widowControl w:val="0"/>
              <w:tabs>
                <w:tab w:val="clear" w:pos="454"/>
              </w:tabs>
              <w:spacing w:line="360" w:lineRule="auto"/>
              <w:ind w:left="283" w:hanging="283" w:hangingChars="135"/>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竞标有效期：自首次响应文件提交截止之日起</w:t>
            </w:r>
            <w:r>
              <w:rPr>
                <w:rFonts w:hint="eastAsia" w:ascii="仿宋" w:hAnsi="仿宋" w:eastAsia="仿宋" w:cs="仿宋"/>
                <w:color w:val="auto"/>
                <w:kern w:val="2"/>
                <w:sz w:val="21"/>
                <w:szCs w:val="21"/>
                <w:highlight w:val="none"/>
                <w:u w:val="single"/>
              </w:rPr>
              <w:t>90</w:t>
            </w:r>
            <w:r>
              <w:rPr>
                <w:rFonts w:hint="eastAsia" w:ascii="仿宋" w:hAnsi="仿宋" w:eastAsia="仿宋" w:cs="仿宋"/>
                <w:color w:val="auto"/>
                <w:kern w:val="2"/>
                <w:sz w:val="21"/>
                <w:szCs w:val="21"/>
                <w:highlight w:val="none"/>
              </w:rPr>
              <w:t>日。</w:t>
            </w:r>
          </w:p>
        </w:tc>
      </w:tr>
      <w:tr w14:paraId="5323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371A1AB7">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17.1</w:t>
            </w:r>
          </w:p>
        </w:tc>
        <w:tc>
          <w:tcPr>
            <w:tcW w:w="7912" w:type="dxa"/>
            <w:tcBorders>
              <w:top w:val="single" w:color="auto" w:sz="4" w:space="0"/>
              <w:left w:val="single" w:color="auto" w:sz="4" w:space="0"/>
              <w:bottom w:val="single" w:color="auto" w:sz="4" w:space="0"/>
              <w:right w:val="single" w:color="auto" w:sz="4" w:space="0"/>
            </w:tcBorders>
            <w:noWrap/>
            <w:vAlign w:val="center"/>
          </w:tcPr>
          <w:p w14:paraId="39A2A584">
            <w:pPr>
              <w:autoSpaceDE w:val="0"/>
              <w:autoSpaceDN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本项目不收取磋商保证金。</w:t>
            </w:r>
          </w:p>
        </w:tc>
      </w:tr>
      <w:tr w14:paraId="60E4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7D9046C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19</w:t>
            </w:r>
          </w:p>
        </w:tc>
        <w:tc>
          <w:tcPr>
            <w:tcW w:w="7912" w:type="dxa"/>
            <w:tcBorders>
              <w:top w:val="single" w:color="auto" w:sz="4" w:space="0"/>
              <w:left w:val="single" w:color="auto" w:sz="4" w:space="0"/>
              <w:bottom w:val="single" w:color="auto" w:sz="4" w:space="0"/>
              <w:right w:val="single" w:color="auto" w:sz="4" w:space="0"/>
            </w:tcBorders>
            <w:noWrap/>
            <w:vAlign w:val="center"/>
          </w:tcPr>
          <w:p w14:paraId="2CD4183A">
            <w:pPr>
              <w:spacing w:line="360" w:lineRule="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本项目不接受</w:t>
            </w:r>
            <w:r>
              <w:rPr>
                <w:rFonts w:hint="eastAsia" w:ascii="仿宋" w:hAnsi="仿宋" w:eastAsia="仿宋" w:cs="仿宋"/>
                <w:color w:val="auto"/>
                <w:highlight w:val="none"/>
              </w:rPr>
              <w:t>电子</w:t>
            </w:r>
            <w:r>
              <w:rPr>
                <w:rFonts w:hint="eastAsia" w:ascii="仿宋" w:hAnsi="仿宋" w:eastAsia="仿宋" w:cs="仿宋"/>
                <w:color w:val="auto"/>
                <w:szCs w:val="21"/>
                <w:highlight w:val="none"/>
              </w:rPr>
              <w:t>备份响应文件</w:t>
            </w:r>
            <w:r>
              <w:rPr>
                <w:rFonts w:hint="eastAsia" w:ascii="仿宋" w:hAnsi="仿宋" w:eastAsia="仿宋" w:cs="仿宋"/>
                <w:color w:val="auto"/>
                <w:szCs w:val="21"/>
                <w:highlight w:val="none"/>
                <w:lang w:eastAsia="zh-CN"/>
              </w:rPr>
              <w:t>。</w:t>
            </w:r>
          </w:p>
        </w:tc>
      </w:tr>
      <w:tr w14:paraId="5FE4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0A3EE7DA">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20.1</w:t>
            </w:r>
          </w:p>
        </w:tc>
        <w:tc>
          <w:tcPr>
            <w:tcW w:w="7912" w:type="dxa"/>
            <w:tcBorders>
              <w:top w:val="single" w:color="auto" w:sz="4" w:space="0"/>
              <w:left w:val="single" w:color="auto" w:sz="4" w:space="0"/>
              <w:bottom w:val="single" w:color="auto" w:sz="4" w:space="0"/>
              <w:right w:val="single" w:color="auto" w:sz="4" w:space="0"/>
            </w:tcBorders>
            <w:noWrap/>
            <w:vAlign w:val="center"/>
          </w:tcPr>
          <w:p w14:paraId="226ED648">
            <w:pPr>
              <w:spacing w:line="360" w:lineRule="auto"/>
              <w:contextualSpacing/>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响应文件提交截止时间：详见竞争性磋商公告</w:t>
            </w:r>
            <w:r>
              <w:rPr>
                <w:rFonts w:hint="eastAsia" w:ascii="仿宋" w:hAnsi="仿宋" w:eastAsia="仿宋" w:cs="仿宋"/>
                <w:color w:val="auto"/>
                <w:szCs w:val="21"/>
                <w:highlight w:val="none"/>
                <w:lang w:eastAsia="zh-CN"/>
              </w:rPr>
              <w:t>。</w:t>
            </w:r>
          </w:p>
          <w:p w14:paraId="45F66FBA">
            <w:pPr>
              <w:spacing w:line="360" w:lineRule="auto"/>
              <w:contextualSpacing/>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响应文件提交地点：详见竞争性磋商公告。</w:t>
            </w:r>
          </w:p>
        </w:tc>
      </w:tr>
      <w:tr w14:paraId="5336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5D3E9FE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24.1</w:t>
            </w:r>
          </w:p>
        </w:tc>
        <w:tc>
          <w:tcPr>
            <w:tcW w:w="7912" w:type="dxa"/>
            <w:tcBorders>
              <w:top w:val="single" w:color="auto" w:sz="4" w:space="0"/>
              <w:left w:val="single" w:color="auto" w:sz="4" w:space="0"/>
              <w:bottom w:val="single" w:color="auto" w:sz="4" w:space="0"/>
              <w:right w:val="single" w:color="auto" w:sz="4" w:space="0"/>
            </w:tcBorders>
            <w:noWrap/>
            <w:vAlign w:val="center"/>
          </w:tcPr>
          <w:p w14:paraId="35024924">
            <w:pPr>
              <w:spacing w:line="360" w:lineRule="auto"/>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磋商小组的人数：</w:t>
            </w:r>
            <w:r>
              <w:rPr>
                <w:rFonts w:hint="eastAsia" w:ascii="仿宋" w:hAnsi="仿宋" w:eastAsia="仿宋" w:cs="仿宋"/>
                <w:color w:val="auto"/>
                <w:szCs w:val="21"/>
                <w:highlight w:val="none"/>
                <w:u w:val="single"/>
              </w:rPr>
              <w:t>3</w:t>
            </w:r>
            <w:r>
              <w:rPr>
                <w:rFonts w:hint="eastAsia" w:ascii="仿宋" w:hAnsi="仿宋" w:eastAsia="仿宋" w:cs="仿宋"/>
                <w:color w:val="auto"/>
                <w:szCs w:val="21"/>
                <w:highlight w:val="none"/>
              </w:rPr>
              <w:t>人。</w:t>
            </w:r>
          </w:p>
        </w:tc>
      </w:tr>
      <w:tr w14:paraId="59EB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209ECF87">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25</w:t>
            </w:r>
          </w:p>
        </w:tc>
        <w:tc>
          <w:tcPr>
            <w:tcW w:w="7912" w:type="dxa"/>
            <w:tcBorders>
              <w:top w:val="single" w:color="auto" w:sz="4" w:space="0"/>
              <w:left w:val="single" w:color="auto" w:sz="4" w:space="0"/>
              <w:bottom w:val="single" w:color="auto" w:sz="4" w:space="0"/>
              <w:right w:val="single" w:color="auto" w:sz="4" w:space="0"/>
            </w:tcBorders>
            <w:noWrap/>
            <w:vAlign w:val="center"/>
          </w:tcPr>
          <w:p w14:paraId="1E795DFD">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首次响应文件开启时间详见“竞争性磋商公告”</w:t>
            </w:r>
          </w:p>
          <w:p w14:paraId="031EF3E6">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首次响应文件解密时间：</w:t>
            </w:r>
            <w:r>
              <w:rPr>
                <w:rFonts w:hint="eastAsia" w:ascii="仿宋" w:hAnsi="仿宋" w:eastAsia="仿宋" w:cs="仿宋"/>
                <w:color w:val="auto"/>
                <w:highlight w:val="none"/>
              </w:rPr>
              <w:t>30分钟</w:t>
            </w:r>
          </w:p>
        </w:tc>
      </w:tr>
      <w:tr w14:paraId="5868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1BB8D76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26.3</w:t>
            </w:r>
          </w:p>
        </w:tc>
        <w:tc>
          <w:tcPr>
            <w:tcW w:w="7912" w:type="dxa"/>
            <w:tcBorders>
              <w:top w:val="single" w:color="auto" w:sz="4" w:space="0"/>
              <w:left w:val="single" w:color="auto" w:sz="4" w:space="0"/>
              <w:bottom w:val="single" w:color="auto" w:sz="4" w:space="0"/>
              <w:right w:val="single" w:color="auto" w:sz="4" w:space="0"/>
            </w:tcBorders>
            <w:noWrap/>
            <w:vAlign w:val="center"/>
          </w:tcPr>
          <w:p w14:paraId="094327E5">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商务/技术要求评审中允许负偏离的条款数为</w:t>
            </w:r>
            <w:r>
              <w:rPr>
                <w:rFonts w:hint="eastAsia" w:ascii="仿宋" w:hAnsi="仿宋" w:eastAsia="仿宋" w:cs="仿宋"/>
                <w:color w:val="auto"/>
                <w:szCs w:val="21"/>
                <w:highlight w:val="none"/>
                <w:u w:val="single"/>
              </w:rPr>
              <w:t>0</w:t>
            </w:r>
            <w:r>
              <w:rPr>
                <w:rFonts w:hint="eastAsia" w:ascii="仿宋" w:hAnsi="仿宋" w:eastAsia="仿宋" w:cs="仿宋"/>
                <w:color w:val="auto"/>
                <w:szCs w:val="21"/>
                <w:highlight w:val="none"/>
              </w:rPr>
              <w:t>项。</w:t>
            </w:r>
          </w:p>
        </w:tc>
      </w:tr>
      <w:tr w14:paraId="60B0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34171D74">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28.1</w:t>
            </w:r>
          </w:p>
        </w:tc>
        <w:tc>
          <w:tcPr>
            <w:tcW w:w="7912" w:type="dxa"/>
            <w:tcBorders>
              <w:top w:val="single" w:color="auto" w:sz="4" w:space="0"/>
              <w:left w:val="single" w:color="auto" w:sz="4" w:space="0"/>
              <w:bottom w:val="single" w:color="auto" w:sz="4" w:space="0"/>
              <w:right w:val="single" w:color="auto" w:sz="4" w:space="0"/>
            </w:tcBorders>
            <w:noWrap/>
            <w:vAlign w:val="center"/>
          </w:tcPr>
          <w:p w14:paraId="4BA389D1">
            <w:pPr>
              <w:numPr>
                <w:ilvl w:val="0"/>
                <w:numId w:val="0"/>
              </w:numPr>
              <w:autoSpaceDE w:val="0"/>
              <w:autoSpaceDN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w:t>
            </w:r>
            <w:r>
              <w:rPr>
                <w:rFonts w:hint="eastAsia" w:ascii="仿宋" w:hAnsi="仿宋" w:eastAsia="仿宋" w:cs="仿宋"/>
                <w:color w:val="auto"/>
                <w:szCs w:val="21"/>
                <w:highlight w:val="none"/>
                <w:lang w:eastAsia="zh-CN"/>
              </w:rPr>
              <w:t>不</w:t>
            </w:r>
            <w:r>
              <w:rPr>
                <w:rFonts w:hint="eastAsia" w:ascii="仿宋" w:hAnsi="仿宋" w:eastAsia="仿宋" w:cs="仿宋"/>
                <w:color w:val="auto"/>
                <w:szCs w:val="21"/>
                <w:highlight w:val="none"/>
              </w:rPr>
              <w:t>收取履约保证金</w:t>
            </w:r>
            <w:r>
              <w:rPr>
                <w:rFonts w:hint="eastAsia" w:ascii="仿宋" w:hAnsi="仿宋" w:eastAsia="仿宋" w:cs="仿宋"/>
                <w:color w:val="auto"/>
                <w:szCs w:val="21"/>
                <w:highlight w:val="none"/>
                <w:lang w:eastAsia="zh-CN"/>
              </w:rPr>
              <w:t>。</w:t>
            </w:r>
          </w:p>
        </w:tc>
      </w:tr>
      <w:tr w14:paraId="1FEE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122E40AA">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29.1</w:t>
            </w:r>
          </w:p>
        </w:tc>
        <w:tc>
          <w:tcPr>
            <w:tcW w:w="7912" w:type="dxa"/>
            <w:tcBorders>
              <w:top w:val="single" w:color="auto" w:sz="4" w:space="0"/>
              <w:left w:val="single" w:color="auto" w:sz="4" w:space="0"/>
              <w:bottom w:val="single" w:color="auto" w:sz="4" w:space="0"/>
              <w:right w:val="single" w:color="auto" w:sz="4" w:space="0"/>
            </w:tcBorders>
            <w:noWrap/>
            <w:vAlign w:val="center"/>
          </w:tcPr>
          <w:p w14:paraId="25641D52">
            <w:pPr>
              <w:autoSpaceDE w:val="0"/>
              <w:autoSpaceDN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签订合同携带的证明材料： </w:t>
            </w:r>
          </w:p>
          <w:p w14:paraId="583611AF">
            <w:pPr>
              <w:autoSpaceDE w:val="0"/>
              <w:autoSpaceDN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委托代理人负责签订合同的，须携带授权委托书及委托代理人身份证原件等其他资格证件。</w:t>
            </w:r>
          </w:p>
          <w:p w14:paraId="2A02A28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法定代表人负责签订合同的，须携带法定代表人身份证明原件及身份证原件等其他证明材料。</w:t>
            </w:r>
          </w:p>
        </w:tc>
      </w:tr>
      <w:tr w14:paraId="7EB5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427BFF95">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31.2</w:t>
            </w:r>
          </w:p>
        </w:tc>
        <w:tc>
          <w:tcPr>
            <w:tcW w:w="7912" w:type="dxa"/>
            <w:tcBorders>
              <w:top w:val="single" w:color="auto" w:sz="4" w:space="0"/>
              <w:left w:val="single" w:color="auto" w:sz="4" w:space="0"/>
              <w:bottom w:val="single" w:color="auto" w:sz="4" w:space="0"/>
              <w:right w:val="single" w:color="auto" w:sz="4" w:space="0"/>
            </w:tcBorders>
            <w:noWrap/>
            <w:vAlign w:val="center"/>
          </w:tcPr>
          <w:p w14:paraId="552729B0">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接收质疑函方式：以书面形式。</w:t>
            </w:r>
          </w:p>
          <w:p w14:paraId="798803ED">
            <w:pPr>
              <w:pStyle w:val="40"/>
              <w:spacing w:line="360" w:lineRule="auto"/>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质疑联系部门及联系方式：</w:t>
            </w:r>
            <w:r>
              <w:rPr>
                <w:rFonts w:hint="eastAsia" w:ascii="仿宋" w:hAnsi="仿宋" w:eastAsia="仿宋" w:cs="仿宋"/>
                <w:color w:val="auto"/>
                <w:kern w:val="2"/>
                <w:sz w:val="21"/>
                <w:highlight w:val="none"/>
                <w:u w:val="single"/>
                <w:lang w:eastAsia="zh-CN"/>
              </w:rPr>
              <w:t>广西中启招标咨询有限公司</w:t>
            </w:r>
            <w:r>
              <w:rPr>
                <w:rFonts w:hint="eastAsia" w:ascii="仿宋" w:hAnsi="仿宋" w:eastAsia="仿宋" w:cs="仿宋"/>
                <w:color w:val="auto"/>
                <w:kern w:val="2"/>
                <w:sz w:val="21"/>
                <w:highlight w:val="none"/>
              </w:rPr>
              <w:t>，联系电话：</w:t>
            </w:r>
            <w:r>
              <w:rPr>
                <w:rFonts w:hint="eastAsia" w:ascii="仿宋" w:hAnsi="仿宋" w:eastAsia="仿宋" w:cs="仿宋"/>
                <w:color w:val="auto"/>
                <w:kern w:val="2"/>
                <w:sz w:val="21"/>
                <w:highlight w:val="none"/>
                <w:lang w:eastAsia="zh-CN"/>
              </w:rPr>
              <w:t>0771-3154419</w:t>
            </w:r>
            <w:r>
              <w:rPr>
                <w:rFonts w:hint="eastAsia" w:ascii="仿宋" w:hAnsi="仿宋" w:eastAsia="仿宋" w:cs="仿宋"/>
                <w:color w:val="auto"/>
                <w:kern w:val="2"/>
                <w:sz w:val="21"/>
                <w:highlight w:val="none"/>
              </w:rPr>
              <w:t>，通讯地址：</w:t>
            </w:r>
            <w:r>
              <w:rPr>
                <w:rFonts w:hint="eastAsia" w:ascii="仿宋" w:hAnsi="仿宋" w:eastAsia="仿宋" w:cs="仿宋"/>
                <w:color w:val="auto"/>
                <w:kern w:val="2"/>
                <w:sz w:val="21"/>
                <w:highlight w:val="none"/>
                <w:lang w:eastAsia="zh-CN"/>
              </w:rPr>
              <w:t>广西南宁市那洪大道7号研祥智谷A1栋7楼</w:t>
            </w:r>
          </w:p>
          <w:p w14:paraId="4AA4622C">
            <w:pPr>
              <w:autoSpaceDE w:val="0"/>
              <w:autoSpaceDN w:val="0"/>
              <w:spacing w:line="360" w:lineRule="auto"/>
              <w:rPr>
                <w:rFonts w:hint="eastAsia" w:ascii="仿宋" w:hAnsi="仿宋" w:eastAsia="仿宋" w:cs="仿宋"/>
                <w:color w:val="auto"/>
                <w:szCs w:val="21"/>
                <w:highlight w:val="none"/>
              </w:rPr>
            </w:pPr>
            <w:r>
              <w:rPr>
                <w:rFonts w:hint="eastAsia" w:ascii="仿宋" w:hAnsi="仿宋" w:eastAsia="仿宋" w:cs="仿宋"/>
                <w:color w:val="auto"/>
                <w:highlight w:val="none"/>
              </w:rPr>
              <w:t>业务时间：工作日每天</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时00分到12时00分，15时00分到18时00分。</w:t>
            </w:r>
          </w:p>
        </w:tc>
      </w:tr>
      <w:tr w14:paraId="5226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436E506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32.1</w:t>
            </w:r>
          </w:p>
        </w:tc>
        <w:tc>
          <w:tcPr>
            <w:tcW w:w="7912" w:type="dxa"/>
            <w:tcBorders>
              <w:top w:val="single" w:color="auto" w:sz="4" w:space="0"/>
              <w:left w:val="single" w:color="auto" w:sz="4" w:space="0"/>
              <w:bottom w:val="single" w:color="auto" w:sz="4" w:space="0"/>
              <w:right w:val="single" w:color="auto" w:sz="4" w:space="0"/>
            </w:tcBorders>
            <w:noWrap/>
            <w:vAlign w:val="center"/>
          </w:tcPr>
          <w:p w14:paraId="380E7C2E">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1.采购代理费支付方式：</w:t>
            </w:r>
          </w:p>
          <w:p w14:paraId="06D6FFFF">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本项目代理服务费由成交供应商一次性向采购代理机构支付。</w:t>
            </w:r>
          </w:p>
          <w:p w14:paraId="31680EEC">
            <w:pPr>
              <w:pStyle w:val="9"/>
              <w:snapToGrid w:val="0"/>
              <w:spacing w:line="360" w:lineRule="auto"/>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采购代理费收取标准：以</w:t>
            </w:r>
            <w:r>
              <w:rPr>
                <w:rFonts w:hint="eastAsia" w:ascii="仿宋" w:hAnsi="仿宋" w:eastAsia="仿宋" w:cs="仿宋"/>
                <w:color w:val="auto"/>
                <w:sz w:val="21"/>
                <w:highlight w:val="none"/>
                <w:lang w:eastAsia="zh-CN"/>
              </w:rPr>
              <w:t>成交</w:t>
            </w:r>
            <w:r>
              <w:rPr>
                <w:rFonts w:hint="eastAsia" w:ascii="仿宋" w:hAnsi="仿宋" w:eastAsia="仿宋" w:cs="仿宋"/>
                <w:color w:val="auto"/>
                <w:sz w:val="21"/>
                <w:highlight w:val="none"/>
              </w:rPr>
              <w:t>金额为计费额，按本须知正文第32.2条规定的服务类收费计算标准采用差额定率累进法计算收取。（不足</w:t>
            </w:r>
            <w:r>
              <w:rPr>
                <w:rFonts w:hint="eastAsia" w:ascii="仿宋" w:hAnsi="仿宋" w:eastAsia="仿宋" w:cs="仿宋"/>
                <w:color w:val="auto"/>
                <w:sz w:val="21"/>
                <w:highlight w:val="none"/>
                <w:lang w:val="en-US" w:eastAsia="zh-CN"/>
              </w:rPr>
              <w:t>陆仟元整</w:t>
            </w:r>
            <w:r>
              <w:rPr>
                <w:rFonts w:hint="eastAsia" w:ascii="仿宋" w:hAnsi="仿宋" w:eastAsia="仿宋" w:cs="仿宋"/>
                <w:color w:val="auto"/>
                <w:sz w:val="21"/>
                <w:highlight w:val="none"/>
              </w:rPr>
              <w:t>的按</w:t>
            </w:r>
            <w:r>
              <w:rPr>
                <w:rFonts w:hint="eastAsia" w:ascii="仿宋" w:hAnsi="仿宋" w:eastAsia="仿宋" w:cs="仿宋"/>
                <w:color w:val="auto"/>
                <w:sz w:val="21"/>
                <w:highlight w:val="none"/>
                <w:lang w:val="en-US" w:eastAsia="zh-CN"/>
              </w:rPr>
              <w:t>陆仟元整</w:t>
            </w:r>
            <w:r>
              <w:rPr>
                <w:rFonts w:hint="eastAsia" w:ascii="仿宋" w:hAnsi="仿宋" w:eastAsia="仿宋" w:cs="仿宋"/>
                <w:color w:val="auto"/>
                <w:sz w:val="21"/>
                <w:highlight w:val="none"/>
              </w:rPr>
              <w:t>收取）</w:t>
            </w:r>
          </w:p>
          <w:p w14:paraId="6402E815">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3. 采购代理费收取银行账户</w:t>
            </w:r>
          </w:p>
          <w:p w14:paraId="7F5B94ED">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账户名称：广西中启招标咨询有限公司</w:t>
            </w:r>
          </w:p>
          <w:p w14:paraId="60D80F16">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开户银行：广西北部湾银行股份有限公司南宁市秀灵支行</w:t>
            </w:r>
          </w:p>
          <w:p w14:paraId="792E8F31">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银行账号：8050 1770 2500 001  </w:t>
            </w:r>
          </w:p>
        </w:tc>
      </w:tr>
      <w:tr w14:paraId="1915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48EB0124">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33.1</w:t>
            </w:r>
          </w:p>
        </w:tc>
        <w:tc>
          <w:tcPr>
            <w:tcW w:w="7912" w:type="dxa"/>
            <w:tcBorders>
              <w:top w:val="single" w:color="auto" w:sz="4" w:space="0"/>
              <w:left w:val="single" w:color="auto" w:sz="4" w:space="0"/>
              <w:bottom w:val="single" w:color="auto" w:sz="4" w:space="0"/>
              <w:right w:val="single" w:color="auto" w:sz="4" w:space="0"/>
            </w:tcBorders>
            <w:noWrap/>
            <w:vAlign w:val="center"/>
          </w:tcPr>
          <w:p w14:paraId="16AA5BF3">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314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4" w:space="0"/>
              <w:bottom w:val="single" w:color="auto" w:sz="4" w:space="0"/>
              <w:right w:val="single" w:color="auto" w:sz="4" w:space="0"/>
            </w:tcBorders>
            <w:noWrap/>
            <w:vAlign w:val="center"/>
          </w:tcPr>
          <w:p w14:paraId="5FEB0FAE">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33.2</w:t>
            </w:r>
          </w:p>
        </w:tc>
        <w:tc>
          <w:tcPr>
            <w:tcW w:w="7912" w:type="dxa"/>
            <w:tcBorders>
              <w:top w:val="single" w:color="auto" w:sz="4" w:space="0"/>
              <w:left w:val="single" w:color="auto" w:sz="4" w:space="0"/>
              <w:bottom w:val="single" w:color="auto" w:sz="4" w:space="0"/>
              <w:right w:val="single" w:color="auto" w:sz="4" w:space="0"/>
            </w:tcBorders>
            <w:noWrap/>
            <w:vAlign w:val="center"/>
          </w:tcPr>
          <w:p w14:paraId="03058C7E">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0EA54D">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788BBBD9">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r>
              <w:rPr>
                <w:rFonts w:hint="eastAsia" w:ascii="仿宋" w:hAnsi="仿宋" w:eastAsia="仿宋" w:cs="仿宋"/>
                <w:color w:val="auto"/>
                <w:sz w:val="21"/>
                <w:highlight w:val="none"/>
                <w:lang w:val="en-US" w:eastAsia="zh-CN"/>
              </w:rPr>
              <w:t>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2078F4D2">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073EAD02">
            <w:pPr>
              <w:pStyle w:val="9"/>
              <w:snapToGrid w:val="0"/>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5.本磋商文件所称的“以上”“以下”“以内”“届满”，包括本数；所称的“不满”“超过”“以外”，不包括本数。</w:t>
            </w:r>
          </w:p>
        </w:tc>
      </w:tr>
    </w:tbl>
    <w:p w14:paraId="2464661F">
      <w:pPr>
        <w:spacing w:line="40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r>
        <w:rPr>
          <w:rFonts w:hint="eastAsia" w:ascii="仿宋" w:hAnsi="仿宋" w:eastAsia="仿宋" w:cs="仿宋"/>
          <w:b/>
          <w:color w:val="auto"/>
          <w:sz w:val="32"/>
          <w:szCs w:val="32"/>
          <w:highlight w:val="none"/>
        </w:rPr>
        <w:t>供应商须知正文</w:t>
      </w:r>
    </w:p>
    <w:p w14:paraId="3BA8475C">
      <w:pPr>
        <w:spacing w:line="400" w:lineRule="exact"/>
        <w:jc w:val="center"/>
        <w:rPr>
          <w:rFonts w:hint="eastAsia" w:ascii="仿宋" w:hAnsi="仿宋" w:eastAsia="仿宋" w:cs="仿宋"/>
          <w:b/>
          <w:color w:val="auto"/>
          <w:sz w:val="32"/>
          <w:szCs w:val="32"/>
          <w:highlight w:val="none"/>
        </w:rPr>
      </w:pPr>
    </w:p>
    <w:p w14:paraId="4189FF6F">
      <w:pPr>
        <w:spacing w:line="40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14:paraId="0E8DAE16">
      <w:pPr>
        <w:spacing w:line="400" w:lineRule="exact"/>
        <w:rPr>
          <w:rFonts w:hint="eastAsia" w:ascii="仿宋" w:hAnsi="仿宋" w:eastAsia="仿宋" w:cs="仿宋"/>
          <w:color w:val="auto"/>
          <w:szCs w:val="21"/>
          <w:highlight w:val="none"/>
        </w:rPr>
      </w:pPr>
    </w:p>
    <w:p w14:paraId="18DC80FB">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1.适用范围</w:t>
      </w:r>
    </w:p>
    <w:p w14:paraId="0471010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与政府采购有关规定的约束和保护。</w:t>
      </w:r>
    </w:p>
    <w:p w14:paraId="559EABA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w:t>
      </w:r>
      <w:r>
        <w:rPr>
          <w:rFonts w:hint="eastAsia" w:ascii="仿宋" w:hAnsi="仿宋" w:eastAsia="仿宋" w:cs="仿宋"/>
          <w:color w:val="auto"/>
          <w:spacing w:val="-6"/>
          <w:szCs w:val="21"/>
          <w:highlight w:val="none"/>
        </w:rPr>
        <w:t>本竞争性磋商文件（以下简称磋商文件）适用于本项目的所有采购程序和环节（法律、法规另有规定的，从其规定）。</w:t>
      </w:r>
    </w:p>
    <w:p w14:paraId="1DC346C0">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2.定义</w:t>
      </w:r>
    </w:p>
    <w:p w14:paraId="11D021F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2.1“采购人”是指依法进行政府采购的国家机关、事业单位、团体组织。</w:t>
      </w:r>
    </w:p>
    <w:p w14:paraId="5BFA32EA">
      <w:pPr>
        <w:spacing w:line="360" w:lineRule="auto"/>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2.2“采购代理机构”是指政府采购集中采购机构和集中采购机构以外的采购代理机构。</w:t>
      </w:r>
    </w:p>
    <w:p w14:paraId="1323EAB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2.3“供应商”是指向采购人提供货物、工程或者服务的法人、其他组织或者自然人。</w:t>
      </w:r>
    </w:p>
    <w:p w14:paraId="24771D7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2.4“服务”是指除货物和工程以外的其他政府采购对象。</w:t>
      </w:r>
    </w:p>
    <w:p w14:paraId="058A897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2.5“竞标”是指供应商按照本项目竞争性磋商公告规定的方式获取磋商文件、提交响应文件并希望获得标的的行为。</w:t>
      </w:r>
    </w:p>
    <w:p w14:paraId="331CF722">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2.6“书面形式”是指合同书、信件和数据电文（包括电报、电传、传真、电子数据交换和电子邮件）等可以有形地表现所载内容的形式。</w:t>
      </w:r>
    </w:p>
    <w:p w14:paraId="178ABE65">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2.7“响应文件”</w:t>
      </w:r>
      <w:r>
        <w:rPr>
          <w:rFonts w:hint="eastAsia" w:ascii="仿宋" w:hAnsi="仿宋" w:eastAsia="仿宋" w:cs="仿宋"/>
          <w:color w:val="auto"/>
          <w:spacing w:val="-6"/>
          <w:szCs w:val="21"/>
          <w:highlight w:val="none"/>
        </w:rPr>
        <w:t>是指：供应商根据本磋商文件要求，编制包含资格证明、报价、商务技术等所有内容的文件。</w:t>
      </w:r>
    </w:p>
    <w:p w14:paraId="43B4A1DA">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2.8“实质性要求”是指磋商文件中已经指明不满足则响应文件按无效响应处理的条款，或者不能负偏离的条款，或者采购需求中带“▲”的条款。</w:t>
      </w:r>
    </w:p>
    <w:p w14:paraId="436FCA21">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2.9“正偏离”，是指响应文件对磋商文件“采购需求”中有关条款作出的响应优于条款要求并有利于采购人的情形。</w:t>
      </w:r>
    </w:p>
    <w:p w14:paraId="139A3FC7">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2.10“负偏离”，是指响应文件对磋商文件“采购需求”中有关条款作出的响应不满足条款要求，导致采购人要求不能得到满足的情形。</w:t>
      </w:r>
    </w:p>
    <w:p w14:paraId="1EFB43B7">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2.11“允许负偏离的条款”是指采购需求中的不属于“实质性要求”的条款。</w:t>
      </w:r>
    </w:p>
    <w:p w14:paraId="07C0F2B4">
      <w:pPr>
        <w:spacing w:line="360" w:lineRule="auto"/>
        <w:ind w:firstLine="420" w:firstLineChars="200"/>
        <w:contextualSpacing/>
        <w:rPr>
          <w:rFonts w:hint="eastAsia" w:ascii="仿宋" w:hAnsi="仿宋" w:eastAsia="仿宋" w:cs="仿宋"/>
          <w:color w:val="auto"/>
          <w:szCs w:val="21"/>
          <w:highlight w:val="none"/>
        </w:rPr>
      </w:pPr>
      <w:r>
        <w:rPr>
          <w:rFonts w:hint="eastAsia" w:ascii="仿宋" w:hAnsi="仿宋" w:eastAsia="仿宋" w:cs="仿宋"/>
          <w:color w:val="auto"/>
          <w:szCs w:val="21"/>
          <w:highlight w:val="none"/>
        </w:rPr>
        <w:t>2.12“首次报价”是指供应商提交的首次响应文件中的报价。</w:t>
      </w:r>
    </w:p>
    <w:p w14:paraId="1F77A7B4">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3.供应商的资格条件</w:t>
      </w:r>
    </w:p>
    <w:p w14:paraId="72CC457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供应商的资格条件详见“供应商须知前附表”。</w:t>
      </w:r>
    </w:p>
    <w:p w14:paraId="6E709526">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4.竞标费用</w:t>
      </w:r>
    </w:p>
    <w:p w14:paraId="17E76D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2E2E027C">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5.联合体竞标</w:t>
      </w:r>
    </w:p>
    <w:p w14:paraId="6192338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5.1本项目是否接受联合体竞标，详见“供应商须知前附表”。</w:t>
      </w:r>
    </w:p>
    <w:p w14:paraId="40CC8E6E">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6.转包与分包             </w:t>
      </w:r>
    </w:p>
    <w:p w14:paraId="6401346B">
      <w:pPr>
        <w:pStyle w:val="21"/>
        <w:keepNext w:val="0"/>
        <w:keepLines w:val="0"/>
        <w:spacing w:before="0" w:after="0" w:line="360" w:lineRule="auto"/>
        <w:ind w:left="420" w:leftChars="200"/>
        <w:rPr>
          <w:rFonts w:hint="eastAsia" w:ascii="仿宋" w:hAnsi="仿宋" w:eastAsia="仿宋" w:cs="仿宋"/>
          <w:b w:val="0"/>
          <w:color w:val="auto"/>
          <w:sz w:val="21"/>
          <w:szCs w:val="21"/>
          <w:highlight w:val="none"/>
        </w:rPr>
      </w:pPr>
      <w:bookmarkStart w:id="61" w:name="_Toc254970673"/>
      <w:bookmarkStart w:id="62" w:name="_Toc254970532"/>
      <w:r>
        <w:rPr>
          <w:rFonts w:hint="eastAsia" w:ascii="仿宋" w:hAnsi="仿宋" w:eastAsia="仿宋" w:cs="仿宋"/>
          <w:b w:val="0"/>
          <w:color w:val="auto"/>
          <w:sz w:val="21"/>
          <w:szCs w:val="21"/>
          <w:highlight w:val="none"/>
        </w:rPr>
        <w:t>6.1本项目不允许转包。</w:t>
      </w:r>
    </w:p>
    <w:p w14:paraId="69E53CC4">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7.特别说明</w:t>
      </w:r>
      <w:bookmarkEnd w:id="61"/>
      <w:bookmarkEnd w:id="62"/>
    </w:p>
    <w:p w14:paraId="03036DCE">
      <w:pPr>
        <w:spacing w:line="360" w:lineRule="auto"/>
        <w:ind w:firstLine="420" w:firstLineChars="200"/>
        <w:rPr>
          <w:rFonts w:hint="eastAsia" w:ascii="仿宋" w:hAnsi="仿宋" w:eastAsia="仿宋" w:cs="仿宋"/>
          <w:color w:val="auto"/>
          <w:szCs w:val="21"/>
          <w:highlight w:val="none"/>
        </w:rPr>
      </w:pPr>
      <w:bookmarkStart w:id="63" w:name="_8.1提供相同品牌产品且通过资格审查、符合性审查的不同投标人参加同一合"/>
      <w:bookmarkEnd w:id="63"/>
      <w:r>
        <w:rPr>
          <w:rFonts w:hint="eastAsia" w:ascii="仿宋" w:hAnsi="仿宋" w:eastAsia="仿宋" w:cs="仿宋"/>
          <w:color w:val="auto"/>
          <w:szCs w:val="21"/>
          <w:highlight w:val="none"/>
        </w:rPr>
        <w:t>7.1</w:t>
      </w:r>
      <w:bookmarkStart w:id="64" w:name="_Hlk65832145"/>
      <w:r>
        <w:rPr>
          <w:rFonts w:hint="eastAsia" w:ascii="仿宋" w:hAnsi="仿宋" w:eastAsia="仿宋" w:cs="仿宋"/>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4"/>
    <w:p w14:paraId="5FB6AE9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7.2供应商应仔细阅读磋商文件的所有内容，按照磋商文件的要求提交响应文件，并对所提供的全部资料的真实性承担法律责任。</w:t>
      </w:r>
    </w:p>
    <w:p w14:paraId="4D47316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B5E301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7.4在政府采购活动中，采购人员及相关人员与供应商有下列利害关系之一的，应当回避：</w:t>
      </w:r>
    </w:p>
    <w:p w14:paraId="15A44EE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（1）参加采购活动前3年内与供应商存在劳动关系；</w:t>
      </w:r>
    </w:p>
    <w:p w14:paraId="541BC29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（2）参加采购活动前3年内担任供应商的董事、监事；</w:t>
      </w:r>
    </w:p>
    <w:p w14:paraId="7FE0575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（3）参加采购活动前3年内是供应商的控股股东或者实际控制人；</w:t>
      </w:r>
    </w:p>
    <w:p w14:paraId="727BA5F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（4）与供应商的法定代表人或者负责人有夫妻、直系血亲、三代以内旁系血亲或者近姻亲关系；</w:t>
      </w:r>
    </w:p>
    <w:p w14:paraId="2F4D1F9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（5）与供应商有其他可能影响政府采购活动公平、公正进行的关系。</w:t>
      </w:r>
    </w:p>
    <w:p w14:paraId="16CF5D0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1929348">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7.5有下列情形之一的视为供应商相互串通竞标，响应文件将被视为无效：</w:t>
      </w:r>
    </w:p>
    <w:p w14:paraId="3910070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（1）不同供应商的响应文件由同一单位或者个人编制或不同供应商报名的IP地址一致的；</w:t>
      </w:r>
    </w:p>
    <w:p w14:paraId="7D348A7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（2）不同供应商委托同一单位或者个人办理竞标事宜；</w:t>
      </w:r>
    </w:p>
    <w:p w14:paraId="5150DD4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（3）不同的供应商的响应文件载明的项目管理员为同一个人；</w:t>
      </w:r>
    </w:p>
    <w:p w14:paraId="7C3CBF3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（4）不同供应商的响应文件异常一致或者报价呈规律性差异；</w:t>
      </w:r>
    </w:p>
    <w:p w14:paraId="3BDC520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（5）不同供应商的响应文件相互混装；</w:t>
      </w:r>
    </w:p>
    <w:p w14:paraId="5D61606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7.6供应商有下列情形之一的，属于恶意串通行为，将报同级监督管理部门：</w:t>
      </w:r>
    </w:p>
    <w:p w14:paraId="127A9D8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（1）供应商直接或者间接从采购人或者采购代理机构处获得其他供应商的相关信息并修改其响应文件；</w:t>
      </w:r>
    </w:p>
    <w:p w14:paraId="088B115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（2）供应商按照采购人或者采购代理机构的授意撤换、修改响应文件；</w:t>
      </w:r>
    </w:p>
    <w:p w14:paraId="3997CA1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（3）供应商之间协商报价、技术方案等响应文件或者响应文件的实质性内容；</w:t>
      </w:r>
    </w:p>
    <w:p w14:paraId="2D4AB29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（4）属于同一集团、协会、商会等组织成员的供应商按照该组织要求协同参加政府采购活动；</w:t>
      </w:r>
    </w:p>
    <w:p w14:paraId="49C324A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246FAB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（6）供应商之间商定部分供应商放弃参加政府采购活动或者放弃成交；</w:t>
      </w:r>
    </w:p>
    <w:p w14:paraId="6FFFB14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（7）供应商与采购人或者采购代理机构之间、供应商相互之间，为谋求特定供应商成交或者排斥其他供应商的其他串通行为。</w:t>
      </w:r>
    </w:p>
    <w:p w14:paraId="59A7A185">
      <w:pPr>
        <w:pStyle w:val="5"/>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7.7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1ED01F">
      <w:pPr>
        <w:pStyle w:val="5"/>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产品在中国境内生产的组件成本占比应当达到规定比例，计算公式为：</w:t>
      </w:r>
    </w:p>
    <w:p w14:paraId="2FF0F8BC">
      <w:pPr>
        <w:widowControl/>
        <w:shd w:val="clear" w:color="auto" w:fill="FFFFFF"/>
        <w:spacing w:before="30" w:after="30"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fldChar w:fldCharType="begin"/>
      </w:r>
      <w:r>
        <w:rPr>
          <w:rFonts w:hint="eastAsia" w:ascii="仿宋" w:hAnsi="仿宋" w:eastAsia="仿宋" w:cs="仿宋"/>
          <w:color w:val="auto"/>
          <w:kern w:val="0"/>
          <w:sz w:val="24"/>
          <w:highlight w:val="none"/>
        </w:rPr>
        <w:instrText xml:space="preserve"> INCLUDEPICTURE "https://www.gov.cn/zhengce/content/202509/W020250930645245947614.png" \* MERGEFORMATINET </w:instrText>
      </w:r>
      <w:r>
        <w:rPr>
          <w:rFonts w:hint="eastAsia" w:ascii="仿宋" w:hAnsi="仿宋" w:eastAsia="仿宋" w:cs="仿宋"/>
          <w:color w:val="auto"/>
          <w:kern w:val="0"/>
          <w:sz w:val="24"/>
          <w:highlight w:val="none"/>
        </w:rPr>
        <w:fldChar w:fldCharType="separate"/>
      </w:r>
      <w:r>
        <w:rPr>
          <w:rFonts w:hint="eastAsia" w:ascii="仿宋" w:hAnsi="仿宋" w:eastAsia="仿宋" w:cs="仿宋"/>
          <w:color w:val="auto"/>
          <w:kern w:val="0"/>
          <w:sz w:val="24"/>
          <w:highlight w:val="none"/>
        </w:rPr>
        <w:drawing>
          <wp:inline distT="0" distB="0" distL="114300" distR="114300">
            <wp:extent cx="4827905" cy="762635"/>
            <wp:effectExtent l="0" t="0" r="1079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r:link="rId17"/>
                    <a:stretch>
                      <a:fillRect/>
                    </a:stretch>
                  </pic:blipFill>
                  <pic:spPr>
                    <a:xfrm>
                      <a:off x="0" y="0"/>
                      <a:ext cx="4827905" cy="762635"/>
                    </a:xfrm>
                    <a:prstGeom prst="rect">
                      <a:avLst/>
                    </a:prstGeom>
                    <a:noFill/>
                    <a:ln>
                      <a:noFill/>
                    </a:ln>
                  </pic:spPr>
                </pic:pic>
              </a:graphicData>
            </a:graphic>
          </wp:inline>
        </w:drawing>
      </w:r>
      <w:r>
        <w:rPr>
          <w:rFonts w:hint="eastAsia" w:ascii="仿宋" w:hAnsi="仿宋" w:eastAsia="仿宋" w:cs="仿宋"/>
          <w:color w:val="auto"/>
          <w:kern w:val="0"/>
          <w:sz w:val="24"/>
          <w:highlight w:val="none"/>
        </w:rPr>
        <w:fldChar w:fldCharType="end"/>
      </w:r>
    </w:p>
    <w:p w14:paraId="197E0169">
      <w:pPr>
        <w:pStyle w:val="5"/>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60BF51D">
      <w:pPr>
        <w:pStyle w:val="5"/>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政府采购活动中既有本国产品又有非本国产品参与竞争的，依法对本国产品给予价格评审优惠，对本国产品的报价给予20%的价格扣除，用扣除后的价格参与评审。</w:t>
      </w:r>
    </w:p>
    <w:p w14:paraId="2DAD137D">
      <w:pPr>
        <w:pStyle w:val="5"/>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E35F9F">
      <w:pPr>
        <w:spacing w:line="360" w:lineRule="auto"/>
        <w:jc w:val="center"/>
        <w:rPr>
          <w:rFonts w:hint="eastAsia" w:ascii="仿宋" w:hAnsi="仿宋" w:eastAsia="仿宋" w:cs="仿宋"/>
          <w:b/>
          <w:bCs/>
          <w:color w:val="auto"/>
          <w:sz w:val="32"/>
          <w:szCs w:val="32"/>
          <w:highlight w:val="none"/>
        </w:rPr>
      </w:pPr>
      <w:bookmarkStart w:id="65" w:name="_Toc254970675"/>
      <w:bookmarkStart w:id="66" w:name="_Toc254970534"/>
      <w:r>
        <w:rPr>
          <w:rFonts w:hint="eastAsia" w:ascii="仿宋" w:hAnsi="仿宋" w:eastAsia="仿宋" w:cs="仿宋"/>
          <w:b/>
          <w:bCs/>
          <w:color w:val="auto"/>
          <w:sz w:val="32"/>
          <w:szCs w:val="32"/>
          <w:highlight w:val="none"/>
        </w:rPr>
        <w:t>二、磋商文件</w:t>
      </w:r>
      <w:bookmarkEnd w:id="65"/>
      <w:bookmarkEnd w:id="66"/>
    </w:p>
    <w:p w14:paraId="1BA93B9F">
      <w:pPr>
        <w:spacing w:line="360" w:lineRule="auto"/>
        <w:rPr>
          <w:rFonts w:hint="eastAsia" w:ascii="仿宋" w:hAnsi="仿宋" w:eastAsia="仿宋" w:cs="仿宋"/>
          <w:color w:val="auto"/>
          <w:szCs w:val="21"/>
          <w:highlight w:val="none"/>
        </w:rPr>
      </w:pPr>
    </w:p>
    <w:p w14:paraId="41D6158B">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8.磋商文件的构成</w:t>
      </w:r>
    </w:p>
    <w:p w14:paraId="2F86F524">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（1）竞争性磋商公告；</w:t>
      </w:r>
    </w:p>
    <w:p w14:paraId="6546AE75">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（2）供应商须知； </w:t>
      </w:r>
    </w:p>
    <w:p w14:paraId="719BBF8D">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（3）采购需求；</w:t>
      </w:r>
    </w:p>
    <w:p w14:paraId="7D0C9F39">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（4）评审程序、评审方法和评审标准；</w:t>
      </w:r>
    </w:p>
    <w:p w14:paraId="67198BF3">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（5）响应文件格式；</w:t>
      </w:r>
    </w:p>
    <w:p w14:paraId="25D7F3FF">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（6）合同文本。</w:t>
      </w:r>
    </w:p>
    <w:p w14:paraId="07441043">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9.供应商的询问</w:t>
      </w:r>
    </w:p>
    <w:p w14:paraId="5A8691E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0EE850FD">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10.磋商文件的澄清和修改</w:t>
      </w:r>
    </w:p>
    <w:p w14:paraId="139C9C9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65A24D56">
      <w:pPr>
        <w:spacing w:line="360" w:lineRule="auto"/>
        <w:rPr>
          <w:rFonts w:hint="eastAsia" w:ascii="仿宋" w:hAnsi="仿宋" w:eastAsia="仿宋" w:cs="仿宋"/>
          <w:color w:val="auto"/>
          <w:szCs w:val="21"/>
          <w:highlight w:val="none"/>
        </w:rPr>
      </w:pPr>
    </w:p>
    <w:p w14:paraId="465FC35E">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 w:val="32"/>
          <w:szCs w:val="32"/>
          <w:highlight w:val="none"/>
        </w:rPr>
        <w:t>三、响应文件的编制</w:t>
      </w:r>
    </w:p>
    <w:p w14:paraId="4D736E4D">
      <w:pPr>
        <w:spacing w:line="360" w:lineRule="auto"/>
        <w:rPr>
          <w:rFonts w:hint="eastAsia" w:ascii="仿宋" w:hAnsi="仿宋" w:eastAsia="仿宋" w:cs="仿宋"/>
          <w:color w:val="auto"/>
          <w:szCs w:val="21"/>
          <w:highlight w:val="none"/>
        </w:rPr>
      </w:pPr>
    </w:p>
    <w:p w14:paraId="176F1C19">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11.响应文件的编制原则</w:t>
      </w:r>
    </w:p>
    <w:p w14:paraId="1FC0A8A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供应商必须按照磋商文件的要求编制响应文件，并对其提交的响应文件的真实性、合法性承担法律责任。响应文件必须对磋商文件作出实质性响应。</w:t>
      </w:r>
    </w:p>
    <w:p w14:paraId="3260B415">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12.响应文件的组成</w:t>
      </w:r>
    </w:p>
    <w:p w14:paraId="2616122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12.1响应文件由资格证明文件、报价文件、商务技术文件三部分组成。</w:t>
      </w:r>
    </w:p>
    <w:p w14:paraId="72907BB9">
      <w:pPr>
        <w:spacing w:line="360" w:lineRule="auto"/>
        <w:ind w:left="840" w:leftChars="200" w:hanging="420" w:hanging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12.1.1资格证明文件：详见“供应商须知前附表”</w:t>
      </w:r>
    </w:p>
    <w:p w14:paraId="4E82020B">
      <w:pPr>
        <w:spacing w:line="360" w:lineRule="auto"/>
        <w:ind w:left="840" w:leftChars="200" w:hanging="420" w:hanging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12.1.2报价文件：详见“供应商须知前附表”</w:t>
      </w:r>
    </w:p>
    <w:p w14:paraId="7D25434F">
      <w:pPr>
        <w:spacing w:line="360" w:lineRule="auto"/>
        <w:ind w:left="840" w:leftChars="200" w:hanging="420" w:hanging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12.1.3商务技术文件：详见“供应商须知前附表”</w:t>
      </w:r>
    </w:p>
    <w:p w14:paraId="533D96B1">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13.计量单位</w:t>
      </w:r>
    </w:p>
    <w:p w14:paraId="454F288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磋商文件已有明确规定的，使用磋商文件规定的计量单位；磋商文件没有规定的，应采用中华人民共和国法定计量单位，货币种类为人民币，否则视同未响应。</w:t>
      </w:r>
    </w:p>
    <w:p w14:paraId="7B55FB2B">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14.竞标的风险</w:t>
      </w:r>
    </w:p>
    <w:p w14:paraId="1BA3756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供应商没有按照磋商文件要求提供全部资料，或者供应商没有对磋商文件在各方面作出实质性响应可能导致其响应无效，是供应商应当考虑的风险。</w:t>
      </w:r>
    </w:p>
    <w:p w14:paraId="585A50EB">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15.竞标报价</w:t>
      </w:r>
    </w:p>
    <w:p w14:paraId="16F4F9DB">
      <w:pPr>
        <w:tabs>
          <w:tab w:val="left" w:pos="2492"/>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15.1竞标报价应按磋商文件中“竞标报价表”格式填写。</w:t>
      </w:r>
    </w:p>
    <w:p w14:paraId="1C63F3D5">
      <w:pPr>
        <w:tabs>
          <w:tab w:val="left" w:pos="2492"/>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15.2竞标报价的内容见“供应商须知前附表”。</w:t>
      </w:r>
    </w:p>
    <w:p w14:paraId="11373974">
      <w:pPr>
        <w:spacing w:line="360" w:lineRule="auto"/>
        <w:ind w:left="426" w:leftChars="203"/>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15.3竞标报价要求</w:t>
      </w:r>
    </w:p>
    <w:p w14:paraId="78774BB8">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15.3.1供应商的竞标报价应符合以下要求，否则响应文件按无效响应处理：</w:t>
      </w:r>
    </w:p>
    <w:p w14:paraId="126C718A">
      <w:pPr>
        <w:spacing w:line="360" w:lineRule="auto"/>
        <w:ind w:left="420" w:left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（1）供应商必须就“采购需求”中所竞标的每个分标的全部内容分别作完整唯一总价报价，</w:t>
      </w:r>
    </w:p>
    <w:p w14:paraId="7884511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不得存在漏项报价；</w:t>
      </w:r>
    </w:p>
    <w:p w14:paraId="19A4643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（2）供应商必须就所竞标的分标的单项内容作唯一报价。</w:t>
      </w:r>
    </w:p>
    <w:p w14:paraId="7F811DBB">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15.3.2竞标报价（包含首次报价、最后报价）超过所竞标项目规定的采购预算金额或最高限价的，其响应文件将按无效处理。</w:t>
      </w:r>
    </w:p>
    <w:p w14:paraId="33984D46">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16.竞标有效期</w:t>
      </w:r>
    </w:p>
    <w:p w14:paraId="7BF8899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98F6A6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 竞标有效期应由供应商按“供应商须知前附表”规定的期限作出响应。</w:t>
      </w:r>
    </w:p>
    <w:p w14:paraId="763A11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16.3供应商的响应文件在竞标有效期内均保持有效。</w:t>
      </w:r>
    </w:p>
    <w:p w14:paraId="0A129756">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17.磋商保证金：本项目不收取磋商保证金。</w:t>
      </w:r>
    </w:p>
    <w:p w14:paraId="5FB78D64">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18.响应文件编制的要求</w:t>
      </w:r>
    </w:p>
    <w:p w14:paraId="578BC42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443BCB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401FE27D">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18.3响应文件须由供应商在规定位置签字、盖章（具体以供应商须知前附表或响应文件格式规定为准），否则按无效响应处理。</w:t>
      </w:r>
    </w:p>
    <w:p w14:paraId="760D2CB8">
      <w:pPr>
        <w:spacing w:line="360" w:lineRule="auto"/>
        <w:ind w:firstLine="420" w:firstLineChars="20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w:t>
      </w:r>
      <w:r>
        <w:rPr>
          <w:rFonts w:hint="eastAsia" w:ascii="仿宋" w:hAnsi="仿宋" w:eastAsia="仿宋" w:cs="仿宋"/>
          <w:b/>
          <w:bCs/>
          <w:color w:val="auto"/>
          <w:szCs w:val="21"/>
          <w:highlight w:val="none"/>
        </w:rPr>
        <w:t>否则其响应文件按无效响应处理。</w:t>
      </w:r>
    </w:p>
    <w:p w14:paraId="1E6AC83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3DF7AD7">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19.电子</w:t>
      </w:r>
      <w:r>
        <w:rPr>
          <w:rFonts w:hint="eastAsia" w:ascii="仿宋" w:hAnsi="仿宋" w:eastAsia="仿宋" w:cs="仿宋"/>
          <w:b/>
          <w:color w:val="auto"/>
          <w:sz w:val="24"/>
          <w:highlight w:val="none"/>
        </w:rPr>
        <w:t>备份响应文件</w:t>
      </w:r>
    </w:p>
    <w:p w14:paraId="774821E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电子备份响应文件是指通过“</w:t>
      </w:r>
      <w:r>
        <w:rPr>
          <w:rFonts w:hint="eastAsia" w:ascii="仿宋" w:hAnsi="仿宋" w:eastAsia="仿宋" w:cs="仿宋"/>
          <w:color w:val="auto"/>
          <w:szCs w:val="21"/>
          <w:highlight w:val="none"/>
        </w:rPr>
        <w:t>广西政府采购云平台</w:t>
      </w:r>
      <w:r>
        <w:rPr>
          <w:rFonts w:hint="eastAsia" w:ascii="仿宋" w:hAnsi="仿宋" w:eastAsia="仿宋" w:cs="仿宋"/>
          <w:color w:val="auto"/>
          <w:highlight w:val="none"/>
        </w:rPr>
        <w:t>电子竞标客户端”在线编制生成且后缀名为“bfbs”的文件，是否接受电子备份响应文件</w:t>
      </w:r>
      <w:r>
        <w:rPr>
          <w:rFonts w:hint="eastAsia" w:ascii="仿宋" w:hAnsi="仿宋" w:eastAsia="仿宋" w:cs="仿宋"/>
          <w:bCs/>
          <w:color w:val="auto"/>
          <w:szCs w:val="21"/>
          <w:highlight w:val="none"/>
        </w:rPr>
        <w:t>详见“供应商须知前附表”。</w:t>
      </w:r>
    </w:p>
    <w:p w14:paraId="27E7743F">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20.响应文件的提交</w:t>
      </w:r>
    </w:p>
    <w:p w14:paraId="29A35006">
      <w:pPr>
        <w:spacing w:line="360" w:lineRule="auto"/>
        <w:ind w:firstLine="420" w:firstLineChars="200"/>
        <w:rPr>
          <w:rFonts w:hint="eastAsia" w:ascii="仿宋" w:hAnsi="仿宋" w:eastAsia="仿宋" w:cs="仿宋"/>
          <w:b/>
          <w:color w:val="auto"/>
          <w:highlight w:val="none"/>
        </w:rPr>
      </w:pPr>
      <w:r>
        <w:rPr>
          <w:rFonts w:hint="eastAsia" w:ascii="仿宋" w:hAnsi="仿宋" w:eastAsia="仿宋" w:cs="仿宋"/>
          <w:bCs/>
          <w:color w:val="auto"/>
          <w:szCs w:val="21"/>
          <w:highlight w:val="none"/>
        </w:rPr>
        <w:t>20.1供应商必须按“供应商须知前附表”规定的</w:t>
      </w:r>
      <w:r>
        <w:rPr>
          <w:rFonts w:hint="eastAsia" w:ascii="仿宋" w:hAnsi="仿宋" w:eastAsia="仿宋" w:cs="仿宋"/>
          <w:color w:val="auto"/>
          <w:szCs w:val="21"/>
          <w:highlight w:val="none"/>
        </w:rPr>
        <w:t>时间及</w:t>
      </w:r>
      <w:r>
        <w:rPr>
          <w:rFonts w:hint="eastAsia" w:ascii="仿宋" w:hAnsi="仿宋" w:eastAsia="仿宋" w:cs="仿宋"/>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仿宋" w:hAnsi="仿宋" w:eastAsia="仿宋" w:cs="仿宋"/>
          <w:color w:val="auto"/>
          <w:szCs w:val="21"/>
          <w:highlight w:val="none"/>
        </w:rPr>
        <w:t>广西政府采购云平台</w:t>
      </w:r>
      <w:r>
        <w:rPr>
          <w:rFonts w:hint="eastAsia" w:ascii="仿宋" w:hAnsi="仿宋" w:eastAsia="仿宋" w:cs="仿宋"/>
          <w:bCs/>
          <w:color w:val="auto"/>
          <w:szCs w:val="21"/>
          <w:highlight w:val="none"/>
        </w:rPr>
        <w:t xml:space="preserve">。 </w:t>
      </w:r>
      <w:r>
        <w:rPr>
          <w:rFonts w:hint="eastAsia" w:ascii="仿宋" w:hAnsi="仿宋" w:eastAsia="仿宋" w:cs="仿宋"/>
          <w:b/>
          <w:color w:val="auto"/>
          <w:highlight w:val="none"/>
        </w:rPr>
        <w:t xml:space="preserve"> </w:t>
      </w:r>
    </w:p>
    <w:p w14:paraId="5A386D3E">
      <w:pPr>
        <w:spacing w:line="360" w:lineRule="auto"/>
        <w:ind w:firstLine="422" w:firstLineChars="200"/>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20.2未在规定时间内提交或者未按照磋商文件要求加密的电子响应文件，广西政府采购云平台将拒收。</w:t>
      </w:r>
    </w:p>
    <w:p w14:paraId="68F633B0">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21.首次响应文件的补充、修改与撤回</w:t>
      </w:r>
    </w:p>
    <w:p w14:paraId="4163B8F8">
      <w:pPr>
        <w:spacing w:line="360" w:lineRule="auto"/>
        <w:ind w:firstLine="420"/>
        <w:jc w:val="left"/>
        <w:rPr>
          <w:rFonts w:hint="eastAsia" w:ascii="仿宋" w:hAnsi="仿宋" w:eastAsia="仿宋" w:cs="仿宋"/>
          <w:color w:val="auto"/>
          <w:szCs w:val="21"/>
          <w:highlight w:val="none"/>
        </w:rPr>
      </w:pPr>
      <w:bookmarkStart w:id="67" w:name="_Toc254970684"/>
      <w:bookmarkStart w:id="68" w:name="_Toc254970543"/>
      <w:r>
        <w:rPr>
          <w:rFonts w:hint="eastAsia" w:ascii="仿宋" w:hAnsi="仿宋" w:eastAsia="仿宋" w:cs="仿宋"/>
          <w:color w:val="auto"/>
          <w:szCs w:val="21"/>
          <w:highlight w:val="none"/>
        </w:rPr>
        <w:t>21.1</w:t>
      </w:r>
      <w:r>
        <w:rPr>
          <w:rFonts w:hint="eastAsia" w:ascii="仿宋" w:hAnsi="仿宋" w:eastAsia="仿宋" w:cs="仿宋"/>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仿宋" w:hAnsi="仿宋" w:eastAsia="仿宋" w:cs="仿宋"/>
          <w:color w:val="auto"/>
          <w:szCs w:val="21"/>
          <w:highlight w:val="none"/>
        </w:rPr>
        <w:t>（补充、修改或者撤回方式可登录</w:t>
      </w:r>
      <w:r>
        <w:rPr>
          <w:rFonts w:hint="eastAsia" w:ascii="仿宋" w:hAnsi="仿宋" w:eastAsia="仿宋" w:cs="仿宋"/>
          <w:color w:val="auto"/>
          <w:kern w:val="0"/>
          <w:szCs w:val="21"/>
          <w:highlight w:val="none"/>
        </w:rPr>
        <w:t>广西政府采购云平台，</w:t>
      </w:r>
      <w:r>
        <w:rPr>
          <w:rFonts w:hint="eastAsia" w:ascii="仿宋" w:hAnsi="仿宋" w:eastAsia="仿宋" w:cs="仿宋"/>
          <w:color w:val="auto"/>
          <w:szCs w:val="21"/>
          <w:highlight w:val="none"/>
        </w:rPr>
        <w:t>进入“服务中心”中查看 “电子</w:t>
      </w:r>
      <w:r>
        <w:rPr>
          <w:rFonts w:hint="eastAsia" w:ascii="仿宋" w:hAnsi="仿宋" w:eastAsia="仿宋" w:cs="仿宋"/>
          <w:color w:val="auto"/>
          <w:szCs w:val="21"/>
          <w:highlight w:val="none"/>
          <w:lang w:eastAsia="zh-CN"/>
        </w:rPr>
        <w:t>投标</w:t>
      </w:r>
      <w:r>
        <w:rPr>
          <w:rFonts w:hint="eastAsia" w:ascii="仿宋" w:hAnsi="仿宋" w:eastAsia="仿宋" w:cs="仿宋"/>
          <w:color w:val="auto"/>
          <w:szCs w:val="21"/>
          <w:highlight w:val="none"/>
        </w:rPr>
        <w:t>文件制作与投送教程”）</w:t>
      </w:r>
    </w:p>
    <w:bookmarkEnd w:id="67"/>
    <w:bookmarkEnd w:id="68"/>
    <w:p w14:paraId="0D5BBB61">
      <w:pPr>
        <w:pStyle w:val="64"/>
        <w:spacing w:before="0"/>
        <w:ind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21.2在提交响应文件截止时间前，除供应商补充、修改或者撤回响应文件外，任何单位和个人不得解密或提取响应文件。</w:t>
      </w:r>
    </w:p>
    <w:p w14:paraId="4E3E6F70">
      <w:pPr>
        <w:spacing w:line="360" w:lineRule="auto"/>
        <w:ind w:firstLine="482" w:firstLineChars="200"/>
        <w:rPr>
          <w:rFonts w:hint="eastAsia" w:ascii="仿宋" w:hAnsi="仿宋" w:eastAsia="仿宋" w:cs="仿宋"/>
          <w:b/>
          <w:bCs/>
          <w:color w:val="auto"/>
          <w:sz w:val="24"/>
          <w:highlight w:val="none"/>
        </w:rPr>
      </w:pPr>
      <w:bookmarkStart w:id="69" w:name="_Hlk45702405"/>
      <w:r>
        <w:rPr>
          <w:rFonts w:hint="eastAsia" w:ascii="仿宋" w:hAnsi="仿宋" w:eastAsia="仿宋" w:cs="仿宋"/>
          <w:b/>
          <w:bCs/>
          <w:color w:val="auto"/>
          <w:sz w:val="24"/>
          <w:highlight w:val="none"/>
        </w:rPr>
        <w:t>22.响应文件的退回</w:t>
      </w:r>
    </w:p>
    <w:p w14:paraId="0344252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采购人和采购代理机构对已提交的响应文件概不退回。</w:t>
      </w:r>
    </w:p>
    <w:p w14:paraId="4F2B4388">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23.截止时间后的撤回</w:t>
      </w:r>
    </w:p>
    <w:p w14:paraId="407D26D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供应商在响应文件提交截止时间后向采购人、采购代理机构书面申请撤回响应文件的，将不予退还其响应文件。</w:t>
      </w:r>
    </w:p>
    <w:bookmarkEnd w:id="69"/>
    <w:p w14:paraId="5045E06C">
      <w:pPr>
        <w:spacing w:line="360" w:lineRule="auto"/>
        <w:rPr>
          <w:rFonts w:hint="eastAsia" w:ascii="仿宋" w:hAnsi="仿宋" w:eastAsia="仿宋" w:cs="仿宋"/>
          <w:color w:val="auto"/>
          <w:szCs w:val="21"/>
          <w:highlight w:val="none"/>
        </w:rPr>
      </w:pPr>
    </w:p>
    <w:p w14:paraId="2EEB0E56">
      <w:pPr>
        <w:spacing w:line="360" w:lineRule="auto"/>
        <w:ind w:left="420" w:firstLine="42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四、评审及磋商</w:t>
      </w:r>
    </w:p>
    <w:p w14:paraId="298F6C80">
      <w:pPr>
        <w:spacing w:line="360" w:lineRule="auto"/>
        <w:ind w:left="420" w:firstLine="420"/>
        <w:rPr>
          <w:rFonts w:hint="eastAsia" w:ascii="仿宋" w:hAnsi="仿宋" w:eastAsia="仿宋" w:cs="仿宋"/>
          <w:color w:val="auto"/>
          <w:szCs w:val="21"/>
          <w:highlight w:val="none"/>
        </w:rPr>
      </w:pPr>
    </w:p>
    <w:p w14:paraId="51B98F7B">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24.磋商小组成立</w:t>
      </w:r>
    </w:p>
    <w:p w14:paraId="2804136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4A9B82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5C5FC2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24.3</w:t>
      </w:r>
      <w:r>
        <w:rPr>
          <w:rFonts w:hint="eastAsia" w:ascii="仿宋" w:hAnsi="仿宋" w:eastAsia="仿宋" w:cs="仿宋"/>
          <w:bCs/>
          <w:color w:val="auto"/>
          <w:szCs w:val="21"/>
          <w:highlight w:val="none"/>
        </w:rPr>
        <w:t>采购代理机构</w:t>
      </w:r>
      <w:r>
        <w:rPr>
          <w:rFonts w:hint="eastAsia" w:ascii="仿宋" w:hAnsi="仿宋" w:eastAsia="仿宋" w:cs="仿宋"/>
          <w:bCs/>
          <w:color w:val="auto"/>
          <w:highlight w:val="none"/>
        </w:rPr>
        <w:t>应当</w:t>
      </w:r>
      <w:r>
        <w:rPr>
          <w:rFonts w:hint="eastAsia" w:ascii="仿宋" w:hAnsi="仿宋" w:eastAsia="仿宋" w:cs="仿宋"/>
          <w:bCs/>
          <w:color w:val="auto"/>
          <w:szCs w:val="21"/>
          <w:highlight w:val="none"/>
        </w:rPr>
        <w:t>基于广西政府采购云平台</w:t>
      </w:r>
      <w:r>
        <w:rPr>
          <w:rFonts w:hint="eastAsia" w:ascii="仿宋" w:hAnsi="仿宋" w:eastAsia="仿宋" w:cs="仿宋"/>
          <w:bCs/>
          <w:color w:val="auto"/>
          <w:highlight w:val="none"/>
        </w:rPr>
        <w:t>抽（选）取</w:t>
      </w:r>
      <w:r>
        <w:rPr>
          <w:rFonts w:hint="eastAsia" w:ascii="仿宋" w:hAnsi="仿宋" w:eastAsia="仿宋" w:cs="仿宋"/>
          <w:bCs/>
          <w:color w:val="auto"/>
          <w:szCs w:val="21"/>
          <w:highlight w:val="none"/>
        </w:rPr>
        <w:t>评审专家。</w:t>
      </w:r>
    </w:p>
    <w:p w14:paraId="4EA3A9F6">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25.首次响应文件的开启和解密</w:t>
      </w:r>
    </w:p>
    <w:p w14:paraId="61C0BD5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bCs/>
          <w:color w:val="auto"/>
          <w:highlight w:val="none"/>
        </w:rPr>
        <w:t>采购代理机构将在“供应商须知前附表”规定的时</w:t>
      </w:r>
      <w:r>
        <w:rPr>
          <w:rFonts w:hint="eastAsia" w:ascii="仿宋" w:hAnsi="仿宋" w:eastAsia="仿宋" w:cs="仿宋"/>
          <w:color w:val="auto"/>
          <w:highlight w:val="none"/>
        </w:rPr>
        <w:t>间通过电子交易平台组织响应文件开启，供应商的法定代表人或其委托代理人须携带加密时所用的CA锁，按平台提示和磋商文件的规定登录到</w:t>
      </w:r>
      <w:r>
        <w:rPr>
          <w:rFonts w:hint="eastAsia" w:ascii="仿宋" w:hAnsi="仿宋" w:eastAsia="仿宋" w:cs="仿宋"/>
          <w:color w:val="auto"/>
          <w:szCs w:val="21"/>
          <w:highlight w:val="none"/>
        </w:rPr>
        <w:t>广西政府采购云平台</w:t>
      </w:r>
      <w:r>
        <w:rPr>
          <w:rFonts w:hint="eastAsia" w:ascii="仿宋" w:hAnsi="仿宋" w:eastAsia="仿宋" w:cs="仿宋"/>
          <w:color w:val="auto"/>
          <w:highlight w:val="none"/>
        </w:rPr>
        <w:t>电子开标大厅签到，采购代理机构依托</w:t>
      </w:r>
      <w:r>
        <w:rPr>
          <w:rFonts w:hint="eastAsia" w:ascii="仿宋" w:hAnsi="仿宋" w:eastAsia="仿宋" w:cs="仿宋"/>
          <w:color w:val="auto"/>
          <w:szCs w:val="21"/>
          <w:highlight w:val="none"/>
        </w:rPr>
        <w:t>广西政府采购云平台</w:t>
      </w:r>
      <w:r>
        <w:rPr>
          <w:rFonts w:hint="eastAsia" w:ascii="仿宋" w:hAnsi="仿宋" w:eastAsia="仿宋" w:cs="仿宋"/>
          <w:color w:val="auto"/>
          <w:highlight w:val="none"/>
        </w:rPr>
        <w:t>向各供应商发出电子加密响应文件【开始解密】通知，由供应商按</w:t>
      </w:r>
      <w:r>
        <w:rPr>
          <w:rFonts w:hint="eastAsia" w:ascii="仿宋" w:hAnsi="仿宋" w:eastAsia="仿宋" w:cs="仿宋"/>
          <w:bCs/>
          <w:color w:val="auto"/>
          <w:szCs w:val="21"/>
          <w:highlight w:val="none"/>
        </w:rPr>
        <w:t>“供应商须知前附表”</w:t>
      </w:r>
      <w:r>
        <w:rPr>
          <w:rFonts w:hint="eastAsia" w:ascii="仿宋" w:hAnsi="仿宋" w:eastAsia="仿宋" w:cs="仿宋"/>
          <w:color w:val="auto"/>
          <w:highlight w:val="none"/>
        </w:rPr>
        <w:t>规定的时间内自行进行响应文件解密。</w:t>
      </w:r>
      <w:r>
        <w:rPr>
          <w:rFonts w:hint="eastAsia" w:ascii="仿宋" w:hAnsi="仿宋" w:eastAsia="仿宋" w:cs="仿宋"/>
          <w:b/>
          <w:color w:val="auto"/>
          <w:highlight w:val="none"/>
        </w:rPr>
        <w:t>供应商未在规定的时间内解密响应文件或者解密失败的，供应商</w:t>
      </w:r>
      <w:r>
        <w:rPr>
          <w:rFonts w:hint="eastAsia" w:ascii="仿宋" w:hAnsi="仿宋" w:eastAsia="仿宋" w:cs="仿宋"/>
          <w:b/>
          <w:color w:val="auto"/>
          <w:szCs w:val="21"/>
          <w:highlight w:val="none"/>
        </w:rPr>
        <w:t>的响应文件作无效处理</w:t>
      </w:r>
      <w:r>
        <w:rPr>
          <w:rFonts w:hint="eastAsia" w:ascii="仿宋" w:hAnsi="仿宋" w:eastAsia="仿宋" w:cs="仿宋"/>
          <w:b/>
          <w:color w:val="auto"/>
          <w:highlight w:val="none"/>
        </w:rPr>
        <w:t>。</w:t>
      </w:r>
    </w:p>
    <w:p w14:paraId="058035EA">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26.评审程序、评审方法和评审标准</w:t>
      </w:r>
    </w:p>
    <w:p w14:paraId="4F92872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26.1本项目的评审方法为综合评分法。</w:t>
      </w:r>
    </w:p>
    <w:p w14:paraId="3952A8C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26.2磋商小组按照“第四章 评审程序、评审方法和评审标准”规定的方法、评审因素、标准和程序对响应文件进行评审。</w:t>
      </w:r>
    </w:p>
    <w:p w14:paraId="0CDD42A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26.3 商务/技术要求允许负偏离的条款数详见“供应商须知前附表”。</w:t>
      </w:r>
    </w:p>
    <w:p w14:paraId="353A9A5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286EE5F">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26.5电子交易活动的中止。采购过程中出现以下情形，导致电子交易平台无法正常运行，或者无法保证电子交易的公平、公正和安全时，采购机构可中止电子交易活动：</w:t>
      </w:r>
    </w:p>
    <w:p w14:paraId="1497E208">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（1）电子交易平台发生故障而无法登录访问的； </w:t>
      </w:r>
    </w:p>
    <w:p w14:paraId="6724839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（2）电子交易平台应用或数据库出现错误，不能进行正常操作的；</w:t>
      </w:r>
    </w:p>
    <w:p w14:paraId="51D74D6B">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（3）电子交易平台发现严重安全漏洞，有潜在泄密危险的；</w:t>
      </w:r>
    </w:p>
    <w:p w14:paraId="19AB7C03">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（4）病毒发作导致不能进行正常操作的； </w:t>
      </w:r>
    </w:p>
    <w:p w14:paraId="3A117307">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（5）其他无法保证电子交易的公平、公正和安全的情况。</w:t>
      </w:r>
    </w:p>
    <w:p w14:paraId="17A92FE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0546C2D">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27.确定成交供应商及结果公告</w:t>
      </w:r>
    </w:p>
    <w:p w14:paraId="3050751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27.1</w:t>
      </w:r>
      <w:r>
        <w:rPr>
          <w:rFonts w:hint="eastAsia" w:ascii="仿宋" w:hAnsi="仿宋" w:eastAsia="仿宋" w:cs="仿宋"/>
          <w:color w:val="auto"/>
          <w:kern w:val="0"/>
          <w:szCs w:val="21"/>
          <w:highlight w:val="none"/>
        </w:rPr>
        <w:t xml:space="preserve"> </w:t>
      </w:r>
      <w:r>
        <w:rPr>
          <w:rFonts w:hint="eastAsia" w:ascii="仿宋" w:hAnsi="仿宋" w:eastAsia="仿宋" w:cs="仿宋"/>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94BDA5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27.2采购代理机构应当在</w:t>
      </w:r>
      <w:r>
        <w:rPr>
          <w:rFonts w:hint="eastAsia" w:ascii="仿宋" w:hAnsi="仿宋" w:eastAsia="仿宋" w:cs="仿宋"/>
          <w:color w:val="auto"/>
          <w:kern w:val="0"/>
          <w:szCs w:val="21"/>
          <w:highlight w:val="none"/>
        </w:rPr>
        <w:t>成交</w:t>
      </w:r>
      <w:r>
        <w:rPr>
          <w:rFonts w:hint="eastAsia" w:ascii="仿宋" w:hAnsi="仿宋" w:eastAsia="仿宋" w:cs="仿宋"/>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0" w:name="_Hlk66782294"/>
      <w:r>
        <w:rPr>
          <w:rFonts w:hint="eastAsia" w:ascii="仿宋" w:hAnsi="仿宋" w:eastAsia="仿宋" w:cs="仿宋"/>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0"/>
    </w:p>
    <w:p w14:paraId="598A0A8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27.3出现下列情形之一的，采购人或者采购代理机构应当终止竞争性磋商采购活动，发布项目终止公告并说明原因，重新开展采购活动：</w:t>
      </w:r>
    </w:p>
    <w:p w14:paraId="618832C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（1）因情况变化，不再符合规定的竞争性磋商采购方式适用情形的；</w:t>
      </w:r>
    </w:p>
    <w:p w14:paraId="16FCC32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（2）出现影响采购公正的违法、违规行为的；</w:t>
      </w:r>
    </w:p>
    <w:p w14:paraId="29FCCA1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（3）除“第四章 评审程序、评审方法和评审标准”第4.3条规定的情形外，在采购过程中符合要求的供应商或者报价未超过采购预算的供应商不足3家的。</w:t>
      </w:r>
    </w:p>
    <w:p w14:paraId="33094BA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072BAC44">
      <w:pPr>
        <w:spacing w:line="360" w:lineRule="auto"/>
        <w:ind w:firstLine="482" w:firstLineChars="200"/>
        <w:rPr>
          <w:rFonts w:hint="eastAsia" w:ascii="仿宋" w:hAnsi="仿宋" w:eastAsia="仿宋" w:cs="仿宋"/>
          <w:b/>
          <w:bCs/>
          <w:color w:val="auto"/>
          <w:sz w:val="24"/>
          <w:highlight w:val="none"/>
          <w:lang w:eastAsia="zh-CN"/>
        </w:rPr>
      </w:pPr>
      <w:r>
        <w:rPr>
          <w:rFonts w:hint="eastAsia" w:ascii="仿宋" w:hAnsi="仿宋" w:eastAsia="仿宋" w:cs="仿宋"/>
          <w:b/>
          <w:bCs/>
          <w:color w:val="auto"/>
          <w:sz w:val="24"/>
          <w:highlight w:val="none"/>
        </w:rPr>
        <w:t>28.履约保证金</w:t>
      </w:r>
      <w:r>
        <w:rPr>
          <w:rFonts w:hint="eastAsia" w:ascii="仿宋" w:hAnsi="仿宋" w:eastAsia="仿宋" w:cs="仿宋"/>
          <w:b/>
          <w:bCs/>
          <w:color w:val="auto"/>
          <w:sz w:val="24"/>
          <w:highlight w:val="none"/>
          <w:lang w:eastAsia="zh-CN"/>
        </w:rPr>
        <w:t>：本项目不收取履约保证金。</w:t>
      </w:r>
    </w:p>
    <w:p w14:paraId="501006A5">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29.签订合同</w:t>
      </w:r>
    </w:p>
    <w:p w14:paraId="38CAC2A1">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6938944F">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29.2签订合同时间：按成交通知书规定的时间与采购人签订合同。</w:t>
      </w:r>
    </w:p>
    <w:p w14:paraId="39654292">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2801658">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07CA2FD">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B3CF14B">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29.6如签订合同并生效后，供应商无故拒绝或延期，除按照合同条款处理外，将承担相应的法律责任。</w:t>
      </w:r>
    </w:p>
    <w:p w14:paraId="7418CD1E">
      <w:pPr>
        <w:spacing w:line="360" w:lineRule="auto"/>
        <w:ind w:firstLine="424" w:firstLineChars="202"/>
        <w:rPr>
          <w:rFonts w:hint="eastAsia" w:ascii="仿宋" w:hAnsi="仿宋" w:eastAsia="仿宋" w:cs="仿宋"/>
          <w:color w:val="auto"/>
          <w:szCs w:val="21"/>
          <w:highlight w:val="none"/>
        </w:rPr>
      </w:pPr>
      <w:r>
        <w:rPr>
          <w:rFonts w:hint="eastAsia" w:ascii="仿宋" w:hAnsi="仿宋" w:eastAsia="仿宋" w:cs="仿宋"/>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3F3A7BA">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30.政府采购合同公告</w:t>
      </w:r>
    </w:p>
    <w:p w14:paraId="4B36F9A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BA900B9">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31. 询问、质疑和投诉</w:t>
      </w:r>
    </w:p>
    <w:p w14:paraId="7C250828">
      <w:pPr>
        <w:pStyle w:val="22"/>
        <w:spacing w:line="360" w:lineRule="auto"/>
        <w:rPr>
          <w:rFonts w:hint="eastAsia" w:ascii="仿宋" w:hAnsi="仿宋" w:eastAsia="仿宋" w:cs="仿宋"/>
          <w:color w:val="auto"/>
          <w:szCs w:val="21"/>
          <w:highlight w:val="none"/>
        </w:rPr>
      </w:pPr>
      <w:r>
        <w:rPr>
          <w:rFonts w:hint="eastAsia" w:ascii="仿宋" w:hAnsi="仿宋" w:eastAsia="仿宋" w:cs="仿宋"/>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仿宋" w:hAnsi="仿宋" w:eastAsia="仿宋" w:cs="仿宋"/>
          <w:color w:val="auto"/>
          <w:szCs w:val="21"/>
          <w:highlight w:val="none"/>
        </w:rPr>
        <w:t>但答复的内容不得涉及商业秘密</w:t>
      </w:r>
      <w:r>
        <w:rPr>
          <w:rFonts w:hint="eastAsia" w:ascii="仿宋" w:hAnsi="仿宋" w:eastAsia="仿宋" w:cs="仿宋"/>
          <w:color w:val="auto"/>
          <w:highlight w:val="none"/>
        </w:rPr>
        <w:t>。</w:t>
      </w:r>
    </w:p>
    <w:p w14:paraId="6B2DBE0B">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仿宋" w:hAnsi="仿宋" w:eastAsia="仿宋" w:cs="仿宋"/>
          <w:color w:val="auto"/>
          <w:highlight w:val="none"/>
          <w:shd w:val="clear" w:color="auto" w:fill="FFFFFF"/>
        </w:rPr>
        <w:t>接收质疑函的方式、联系部门、联系电话和通讯地址等信息详见</w:t>
      </w:r>
      <w:r>
        <w:rPr>
          <w:rFonts w:hint="eastAsia" w:ascii="仿宋" w:hAnsi="仿宋" w:eastAsia="仿宋" w:cs="仿宋"/>
          <w:color w:val="auto"/>
          <w:szCs w:val="21"/>
          <w:highlight w:val="none"/>
        </w:rPr>
        <w:t>“供应商须知前附表”</w:t>
      </w:r>
      <w:r>
        <w:rPr>
          <w:rFonts w:hint="eastAsia" w:ascii="仿宋" w:hAnsi="仿宋" w:eastAsia="仿宋" w:cs="仿宋"/>
          <w:color w:val="auto"/>
          <w:highlight w:val="none"/>
        </w:rPr>
        <w:t>。具体质疑起算时间如下：</w:t>
      </w:r>
    </w:p>
    <w:p w14:paraId="049BDD43">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（1）对可以质疑的磋商文件提出质疑的，为收到磋商文件之日或者竞争性磋商公告期限届满之日；</w:t>
      </w:r>
    </w:p>
    <w:p w14:paraId="1D8754D7">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（2）对采购过程提出质疑的，为各采购程序环节结束之日；</w:t>
      </w:r>
    </w:p>
    <w:p w14:paraId="18C4303E">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（3）对成交结果提出质疑的，为成交结果公告期限届满之日。</w:t>
      </w:r>
    </w:p>
    <w:p w14:paraId="178813C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A0600CD">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31.4 供应商提出质疑应当提交质疑函和必要的证明材料，针对同一采购程序环节的质疑必须在法定质疑期内一次性提出。质疑函应当包括下列内容</w:t>
      </w:r>
      <w:r>
        <w:rPr>
          <w:rFonts w:hint="eastAsia" w:ascii="仿宋" w:hAnsi="仿宋" w:eastAsia="仿宋" w:cs="仿宋"/>
          <w:bCs/>
          <w:color w:val="auto"/>
          <w:highlight w:val="none"/>
        </w:rPr>
        <w:t>（质疑函格式后附）</w:t>
      </w:r>
      <w:r>
        <w:rPr>
          <w:rFonts w:hint="eastAsia" w:ascii="仿宋" w:hAnsi="仿宋" w:eastAsia="仿宋" w:cs="仿宋"/>
          <w:color w:val="auto"/>
          <w:highlight w:val="none"/>
        </w:rPr>
        <w:t>：</w:t>
      </w:r>
    </w:p>
    <w:p w14:paraId="32DAD2D2">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（1）供应商的姓名或者名称、地址、邮编、联系人及联系电话；</w:t>
      </w:r>
    </w:p>
    <w:p w14:paraId="2B04CBE4">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（2）质疑项目的名称、编号；</w:t>
      </w:r>
    </w:p>
    <w:p w14:paraId="3DA0B7D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（3）具体、明确的质疑事项和与质疑事项相关的请求；</w:t>
      </w:r>
    </w:p>
    <w:p w14:paraId="1597C058">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（4）事实依据；</w:t>
      </w:r>
    </w:p>
    <w:p w14:paraId="339764DB">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（5）必要的法律依据；</w:t>
      </w:r>
    </w:p>
    <w:p w14:paraId="77ED846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（6）提出质疑的日期。</w:t>
      </w:r>
    </w:p>
    <w:p w14:paraId="41995A45">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供应商为自然人的，应当由本人签字；供应商为法人或者其他组织的，应当由法定代表人、主要负责人，或者其委托代理人签字或者盖章，并加盖公章。</w:t>
      </w:r>
    </w:p>
    <w:p w14:paraId="15970EA4">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51EF6CF">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（一）对采购文件提出的质疑，依法通过澄清或者修改可以继续开展采购活动的，澄清或者修改采购文件后继续开展采购活动；否则应当修改采购文件后重新开展采购活动。</w:t>
      </w:r>
    </w:p>
    <w:p w14:paraId="1DECB929">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2EB569F">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质疑答复导致成交结果改变的，采购人或者采购代理机构应当将有关情况书面报告本级财政部门。</w:t>
      </w:r>
    </w:p>
    <w:p w14:paraId="6336608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3581D81">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32.其他内容</w:t>
      </w:r>
    </w:p>
    <w:p w14:paraId="52CC2F6B">
      <w:pPr>
        <w:tabs>
          <w:tab w:val="left" w:pos="2835"/>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32.1代理服务</w:t>
      </w:r>
      <w:r>
        <w:rPr>
          <w:rFonts w:hint="eastAsia" w:ascii="仿宋" w:hAnsi="仿宋" w:eastAsia="仿宋" w:cs="仿宋"/>
          <w:color w:val="auto"/>
          <w:highlight w:val="none"/>
          <w:lang w:eastAsia="zh-CN"/>
        </w:rPr>
        <w:t>费</w:t>
      </w:r>
      <w:r>
        <w:rPr>
          <w:rFonts w:hint="eastAsia" w:ascii="仿宋" w:hAnsi="仿宋" w:eastAsia="仿宋" w:cs="仿宋"/>
          <w:color w:val="auto"/>
          <w:szCs w:val="21"/>
          <w:highlight w:val="none"/>
        </w:rPr>
        <w:t>收取标准及缴费账户详见“供应商须知前附表”。</w:t>
      </w:r>
    </w:p>
    <w:p w14:paraId="77C83301">
      <w:pPr>
        <w:tabs>
          <w:tab w:val="left" w:pos="2835"/>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32.2代理服务费收费计算标准：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B40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580AD267">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费率</w:t>
            </w:r>
          </w:p>
          <w:p w14:paraId="4AAA36E6">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金额</w:t>
            </w:r>
          </w:p>
        </w:tc>
        <w:tc>
          <w:tcPr>
            <w:tcW w:w="1659" w:type="dxa"/>
            <w:noWrap w:val="0"/>
            <w:vAlign w:val="center"/>
          </w:tcPr>
          <w:p w14:paraId="41B322BB">
            <w:pPr>
              <w:spacing w:line="360" w:lineRule="auto"/>
              <w:ind w:firstLine="105" w:firstLineChars="5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货物类</w:t>
            </w:r>
          </w:p>
        </w:tc>
        <w:tc>
          <w:tcPr>
            <w:tcW w:w="1532" w:type="dxa"/>
            <w:noWrap w:val="0"/>
            <w:vAlign w:val="center"/>
          </w:tcPr>
          <w:p w14:paraId="134F1243">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服务类</w:t>
            </w:r>
          </w:p>
        </w:tc>
        <w:tc>
          <w:tcPr>
            <w:tcW w:w="1546" w:type="dxa"/>
            <w:noWrap w:val="0"/>
            <w:vAlign w:val="center"/>
          </w:tcPr>
          <w:p w14:paraId="5CD2A894">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工程类</w:t>
            </w:r>
          </w:p>
        </w:tc>
      </w:tr>
      <w:tr w14:paraId="57FB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4C4341">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100万元以下</w:t>
            </w:r>
          </w:p>
        </w:tc>
        <w:tc>
          <w:tcPr>
            <w:tcW w:w="1659" w:type="dxa"/>
            <w:noWrap w:val="0"/>
            <w:vAlign w:val="top"/>
          </w:tcPr>
          <w:p w14:paraId="3DA9445C">
            <w:pPr>
              <w:spacing w:line="360" w:lineRule="auto"/>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  1.5%                </w:t>
            </w:r>
          </w:p>
        </w:tc>
        <w:tc>
          <w:tcPr>
            <w:tcW w:w="1532" w:type="dxa"/>
            <w:noWrap w:val="0"/>
            <w:vAlign w:val="top"/>
          </w:tcPr>
          <w:p w14:paraId="139C4131">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1.5%</w:t>
            </w:r>
          </w:p>
        </w:tc>
        <w:tc>
          <w:tcPr>
            <w:tcW w:w="1546" w:type="dxa"/>
            <w:noWrap w:val="0"/>
            <w:vAlign w:val="top"/>
          </w:tcPr>
          <w:p w14:paraId="4BC6CF7E">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1.0% </w:t>
            </w:r>
          </w:p>
        </w:tc>
      </w:tr>
      <w:tr w14:paraId="533F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A4C8567">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100～500万元</w:t>
            </w:r>
          </w:p>
        </w:tc>
        <w:tc>
          <w:tcPr>
            <w:tcW w:w="1659" w:type="dxa"/>
            <w:noWrap w:val="0"/>
            <w:vAlign w:val="top"/>
          </w:tcPr>
          <w:p w14:paraId="08ACFAD2">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1.1%                 </w:t>
            </w:r>
          </w:p>
        </w:tc>
        <w:tc>
          <w:tcPr>
            <w:tcW w:w="1532" w:type="dxa"/>
            <w:noWrap w:val="0"/>
            <w:vAlign w:val="top"/>
          </w:tcPr>
          <w:p w14:paraId="4763B0AD">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0.8%</w:t>
            </w:r>
          </w:p>
        </w:tc>
        <w:tc>
          <w:tcPr>
            <w:tcW w:w="1546" w:type="dxa"/>
            <w:noWrap w:val="0"/>
            <w:vAlign w:val="top"/>
          </w:tcPr>
          <w:p w14:paraId="7684C949">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0.7% </w:t>
            </w:r>
          </w:p>
        </w:tc>
      </w:tr>
      <w:tr w14:paraId="7203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7175EF8">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500～1000万元</w:t>
            </w:r>
          </w:p>
        </w:tc>
        <w:tc>
          <w:tcPr>
            <w:tcW w:w="1659" w:type="dxa"/>
            <w:noWrap w:val="0"/>
            <w:vAlign w:val="top"/>
          </w:tcPr>
          <w:p w14:paraId="53329974">
            <w:pPr>
              <w:spacing w:line="360" w:lineRule="auto"/>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  0.8%                </w:t>
            </w:r>
          </w:p>
        </w:tc>
        <w:tc>
          <w:tcPr>
            <w:tcW w:w="1532" w:type="dxa"/>
            <w:noWrap w:val="0"/>
            <w:vAlign w:val="top"/>
          </w:tcPr>
          <w:p w14:paraId="0F5A363E">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0.45%</w:t>
            </w:r>
          </w:p>
        </w:tc>
        <w:tc>
          <w:tcPr>
            <w:tcW w:w="1546" w:type="dxa"/>
            <w:noWrap w:val="0"/>
            <w:vAlign w:val="top"/>
          </w:tcPr>
          <w:p w14:paraId="707026F2">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0.55%</w:t>
            </w:r>
          </w:p>
        </w:tc>
      </w:tr>
      <w:tr w14:paraId="2302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6BC3F99">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1000～5000万元</w:t>
            </w:r>
          </w:p>
        </w:tc>
        <w:tc>
          <w:tcPr>
            <w:tcW w:w="1659" w:type="dxa"/>
            <w:noWrap w:val="0"/>
            <w:vAlign w:val="top"/>
          </w:tcPr>
          <w:p w14:paraId="14F69A7E">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0.5%                </w:t>
            </w:r>
          </w:p>
        </w:tc>
        <w:tc>
          <w:tcPr>
            <w:tcW w:w="1532" w:type="dxa"/>
            <w:noWrap w:val="0"/>
            <w:vAlign w:val="top"/>
          </w:tcPr>
          <w:p w14:paraId="42A74F2D">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0.25%</w:t>
            </w:r>
          </w:p>
        </w:tc>
        <w:tc>
          <w:tcPr>
            <w:tcW w:w="1546" w:type="dxa"/>
            <w:noWrap w:val="0"/>
            <w:vAlign w:val="top"/>
          </w:tcPr>
          <w:p w14:paraId="73F6932B">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0.35% </w:t>
            </w:r>
          </w:p>
        </w:tc>
      </w:tr>
      <w:tr w14:paraId="3E2F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749611E">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5000万元～1亿元</w:t>
            </w:r>
          </w:p>
        </w:tc>
        <w:tc>
          <w:tcPr>
            <w:tcW w:w="1659" w:type="dxa"/>
            <w:noWrap w:val="0"/>
            <w:vAlign w:val="top"/>
          </w:tcPr>
          <w:p w14:paraId="12C6E44C">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 xml:space="preserve">0.25%                 </w:t>
            </w:r>
          </w:p>
        </w:tc>
        <w:tc>
          <w:tcPr>
            <w:tcW w:w="1532" w:type="dxa"/>
            <w:noWrap w:val="0"/>
            <w:vAlign w:val="top"/>
          </w:tcPr>
          <w:p w14:paraId="288F6746">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0.1%</w:t>
            </w:r>
          </w:p>
        </w:tc>
        <w:tc>
          <w:tcPr>
            <w:tcW w:w="1546" w:type="dxa"/>
            <w:noWrap w:val="0"/>
            <w:vAlign w:val="top"/>
          </w:tcPr>
          <w:p w14:paraId="5F5182BF">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0.2%</w:t>
            </w:r>
          </w:p>
        </w:tc>
      </w:tr>
      <w:tr w14:paraId="4DB4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B8F892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1～5亿元</w:t>
            </w:r>
          </w:p>
        </w:tc>
        <w:tc>
          <w:tcPr>
            <w:tcW w:w="1659" w:type="dxa"/>
            <w:noWrap w:val="0"/>
            <w:vAlign w:val="top"/>
          </w:tcPr>
          <w:p w14:paraId="6758857E">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0.05%</w:t>
            </w:r>
          </w:p>
        </w:tc>
        <w:tc>
          <w:tcPr>
            <w:tcW w:w="1532" w:type="dxa"/>
            <w:noWrap w:val="0"/>
            <w:vAlign w:val="top"/>
          </w:tcPr>
          <w:p w14:paraId="4973FFB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0.05%</w:t>
            </w:r>
          </w:p>
        </w:tc>
        <w:tc>
          <w:tcPr>
            <w:tcW w:w="1546" w:type="dxa"/>
            <w:noWrap w:val="0"/>
            <w:vAlign w:val="top"/>
          </w:tcPr>
          <w:p w14:paraId="5F4FD2B4">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0.05%</w:t>
            </w:r>
          </w:p>
        </w:tc>
      </w:tr>
      <w:tr w14:paraId="2346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614B80C">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5～10亿元</w:t>
            </w:r>
          </w:p>
        </w:tc>
        <w:tc>
          <w:tcPr>
            <w:tcW w:w="1659" w:type="dxa"/>
            <w:noWrap w:val="0"/>
            <w:vAlign w:val="top"/>
          </w:tcPr>
          <w:p w14:paraId="4275E5AB">
            <w:pPr>
              <w:spacing w:line="360" w:lineRule="auto"/>
              <w:ind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0.035%</w:t>
            </w:r>
          </w:p>
        </w:tc>
        <w:tc>
          <w:tcPr>
            <w:tcW w:w="1532" w:type="dxa"/>
            <w:noWrap w:val="0"/>
            <w:vAlign w:val="top"/>
          </w:tcPr>
          <w:p w14:paraId="307883D7">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0.035%</w:t>
            </w:r>
          </w:p>
        </w:tc>
        <w:tc>
          <w:tcPr>
            <w:tcW w:w="1546" w:type="dxa"/>
            <w:noWrap w:val="0"/>
            <w:vAlign w:val="top"/>
          </w:tcPr>
          <w:p w14:paraId="3E86A7E6">
            <w:pPr>
              <w:spacing w:line="360" w:lineRule="auto"/>
              <w:ind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0.035%</w:t>
            </w:r>
          </w:p>
        </w:tc>
      </w:tr>
      <w:tr w14:paraId="1555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9621E0C">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10～50亿元</w:t>
            </w:r>
          </w:p>
        </w:tc>
        <w:tc>
          <w:tcPr>
            <w:tcW w:w="1659" w:type="dxa"/>
            <w:noWrap w:val="0"/>
            <w:vAlign w:val="top"/>
          </w:tcPr>
          <w:p w14:paraId="383D3658">
            <w:pPr>
              <w:spacing w:line="360" w:lineRule="auto"/>
              <w:ind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0.008%</w:t>
            </w:r>
          </w:p>
        </w:tc>
        <w:tc>
          <w:tcPr>
            <w:tcW w:w="1532" w:type="dxa"/>
            <w:noWrap w:val="0"/>
            <w:vAlign w:val="top"/>
          </w:tcPr>
          <w:p w14:paraId="6EDDC8D1">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0.008%</w:t>
            </w:r>
          </w:p>
        </w:tc>
        <w:tc>
          <w:tcPr>
            <w:tcW w:w="1546" w:type="dxa"/>
            <w:noWrap w:val="0"/>
            <w:vAlign w:val="top"/>
          </w:tcPr>
          <w:p w14:paraId="22F53FBB">
            <w:pPr>
              <w:spacing w:line="360" w:lineRule="auto"/>
              <w:ind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0.008%</w:t>
            </w:r>
          </w:p>
        </w:tc>
      </w:tr>
      <w:tr w14:paraId="7F7C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799A868">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50～100亿元</w:t>
            </w:r>
          </w:p>
        </w:tc>
        <w:tc>
          <w:tcPr>
            <w:tcW w:w="1659" w:type="dxa"/>
            <w:noWrap w:val="0"/>
            <w:vAlign w:val="top"/>
          </w:tcPr>
          <w:p w14:paraId="3AA70210">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0.006%</w:t>
            </w:r>
          </w:p>
        </w:tc>
        <w:tc>
          <w:tcPr>
            <w:tcW w:w="1532" w:type="dxa"/>
            <w:noWrap w:val="0"/>
            <w:vAlign w:val="top"/>
          </w:tcPr>
          <w:p w14:paraId="4AF389B6">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0.006%</w:t>
            </w:r>
          </w:p>
        </w:tc>
        <w:tc>
          <w:tcPr>
            <w:tcW w:w="1546" w:type="dxa"/>
            <w:noWrap w:val="0"/>
            <w:vAlign w:val="top"/>
          </w:tcPr>
          <w:p w14:paraId="0C969ED4">
            <w:pPr>
              <w:spacing w:line="360" w:lineRule="auto"/>
              <w:ind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0.006%</w:t>
            </w:r>
          </w:p>
        </w:tc>
      </w:tr>
      <w:tr w14:paraId="7418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A5265C4">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100亿以上</w:t>
            </w:r>
          </w:p>
        </w:tc>
        <w:tc>
          <w:tcPr>
            <w:tcW w:w="1659" w:type="dxa"/>
            <w:noWrap w:val="0"/>
            <w:vAlign w:val="top"/>
          </w:tcPr>
          <w:p w14:paraId="20F60EEE">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0.004%</w:t>
            </w:r>
          </w:p>
        </w:tc>
        <w:tc>
          <w:tcPr>
            <w:tcW w:w="1532" w:type="dxa"/>
            <w:noWrap w:val="0"/>
            <w:vAlign w:val="top"/>
          </w:tcPr>
          <w:p w14:paraId="7AE848B9">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0.004%</w:t>
            </w:r>
          </w:p>
        </w:tc>
        <w:tc>
          <w:tcPr>
            <w:tcW w:w="1546" w:type="dxa"/>
            <w:noWrap w:val="0"/>
            <w:vAlign w:val="top"/>
          </w:tcPr>
          <w:p w14:paraId="36DAAD89">
            <w:pPr>
              <w:spacing w:line="360" w:lineRule="auto"/>
              <w:ind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0.004%</w:t>
            </w:r>
          </w:p>
        </w:tc>
      </w:tr>
    </w:tbl>
    <w:p w14:paraId="615D9D67">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注：</w:t>
      </w:r>
    </w:p>
    <w:p w14:paraId="4368FADB">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（1）按本表费率计算的收费为采购代理的收费基准价格；</w:t>
      </w:r>
    </w:p>
    <w:p w14:paraId="77DBFF5B">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（2）采购代理收费按差额定率累进法计算。</w:t>
      </w:r>
    </w:p>
    <w:p w14:paraId="550E5755">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例如：某服务采购代理业务成交金额或者暂定价为150万元，计算采购代理收费额如下：</w:t>
      </w:r>
    </w:p>
    <w:p w14:paraId="5D427335">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100 万元 ×l.5 %＝ 1.5 万元</w:t>
      </w:r>
    </w:p>
    <w:p w14:paraId="10FF4072">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150 － 100 ）万元 ×0.8%＝ 0.4万元</w:t>
      </w:r>
    </w:p>
    <w:p w14:paraId="2B3E1D5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合计收费＝ 1.5 ＋ 0.4＝ 1.9 万元</w:t>
      </w:r>
    </w:p>
    <w:p w14:paraId="76A4F031">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33.需要补充的其他内容</w:t>
      </w:r>
    </w:p>
    <w:p w14:paraId="3AA1908B">
      <w:pPr>
        <w:pStyle w:val="40"/>
        <w:spacing w:line="360" w:lineRule="auto"/>
        <w:ind w:firstLine="420" w:firstLineChars="200"/>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33.1本磋商文件解释规则详见“供应商须知前附表”。</w:t>
      </w:r>
    </w:p>
    <w:p w14:paraId="29DE7F13">
      <w:pPr>
        <w:pStyle w:val="40"/>
        <w:spacing w:line="360" w:lineRule="auto"/>
        <w:ind w:firstLine="420" w:firstLineChars="200"/>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33.2 其他事项详见“供应商须知前附表”。</w:t>
      </w:r>
    </w:p>
    <w:p w14:paraId="4D090AC9">
      <w:pPr>
        <w:pStyle w:val="40"/>
        <w:spacing w:line="360" w:lineRule="auto"/>
        <w:ind w:firstLine="420" w:firstLineChars="200"/>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1D57476">
      <w:pPr>
        <w:pStyle w:val="40"/>
        <w:spacing w:line="360" w:lineRule="auto"/>
        <w:ind w:firstLine="420" w:firstLineChars="200"/>
        <w:contextualSpacing/>
        <w:rPr>
          <w:rFonts w:hint="eastAsia" w:ascii="仿宋" w:hAnsi="仿宋" w:eastAsia="仿宋" w:cs="仿宋"/>
          <w:color w:val="auto"/>
          <w:sz w:val="21"/>
          <w:highlight w:val="none"/>
        </w:rPr>
      </w:pPr>
      <w:r>
        <w:rPr>
          <w:rFonts w:hint="eastAsia" w:ascii="仿宋" w:hAnsi="仿宋" w:eastAsia="仿宋" w:cs="仿宋"/>
          <w:color w:val="auto"/>
          <w:sz w:val="21"/>
          <w:highlight w:val="none"/>
        </w:rPr>
        <w:t>（1）在货物采购项目中，货物由中小企业制造，即货物由中小企业生产且使用该中小企业商号或者注册商标，不对其中涉及的工程承建商和服务的承接商作出要求；</w:t>
      </w:r>
    </w:p>
    <w:p w14:paraId="43961B91">
      <w:pPr>
        <w:pStyle w:val="40"/>
        <w:spacing w:line="360" w:lineRule="auto"/>
        <w:ind w:firstLine="420" w:firstLineChars="200"/>
        <w:contextualSpacing/>
        <w:rPr>
          <w:rFonts w:hint="eastAsia" w:ascii="仿宋" w:hAnsi="仿宋" w:eastAsia="仿宋" w:cs="仿宋"/>
          <w:color w:val="auto"/>
          <w:sz w:val="21"/>
          <w:highlight w:val="none"/>
        </w:rPr>
      </w:pPr>
      <w:r>
        <w:rPr>
          <w:rFonts w:hint="eastAsia" w:ascii="仿宋" w:hAnsi="仿宋" w:eastAsia="仿宋" w:cs="仿宋"/>
          <w:color w:val="auto"/>
          <w:sz w:val="21"/>
          <w:highlight w:val="none"/>
        </w:rPr>
        <w:t>（2）在工程采购项目中，工程由中小企业承建，即工程施工单位为中小企业，不对其中涉及的货物的制造商和服务的承接商作出要求；</w:t>
      </w:r>
    </w:p>
    <w:p w14:paraId="62321B85">
      <w:pPr>
        <w:pStyle w:val="40"/>
        <w:spacing w:line="360" w:lineRule="auto"/>
        <w:ind w:firstLine="420" w:firstLineChars="200"/>
        <w:contextualSpacing/>
        <w:rPr>
          <w:rFonts w:hint="eastAsia" w:ascii="仿宋" w:hAnsi="仿宋" w:eastAsia="仿宋" w:cs="仿宋"/>
          <w:color w:val="auto"/>
          <w:sz w:val="21"/>
          <w:highlight w:val="none"/>
        </w:rPr>
      </w:pPr>
      <w:r>
        <w:rPr>
          <w:rFonts w:hint="eastAsia" w:ascii="仿宋" w:hAnsi="仿宋" w:eastAsia="仿宋" w:cs="仿宋"/>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8077E70">
      <w:pPr>
        <w:pStyle w:val="40"/>
        <w:spacing w:line="360" w:lineRule="auto"/>
        <w:ind w:firstLine="420" w:firstLineChars="200"/>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A77F14B">
      <w:pPr>
        <w:pStyle w:val="40"/>
        <w:spacing w:line="360" w:lineRule="auto"/>
        <w:ind w:firstLine="42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2"/>
          <w:sz w:val="21"/>
          <w:highlight w:val="none"/>
        </w:rPr>
        <w:t>依据本磋商文件规定享受扶持政策获得政府采购合同的，小微企业不得将合同分包给大中型企业，中型企业不得将合同分包给大型企业。</w:t>
      </w:r>
      <w:r>
        <w:rPr>
          <w:rFonts w:hint="eastAsia" w:ascii="仿宋" w:hAnsi="仿宋" w:eastAsia="仿宋" w:cs="仿宋"/>
          <w:b/>
          <w:color w:val="auto"/>
          <w:highlight w:val="none"/>
        </w:rPr>
        <w:br w:type="page"/>
      </w:r>
      <w:bookmarkStart w:id="71" w:name="_Toc74323458"/>
    </w:p>
    <w:p w14:paraId="1A740461">
      <w:pPr>
        <w:pStyle w:val="18"/>
        <w:jc w:val="center"/>
        <w:rPr>
          <w:rFonts w:hint="eastAsia" w:ascii="仿宋" w:hAnsi="仿宋" w:eastAsia="仿宋" w:cs="仿宋"/>
          <w:color w:val="auto"/>
          <w:highlight w:val="none"/>
        </w:rPr>
      </w:pPr>
      <w:r>
        <w:rPr>
          <w:rFonts w:hint="eastAsia" w:ascii="仿宋" w:hAnsi="仿宋" w:eastAsia="仿宋" w:cs="仿宋"/>
          <w:color w:val="auto"/>
          <w:highlight w:val="none"/>
        </w:rPr>
        <w:t>第三章 采购需求</w:t>
      </w:r>
      <w:bookmarkEnd w:id="71"/>
    </w:p>
    <w:p w14:paraId="478ABCD1">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w:t>
      </w:r>
    </w:p>
    <w:p w14:paraId="17B69F50">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highlight w:val="none"/>
        </w:rPr>
        <w:t>1. 为落实政府采购政策需满足的要求</w:t>
      </w:r>
    </w:p>
    <w:p w14:paraId="7497DAF8">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（1）本竞争性磋商采购文件所称中小企业必须符合《政府采购促进中小企业发展管理办法》（财库〔2020〕46号）的规定。</w:t>
      </w:r>
    </w:p>
    <w:p w14:paraId="32EA07D4">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（2）根据《财政部司法部关于政府采购支持监狱企业发展有关问题的通知》（财库〔2014〕68号）的规定，如供应商为监狱企业，视同小型、微型企业。</w:t>
      </w:r>
    </w:p>
    <w:p w14:paraId="56A10117">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（3）根据《关于促进残疾人就业政府采购政策的通知》（财库〔2017〕141号）的规定，如供应商为残疾人福利性单位，视同小型、微型企业。</w:t>
      </w:r>
    </w:p>
    <w:p w14:paraId="75D6C7FE">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10D31BA">
      <w:pPr>
        <w:spacing w:line="360" w:lineRule="auto"/>
        <w:ind w:firstLine="426" w:firstLineChars="202"/>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2.“实质性要求”是指采购需求中带“▲”的条款或者不能负偏离的条款或者已经指明不满足按响应文件无效处理的条款。</w:t>
      </w:r>
    </w:p>
    <w:p w14:paraId="39CC5586">
      <w:pPr>
        <w:spacing w:line="360" w:lineRule="auto"/>
        <w:ind w:firstLine="424" w:firstLineChars="202"/>
        <w:jc w:val="left"/>
        <w:rPr>
          <w:rFonts w:hint="eastAsia" w:ascii="仿宋" w:hAnsi="仿宋" w:eastAsia="仿宋" w:cs="仿宋"/>
          <w:b/>
          <w:bCs/>
          <w:color w:val="auto"/>
          <w:highlight w:val="none"/>
        </w:rPr>
      </w:pPr>
      <w:r>
        <w:rPr>
          <w:rFonts w:hint="eastAsia" w:ascii="仿宋" w:hAnsi="仿宋" w:eastAsia="仿宋" w:cs="仿宋"/>
          <w:color w:val="auto"/>
          <w:szCs w:val="21"/>
          <w:highlight w:val="none"/>
        </w:rPr>
        <w:t>3.供应商应根据自身实际情况如实响应磋商文件，对磋商文件提出的要求和条件作出明确响应</w:t>
      </w:r>
      <w:r>
        <w:rPr>
          <w:rFonts w:hint="eastAsia" w:ascii="仿宋" w:hAnsi="仿宋" w:eastAsia="仿宋" w:cs="仿宋"/>
          <w:b/>
          <w:bCs/>
          <w:color w:val="auto"/>
          <w:szCs w:val="21"/>
          <w:highlight w:val="none"/>
        </w:rPr>
        <w:t>，否则将作无效响应处理。</w:t>
      </w:r>
    </w:p>
    <w:p w14:paraId="2B17C12F">
      <w:pPr>
        <w:spacing w:line="360" w:lineRule="auto"/>
        <w:ind w:firstLine="424" w:firstLineChars="202"/>
        <w:jc w:val="left"/>
        <w:rPr>
          <w:rFonts w:hint="eastAsia" w:ascii="仿宋" w:hAnsi="仿宋" w:eastAsia="仿宋" w:cs="仿宋"/>
          <w:color w:val="auto"/>
          <w:highlight w:val="none"/>
        </w:rPr>
      </w:pPr>
      <w:r>
        <w:rPr>
          <w:rFonts w:hint="eastAsia" w:ascii="仿宋" w:hAnsi="仿宋" w:eastAsia="仿宋" w:cs="仿宋"/>
          <w:color w:val="auto"/>
          <w:szCs w:val="21"/>
          <w:highlight w:val="none"/>
        </w:rPr>
        <w:t>4.</w:t>
      </w:r>
      <w:r>
        <w:rPr>
          <w:rFonts w:hint="eastAsia" w:ascii="仿宋" w:hAnsi="仿宋" w:eastAsia="仿宋" w:cs="仿宋"/>
          <w:color w:val="auto"/>
          <w:highlight w:val="none"/>
        </w:rPr>
        <w:t>供应商必须自行为其竞标产品侵犯他人的知识产权或者专利成果的行为承担相应法律责任。</w:t>
      </w:r>
    </w:p>
    <w:tbl>
      <w:tblPr>
        <w:tblStyle w:val="13"/>
        <w:tblW w:w="9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78"/>
        <w:gridCol w:w="96"/>
        <w:gridCol w:w="666"/>
        <w:gridCol w:w="687"/>
        <w:gridCol w:w="6369"/>
      </w:tblGrid>
      <w:tr w14:paraId="09AA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251" w:type="dxa"/>
            <w:gridSpan w:val="6"/>
            <w:tcBorders>
              <w:top w:val="single" w:color="auto" w:sz="4" w:space="0"/>
              <w:left w:val="single" w:color="auto" w:sz="4" w:space="0"/>
              <w:bottom w:val="single" w:color="auto" w:sz="4" w:space="0"/>
              <w:right w:val="single" w:color="auto" w:sz="4" w:space="0"/>
            </w:tcBorders>
            <w:vAlign w:val="center"/>
          </w:tcPr>
          <w:p w14:paraId="2243A532">
            <w:pPr>
              <w:tabs>
                <w:tab w:val="left" w:pos="180"/>
                <w:tab w:val="left" w:pos="1620"/>
              </w:tabs>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一、技术</w:t>
            </w:r>
            <w:r>
              <w:rPr>
                <w:rFonts w:hint="eastAsia" w:ascii="仿宋" w:hAnsi="仿宋" w:eastAsia="仿宋" w:cs="仿宋"/>
                <w:b/>
                <w:color w:val="auto"/>
                <w:szCs w:val="21"/>
                <w:highlight w:val="none"/>
                <w:lang w:eastAsia="zh-CN"/>
              </w:rPr>
              <w:t>服务</w:t>
            </w:r>
            <w:r>
              <w:rPr>
                <w:rFonts w:hint="eastAsia" w:ascii="仿宋" w:hAnsi="仿宋" w:eastAsia="仿宋" w:cs="仿宋"/>
                <w:b/>
                <w:color w:val="auto"/>
                <w:szCs w:val="21"/>
                <w:highlight w:val="none"/>
              </w:rPr>
              <w:t>要求</w:t>
            </w:r>
          </w:p>
        </w:tc>
      </w:tr>
      <w:tr w14:paraId="59A3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14:paraId="6DE058E9">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874" w:type="dxa"/>
            <w:gridSpan w:val="2"/>
            <w:tcBorders>
              <w:top w:val="single" w:color="auto" w:sz="4" w:space="0"/>
              <w:left w:val="single" w:color="auto" w:sz="4" w:space="0"/>
              <w:bottom w:val="single" w:color="auto" w:sz="4" w:space="0"/>
              <w:right w:val="single" w:color="auto" w:sz="4" w:space="0"/>
            </w:tcBorders>
            <w:vAlign w:val="center"/>
          </w:tcPr>
          <w:p w14:paraId="6F5BA71E">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标的的名称</w:t>
            </w:r>
          </w:p>
        </w:tc>
        <w:tc>
          <w:tcPr>
            <w:tcW w:w="666" w:type="dxa"/>
            <w:tcBorders>
              <w:top w:val="single" w:color="auto" w:sz="4" w:space="0"/>
              <w:left w:val="single" w:color="auto" w:sz="4" w:space="0"/>
              <w:bottom w:val="single" w:color="auto" w:sz="4" w:space="0"/>
              <w:right w:val="single" w:color="auto" w:sz="4" w:space="0"/>
            </w:tcBorders>
            <w:vAlign w:val="center"/>
          </w:tcPr>
          <w:p w14:paraId="414F3DA5">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数量及单位</w:t>
            </w:r>
          </w:p>
        </w:tc>
        <w:tc>
          <w:tcPr>
            <w:tcW w:w="687" w:type="dxa"/>
            <w:tcBorders>
              <w:top w:val="single" w:color="auto" w:sz="4" w:space="0"/>
              <w:left w:val="single" w:color="auto" w:sz="4" w:space="0"/>
              <w:bottom w:val="single" w:color="auto" w:sz="4" w:space="0"/>
              <w:right w:val="single" w:color="auto" w:sz="4" w:space="0"/>
            </w:tcBorders>
            <w:vAlign w:val="center"/>
          </w:tcPr>
          <w:p w14:paraId="2B5B5C74">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所属</w:t>
            </w:r>
          </w:p>
          <w:p w14:paraId="6A37222A">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行业</w:t>
            </w:r>
          </w:p>
        </w:tc>
        <w:tc>
          <w:tcPr>
            <w:tcW w:w="6369" w:type="dxa"/>
            <w:tcBorders>
              <w:top w:val="single" w:color="auto" w:sz="4" w:space="0"/>
              <w:left w:val="single" w:color="auto" w:sz="4" w:space="0"/>
              <w:bottom w:val="single" w:color="auto" w:sz="4" w:space="0"/>
              <w:right w:val="single" w:color="auto" w:sz="4" w:space="0"/>
            </w:tcBorders>
            <w:vAlign w:val="center"/>
          </w:tcPr>
          <w:p w14:paraId="5188B42A">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r>
      <w:tr w14:paraId="7B62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14:paraId="62BD78DB">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874" w:type="dxa"/>
            <w:gridSpan w:val="2"/>
            <w:tcBorders>
              <w:top w:val="single" w:color="auto" w:sz="4" w:space="0"/>
              <w:left w:val="single" w:color="auto" w:sz="4" w:space="0"/>
              <w:bottom w:val="single" w:color="auto" w:sz="4" w:space="0"/>
              <w:right w:val="single" w:color="auto" w:sz="4" w:space="0"/>
            </w:tcBorders>
            <w:vAlign w:val="center"/>
          </w:tcPr>
          <w:p w14:paraId="5310DFFB">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防城港职业技术学院思想政治教育基地建设</w:t>
            </w:r>
          </w:p>
        </w:tc>
        <w:tc>
          <w:tcPr>
            <w:tcW w:w="666" w:type="dxa"/>
            <w:tcBorders>
              <w:top w:val="single" w:color="auto" w:sz="4" w:space="0"/>
              <w:left w:val="single" w:color="auto" w:sz="4" w:space="0"/>
              <w:bottom w:val="single" w:color="auto" w:sz="4" w:space="0"/>
              <w:right w:val="single" w:color="auto" w:sz="4" w:space="0"/>
            </w:tcBorders>
            <w:vAlign w:val="center"/>
          </w:tcPr>
          <w:p w14:paraId="3714309D">
            <w:pPr>
              <w:tabs>
                <w:tab w:val="left" w:pos="180"/>
                <w:tab w:val="left" w:pos="1620"/>
              </w:tabs>
              <w:spacing w:line="36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1项</w:t>
            </w:r>
          </w:p>
        </w:tc>
        <w:tc>
          <w:tcPr>
            <w:tcW w:w="687" w:type="dxa"/>
            <w:tcBorders>
              <w:top w:val="single" w:color="auto" w:sz="4" w:space="0"/>
              <w:left w:val="single" w:color="auto" w:sz="4" w:space="0"/>
              <w:bottom w:val="single" w:color="auto" w:sz="4" w:space="0"/>
              <w:right w:val="single" w:color="auto" w:sz="4" w:space="0"/>
            </w:tcBorders>
            <w:vAlign w:val="center"/>
          </w:tcPr>
          <w:p w14:paraId="44D8FB95">
            <w:pPr>
              <w:tabs>
                <w:tab w:val="left" w:pos="180"/>
                <w:tab w:val="left" w:pos="1620"/>
              </w:tabs>
              <w:spacing w:line="36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其他未列明行业</w:t>
            </w:r>
          </w:p>
        </w:tc>
        <w:tc>
          <w:tcPr>
            <w:tcW w:w="6369" w:type="dxa"/>
            <w:tcBorders>
              <w:top w:val="single" w:color="auto" w:sz="4" w:space="0"/>
              <w:left w:val="single" w:color="auto" w:sz="4" w:space="0"/>
              <w:bottom w:val="single" w:color="auto" w:sz="4" w:space="0"/>
              <w:right w:val="single" w:color="auto" w:sz="4" w:space="0"/>
            </w:tcBorders>
            <w:vAlign w:val="center"/>
          </w:tcPr>
          <w:p w14:paraId="1F949E7F">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一、项目背景</w:t>
            </w:r>
          </w:p>
          <w:p w14:paraId="2DD3CCAC">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为深入落实新时代高校思想政治工作要求，解决传统思政教育形式单一、沉浸式教学场景缺失等问题，同时根据2027年办学合格评估关于“思政育人实践基地”建设需要，计划在大学生活动中心一楼规划建设思想政治教育基地，场馆面积328平方米。</w:t>
            </w:r>
          </w:p>
          <w:p w14:paraId="6C70F8D7">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二、项目内容</w:t>
            </w:r>
          </w:p>
          <w:p w14:paraId="3CD0B2F9">
            <w:pPr>
              <w:tabs>
                <w:tab w:val="left" w:pos="180"/>
                <w:tab w:val="left" w:pos="1620"/>
              </w:tabs>
              <w:spacing w:line="360" w:lineRule="auto"/>
              <w:ind w:firstLine="420" w:firstLineChars="200"/>
              <w:jc w:val="left"/>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围绕防城港职业技术学院思想政治教育基地全流程建设需求，涵盖展馆设计、内容创作、布展施工、氛围营造等核心服务，包含思政教育基地展出内容图文内容创作、文化版面设计、编排服务和展馆功能布局空间设计、天花板和地面处理、展区隔断处理、展品布置、现场氛围营造需要的物料和布展服务，要求保留场馆玻璃采光与安全通道，展区可移动布展，整体符合高校思政教育展馆规范与视觉效果。项目内容清单详见附件1。</w:t>
            </w:r>
          </w:p>
          <w:p w14:paraId="78FC3B02">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三、项目核心要求</w:t>
            </w:r>
          </w:p>
          <w:p w14:paraId="2C73E6F6">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内容合规性要求。所有展出内容、图文素材、多媒体内容须严格符合党史学习教育、思想政治教育相关规范要求，内容准确、史实严谨、导向正确，严格保护项目相关的党史资料、红色文化素材等知识产权，不得擅自泄露或用于其他用途。</w:t>
            </w:r>
          </w:p>
          <w:p w14:paraId="57EFFB57">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质量标准要求。所有设计、布展、设备安装、内容制作须符合国家及行业相关标准规范，严格按照采购需求、技术参数与设计方案实施，确保项目整体质量达标，满足学校思政教育教学、参观接待、互动学习等核心使用需求。</w:t>
            </w:r>
          </w:p>
          <w:p w14:paraId="2819376F">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3.工期要求。自合同签订之日起90日内，完成全部设计、制作、施工、安装调试工作，并通过采购人验收合格交付使用。</w:t>
            </w:r>
          </w:p>
          <w:p w14:paraId="4D830CCE">
            <w:pPr>
              <w:tabs>
                <w:tab w:val="left" w:pos="180"/>
                <w:tab w:val="left" w:pos="1620"/>
              </w:tabs>
              <w:spacing w:line="360" w:lineRule="auto"/>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4.售后服务要求。项目验收合格后，提供不低于1年的免费质保期，质保期内提供免费的设备维修、系统维护、内容更新指导等服务，建立快速响应机制，接到维修需求后24小时内响应，48小时内到场解决问题，质保期满后提供终身优惠运维服务。</w:t>
            </w:r>
          </w:p>
          <w:p w14:paraId="50110A7B">
            <w:pPr>
              <w:tabs>
                <w:tab w:val="left" w:pos="180"/>
                <w:tab w:val="left" w:pos="1620"/>
              </w:tabs>
              <w:spacing w:line="360" w:lineRule="auto"/>
              <w:ind w:firstLine="422" w:firstLineChars="200"/>
              <w:jc w:val="left"/>
              <w:rPr>
                <w:rFonts w:hint="default"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四、建设要求</w:t>
            </w:r>
          </w:p>
          <w:p w14:paraId="743A25EE">
            <w:pPr>
              <w:tabs>
                <w:tab w:val="left" w:pos="180"/>
                <w:tab w:val="left" w:pos="1620"/>
              </w:tabs>
              <w:spacing w:line="360" w:lineRule="auto"/>
              <w:ind w:firstLine="422" w:firstLineChars="200"/>
              <w:jc w:val="left"/>
              <w:rPr>
                <w:rFonts w:hint="default" w:ascii="仿宋" w:hAnsi="仿宋" w:eastAsia="仿宋" w:cs="仿宋"/>
                <w:color w:val="auto"/>
                <w:szCs w:val="21"/>
                <w:highlight w:val="none"/>
                <w:lang w:val="en-US" w:eastAsia="zh-CN"/>
              </w:rPr>
            </w:pPr>
            <w:r>
              <w:rPr>
                <w:rFonts w:hint="default" w:ascii="仿宋" w:hAnsi="仿宋" w:eastAsia="仿宋" w:cs="仿宋"/>
                <w:b/>
                <w:bCs/>
                <w:color w:val="auto"/>
                <w:szCs w:val="21"/>
                <w:highlight w:val="none"/>
                <w:lang w:val="en-US" w:eastAsia="zh-CN"/>
              </w:rPr>
              <w:t>成交供应商须结合本项目思想政治教育基地整体空间布局、文化氛围营造与育人功能定位开展设计，设计成果需契合高职院校党建工作特色与思政育人的建设要求，提供整体设计方案及效果图，所有设计资料须提交采购人审核并取得书面确认后方可施工。成交供应商必须严格遵照采购人审定通过的设计图纸、方案完成项目施工，施工用材、工艺、数量及成品效果须完全符合本项目采购需求约定标准，若成品达不到采购文件及审定设计要求，采购人有权不予项目验收、暂缓或拒付对应合同款项。</w:t>
            </w:r>
          </w:p>
        </w:tc>
      </w:tr>
      <w:tr w14:paraId="37CD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251" w:type="dxa"/>
            <w:gridSpan w:val="6"/>
            <w:tcBorders>
              <w:top w:val="single" w:color="auto" w:sz="4" w:space="0"/>
              <w:left w:val="single" w:color="auto" w:sz="4" w:space="0"/>
              <w:bottom w:val="single" w:color="auto" w:sz="4" w:space="0"/>
              <w:right w:val="single" w:color="auto" w:sz="4" w:space="0"/>
            </w:tcBorders>
            <w:vAlign w:val="center"/>
          </w:tcPr>
          <w:p w14:paraId="7C2EC57E">
            <w:pPr>
              <w:spacing w:line="360" w:lineRule="auto"/>
              <w:jc w:val="left"/>
              <w:rPr>
                <w:rFonts w:hint="eastAsia" w:ascii="仿宋" w:hAnsi="仿宋" w:eastAsia="仿宋" w:cs="仿宋"/>
                <w:b/>
                <w:bCs/>
                <w:iCs/>
                <w:color w:val="auto"/>
                <w:szCs w:val="21"/>
                <w:highlight w:val="none"/>
              </w:rPr>
            </w:pPr>
            <w:r>
              <w:rPr>
                <w:rFonts w:hint="eastAsia" w:ascii="仿宋" w:hAnsi="仿宋" w:eastAsia="仿宋" w:cs="仿宋"/>
                <w:b/>
                <w:bCs/>
                <w:iCs/>
                <w:color w:val="auto"/>
                <w:szCs w:val="21"/>
                <w:highlight w:val="none"/>
              </w:rPr>
              <w:t>▲二、商务要求</w:t>
            </w:r>
          </w:p>
        </w:tc>
      </w:tr>
      <w:tr w14:paraId="353E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433" w:type="dxa"/>
            <w:gridSpan w:val="2"/>
            <w:tcBorders>
              <w:top w:val="single" w:color="auto" w:sz="4" w:space="0"/>
              <w:left w:val="single" w:color="auto" w:sz="4" w:space="0"/>
              <w:bottom w:val="single" w:color="auto" w:sz="4" w:space="0"/>
              <w:right w:val="single" w:color="auto" w:sz="4" w:space="0"/>
            </w:tcBorders>
            <w:vAlign w:val="center"/>
          </w:tcPr>
          <w:p w14:paraId="599CCB53">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合同签订</w:t>
            </w:r>
          </w:p>
        </w:tc>
        <w:tc>
          <w:tcPr>
            <w:tcW w:w="7818" w:type="dxa"/>
            <w:gridSpan w:val="4"/>
            <w:tcBorders>
              <w:top w:val="single" w:color="auto" w:sz="4" w:space="0"/>
              <w:left w:val="single" w:color="auto" w:sz="4" w:space="0"/>
              <w:bottom w:val="single" w:color="auto" w:sz="4" w:space="0"/>
              <w:right w:val="single" w:color="auto" w:sz="4" w:space="0"/>
            </w:tcBorders>
            <w:vAlign w:val="center"/>
          </w:tcPr>
          <w:p w14:paraId="7E7A801E">
            <w:pPr>
              <w:spacing w:line="360" w:lineRule="auto"/>
              <w:jc w:val="left"/>
              <w:rPr>
                <w:rFonts w:hint="eastAsia" w:ascii="仿宋" w:hAnsi="仿宋" w:eastAsia="仿宋" w:cs="仿宋"/>
                <w:color w:val="auto"/>
                <w:highlight w:val="none"/>
              </w:rPr>
            </w:pPr>
            <w:r>
              <w:rPr>
                <w:rFonts w:hint="eastAsia" w:ascii="仿宋" w:hAnsi="仿宋" w:eastAsia="仿宋" w:cs="仿宋"/>
                <w:bCs/>
                <w:iCs/>
                <w:color w:val="auto"/>
                <w:szCs w:val="21"/>
                <w:highlight w:val="none"/>
              </w:rPr>
              <w:t>自成交通知书发出之日起25日内。</w:t>
            </w:r>
          </w:p>
        </w:tc>
      </w:tr>
      <w:tr w14:paraId="3AC4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33" w:type="dxa"/>
            <w:gridSpan w:val="2"/>
            <w:tcBorders>
              <w:top w:val="single" w:color="auto" w:sz="4" w:space="0"/>
              <w:left w:val="single" w:color="auto" w:sz="4" w:space="0"/>
              <w:bottom w:val="single" w:color="auto" w:sz="4" w:space="0"/>
              <w:right w:val="single" w:color="auto" w:sz="4" w:space="0"/>
            </w:tcBorders>
            <w:vAlign w:val="center"/>
          </w:tcPr>
          <w:p w14:paraId="3901ADB7">
            <w:pPr>
              <w:tabs>
                <w:tab w:val="left" w:pos="180"/>
                <w:tab w:val="left" w:pos="1620"/>
              </w:tabs>
              <w:spacing w:line="360" w:lineRule="auto"/>
              <w:jc w:val="center"/>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lang w:val="en-US" w:eastAsia="zh-CN"/>
              </w:rPr>
              <w:t>服务期限、服务地点</w:t>
            </w:r>
          </w:p>
        </w:tc>
        <w:tc>
          <w:tcPr>
            <w:tcW w:w="7818" w:type="dxa"/>
            <w:gridSpan w:val="4"/>
            <w:tcBorders>
              <w:top w:val="single" w:color="auto" w:sz="4" w:space="0"/>
              <w:left w:val="single" w:color="auto" w:sz="4" w:space="0"/>
              <w:bottom w:val="single" w:color="auto" w:sz="4" w:space="0"/>
              <w:right w:val="single" w:color="auto" w:sz="4" w:space="0"/>
            </w:tcBorders>
            <w:vAlign w:val="center"/>
          </w:tcPr>
          <w:p w14:paraId="757952B6">
            <w:pPr>
              <w:spacing w:line="360" w:lineRule="auto"/>
              <w:jc w:val="left"/>
              <w:rPr>
                <w:rFonts w:hint="eastAsia" w:ascii="仿宋" w:hAnsi="仿宋" w:eastAsia="仿宋" w:cs="仿宋"/>
                <w:b w:val="0"/>
                <w:bCs w:val="0"/>
                <w:iCs/>
                <w:color w:val="auto"/>
                <w:szCs w:val="21"/>
                <w:highlight w:val="none"/>
                <w:lang w:val="en-US" w:eastAsia="zh-CN"/>
              </w:rPr>
            </w:pPr>
            <w:r>
              <w:rPr>
                <w:rFonts w:hint="eastAsia" w:ascii="仿宋" w:hAnsi="仿宋" w:eastAsia="仿宋" w:cs="仿宋"/>
                <w:b w:val="0"/>
                <w:bCs w:val="0"/>
                <w:iCs/>
                <w:color w:val="auto"/>
                <w:szCs w:val="21"/>
                <w:highlight w:val="none"/>
                <w:lang w:val="en-US" w:eastAsia="zh-CN"/>
              </w:rPr>
              <w:t>1.服务期限：自合同签订之日起90日内，完成全部设计、制作、施工、安装调试工作，并通过采购人验收合格交付使用。</w:t>
            </w:r>
          </w:p>
          <w:p w14:paraId="473D3483">
            <w:pPr>
              <w:spacing w:line="360" w:lineRule="auto"/>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2.服务地点：防城港职业技术学院内指定地点。</w:t>
            </w:r>
          </w:p>
        </w:tc>
      </w:tr>
      <w:tr w14:paraId="3427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433" w:type="dxa"/>
            <w:gridSpan w:val="2"/>
            <w:tcBorders>
              <w:top w:val="single" w:color="auto" w:sz="4" w:space="0"/>
              <w:left w:val="single" w:color="auto" w:sz="4" w:space="0"/>
              <w:bottom w:val="single" w:color="auto" w:sz="4" w:space="0"/>
              <w:right w:val="single" w:color="auto" w:sz="4" w:space="0"/>
            </w:tcBorders>
            <w:vAlign w:val="center"/>
          </w:tcPr>
          <w:p w14:paraId="0466108C">
            <w:pPr>
              <w:tabs>
                <w:tab w:val="left" w:pos="180"/>
                <w:tab w:val="left" w:pos="1620"/>
              </w:tabs>
              <w:spacing w:line="360" w:lineRule="auto"/>
              <w:jc w:val="center"/>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付款条件</w:t>
            </w:r>
          </w:p>
        </w:tc>
        <w:tc>
          <w:tcPr>
            <w:tcW w:w="7818" w:type="dxa"/>
            <w:gridSpan w:val="4"/>
            <w:tcBorders>
              <w:top w:val="single" w:color="auto" w:sz="4" w:space="0"/>
              <w:left w:val="single" w:color="auto" w:sz="4" w:space="0"/>
              <w:bottom w:val="single" w:color="auto" w:sz="4" w:space="0"/>
              <w:right w:val="single" w:color="auto" w:sz="4" w:space="0"/>
            </w:tcBorders>
            <w:vAlign w:val="center"/>
          </w:tcPr>
          <w:p w14:paraId="3E21C4A6">
            <w:pPr>
              <w:spacing w:line="360" w:lineRule="auto"/>
              <w:jc w:val="left"/>
              <w:rPr>
                <w:rFonts w:hint="eastAsia" w:ascii="仿宋" w:hAnsi="仿宋" w:eastAsia="仿宋" w:cs="仿宋"/>
                <w:b w:val="0"/>
                <w:bCs w:val="0"/>
                <w:iCs/>
                <w:color w:val="auto"/>
                <w:szCs w:val="21"/>
                <w:highlight w:val="none"/>
                <w:lang w:val="en-US" w:eastAsia="zh-CN"/>
              </w:rPr>
            </w:pPr>
            <w:r>
              <w:rPr>
                <w:rFonts w:hint="eastAsia" w:ascii="仿宋" w:hAnsi="仿宋" w:eastAsia="仿宋" w:cs="仿宋"/>
                <w:b w:val="0"/>
                <w:bCs w:val="0"/>
                <w:iCs/>
                <w:color w:val="auto"/>
                <w:szCs w:val="21"/>
                <w:highlight w:val="none"/>
                <w:lang w:val="en-US" w:eastAsia="zh-CN"/>
              </w:rPr>
              <w:t>合同生效后，供应商向采购人开具等额合法有效发票，采购人收到发票后10个工作日内支付合同总金额30%作为预付款；项目全部履约、结算完毕并经采购人验收合格，采购人按结算总金额支付尚未支付的部分。支付前供应商提供等额合法有效发票后，采购人于收到发票10个工作日内一次性付清。</w:t>
            </w:r>
          </w:p>
        </w:tc>
      </w:tr>
      <w:tr w14:paraId="163B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433" w:type="dxa"/>
            <w:gridSpan w:val="2"/>
            <w:tcBorders>
              <w:top w:val="single" w:color="auto" w:sz="4" w:space="0"/>
              <w:left w:val="single" w:color="auto" w:sz="4" w:space="0"/>
              <w:bottom w:val="single" w:color="auto" w:sz="4" w:space="0"/>
              <w:right w:val="single" w:color="auto" w:sz="4" w:space="0"/>
            </w:tcBorders>
            <w:vAlign w:val="center"/>
          </w:tcPr>
          <w:p w14:paraId="15C4F22D">
            <w:pPr>
              <w:tabs>
                <w:tab w:val="left" w:pos="180"/>
                <w:tab w:val="left" w:pos="1620"/>
              </w:tabs>
              <w:spacing w:line="360" w:lineRule="auto"/>
              <w:jc w:val="center"/>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rPr>
              <w:t>磋商报价</w:t>
            </w:r>
          </w:p>
        </w:tc>
        <w:tc>
          <w:tcPr>
            <w:tcW w:w="7818" w:type="dxa"/>
            <w:gridSpan w:val="4"/>
            <w:tcBorders>
              <w:top w:val="single" w:color="auto" w:sz="4" w:space="0"/>
              <w:left w:val="single" w:color="auto" w:sz="4" w:space="0"/>
              <w:bottom w:val="single" w:color="auto" w:sz="4" w:space="0"/>
              <w:right w:val="single" w:color="auto" w:sz="4" w:space="0"/>
            </w:tcBorders>
            <w:vAlign w:val="center"/>
          </w:tcPr>
          <w:p w14:paraId="141B0226">
            <w:pPr>
              <w:pStyle w:val="22"/>
              <w:spacing w:line="360" w:lineRule="auto"/>
              <w:ind w:firstLine="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1.竞标报价为供应商完成项目采购需求范围内所需一切费用，包含服务及涉及的全部物资的价款、运输、存储、管理、人工等成本费用，以及保险、税金、利润及其他所有费用的总和，均已包含在竞标报价中。</w:t>
            </w:r>
          </w:p>
          <w:p w14:paraId="7922A88A">
            <w:pPr>
              <w:pStyle w:val="22"/>
              <w:spacing w:line="360" w:lineRule="auto"/>
              <w:ind w:firstLine="0"/>
              <w:rPr>
                <w:rFonts w:hint="default"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2.采购需求附件1项目内容清单是采购人预估的发生数量，仅供供应商参考，供应商在响应时可自行设计，并对发生数量进行调整、修改或删减。项目实施过程因设计方案调整也可能引起数量变更。</w:t>
            </w:r>
          </w:p>
          <w:p w14:paraId="25A64F00">
            <w:pPr>
              <w:pStyle w:val="22"/>
              <w:spacing w:line="360" w:lineRule="auto"/>
              <w:ind w:firstLine="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3.项目结算时按成交单价×实际发生数量进行结算。如结算金额高于成交金额，则按成交金额进行结算，如结算金额低于成交金额的，则按结算金额进行结算。</w:t>
            </w:r>
          </w:p>
          <w:p w14:paraId="74067DD3">
            <w:pPr>
              <w:pStyle w:val="22"/>
              <w:spacing w:line="360" w:lineRule="auto"/>
              <w:ind w:firstLine="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4.响应总报价不能超出897500.00元。</w:t>
            </w:r>
          </w:p>
        </w:tc>
      </w:tr>
      <w:tr w14:paraId="2E18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433" w:type="dxa"/>
            <w:gridSpan w:val="2"/>
            <w:tcBorders>
              <w:top w:val="single" w:color="auto" w:sz="4" w:space="0"/>
              <w:left w:val="single" w:color="auto" w:sz="4" w:space="0"/>
              <w:bottom w:val="single" w:color="auto" w:sz="4" w:space="0"/>
              <w:right w:val="single" w:color="auto" w:sz="4" w:space="0"/>
            </w:tcBorders>
            <w:vAlign w:val="center"/>
          </w:tcPr>
          <w:p w14:paraId="7D08A90C">
            <w:pPr>
              <w:tabs>
                <w:tab w:val="left" w:pos="180"/>
                <w:tab w:val="left" w:pos="1620"/>
              </w:tabs>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验收标准</w:t>
            </w:r>
          </w:p>
        </w:tc>
        <w:tc>
          <w:tcPr>
            <w:tcW w:w="7818" w:type="dxa"/>
            <w:gridSpan w:val="4"/>
            <w:tcBorders>
              <w:top w:val="single" w:color="auto" w:sz="4" w:space="0"/>
              <w:left w:val="single" w:color="auto" w:sz="4" w:space="0"/>
              <w:bottom w:val="single" w:color="auto" w:sz="4" w:space="0"/>
              <w:right w:val="single" w:color="auto" w:sz="4" w:space="0"/>
            </w:tcBorders>
            <w:vAlign w:val="center"/>
          </w:tcPr>
          <w:p w14:paraId="490BCCFF">
            <w:pPr>
              <w:spacing w:line="320" w:lineRule="exact"/>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1.采购人对成交供应商提交的服务依据采购合同和国家有关质量标准进行验收。</w:t>
            </w:r>
          </w:p>
          <w:p w14:paraId="42F209EF">
            <w:pPr>
              <w:spacing w:line="320" w:lineRule="exact"/>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2.成交供应商交付服务前应对服务作出全面检查和对验收文件进行整理，并列出清单，作为采购人验收和使用的技术条件依据，检验的结果应随服务交采购人。成交供应商不能完整交付服务及本款规定的单证和材料的，必须负责补齐，否则视为未按合同约定交付服务成果。</w:t>
            </w:r>
          </w:p>
          <w:p w14:paraId="0EC71A6E">
            <w:pPr>
              <w:spacing w:line="320" w:lineRule="exact"/>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3.采购人组织验收，成交供应商必须到场配合。验收合格后采购人、成交供应商签署验收合格凭证。</w:t>
            </w:r>
          </w:p>
          <w:p w14:paraId="46D36BB1">
            <w:pPr>
              <w:spacing w:line="320" w:lineRule="exact"/>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7232E0D4">
            <w:pPr>
              <w:spacing w:line="320" w:lineRule="exact"/>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5.验收产生的费用由成交供应商负责。</w:t>
            </w:r>
          </w:p>
        </w:tc>
      </w:tr>
      <w:tr w14:paraId="2336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33" w:type="dxa"/>
            <w:gridSpan w:val="2"/>
            <w:tcBorders>
              <w:top w:val="single" w:color="auto" w:sz="4" w:space="0"/>
              <w:left w:val="single" w:color="auto" w:sz="4" w:space="0"/>
              <w:bottom w:val="single" w:color="auto" w:sz="4" w:space="0"/>
              <w:right w:val="single" w:color="auto" w:sz="4" w:space="0"/>
            </w:tcBorders>
            <w:vAlign w:val="center"/>
          </w:tcPr>
          <w:p w14:paraId="42C508A9">
            <w:pPr>
              <w:tabs>
                <w:tab w:val="left" w:pos="180"/>
                <w:tab w:val="left" w:pos="1620"/>
              </w:tabs>
              <w:spacing w:line="360" w:lineRule="auto"/>
              <w:jc w:val="center"/>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rPr>
              <w:t>其他要求</w:t>
            </w:r>
          </w:p>
        </w:tc>
        <w:tc>
          <w:tcPr>
            <w:tcW w:w="7818" w:type="dxa"/>
            <w:gridSpan w:val="4"/>
            <w:tcBorders>
              <w:top w:val="single" w:color="auto" w:sz="4" w:space="0"/>
              <w:left w:val="single" w:color="auto" w:sz="4" w:space="0"/>
              <w:bottom w:val="single" w:color="auto" w:sz="4" w:space="0"/>
              <w:right w:val="single" w:color="auto" w:sz="4" w:space="0"/>
            </w:tcBorders>
            <w:vAlign w:val="center"/>
          </w:tcPr>
          <w:p w14:paraId="19FAD044">
            <w:pPr>
              <w:spacing w:line="320" w:lineRule="exact"/>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 xml:space="preserve">1.供应商为本项目提供的服务行为（包括咨询、设计等全过程）及服务成果（如图片、文档、软件等智力成果），不得侵犯第三方知识产权（如著作权、专利权等）。若供应商违反规定，全部法律责任由供应商承担。同时，若侵权行为给采购人造成损失或不利后果，供应商除依法担责外，还需对采购人的全部损失进行经济赔偿，并消除不良影响，确保采购人合法权益不受损害。 </w:t>
            </w:r>
          </w:p>
          <w:p w14:paraId="0C534177">
            <w:pPr>
              <w:spacing w:line="320" w:lineRule="exact"/>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2.成交供应商必须严格执行安全生产相关规定，制作、安装及施工过程中所产生的一切安全事故由成交供应商全部承担，与采购人无关。</w:t>
            </w:r>
          </w:p>
          <w:p w14:paraId="621A8F94">
            <w:pPr>
              <w:spacing w:line="320" w:lineRule="exact"/>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3</w:t>
            </w:r>
            <w:r>
              <w:rPr>
                <w:rFonts w:hint="eastAsia" w:ascii="仿宋" w:hAnsi="仿宋" w:eastAsia="仿宋" w:cs="仿宋"/>
                <w:b w:val="0"/>
                <w:bCs w:val="0"/>
                <w:color w:val="auto"/>
                <w:kern w:val="2"/>
                <w:sz w:val="21"/>
                <w:szCs w:val="21"/>
                <w:highlight w:val="none"/>
                <w:lang w:val="en-US" w:eastAsia="zh-CN" w:bidi="ar-SA"/>
              </w:rPr>
              <w:t>.项目实施过程中不得毁坏其它的公共设施，如有损失，由成交供应商照价赔偿。</w:t>
            </w:r>
          </w:p>
          <w:p w14:paraId="54F28865">
            <w:pPr>
              <w:spacing w:line="320" w:lineRule="exact"/>
              <w:jc w:val="left"/>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4</w:t>
            </w:r>
            <w:r>
              <w:rPr>
                <w:rFonts w:hint="eastAsia" w:ascii="仿宋" w:hAnsi="仿宋" w:eastAsia="仿宋" w:cs="仿宋"/>
                <w:b w:val="0"/>
                <w:bCs w:val="0"/>
                <w:color w:val="auto"/>
                <w:kern w:val="2"/>
                <w:sz w:val="21"/>
                <w:szCs w:val="21"/>
                <w:highlight w:val="none"/>
                <w:lang w:val="en-US" w:eastAsia="zh-CN" w:bidi="ar-SA"/>
              </w:rPr>
              <w:t>.项目施工安装中，如涉及高空作业，成交供应商的施工作业人员应具备高空作业资格证。</w:t>
            </w:r>
          </w:p>
        </w:tc>
      </w:tr>
    </w:tbl>
    <w:p w14:paraId="4CC0AF54">
      <w:pPr>
        <w:spacing w:line="360" w:lineRule="auto"/>
        <w:jc w:val="left"/>
        <w:rPr>
          <w:rFonts w:hint="eastAsia" w:ascii="仿宋" w:hAnsi="仿宋" w:eastAsia="仿宋" w:cs="仿宋"/>
          <w:bCs/>
          <w:iCs/>
          <w:color w:val="auto"/>
          <w:szCs w:val="21"/>
          <w:highlight w:val="none"/>
        </w:rPr>
      </w:pPr>
    </w:p>
    <w:p w14:paraId="11E22745">
      <w:pPr>
        <w:pStyle w:val="7"/>
        <w:rPr>
          <w:rFonts w:hint="eastAsia" w:ascii="仿宋" w:hAnsi="仿宋" w:eastAsia="仿宋" w:cs="仿宋"/>
          <w:bCs/>
          <w:iCs/>
          <w:color w:val="auto"/>
          <w:szCs w:val="21"/>
          <w:highlight w:val="none"/>
        </w:rPr>
      </w:pPr>
    </w:p>
    <w:p w14:paraId="22861C7F">
      <w:pPr>
        <w:pStyle w:val="7"/>
        <w:rPr>
          <w:rFonts w:hint="eastAsia" w:ascii="仿宋" w:hAnsi="仿宋" w:eastAsia="仿宋" w:cs="仿宋"/>
          <w:bCs/>
          <w:iCs/>
          <w:color w:val="auto"/>
          <w:szCs w:val="21"/>
          <w:highlight w:val="none"/>
        </w:rPr>
      </w:pPr>
    </w:p>
    <w:tbl>
      <w:tblPr>
        <w:tblStyle w:val="13"/>
        <w:tblW w:w="9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6"/>
        <w:gridCol w:w="1172"/>
        <w:gridCol w:w="789"/>
        <w:gridCol w:w="495"/>
        <w:gridCol w:w="885"/>
        <w:gridCol w:w="5189"/>
        <w:tblGridChange w:id="0">
          <w:tblGrid>
            <w:gridCol w:w="546"/>
            <w:gridCol w:w="1172"/>
            <w:gridCol w:w="789"/>
            <w:gridCol w:w="495"/>
            <w:gridCol w:w="885"/>
            <w:gridCol w:w="5189"/>
          </w:tblGrid>
        </w:tblGridChange>
      </w:tblGrid>
      <w:tr w14:paraId="340F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6" w:type="dxa"/>
            <w:gridSpan w:val="6"/>
            <w:shd w:val="clear" w:color="auto" w:fill="auto"/>
            <w:vAlign w:val="center"/>
          </w:tcPr>
          <w:p w14:paraId="0377B01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lang w:val="en-US" w:eastAsia="zh-CN"/>
              </w:rPr>
            </w:pPr>
            <w:r>
              <w:rPr>
                <w:rFonts w:hint="eastAsia" w:ascii="仿宋" w:hAnsi="仿宋" w:eastAsia="仿宋" w:cs="仿宋"/>
                <w:b/>
                <w:bCs w:val="0"/>
                <w:iCs/>
                <w:color w:val="auto"/>
                <w:sz w:val="24"/>
                <w:szCs w:val="24"/>
                <w:highlight w:val="none"/>
                <w:lang w:val="en-US" w:eastAsia="zh-CN"/>
              </w:rPr>
              <w:t>附件1</w:t>
            </w:r>
            <w:r>
              <w:rPr>
                <w:rFonts w:hint="eastAsia" w:ascii="仿宋" w:hAnsi="仿宋" w:eastAsia="仿宋" w:cs="仿宋"/>
                <w:b/>
                <w:bCs w:val="0"/>
                <w:iCs/>
                <w:color w:val="auto"/>
                <w:sz w:val="24"/>
                <w:szCs w:val="24"/>
                <w:highlight w:val="none"/>
                <w:lang w:val="en-US" w:eastAsia="zh-CN"/>
              </w:rPr>
              <w:t>：</w:t>
            </w:r>
            <w:r>
              <w:rPr>
                <w:rFonts w:hint="eastAsia" w:ascii="仿宋" w:hAnsi="仿宋" w:eastAsia="仿宋" w:cs="仿宋"/>
                <w:b/>
                <w:bCs w:val="0"/>
                <w:iCs/>
                <w:color w:val="auto"/>
                <w:sz w:val="24"/>
                <w:szCs w:val="24"/>
                <w:highlight w:val="none"/>
                <w:lang w:val="en-US" w:eastAsia="zh-CN"/>
              </w:rPr>
              <w:t>项目内容清单</w:t>
            </w:r>
          </w:p>
        </w:tc>
      </w:tr>
      <w:tr w14:paraId="57A3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6" w:type="dxa"/>
            <w:gridSpan w:val="6"/>
            <w:shd w:val="clear" w:color="auto" w:fill="auto"/>
            <w:vAlign w:val="center"/>
          </w:tcPr>
          <w:p w14:paraId="16EC803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
                <w:bCs w:val="0"/>
                <w:iCs/>
                <w:color w:val="auto"/>
                <w:szCs w:val="21"/>
                <w:highlight w:val="none"/>
                <w:lang w:val="en-US" w:eastAsia="zh-CN"/>
              </w:rPr>
              <w:t>一、定制文稿服务</w:t>
            </w:r>
          </w:p>
        </w:tc>
      </w:tr>
      <w:tr w14:paraId="2D34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52DFCEC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序号</w:t>
            </w:r>
          </w:p>
        </w:tc>
        <w:tc>
          <w:tcPr>
            <w:tcW w:w="1172" w:type="dxa"/>
            <w:shd w:val="clear" w:color="auto" w:fill="auto"/>
            <w:vAlign w:val="center"/>
          </w:tcPr>
          <w:p w14:paraId="3C4F5AD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名称</w:t>
            </w:r>
          </w:p>
        </w:tc>
        <w:tc>
          <w:tcPr>
            <w:tcW w:w="789" w:type="dxa"/>
            <w:shd w:val="clear" w:color="auto" w:fill="auto"/>
            <w:vAlign w:val="center"/>
          </w:tcPr>
          <w:p w14:paraId="00D0852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数量</w:t>
            </w:r>
          </w:p>
        </w:tc>
        <w:tc>
          <w:tcPr>
            <w:tcW w:w="495" w:type="dxa"/>
            <w:shd w:val="clear" w:color="auto" w:fill="auto"/>
            <w:vAlign w:val="center"/>
          </w:tcPr>
          <w:p w14:paraId="0241C6E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单位</w:t>
            </w:r>
          </w:p>
        </w:tc>
        <w:tc>
          <w:tcPr>
            <w:tcW w:w="6074" w:type="dxa"/>
            <w:gridSpan w:val="2"/>
            <w:shd w:val="clear" w:color="auto" w:fill="auto"/>
            <w:vAlign w:val="center"/>
          </w:tcPr>
          <w:p w14:paraId="6FEC276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参数</w:t>
            </w:r>
          </w:p>
        </w:tc>
      </w:tr>
      <w:tr w14:paraId="46C2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9" w:hRule="atLeast"/>
          <w:jc w:val="center"/>
        </w:trPr>
        <w:tc>
          <w:tcPr>
            <w:tcW w:w="546" w:type="dxa"/>
            <w:vMerge w:val="restart"/>
            <w:shd w:val="clear" w:color="auto" w:fill="auto"/>
            <w:noWrap/>
            <w:vAlign w:val="center"/>
          </w:tcPr>
          <w:p w14:paraId="431E32F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1172" w:type="dxa"/>
            <w:vMerge w:val="restart"/>
            <w:shd w:val="clear" w:color="auto" w:fill="auto"/>
            <w:vAlign w:val="center"/>
          </w:tcPr>
          <w:p w14:paraId="0F46158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图文内容创作、编制服务</w:t>
            </w:r>
          </w:p>
        </w:tc>
        <w:tc>
          <w:tcPr>
            <w:tcW w:w="789" w:type="dxa"/>
            <w:vMerge w:val="restart"/>
            <w:shd w:val="clear" w:color="auto" w:fill="auto"/>
            <w:vAlign w:val="center"/>
          </w:tcPr>
          <w:p w14:paraId="792817C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495" w:type="dxa"/>
            <w:vMerge w:val="restart"/>
            <w:shd w:val="clear" w:color="auto" w:fill="auto"/>
            <w:vAlign w:val="center"/>
          </w:tcPr>
          <w:p w14:paraId="46AA22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项</w:t>
            </w:r>
          </w:p>
        </w:tc>
        <w:tc>
          <w:tcPr>
            <w:tcW w:w="6074" w:type="dxa"/>
            <w:gridSpan w:val="2"/>
            <w:vMerge w:val="restart"/>
            <w:shd w:val="clear" w:color="auto" w:fill="auto"/>
            <w:vAlign w:val="center"/>
          </w:tcPr>
          <w:p w14:paraId="3EDA24F7">
            <w:pPr>
              <w:pStyle w:val="7"/>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
                <w:bCs w:val="0"/>
                <w:color w:val="auto"/>
                <w:kern w:val="2"/>
                <w:sz w:val="21"/>
                <w:szCs w:val="21"/>
                <w:highlight w:val="none"/>
                <w:lang w:val="en-US" w:eastAsia="zh-CN" w:bidi="ar-SA"/>
              </w:rPr>
              <w:t>内容创作框架：</w:t>
            </w:r>
            <w:r>
              <w:rPr>
                <w:rFonts w:hint="eastAsia" w:ascii="仿宋" w:hAnsi="仿宋" w:eastAsia="仿宋" w:cs="仿宋"/>
                <w:bCs/>
                <w:color w:val="auto"/>
                <w:kern w:val="2"/>
                <w:sz w:val="21"/>
                <w:szCs w:val="21"/>
                <w:highlight w:val="none"/>
                <w:lang w:val="en-US" w:eastAsia="zh-CN" w:bidi="ar-SA"/>
              </w:rPr>
              <w:t>展厅面积约328平米，展出内容需包含中国共产党党史、中国共产党广西党史以及防城港地方建设与发展建设成果展示。展出内容中所包含历史照片、图片全部为该时期历史真实图像照片，且满足后期喷绘制作要求。</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（一）中国共产党党史：</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1.中国共产党党史展出内容共包含四部分内容，全面展现中国共产党团结带领中国人民铸就百年辉煌的不懈奋斗、不怕牺牲、理论探索、为民造福、自身建设的壮阔历程。</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2.展出内容所包含的照片图片全部为该时期历史真实图像照片，且满足后期喷绘制作要求，喷绘出来的图片显示清晰。</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3.第一部分为中国共产党的创建与夺取新民主主义革命伟大胜利，包含4个单元：</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 xml:space="preserve">第一单元：中国共产党的创建和投身大革命的洪流 ；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第二单元：掀起土地革命的风暴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第三单元：全民族抗日战争的中流砥柱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第四单元：夺取新民主主义革命的全国性胜利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4.第二部分为完成社会主义革命和推进社会主义建设，包含2个单元内容：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第一单元：中华人民共和国的成立和社会主义制度的建立</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第二单元：社会主义建设的探索和曲折发展</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5.第三部分为进行改革开放和社会主义现代化建设，包含3个单元内容：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第一单元：伟大历史转折和中国特色社会主义的开创</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第二单元：推进改革开放  成功把中国特色社会主义全面推向21世纪</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第三单元：加快改革开放  成功在新的形势下坚持和发展中国特色社会主义</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6.第四部分为开创中国特色社会主义新时代。</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（二）中国共产党广西党史：</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1.中国共产党广西党史展出内容共包含四部分内容：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第一部分：新民主主义革命时期；</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第二部分：社会主义革命和建设时期；</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第三部分：改革开放和社会主义现代化建设新时期；</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第四部分：中国特色社会主义新时代；</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（三）防城港地方建设与发展</w:t>
            </w:r>
          </w:p>
          <w:p w14:paraId="4B205B15">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第一部分：防城港革命斗争历史</w:t>
            </w:r>
          </w:p>
          <w:p w14:paraId="43053135">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第二部分：现代化临港工业城市发展历程</w:t>
            </w:r>
          </w:p>
          <w:p w14:paraId="7E96D136">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第三部分：防城港职业技术学院党的建设和学校发展建设成果展示。</w:t>
            </w:r>
            <w:bookmarkStart w:id="75" w:name="_GoBack"/>
            <w:bookmarkEnd w:id="75"/>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
                <w:bCs w:val="0"/>
                <w:color w:val="auto"/>
                <w:kern w:val="2"/>
                <w:sz w:val="21"/>
                <w:szCs w:val="21"/>
                <w:highlight w:val="none"/>
                <w:lang w:val="en-US" w:eastAsia="zh-CN" w:bidi="ar-SA"/>
              </w:rPr>
              <w:t>二、图文内容创作、编制要求</w:t>
            </w:r>
          </w:p>
          <w:p w14:paraId="7EC2FC63">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1. 图文素材数量及质量要求：</w:t>
            </w:r>
          </w:p>
          <w:p w14:paraId="0C5EA2A3">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本次展厅内容分为中国共产党党史、中国共产党广西党史、防城港地方革命史三大展示板块，所有配套展示图片均为历史实拍图。整体配套图片总数量不少于250张，其中党史配图占比不低于总图片量的50%、广西党史配图占比不低于总图片量的40%、防城港地方革命史配图占比不低于总图片量的10%，确保各板块内容均衡充实。所有图片画面清晰、画质完好，分辨率及成像效果满足展厅喷绘、上墙展示的标准。</w:t>
            </w:r>
          </w:p>
          <w:p w14:paraId="6F873427">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2. 文案内容编制要求：</w:t>
            </w:r>
          </w:p>
          <w:p w14:paraId="15A286D2">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落实一图一文配套要求，平均每张图片对应配文字数不少于50字。文案内容必须史实精准、有据可查，无史实偏差、虚假内容；整体逻辑层级清晰、语言凝练精准、重点突出，紧密贴合党史展厅红色教育、历史展示的核心主题。所有文案需经过多轮校对审核，确保无错别字、漏字、语病及史实遗漏等问题。</w:t>
            </w:r>
          </w:p>
          <w:p w14:paraId="2008E6EC">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3. 整体验收标准要求：</w:t>
            </w:r>
          </w:p>
          <w:p w14:paraId="57193C13">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所有图文排版需适配展厅实际展示场景。项目全过程实行审核确认制，所有图文内容、版式设计及调整修改内容均需经采购人审核，审核确认完全达标后方可完成验收。</w:t>
            </w:r>
          </w:p>
          <w:p w14:paraId="7F1CD4BF">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
                <w:bCs w:val="0"/>
                <w:color w:val="auto"/>
                <w:kern w:val="2"/>
                <w:sz w:val="21"/>
                <w:szCs w:val="21"/>
                <w:highlight w:val="none"/>
                <w:lang w:val="en-US" w:eastAsia="zh-CN" w:bidi="ar-SA"/>
              </w:rPr>
              <w:t>三、其他服务</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1.展板图文内容创作</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供应商对策展编辑图文底稿进行创作；</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2.图片深化</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供应商对图文进行编辑，对内容中所需展示图片进行深化，保证展示效果；</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3.校稿</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供应商对内容展板全部内容审、校、改。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
                <w:bCs w:val="0"/>
                <w:color w:val="auto"/>
                <w:kern w:val="2"/>
                <w:sz w:val="21"/>
                <w:szCs w:val="21"/>
                <w:highlight w:val="none"/>
                <w:lang w:val="en-US" w:eastAsia="zh-CN" w:bidi="ar-SA"/>
              </w:rPr>
              <w:t>四、展厅墙面内容版面设计以及打版：</w:t>
            </w:r>
          </w:p>
          <w:p w14:paraId="6D496FA0">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1.墙面二次更换画面情况：原有墙体定制UV高清黑底加厚车贴画面、立体字、展板保护性拆除存放，撕掉定制UV画面，底板打磨补缝处理；重新喷印定制UV高清黑底加厚车贴画面，厚度1.2-1.5mm左右，约180g/㎡，定位拼装张贴后，重新雕刻等比例KT板字模结合玻璃胶安装立体字和定位安装展板；</w:t>
            </w:r>
          </w:p>
          <w:p w14:paraId="7EDDBCB9">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2.墙面一个板块内容上样，安装现场主体1:1比例做定制UV画面、立体字、展板上墙展示；</w:t>
            </w:r>
          </w:p>
          <w:p w14:paraId="2EB545DC">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3.展厅全部墙面内容排版设计：按照展厅墙面效果结合采购人提供的图文内容进行画面内容的排版设计，进行多次排版、修改、对稿、调整最终定稿制作成成品画面等。</w:t>
            </w:r>
          </w:p>
        </w:tc>
      </w:tr>
      <w:tr w14:paraId="495A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After w:w="0" w:type="auto"/>
          <w:trHeight w:val="938" w:hRule="atLeast"/>
          <w:jc w:val="center"/>
        </w:trPr>
        <w:tc>
          <w:tcPr>
            <w:tcW w:w="546" w:type="dxa"/>
            <w:vMerge w:val="continue"/>
            <w:shd w:val="clear" w:color="auto" w:fill="auto"/>
            <w:noWrap/>
            <w:vAlign w:val="center"/>
          </w:tcPr>
          <w:p w14:paraId="50533A9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1462785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89" w:type="dxa"/>
            <w:vMerge w:val="continue"/>
            <w:shd w:val="clear" w:color="auto" w:fill="auto"/>
            <w:vAlign w:val="center"/>
          </w:tcPr>
          <w:p w14:paraId="5A5D8B1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495" w:type="dxa"/>
            <w:vMerge w:val="continue"/>
            <w:shd w:val="clear" w:color="auto" w:fill="auto"/>
            <w:vAlign w:val="center"/>
          </w:tcPr>
          <w:p w14:paraId="122EEED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6074" w:type="dxa"/>
            <w:gridSpan w:val="2"/>
            <w:vMerge w:val="continue"/>
            <w:shd w:val="clear" w:color="auto" w:fill="auto"/>
            <w:vAlign w:val="center"/>
          </w:tcPr>
          <w:p w14:paraId="371164E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DFF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6" w:type="dxa"/>
            <w:gridSpan w:val="6"/>
            <w:shd w:val="clear" w:color="auto" w:fill="auto"/>
            <w:vAlign w:val="center"/>
          </w:tcPr>
          <w:p w14:paraId="7FA0538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
                <w:bCs w:val="0"/>
                <w:iCs/>
                <w:color w:val="auto"/>
                <w:szCs w:val="21"/>
                <w:highlight w:val="none"/>
                <w:lang w:val="en-US" w:eastAsia="zh-CN"/>
              </w:rPr>
              <w:t>二、文化服务与布展</w:t>
            </w:r>
            <w:r>
              <w:rPr>
                <w:rFonts w:hint="eastAsia" w:ascii="仿宋" w:hAnsi="仿宋" w:eastAsia="仿宋" w:cs="仿宋"/>
                <w:b/>
                <w:bCs w:val="0"/>
                <w:iCs/>
                <w:color w:val="auto"/>
                <w:szCs w:val="21"/>
                <w:highlight w:val="none"/>
                <w:lang w:val="en-US" w:eastAsia="zh-CN"/>
              </w:rPr>
              <w:t>服务</w:t>
            </w:r>
          </w:p>
        </w:tc>
      </w:tr>
      <w:tr w14:paraId="48F6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shd w:val="clear" w:color="auto" w:fill="auto"/>
            <w:vAlign w:val="center"/>
          </w:tcPr>
          <w:p w14:paraId="02A4A3D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序号</w:t>
            </w:r>
          </w:p>
        </w:tc>
        <w:tc>
          <w:tcPr>
            <w:tcW w:w="1172" w:type="dxa"/>
            <w:shd w:val="clear" w:color="auto" w:fill="auto"/>
            <w:vAlign w:val="center"/>
          </w:tcPr>
          <w:p w14:paraId="6171472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名称</w:t>
            </w:r>
          </w:p>
        </w:tc>
        <w:tc>
          <w:tcPr>
            <w:tcW w:w="789" w:type="dxa"/>
            <w:shd w:val="clear" w:color="auto" w:fill="auto"/>
            <w:vAlign w:val="center"/>
          </w:tcPr>
          <w:p w14:paraId="3332720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预估数量</w:t>
            </w:r>
          </w:p>
        </w:tc>
        <w:tc>
          <w:tcPr>
            <w:tcW w:w="495" w:type="dxa"/>
            <w:shd w:val="clear" w:color="auto" w:fill="auto"/>
            <w:vAlign w:val="center"/>
          </w:tcPr>
          <w:p w14:paraId="3447B94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kern w:val="2"/>
                <w:sz w:val="21"/>
                <w:szCs w:val="21"/>
                <w:highlight w:val="none"/>
                <w:lang w:val="en-US" w:eastAsia="zh-CN" w:bidi="ar-SA"/>
              </w:rPr>
            </w:pPr>
            <w:r>
              <w:rPr>
                <w:rFonts w:hint="eastAsia" w:ascii="仿宋" w:hAnsi="仿宋" w:eastAsia="仿宋" w:cs="仿宋"/>
                <w:b/>
                <w:bCs w:val="0"/>
                <w:iCs/>
                <w:color w:val="auto"/>
                <w:szCs w:val="21"/>
                <w:highlight w:val="none"/>
                <w:lang w:val="en-US" w:eastAsia="zh-CN"/>
              </w:rPr>
              <w:t>单位</w:t>
            </w:r>
          </w:p>
        </w:tc>
        <w:tc>
          <w:tcPr>
            <w:tcW w:w="6074" w:type="dxa"/>
            <w:gridSpan w:val="2"/>
            <w:shd w:val="clear" w:color="auto" w:fill="auto"/>
            <w:vAlign w:val="center"/>
          </w:tcPr>
          <w:p w14:paraId="5A90F57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iCs/>
                <w:color w:val="auto"/>
                <w:szCs w:val="21"/>
                <w:highlight w:val="none"/>
                <w:lang w:val="en-US" w:eastAsia="zh-CN"/>
              </w:rPr>
            </w:pPr>
            <w:r>
              <w:rPr>
                <w:rFonts w:hint="eastAsia" w:ascii="仿宋" w:hAnsi="仿宋" w:eastAsia="仿宋" w:cs="仿宋"/>
                <w:b/>
                <w:bCs w:val="0"/>
                <w:iCs/>
                <w:color w:val="auto"/>
                <w:szCs w:val="21"/>
                <w:highlight w:val="none"/>
                <w:lang w:val="en-US" w:eastAsia="zh-CN"/>
              </w:rPr>
              <w:t>参数</w:t>
            </w:r>
          </w:p>
        </w:tc>
      </w:tr>
      <w:tr w14:paraId="62F7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restart"/>
            <w:shd w:val="clear" w:color="auto" w:fill="auto"/>
            <w:noWrap/>
            <w:vAlign w:val="center"/>
          </w:tcPr>
          <w:p w14:paraId="7117A98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1172" w:type="dxa"/>
            <w:vMerge w:val="restart"/>
            <w:shd w:val="clear" w:color="auto" w:fill="auto"/>
            <w:vAlign w:val="center"/>
          </w:tcPr>
          <w:p w14:paraId="3D47A11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序厅</w:t>
            </w:r>
          </w:p>
        </w:tc>
        <w:tc>
          <w:tcPr>
            <w:tcW w:w="789" w:type="dxa"/>
            <w:shd w:val="clear" w:color="auto" w:fill="auto"/>
            <w:vAlign w:val="center"/>
          </w:tcPr>
          <w:p w14:paraId="3B54E22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35</w:t>
            </w:r>
          </w:p>
        </w:tc>
        <w:tc>
          <w:tcPr>
            <w:tcW w:w="495" w:type="dxa"/>
            <w:shd w:val="clear" w:color="auto" w:fill="auto"/>
            <w:vAlign w:val="center"/>
          </w:tcPr>
          <w:p w14:paraId="63DF6ED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5095676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定制文化展示艺术框架</w:t>
            </w:r>
          </w:p>
        </w:tc>
        <w:tc>
          <w:tcPr>
            <w:tcW w:w="5189" w:type="dxa"/>
            <w:shd w:val="clear" w:color="auto" w:fill="auto"/>
            <w:vAlign w:val="center"/>
          </w:tcPr>
          <w:p w14:paraId="67E6F2F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根据展厅文字内容定制艺术框架，部分造型使用镀锌框架。基本结构封阻燃板激光雕刻，表面结构上石膏板，找平方便后期贴文化内容。</w:t>
            </w:r>
          </w:p>
        </w:tc>
      </w:tr>
      <w:tr w14:paraId="5CB1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18F2D41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347F4DC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6A152B2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24</w:t>
            </w:r>
          </w:p>
        </w:tc>
        <w:tc>
          <w:tcPr>
            <w:tcW w:w="495" w:type="dxa"/>
            <w:shd w:val="clear" w:color="auto" w:fill="auto"/>
            <w:vAlign w:val="center"/>
          </w:tcPr>
          <w:p w14:paraId="1E4EC03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6DAA5A6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刀刮布</w:t>
            </w:r>
          </w:p>
        </w:tc>
        <w:tc>
          <w:tcPr>
            <w:tcW w:w="5189" w:type="dxa"/>
            <w:shd w:val="clear" w:color="auto" w:fill="auto"/>
            <w:vAlign w:val="center"/>
          </w:tcPr>
          <w:p w14:paraId="5FADBE3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内容文化版面贴刀刮布，画面平板UV卷材印刷，底部环保糯米胶粘贴。</w:t>
            </w:r>
          </w:p>
        </w:tc>
      </w:tr>
      <w:tr w14:paraId="78B1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1194C71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15E008A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366458A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10</w:t>
            </w:r>
          </w:p>
        </w:tc>
        <w:tc>
          <w:tcPr>
            <w:tcW w:w="495" w:type="dxa"/>
            <w:shd w:val="clear" w:color="auto" w:fill="auto"/>
            <w:vAlign w:val="center"/>
          </w:tcPr>
          <w:p w14:paraId="6094A2B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04CD4DC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展示画框画面</w:t>
            </w:r>
          </w:p>
        </w:tc>
        <w:tc>
          <w:tcPr>
            <w:tcW w:w="5189" w:type="dxa"/>
            <w:shd w:val="clear" w:color="auto" w:fill="auto"/>
            <w:vAlign w:val="center"/>
          </w:tcPr>
          <w:p w14:paraId="17826D6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18mm结皮PVC板雕刻造型；正面展示内容上UV及喷印效果，固定上墙。</w:t>
            </w:r>
          </w:p>
        </w:tc>
      </w:tr>
      <w:tr w14:paraId="5054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continue"/>
            <w:shd w:val="clear" w:color="auto" w:fill="auto"/>
            <w:noWrap/>
            <w:vAlign w:val="center"/>
          </w:tcPr>
          <w:p w14:paraId="7ECC4CC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521F722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134B381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23</w:t>
            </w:r>
          </w:p>
        </w:tc>
        <w:tc>
          <w:tcPr>
            <w:tcW w:w="495" w:type="dxa"/>
            <w:shd w:val="clear" w:color="auto" w:fill="auto"/>
            <w:vAlign w:val="center"/>
          </w:tcPr>
          <w:p w14:paraId="742C92C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5D3D78D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成品红色铝方通</w:t>
            </w:r>
          </w:p>
        </w:tc>
        <w:tc>
          <w:tcPr>
            <w:tcW w:w="5189" w:type="dxa"/>
            <w:shd w:val="clear" w:color="auto" w:fill="auto"/>
            <w:vAlign w:val="center"/>
          </w:tcPr>
          <w:p w14:paraId="5CC4C71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(规格：50*50*1.0mm)</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环保铝材：工艺三滚三涂、覆膜、喷涂，要求防水防腐、防火阻燃、环保0甲醛、不褪色</w:t>
            </w:r>
          </w:p>
        </w:tc>
      </w:tr>
      <w:tr w14:paraId="367F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3" w:hRule="atLeast"/>
          <w:jc w:val="center"/>
        </w:trPr>
        <w:tc>
          <w:tcPr>
            <w:tcW w:w="546" w:type="dxa"/>
            <w:vMerge w:val="continue"/>
            <w:shd w:val="clear" w:color="auto" w:fill="auto"/>
            <w:noWrap/>
            <w:vAlign w:val="center"/>
          </w:tcPr>
          <w:p w14:paraId="6C25DA8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431DEA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4F4D025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26</w:t>
            </w:r>
          </w:p>
        </w:tc>
        <w:tc>
          <w:tcPr>
            <w:tcW w:w="495" w:type="dxa"/>
            <w:shd w:val="clear" w:color="auto" w:fill="auto"/>
            <w:vAlign w:val="center"/>
          </w:tcPr>
          <w:p w14:paraId="0E02240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4A49BEC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定做水晶立体烤漆字</w:t>
            </w:r>
          </w:p>
        </w:tc>
        <w:tc>
          <w:tcPr>
            <w:tcW w:w="5189" w:type="dxa"/>
            <w:shd w:val="clear" w:color="auto" w:fill="auto"/>
            <w:vAlign w:val="center"/>
          </w:tcPr>
          <w:p w14:paraId="1779B09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10毫米透明亚克力底面贴有色面板激光雕刻立体字，雕刻等比例KT板字模玻璃胶固定于墙面。</w:t>
            </w:r>
          </w:p>
        </w:tc>
      </w:tr>
      <w:tr w14:paraId="498C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57" w:hRule="atLeast"/>
          <w:jc w:val="center"/>
        </w:trPr>
        <w:tc>
          <w:tcPr>
            <w:tcW w:w="546" w:type="dxa"/>
            <w:vMerge w:val="continue"/>
            <w:shd w:val="clear" w:color="auto" w:fill="auto"/>
            <w:noWrap/>
            <w:vAlign w:val="center"/>
          </w:tcPr>
          <w:p w14:paraId="4660E2C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37385DD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4D4AC7B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72</w:t>
            </w:r>
          </w:p>
        </w:tc>
        <w:tc>
          <w:tcPr>
            <w:tcW w:w="495" w:type="dxa"/>
            <w:shd w:val="clear" w:color="auto" w:fill="auto"/>
            <w:vAlign w:val="center"/>
          </w:tcPr>
          <w:p w14:paraId="1A98299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515601C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乳胶漆抗碱底漆</w:t>
            </w:r>
          </w:p>
        </w:tc>
        <w:tc>
          <w:tcPr>
            <w:tcW w:w="5189" w:type="dxa"/>
            <w:shd w:val="clear" w:color="auto" w:fill="auto"/>
            <w:vAlign w:val="center"/>
          </w:tcPr>
          <w:p w14:paraId="31D5A8A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iCs/>
                <w:color w:val="auto"/>
                <w:kern w:val="2"/>
                <w:sz w:val="21"/>
                <w:szCs w:val="21"/>
                <w:highlight w:val="none"/>
                <w:lang w:val="en-US" w:eastAsia="zh-CN" w:bidi="ar-SA"/>
              </w:rPr>
            </w:pPr>
            <w:r>
              <w:rPr>
                <w:rFonts w:hint="eastAsia" w:ascii="仿宋" w:hAnsi="仿宋" w:eastAsia="仿宋" w:cs="仿宋"/>
                <w:b w:val="0"/>
                <w:bCs/>
                <w:iCs/>
                <w:color w:val="auto"/>
                <w:szCs w:val="21"/>
                <w:highlight w:val="none"/>
                <w:lang w:val="en-US" w:eastAsia="zh-CN"/>
              </w:rPr>
              <w:t>乳胶漆抗碱底漆</w:t>
            </w:r>
          </w:p>
        </w:tc>
      </w:tr>
      <w:tr w14:paraId="09BB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19" w:hRule="atLeast"/>
          <w:jc w:val="center"/>
        </w:trPr>
        <w:tc>
          <w:tcPr>
            <w:tcW w:w="546" w:type="dxa"/>
            <w:vMerge w:val="continue"/>
            <w:shd w:val="clear" w:color="auto" w:fill="auto"/>
            <w:noWrap/>
            <w:vAlign w:val="center"/>
          </w:tcPr>
          <w:p w14:paraId="20706B5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70EB869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6D8C12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25</w:t>
            </w:r>
          </w:p>
        </w:tc>
        <w:tc>
          <w:tcPr>
            <w:tcW w:w="495" w:type="dxa"/>
            <w:shd w:val="clear" w:color="auto" w:fill="auto"/>
            <w:vAlign w:val="center"/>
          </w:tcPr>
          <w:p w14:paraId="4733F8A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4E3B960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灯具</w:t>
            </w:r>
          </w:p>
        </w:tc>
        <w:tc>
          <w:tcPr>
            <w:tcW w:w="5189" w:type="dxa"/>
            <w:shd w:val="clear" w:color="auto" w:fill="auto"/>
            <w:vAlign w:val="center"/>
          </w:tcPr>
          <w:p w14:paraId="7423D49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 w:val="0"/>
                <w:bCs w:val="0"/>
                <w:iCs/>
                <w:color w:val="auto"/>
                <w:szCs w:val="21"/>
                <w:highlight w:val="none"/>
                <w:lang w:val="en-US" w:eastAsia="zh-CN"/>
              </w:rPr>
              <w:t>双头斗胆灯10个；</w:t>
            </w:r>
            <w:r>
              <w:rPr>
                <w:rFonts w:hint="eastAsia" w:ascii="仿宋" w:hAnsi="仿宋" w:eastAsia="仿宋" w:cs="仿宋"/>
                <w:bCs/>
                <w:iCs/>
                <w:color w:val="auto"/>
                <w:szCs w:val="21"/>
                <w:highlight w:val="none"/>
                <w:lang w:val="en-US" w:eastAsia="zh-CN"/>
              </w:rPr>
              <w:t>文化墙定制柔光射灯15个，提高氛围立体引用专用灯，舒适柔和10瓦左右，高亮LED芯，防火级布线，连接安装于天面;(轨道射灯：灯10w悬挂式天花灯加轨道式三线轨道安装；电压: 111V~240V（含），大角度照束光线明亮宽广，安装间距15米，无可视频闪，光线细腻 舒适自然)。</w:t>
            </w:r>
          </w:p>
        </w:tc>
      </w:tr>
      <w:tr w14:paraId="4720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continue"/>
            <w:shd w:val="clear" w:color="auto" w:fill="auto"/>
            <w:noWrap/>
            <w:vAlign w:val="center"/>
          </w:tcPr>
          <w:p w14:paraId="0FC8275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5343D38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7F1E5B3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12</w:t>
            </w:r>
          </w:p>
        </w:tc>
        <w:tc>
          <w:tcPr>
            <w:tcW w:w="495" w:type="dxa"/>
            <w:shd w:val="clear" w:color="auto" w:fill="auto"/>
            <w:vAlign w:val="center"/>
          </w:tcPr>
          <w:p w14:paraId="1222B27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m</w:t>
            </w:r>
          </w:p>
        </w:tc>
        <w:tc>
          <w:tcPr>
            <w:tcW w:w="885" w:type="dxa"/>
            <w:shd w:val="clear" w:color="auto" w:fill="auto"/>
            <w:vAlign w:val="center"/>
          </w:tcPr>
          <w:p w14:paraId="45B25D5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踢脚线</w:t>
            </w:r>
          </w:p>
        </w:tc>
        <w:tc>
          <w:tcPr>
            <w:tcW w:w="5189" w:type="dxa"/>
            <w:shd w:val="clear" w:color="auto" w:fill="auto"/>
            <w:vAlign w:val="center"/>
          </w:tcPr>
          <w:p w14:paraId="3D3FF9B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成品铝型材踢脚线，高60mm，金属材料材质，阳极氧化工艺，耐磨防刮，防水防潮耐腐蚀，抗压强度高，表面覆膜处理，隐藏走线槽，美观不留痕。</w:t>
            </w:r>
          </w:p>
        </w:tc>
      </w:tr>
      <w:tr w14:paraId="465A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restart"/>
            <w:shd w:val="clear" w:color="auto" w:fill="auto"/>
            <w:noWrap/>
            <w:vAlign w:val="center"/>
          </w:tcPr>
          <w:p w14:paraId="521ACF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w:t>
            </w:r>
          </w:p>
        </w:tc>
        <w:tc>
          <w:tcPr>
            <w:tcW w:w="1172" w:type="dxa"/>
            <w:vMerge w:val="restart"/>
            <w:shd w:val="clear" w:color="auto" w:fill="auto"/>
            <w:vAlign w:val="center"/>
          </w:tcPr>
          <w:p w14:paraId="0D0A70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第一部分：中国共产党党史部分</w:t>
            </w:r>
          </w:p>
        </w:tc>
        <w:tc>
          <w:tcPr>
            <w:tcW w:w="789" w:type="dxa"/>
            <w:shd w:val="clear" w:color="auto" w:fill="auto"/>
            <w:vAlign w:val="center"/>
          </w:tcPr>
          <w:p w14:paraId="7B58E99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140</w:t>
            </w:r>
          </w:p>
        </w:tc>
        <w:tc>
          <w:tcPr>
            <w:tcW w:w="495" w:type="dxa"/>
            <w:shd w:val="clear" w:color="auto" w:fill="auto"/>
            <w:vAlign w:val="center"/>
          </w:tcPr>
          <w:p w14:paraId="587DF64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602FC94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定制文化展示艺术框架</w:t>
            </w:r>
          </w:p>
        </w:tc>
        <w:tc>
          <w:tcPr>
            <w:tcW w:w="5189" w:type="dxa"/>
            <w:shd w:val="clear" w:color="auto" w:fill="auto"/>
            <w:vAlign w:val="center"/>
          </w:tcPr>
          <w:p w14:paraId="4D96837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根据展厅文字内容定制艺术框架，部分造型使用镀锌框架。基本结构封阻燃板激光雕刻，表面结构上石膏板，找平方便后期贴文化内容。</w:t>
            </w:r>
          </w:p>
        </w:tc>
      </w:tr>
      <w:tr w14:paraId="4AF1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56E7FB1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825079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62FCE5D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96</w:t>
            </w:r>
          </w:p>
        </w:tc>
        <w:tc>
          <w:tcPr>
            <w:tcW w:w="495" w:type="dxa"/>
            <w:shd w:val="clear" w:color="auto" w:fill="auto"/>
            <w:vAlign w:val="center"/>
          </w:tcPr>
          <w:p w14:paraId="682522C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508D850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刀刮布</w:t>
            </w:r>
          </w:p>
        </w:tc>
        <w:tc>
          <w:tcPr>
            <w:tcW w:w="5189" w:type="dxa"/>
            <w:shd w:val="clear" w:color="auto" w:fill="auto"/>
            <w:vAlign w:val="center"/>
          </w:tcPr>
          <w:p w14:paraId="3039E9D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内容文化版面贴刀刮布，画面平板UV卷材印刷，底部环保糯米胶粘贴。</w:t>
            </w:r>
          </w:p>
        </w:tc>
      </w:tr>
      <w:tr w14:paraId="0929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29EF4D5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1EAE60E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63D5A4D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92</w:t>
            </w:r>
          </w:p>
        </w:tc>
        <w:tc>
          <w:tcPr>
            <w:tcW w:w="495" w:type="dxa"/>
            <w:shd w:val="clear" w:color="auto" w:fill="auto"/>
            <w:vAlign w:val="center"/>
          </w:tcPr>
          <w:p w14:paraId="702F117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33C2AAB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展示画框画面</w:t>
            </w:r>
          </w:p>
        </w:tc>
        <w:tc>
          <w:tcPr>
            <w:tcW w:w="5189" w:type="dxa"/>
            <w:shd w:val="clear" w:color="auto" w:fill="auto"/>
            <w:vAlign w:val="center"/>
          </w:tcPr>
          <w:p w14:paraId="493E7F1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18mm结皮PVC板雕刻造型；正面展示内容上UV及喷印效果，固定上墙。</w:t>
            </w:r>
          </w:p>
        </w:tc>
      </w:tr>
      <w:tr w14:paraId="16F7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3" w:hRule="atLeast"/>
          <w:jc w:val="center"/>
        </w:trPr>
        <w:tc>
          <w:tcPr>
            <w:tcW w:w="546" w:type="dxa"/>
            <w:vMerge w:val="continue"/>
            <w:shd w:val="clear" w:color="auto" w:fill="auto"/>
            <w:noWrap/>
            <w:vAlign w:val="center"/>
          </w:tcPr>
          <w:p w14:paraId="2E35BC2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EDD67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1D7D8A7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130</w:t>
            </w:r>
          </w:p>
        </w:tc>
        <w:tc>
          <w:tcPr>
            <w:tcW w:w="495" w:type="dxa"/>
            <w:shd w:val="clear" w:color="auto" w:fill="auto"/>
            <w:vAlign w:val="center"/>
          </w:tcPr>
          <w:p w14:paraId="3B8D7D0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14F22CF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定做水晶立体烤漆字</w:t>
            </w:r>
          </w:p>
        </w:tc>
        <w:tc>
          <w:tcPr>
            <w:tcW w:w="5189" w:type="dxa"/>
            <w:shd w:val="clear" w:color="auto" w:fill="auto"/>
            <w:vAlign w:val="center"/>
          </w:tcPr>
          <w:p w14:paraId="2A570DF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10毫米透明亚克力，底面贴有色面板激光雕刻立体字，雕刻等比例KT板字模玻璃胶固定于墙面。</w:t>
            </w:r>
          </w:p>
        </w:tc>
      </w:tr>
      <w:tr w14:paraId="62FE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45" w:hRule="atLeast"/>
          <w:jc w:val="center"/>
        </w:trPr>
        <w:tc>
          <w:tcPr>
            <w:tcW w:w="546" w:type="dxa"/>
            <w:vMerge w:val="continue"/>
            <w:shd w:val="clear" w:color="auto" w:fill="auto"/>
            <w:noWrap/>
            <w:vAlign w:val="center"/>
          </w:tcPr>
          <w:p w14:paraId="4FEF8D4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7F21C70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4F4C574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211</w:t>
            </w:r>
          </w:p>
        </w:tc>
        <w:tc>
          <w:tcPr>
            <w:tcW w:w="495" w:type="dxa"/>
            <w:shd w:val="clear" w:color="auto" w:fill="auto"/>
            <w:vAlign w:val="center"/>
          </w:tcPr>
          <w:p w14:paraId="0AC8E3B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4A20754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成品木纹铝方通</w:t>
            </w:r>
          </w:p>
        </w:tc>
        <w:tc>
          <w:tcPr>
            <w:tcW w:w="5189" w:type="dxa"/>
            <w:shd w:val="clear" w:color="auto" w:fill="auto"/>
            <w:vAlign w:val="center"/>
          </w:tcPr>
          <w:p w14:paraId="286CE04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(规格：50*50*1.0mm)</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天面打膨胀螺丝装8mm合金吊杆，装烤漆龙骨锁扣，装U型铝合金方通，环保铝材：工艺三滚三涂、覆膜、喷涂，要求防水防腐、防火阻燃、环保0甲醛，不褪色。</w:t>
            </w:r>
          </w:p>
        </w:tc>
      </w:tr>
      <w:tr w14:paraId="00BE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19" w:hRule="atLeast"/>
          <w:jc w:val="center"/>
        </w:trPr>
        <w:tc>
          <w:tcPr>
            <w:tcW w:w="546" w:type="dxa"/>
            <w:vMerge w:val="continue"/>
            <w:shd w:val="clear" w:color="auto" w:fill="auto"/>
            <w:noWrap/>
            <w:vAlign w:val="center"/>
          </w:tcPr>
          <w:p w14:paraId="641F173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6365618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5029F9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95</w:t>
            </w:r>
          </w:p>
        </w:tc>
        <w:tc>
          <w:tcPr>
            <w:tcW w:w="495" w:type="dxa"/>
            <w:shd w:val="clear" w:color="auto" w:fill="auto"/>
            <w:vAlign w:val="center"/>
          </w:tcPr>
          <w:p w14:paraId="10FAB28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0DA96574">
            <w:pPr>
              <w:pStyle w:val="7"/>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b w:val="0"/>
                <w:bCs w:val="0"/>
                <w:iCs/>
                <w:color w:val="auto"/>
                <w:szCs w:val="21"/>
                <w:highlight w:val="none"/>
                <w:lang w:val="en-US"/>
              </w:rPr>
            </w:pPr>
            <w:r>
              <w:rPr>
                <w:rFonts w:hint="eastAsia" w:ascii="仿宋" w:hAnsi="仿宋" w:eastAsia="仿宋" w:cs="仿宋"/>
                <w:b w:val="0"/>
                <w:bCs w:val="0"/>
                <w:iCs/>
                <w:color w:val="auto"/>
                <w:szCs w:val="21"/>
                <w:highlight w:val="none"/>
                <w:lang w:val="en-US" w:eastAsia="zh-CN"/>
              </w:rPr>
              <w:t>灯具</w:t>
            </w:r>
          </w:p>
        </w:tc>
        <w:tc>
          <w:tcPr>
            <w:tcW w:w="5189" w:type="dxa"/>
            <w:shd w:val="clear" w:color="auto" w:fill="auto"/>
            <w:vAlign w:val="center"/>
          </w:tcPr>
          <w:p w14:paraId="56CA836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双头斗胆灯50个；</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文化墙定制柔光射灯45个，提高氛围立体引用专用灯，舒适柔和10瓦左右，高亮LED芯，防火级布线连接安装于天面;(轨道射灯：灯10w悬挂式天花灯加轨道式三线轨道安装；电压: 111V~240V（含），大角度照束光线明亮宽广，安装间距15米，无可视频闪，光线细腻 舒适自然)。</w:t>
            </w:r>
          </w:p>
        </w:tc>
      </w:tr>
      <w:tr w14:paraId="64A3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1D6074C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CC8E40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525DF1F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285</w:t>
            </w:r>
          </w:p>
        </w:tc>
        <w:tc>
          <w:tcPr>
            <w:tcW w:w="495" w:type="dxa"/>
            <w:shd w:val="clear" w:color="auto" w:fill="auto"/>
            <w:vAlign w:val="center"/>
          </w:tcPr>
          <w:p w14:paraId="0197DD2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1C4718F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乳胶漆抗碱底漆</w:t>
            </w:r>
          </w:p>
        </w:tc>
        <w:tc>
          <w:tcPr>
            <w:tcW w:w="5189" w:type="dxa"/>
            <w:shd w:val="clear" w:color="auto" w:fill="auto"/>
            <w:vAlign w:val="center"/>
          </w:tcPr>
          <w:p w14:paraId="60C4227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r>
      <w:tr w14:paraId="79EA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continue"/>
            <w:shd w:val="clear" w:color="auto" w:fill="auto"/>
            <w:noWrap/>
            <w:vAlign w:val="center"/>
          </w:tcPr>
          <w:p w14:paraId="68C82F7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8615ED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21BBDD2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47</w:t>
            </w:r>
          </w:p>
        </w:tc>
        <w:tc>
          <w:tcPr>
            <w:tcW w:w="495" w:type="dxa"/>
            <w:shd w:val="clear" w:color="auto" w:fill="auto"/>
            <w:noWrap/>
            <w:vAlign w:val="center"/>
          </w:tcPr>
          <w:p w14:paraId="4B0F4C8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m</w:t>
            </w:r>
          </w:p>
        </w:tc>
        <w:tc>
          <w:tcPr>
            <w:tcW w:w="885" w:type="dxa"/>
            <w:shd w:val="clear" w:color="auto" w:fill="auto"/>
            <w:vAlign w:val="center"/>
          </w:tcPr>
          <w:p w14:paraId="1C92262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踢脚线</w:t>
            </w:r>
          </w:p>
        </w:tc>
        <w:tc>
          <w:tcPr>
            <w:tcW w:w="5189" w:type="dxa"/>
            <w:shd w:val="clear" w:color="auto" w:fill="auto"/>
            <w:vAlign w:val="center"/>
          </w:tcPr>
          <w:p w14:paraId="17E8432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成品铝型材踢脚线，高60mm，金属材料材质，阳极氧化工艺，耐磨防刮，防水防潮耐腐蚀，抗压强度高，表面覆膜处理，隐藏走线槽，美观不留痕</w:t>
            </w:r>
          </w:p>
        </w:tc>
      </w:tr>
      <w:tr w14:paraId="7B57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restart"/>
            <w:shd w:val="clear" w:color="auto" w:fill="auto"/>
            <w:noWrap/>
            <w:vAlign w:val="center"/>
          </w:tcPr>
          <w:p w14:paraId="4CCC812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3</w:t>
            </w:r>
          </w:p>
        </w:tc>
        <w:tc>
          <w:tcPr>
            <w:tcW w:w="1172" w:type="dxa"/>
            <w:vMerge w:val="restart"/>
            <w:shd w:val="clear" w:color="auto" w:fill="auto"/>
            <w:vAlign w:val="center"/>
          </w:tcPr>
          <w:p w14:paraId="3214DC6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第二部分：中国共产党广西历史</w:t>
            </w:r>
          </w:p>
        </w:tc>
        <w:tc>
          <w:tcPr>
            <w:tcW w:w="789" w:type="dxa"/>
            <w:shd w:val="clear" w:color="auto" w:fill="auto"/>
            <w:noWrap/>
            <w:vAlign w:val="center"/>
          </w:tcPr>
          <w:p w14:paraId="70C44B7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118</w:t>
            </w:r>
          </w:p>
        </w:tc>
        <w:tc>
          <w:tcPr>
            <w:tcW w:w="495" w:type="dxa"/>
            <w:shd w:val="clear" w:color="auto" w:fill="auto"/>
            <w:noWrap/>
            <w:vAlign w:val="center"/>
          </w:tcPr>
          <w:p w14:paraId="66C6FF3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2335686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定制文化展示艺术框架</w:t>
            </w:r>
          </w:p>
        </w:tc>
        <w:tc>
          <w:tcPr>
            <w:tcW w:w="5189" w:type="dxa"/>
            <w:shd w:val="clear" w:color="auto" w:fill="auto"/>
            <w:vAlign w:val="center"/>
          </w:tcPr>
          <w:p w14:paraId="01D9062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根据展厅文字内容定制艺术框架，部分造型使用镀锌框架。基本结构封阻燃板激光雕刻，表面结构上石膏板，找平方便后期贴文化内容。</w:t>
            </w:r>
          </w:p>
        </w:tc>
      </w:tr>
      <w:tr w14:paraId="70CD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4424529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1959407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107D6EA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88</w:t>
            </w:r>
          </w:p>
        </w:tc>
        <w:tc>
          <w:tcPr>
            <w:tcW w:w="495" w:type="dxa"/>
            <w:shd w:val="clear" w:color="auto" w:fill="auto"/>
            <w:noWrap/>
            <w:vAlign w:val="center"/>
          </w:tcPr>
          <w:p w14:paraId="33F9774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0AD00FA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刀刮布</w:t>
            </w:r>
          </w:p>
        </w:tc>
        <w:tc>
          <w:tcPr>
            <w:tcW w:w="5189" w:type="dxa"/>
            <w:shd w:val="clear" w:color="auto" w:fill="auto"/>
            <w:vAlign w:val="center"/>
          </w:tcPr>
          <w:p w14:paraId="663D5ED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内容文化版面贴刀刮布，画面平板UV卷材印刷，底部环保糯米胶粘贴。</w:t>
            </w:r>
          </w:p>
        </w:tc>
      </w:tr>
      <w:tr w14:paraId="0A27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4AB103C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716A1E1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74830C1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82</w:t>
            </w:r>
          </w:p>
        </w:tc>
        <w:tc>
          <w:tcPr>
            <w:tcW w:w="495" w:type="dxa"/>
            <w:shd w:val="clear" w:color="auto" w:fill="auto"/>
            <w:noWrap/>
            <w:vAlign w:val="center"/>
          </w:tcPr>
          <w:p w14:paraId="7A43866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4C181A2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展示画框画面</w:t>
            </w:r>
          </w:p>
        </w:tc>
        <w:tc>
          <w:tcPr>
            <w:tcW w:w="5189" w:type="dxa"/>
            <w:shd w:val="clear" w:color="auto" w:fill="auto"/>
            <w:vAlign w:val="center"/>
          </w:tcPr>
          <w:p w14:paraId="540DC10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18mm结皮PVC板雕刻造型；正面展示内容上UV及喷印效果，固定上墙。</w:t>
            </w:r>
          </w:p>
        </w:tc>
      </w:tr>
      <w:tr w14:paraId="2779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3" w:hRule="atLeast"/>
          <w:jc w:val="center"/>
        </w:trPr>
        <w:tc>
          <w:tcPr>
            <w:tcW w:w="546" w:type="dxa"/>
            <w:vMerge w:val="continue"/>
            <w:shd w:val="clear" w:color="auto" w:fill="auto"/>
            <w:noWrap/>
            <w:vAlign w:val="center"/>
          </w:tcPr>
          <w:p w14:paraId="3FF8C32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76BE658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7368464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110</w:t>
            </w:r>
          </w:p>
        </w:tc>
        <w:tc>
          <w:tcPr>
            <w:tcW w:w="495" w:type="dxa"/>
            <w:shd w:val="clear" w:color="auto" w:fill="auto"/>
            <w:noWrap/>
            <w:vAlign w:val="center"/>
          </w:tcPr>
          <w:p w14:paraId="4DFA669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69B8395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定做水晶立体烤漆字</w:t>
            </w:r>
          </w:p>
        </w:tc>
        <w:tc>
          <w:tcPr>
            <w:tcW w:w="5189" w:type="dxa"/>
            <w:shd w:val="clear" w:color="auto" w:fill="auto"/>
            <w:vAlign w:val="center"/>
          </w:tcPr>
          <w:p w14:paraId="546E01F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10毫米透明亚克力，底面贴有色面板激光雕刻立体字，雕刻等比例KT板字模玻璃胶固定于墙面。</w:t>
            </w:r>
          </w:p>
        </w:tc>
      </w:tr>
      <w:tr w14:paraId="2E77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19" w:hRule="atLeast"/>
          <w:jc w:val="center"/>
        </w:trPr>
        <w:tc>
          <w:tcPr>
            <w:tcW w:w="546" w:type="dxa"/>
            <w:vMerge w:val="continue"/>
            <w:shd w:val="clear" w:color="auto" w:fill="auto"/>
            <w:noWrap/>
            <w:vAlign w:val="center"/>
          </w:tcPr>
          <w:p w14:paraId="7A54CE7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4DCD06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43FF698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17</w:t>
            </w:r>
          </w:p>
        </w:tc>
        <w:tc>
          <w:tcPr>
            <w:tcW w:w="495" w:type="dxa"/>
            <w:shd w:val="clear" w:color="auto" w:fill="auto"/>
            <w:noWrap/>
            <w:vAlign w:val="center"/>
          </w:tcPr>
          <w:p w14:paraId="246A68D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73E1C0E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竹炭纤维格栅板</w:t>
            </w:r>
          </w:p>
        </w:tc>
        <w:tc>
          <w:tcPr>
            <w:tcW w:w="5189" w:type="dxa"/>
            <w:shd w:val="clear" w:color="auto" w:fill="auto"/>
            <w:vAlign w:val="center"/>
          </w:tcPr>
          <w:p w14:paraId="3FC86FB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由竹炭纤维和树脂复合而成），防潮、防腐、耐火，同时具备良好的抗弯强度和弹性模量，吸附力强，能够吸附空气中的有害物质，如甲醛等，具有净化空气、抗菌防霉、防臭等多种功效，在潮湿环境下也能保持良好的使用状态。</w:t>
            </w:r>
          </w:p>
        </w:tc>
      </w:tr>
      <w:tr w14:paraId="598B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7D01C36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53EF0D5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5AD6F46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232</w:t>
            </w:r>
          </w:p>
        </w:tc>
        <w:tc>
          <w:tcPr>
            <w:tcW w:w="495" w:type="dxa"/>
            <w:shd w:val="clear" w:color="auto" w:fill="auto"/>
            <w:noWrap/>
            <w:vAlign w:val="center"/>
          </w:tcPr>
          <w:p w14:paraId="5FE2501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055722A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乳胶漆抗碱底漆</w:t>
            </w:r>
          </w:p>
        </w:tc>
        <w:tc>
          <w:tcPr>
            <w:tcW w:w="5189" w:type="dxa"/>
            <w:shd w:val="clear" w:color="auto" w:fill="auto"/>
            <w:vAlign w:val="center"/>
          </w:tcPr>
          <w:p w14:paraId="38BE7CF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r>
      <w:tr w14:paraId="0DB2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continue"/>
            <w:shd w:val="clear" w:color="auto" w:fill="auto"/>
            <w:noWrap/>
            <w:vAlign w:val="center"/>
          </w:tcPr>
          <w:p w14:paraId="4B22290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335D89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6118062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45</w:t>
            </w:r>
          </w:p>
        </w:tc>
        <w:tc>
          <w:tcPr>
            <w:tcW w:w="495" w:type="dxa"/>
            <w:shd w:val="clear" w:color="auto" w:fill="auto"/>
            <w:noWrap/>
            <w:vAlign w:val="center"/>
          </w:tcPr>
          <w:p w14:paraId="017855F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m</w:t>
            </w:r>
          </w:p>
        </w:tc>
        <w:tc>
          <w:tcPr>
            <w:tcW w:w="885" w:type="dxa"/>
            <w:shd w:val="clear" w:color="auto" w:fill="auto"/>
            <w:vAlign w:val="center"/>
          </w:tcPr>
          <w:p w14:paraId="44B8CF7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踢脚线</w:t>
            </w:r>
          </w:p>
        </w:tc>
        <w:tc>
          <w:tcPr>
            <w:tcW w:w="5189" w:type="dxa"/>
            <w:shd w:val="clear" w:color="auto" w:fill="auto"/>
            <w:vAlign w:val="center"/>
          </w:tcPr>
          <w:p w14:paraId="50356CC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成品铝型材踢脚线，高60mm，金属材料材质，阳极氧化工艺，耐磨防刮，防水防潮耐腐蚀，抗压强度高，表面覆膜处理，隐藏走线槽，美观不留痕</w:t>
            </w:r>
          </w:p>
        </w:tc>
      </w:tr>
      <w:tr w14:paraId="6213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3" w:hRule="atLeast"/>
          <w:jc w:val="center"/>
        </w:trPr>
        <w:tc>
          <w:tcPr>
            <w:tcW w:w="546" w:type="dxa"/>
            <w:vMerge w:val="restart"/>
            <w:shd w:val="clear" w:color="auto" w:fill="auto"/>
            <w:noWrap/>
            <w:vAlign w:val="center"/>
          </w:tcPr>
          <w:p w14:paraId="67CA9BD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4</w:t>
            </w:r>
          </w:p>
        </w:tc>
        <w:tc>
          <w:tcPr>
            <w:tcW w:w="1172" w:type="dxa"/>
            <w:vMerge w:val="restart"/>
            <w:shd w:val="clear" w:color="auto" w:fill="auto"/>
            <w:vAlign w:val="center"/>
          </w:tcPr>
          <w:p w14:paraId="3A51E55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第三部分：</w:t>
            </w:r>
            <w:r>
              <w:rPr>
                <w:rFonts w:hint="eastAsia" w:ascii="仿宋" w:hAnsi="仿宋" w:eastAsia="仿宋" w:cs="仿宋"/>
                <w:bCs/>
                <w:color w:val="auto"/>
                <w:kern w:val="2"/>
                <w:sz w:val="21"/>
                <w:szCs w:val="21"/>
                <w:highlight w:val="none"/>
                <w:lang w:val="en-US" w:eastAsia="zh-CN" w:bidi="ar-SA"/>
              </w:rPr>
              <w:t>防城港地方建设与发展</w:t>
            </w:r>
            <w:r>
              <w:rPr>
                <w:rFonts w:hint="eastAsia" w:ascii="仿宋" w:hAnsi="仿宋" w:eastAsia="仿宋" w:cs="仿宋"/>
                <w:bCs/>
                <w:iCs/>
                <w:color w:val="auto"/>
                <w:szCs w:val="21"/>
                <w:highlight w:val="none"/>
                <w:lang w:val="en-US" w:eastAsia="zh-CN"/>
              </w:rPr>
              <w:t>内容+结语</w:t>
            </w:r>
          </w:p>
        </w:tc>
        <w:tc>
          <w:tcPr>
            <w:tcW w:w="789" w:type="dxa"/>
            <w:shd w:val="clear" w:color="auto" w:fill="auto"/>
            <w:noWrap/>
            <w:vAlign w:val="center"/>
          </w:tcPr>
          <w:p w14:paraId="125986B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105</w:t>
            </w:r>
          </w:p>
        </w:tc>
        <w:tc>
          <w:tcPr>
            <w:tcW w:w="495" w:type="dxa"/>
            <w:shd w:val="clear" w:color="auto" w:fill="auto"/>
            <w:noWrap/>
            <w:vAlign w:val="center"/>
          </w:tcPr>
          <w:p w14:paraId="3C72BAE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7C02F85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定制文化展示艺术框架</w:t>
            </w:r>
          </w:p>
        </w:tc>
        <w:tc>
          <w:tcPr>
            <w:tcW w:w="5189" w:type="dxa"/>
            <w:shd w:val="clear" w:color="auto" w:fill="auto"/>
            <w:vAlign w:val="center"/>
          </w:tcPr>
          <w:p w14:paraId="39DF16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根据展厅文字内容定制艺术框架，部分造型使用镀锌框架。基本结构封阻燃板激光雕刻，表面结构上石膏板，找平方便后期贴文化内容。</w:t>
            </w:r>
          </w:p>
        </w:tc>
      </w:tr>
      <w:tr w14:paraId="547E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37AF5BB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31FCDF6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55A56F7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75</w:t>
            </w:r>
          </w:p>
        </w:tc>
        <w:tc>
          <w:tcPr>
            <w:tcW w:w="495" w:type="dxa"/>
            <w:shd w:val="clear" w:color="auto" w:fill="auto"/>
            <w:noWrap/>
            <w:vAlign w:val="center"/>
          </w:tcPr>
          <w:p w14:paraId="4F5C6B4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4BB7F7F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刀刮布</w:t>
            </w:r>
          </w:p>
        </w:tc>
        <w:tc>
          <w:tcPr>
            <w:tcW w:w="5189" w:type="dxa"/>
            <w:shd w:val="clear" w:color="auto" w:fill="auto"/>
            <w:vAlign w:val="center"/>
          </w:tcPr>
          <w:p w14:paraId="56D209C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内容文化版面贴刀刮布，画面平板UV卷材印刷，底部环保糯米胶粘贴。</w:t>
            </w:r>
          </w:p>
        </w:tc>
      </w:tr>
      <w:tr w14:paraId="2F63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5198ECA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35A8CC4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5D07F81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64</w:t>
            </w:r>
          </w:p>
        </w:tc>
        <w:tc>
          <w:tcPr>
            <w:tcW w:w="495" w:type="dxa"/>
            <w:shd w:val="clear" w:color="auto" w:fill="auto"/>
            <w:noWrap/>
            <w:vAlign w:val="center"/>
          </w:tcPr>
          <w:p w14:paraId="5BEA779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26497E2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展示画框画面</w:t>
            </w:r>
          </w:p>
        </w:tc>
        <w:tc>
          <w:tcPr>
            <w:tcW w:w="5189" w:type="dxa"/>
            <w:shd w:val="clear" w:color="auto" w:fill="auto"/>
            <w:vAlign w:val="center"/>
          </w:tcPr>
          <w:p w14:paraId="44CA627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18mm结皮PVC板雕刻造型；正面展示内容上UV及喷印效果，固定上墙。</w:t>
            </w:r>
          </w:p>
        </w:tc>
      </w:tr>
      <w:tr w14:paraId="3B04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3" w:hRule="atLeast"/>
          <w:jc w:val="center"/>
        </w:trPr>
        <w:tc>
          <w:tcPr>
            <w:tcW w:w="546" w:type="dxa"/>
            <w:vMerge w:val="continue"/>
            <w:shd w:val="clear" w:color="auto" w:fill="auto"/>
            <w:noWrap/>
            <w:vAlign w:val="center"/>
          </w:tcPr>
          <w:p w14:paraId="19534A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3C6B1A8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353138B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96</w:t>
            </w:r>
          </w:p>
        </w:tc>
        <w:tc>
          <w:tcPr>
            <w:tcW w:w="495" w:type="dxa"/>
            <w:shd w:val="clear" w:color="auto" w:fill="auto"/>
            <w:noWrap/>
            <w:vAlign w:val="center"/>
          </w:tcPr>
          <w:p w14:paraId="602D07D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09F5670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定做水晶立体烤漆字</w:t>
            </w:r>
          </w:p>
        </w:tc>
        <w:tc>
          <w:tcPr>
            <w:tcW w:w="5189" w:type="dxa"/>
            <w:shd w:val="clear" w:color="auto" w:fill="auto"/>
            <w:vAlign w:val="center"/>
          </w:tcPr>
          <w:p w14:paraId="3F63E5B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10毫米透明亚克力，底面贴有色面板激光雕刻立体字，雕刻等比例KT板字模玻璃胶固定于墙面。</w:t>
            </w:r>
          </w:p>
        </w:tc>
      </w:tr>
      <w:tr w14:paraId="48AB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45" w:hRule="atLeast"/>
          <w:jc w:val="center"/>
        </w:trPr>
        <w:tc>
          <w:tcPr>
            <w:tcW w:w="546" w:type="dxa"/>
            <w:vMerge w:val="continue"/>
            <w:shd w:val="clear" w:color="auto" w:fill="auto"/>
            <w:noWrap/>
            <w:vAlign w:val="center"/>
          </w:tcPr>
          <w:p w14:paraId="3A83404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0B10895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3AC2824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115</w:t>
            </w:r>
          </w:p>
        </w:tc>
        <w:tc>
          <w:tcPr>
            <w:tcW w:w="495" w:type="dxa"/>
            <w:shd w:val="clear" w:color="auto" w:fill="auto"/>
            <w:vAlign w:val="center"/>
          </w:tcPr>
          <w:p w14:paraId="5EBCFCB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1068A62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成品木纹铝方通</w:t>
            </w:r>
          </w:p>
        </w:tc>
        <w:tc>
          <w:tcPr>
            <w:tcW w:w="5189" w:type="dxa"/>
            <w:shd w:val="clear" w:color="auto" w:fill="auto"/>
            <w:vAlign w:val="center"/>
          </w:tcPr>
          <w:p w14:paraId="4ABAB9C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(规格：50*50*1.0mm)</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天面打膨胀螺丝装8mm合金吊杆，装烤漆龙骨锁扣，装U型铝合金方通，环保铝材：工艺三滚三涂、覆膜、喷涂，要求防水防腐、防火阻燃、环保0甲醛,不褪色</w:t>
            </w:r>
          </w:p>
        </w:tc>
      </w:tr>
      <w:tr w14:paraId="1EED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19" w:hRule="atLeast"/>
          <w:jc w:val="center"/>
        </w:trPr>
        <w:tc>
          <w:tcPr>
            <w:tcW w:w="546" w:type="dxa"/>
            <w:vMerge w:val="continue"/>
            <w:shd w:val="clear" w:color="auto" w:fill="auto"/>
            <w:noWrap/>
            <w:vAlign w:val="center"/>
          </w:tcPr>
          <w:p w14:paraId="41433AA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1848A50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vAlign w:val="center"/>
          </w:tcPr>
          <w:p w14:paraId="3B84701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80</w:t>
            </w:r>
          </w:p>
        </w:tc>
        <w:tc>
          <w:tcPr>
            <w:tcW w:w="495" w:type="dxa"/>
            <w:shd w:val="clear" w:color="auto" w:fill="auto"/>
            <w:vAlign w:val="center"/>
          </w:tcPr>
          <w:p w14:paraId="5105FA6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个</w:t>
            </w:r>
          </w:p>
        </w:tc>
        <w:tc>
          <w:tcPr>
            <w:tcW w:w="885" w:type="dxa"/>
            <w:shd w:val="clear" w:color="auto" w:fill="auto"/>
            <w:vAlign w:val="center"/>
          </w:tcPr>
          <w:p w14:paraId="4D609FA2">
            <w:pPr>
              <w:pStyle w:val="7"/>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b w:val="0"/>
                <w:bCs w:val="0"/>
                <w:iCs/>
                <w:color w:val="auto"/>
                <w:szCs w:val="21"/>
                <w:highlight w:val="none"/>
                <w:lang w:val="en-US"/>
              </w:rPr>
            </w:pPr>
            <w:r>
              <w:rPr>
                <w:rFonts w:hint="eastAsia" w:ascii="仿宋" w:hAnsi="仿宋" w:eastAsia="仿宋" w:cs="仿宋"/>
                <w:b w:val="0"/>
                <w:bCs w:val="0"/>
                <w:iCs/>
                <w:color w:val="auto"/>
                <w:szCs w:val="21"/>
                <w:highlight w:val="none"/>
                <w:lang w:val="en-US" w:eastAsia="zh-CN"/>
              </w:rPr>
              <w:t>灯具</w:t>
            </w:r>
          </w:p>
        </w:tc>
        <w:tc>
          <w:tcPr>
            <w:tcW w:w="5189" w:type="dxa"/>
            <w:shd w:val="clear" w:color="auto" w:fill="auto"/>
            <w:vAlign w:val="center"/>
          </w:tcPr>
          <w:p w14:paraId="16A6531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双头斗胆灯32个；</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文化墙定制柔光射灯48个，提高氛围立体引用专用灯，舒适柔和10瓦左右,高亮LED芯,防火级布线连接安装于天面;(轨道射灯：灯10w悬挂式天花灯加轨道式三线轨道安装；电压: 111V~240V（含），大角度照束光线明亮宽广，安装间距15米，无可视频闪，光线细腻 舒适自然)。</w:t>
            </w:r>
          </w:p>
        </w:tc>
      </w:tr>
      <w:tr w14:paraId="5D1A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jc w:val="center"/>
        </w:trPr>
        <w:tc>
          <w:tcPr>
            <w:tcW w:w="546" w:type="dxa"/>
            <w:vMerge w:val="continue"/>
            <w:shd w:val="clear" w:color="auto" w:fill="auto"/>
            <w:noWrap/>
            <w:vAlign w:val="center"/>
          </w:tcPr>
          <w:p w14:paraId="3884541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39DBBC1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492F8EE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223</w:t>
            </w:r>
          </w:p>
        </w:tc>
        <w:tc>
          <w:tcPr>
            <w:tcW w:w="495" w:type="dxa"/>
            <w:shd w:val="clear" w:color="auto" w:fill="auto"/>
            <w:noWrap/>
            <w:vAlign w:val="center"/>
          </w:tcPr>
          <w:p w14:paraId="12BC83B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w:t>
            </w:r>
          </w:p>
        </w:tc>
        <w:tc>
          <w:tcPr>
            <w:tcW w:w="885" w:type="dxa"/>
            <w:shd w:val="clear" w:color="auto" w:fill="auto"/>
            <w:vAlign w:val="center"/>
          </w:tcPr>
          <w:p w14:paraId="4064F44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乳胶漆抗碱底漆</w:t>
            </w:r>
          </w:p>
        </w:tc>
        <w:tc>
          <w:tcPr>
            <w:tcW w:w="5189" w:type="dxa"/>
            <w:shd w:val="clear" w:color="auto" w:fill="auto"/>
            <w:vAlign w:val="center"/>
          </w:tcPr>
          <w:p w14:paraId="64F2BDF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r>
      <w:tr w14:paraId="3068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4" w:hRule="atLeast"/>
          <w:jc w:val="center"/>
        </w:trPr>
        <w:tc>
          <w:tcPr>
            <w:tcW w:w="546" w:type="dxa"/>
            <w:vMerge w:val="continue"/>
            <w:shd w:val="clear" w:color="auto" w:fill="auto"/>
            <w:noWrap/>
            <w:vAlign w:val="center"/>
          </w:tcPr>
          <w:p w14:paraId="358D3AA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172" w:type="dxa"/>
            <w:vMerge w:val="continue"/>
            <w:shd w:val="clear" w:color="auto" w:fill="auto"/>
            <w:vAlign w:val="center"/>
          </w:tcPr>
          <w:p w14:paraId="227A9B0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89" w:type="dxa"/>
            <w:shd w:val="clear" w:color="auto" w:fill="auto"/>
            <w:noWrap/>
            <w:vAlign w:val="center"/>
          </w:tcPr>
          <w:p w14:paraId="5EE4E55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35</w:t>
            </w:r>
          </w:p>
        </w:tc>
        <w:tc>
          <w:tcPr>
            <w:tcW w:w="495" w:type="dxa"/>
            <w:shd w:val="clear" w:color="auto" w:fill="auto"/>
            <w:noWrap/>
            <w:vAlign w:val="center"/>
          </w:tcPr>
          <w:p w14:paraId="46C02BA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m</w:t>
            </w:r>
          </w:p>
        </w:tc>
        <w:tc>
          <w:tcPr>
            <w:tcW w:w="885" w:type="dxa"/>
            <w:shd w:val="clear" w:color="auto" w:fill="auto"/>
            <w:vAlign w:val="center"/>
          </w:tcPr>
          <w:p w14:paraId="401928F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lang w:val="en-US" w:eastAsia="zh-CN"/>
              </w:rPr>
              <w:t>踢脚线</w:t>
            </w:r>
          </w:p>
        </w:tc>
        <w:tc>
          <w:tcPr>
            <w:tcW w:w="5189" w:type="dxa"/>
            <w:shd w:val="clear" w:color="auto" w:fill="auto"/>
            <w:vAlign w:val="center"/>
          </w:tcPr>
          <w:p w14:paraId="6570E21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成品铝型材踢脚线，高60mm，金属材料材质，阳极氧化工艺，耐磨防刮，防水防潮耐腐蚀，抗压强度高，表面覆膜处理，隐藏走线槽，美观不留痕</w:t>
            </w:r>
          </w:p>
        </w:tc>
      </w:tr>
    </w:tbl>
    <w:p w14:paraId="726EBB95">
      <w:pPr>
        <w:pStyle w:val="7"/>
        <w:rPr>
          <w:rFonts w:hint="eastAsia" w:ascii="仿宋" w:hAnsi="仿宋" w:eastAsia="仿宋" w:cs="仿宋"/>
          <w:bCs/>
          <w:iCs/>
          <w:color w:val="auto"/>
          <w:szCs w:val="21"/>
          <w:highlight w:val="none"/>
        </w:rPr>
      </w:pPr>
    </w:p>
    <w:p w14:paraId="4A231612">
      <w:pPr>
        <w:pStyle w:val="7"/>
        <w:rPr>
          <w:rFonts w:hint="eastAsia" w:ascii="仿宋" w:hAnsi="仿宋" w:eastAsia="仿宋" w:cs="仿宋"/>
          <w:bCs/>
          <w:iCs/>
          <w:color w:val="auto"/>
          <w:szCs w:val="21"/>
          <w:highlight w:val="none"/>
        </w:rPr>
      </w:pPr>
    </w:p>
    <w:p w14:paraId="6759D95B">
      <w:pPr>
        <w:pStyle w:val="7"/>
        <w:rPr>
          <w:rFonts w:hint="eastAsia" w:ascii="仿宋" w:hAnsi="仿宋" w:eastAsia="仿宋" w:cs="仿宋"/>
          <w:bCs/>
          <w:iCs/>
          <w:color w:val="auto"/>
          <w:szCs w:val="21"/>
          <w:highlight w:val="none"/>
        </w:rPr>
      </w:pPr>
    </w:p>
    <w:p w14:paraId="29106356">
      <w:pPr>
        <w:pStyle w:val="7"/>
        <w:rPr>
          <w:rFonts w:hint="eastAsia" w:ascii="仿宋" w:hAnsi="仿宋" w:eastAsia="仿宋" w:cs="仿宋"/>
          <w:bCs/>
          <w:iCs/>
          <w:color w:val="auto"/>
          <w:szCs w:val="21"/>
          <w:highlight w:val="none"/>
        </w:rPr>
      </w:pPr>
    </w:p>
    <w:p w14:paraId="5CC58270">
      <w:pPr>
        <w:pStyle w:val="7"/>
        <w:rPr>
          <w:rFonts w:hint="eastAsia" w:ascii="仿宋" w:hAnsi="仿宋" w:eastAsia="仿宋" w:cs="仿宋"/>
          <w:bCs/>
          <w:iCs/>
          <w:color w:val="auto"/>
          <w:szCs w:val="21"/>
          <w:highlight w:val="none"/>
        </w:rPr>
      </w:pPr>
    </w:p>
    <w:p w14:paraId="04212DAB">
      <w:pPr>
        <w:pStyle w:val="7"/>
        <w:rPr>
          <w:rFonts w:hint="eastAsia" w:ascii="仿宋" w:hAnsi="仿宋" w:eastAsia="仿宋" w:cs="仿宋"/>
          <w:bCs/>
          <w:iCs/>
          <w:color w:val="auto"/>
          <w:szCs w:val="21"/>
          <w:highlight w:val="none"/>
        </w:rPr>
      </w:pPr>
    </w:p>
    <w:p w14:paraId="0A6FCF27">
      <w:pPr>
        <w:pStyle w:val="7"/>
        <w:rPr>
          <w:rFonts w:hint="eastAsia" w:ascii="仿宋" w:hAnsi="仿宋" w:eastAsia="仿宋" w:cs="仿宋"/>
          <w:bCs/>
          <w:iCs/>
          <w:color w:val="auto"/>
          <w:szCs w:val="21"/>
          <w:highlight w:val="none"/>
        </w:rPr>
      </w:pPr>
    </w:p>
    <w:p w14:paraId="2EE4F171">
      <w:pPr>
        <w:pStyle w:val="7"/>
        <w:rPr>
          <w:rFonts w:hint="eastAsia" w:ascii="仿宋" w:hAnsi="仿宋" w:eastAsia="仿宋" w:cs="仿宋"/>
          <w:bCs/>
          <w:iCs/>
          <w:color w:val="auto"/>
          <w:szCs w:val="21"/>
          <w:highlight w:val="none"/>
        </w:rPr>
      </w:pPr>
    </w:p>
    <w:p w14:paraId="3DF9C8CD">
      <w:pPr>
        <w:pStyle w:val="7"/>
        <w:rPr>
          <w:rFonts w:hint="eastAsia" w:ascii="仿宋" w:hAnsi="仿宋" w:eastAsia="仿宋" w:cs="仿宋"/>
          <w:bCs/>
          <w:iCs/>
          <w:color w:val="auto"/>
          <w:szCs w:val="21"/>
          <w:highlight w:val="none"/>
        </w:rPr>
      </w:pPr>
    </w:p>
    <w:p w14:paraId="5EC18845">
      <w:pPr>
        <w:pStyle w:val="7"/>
        <w:rPr>
          <w:rFonts w:hint="eastAsia" w:ascii="宋体" w:hAnsi="宋体" w:eastAsia="宋体" w:cs="宋体"/>
          <w:b/>
          <w:bCs/>
          <w:color w:val="auto"/>
          <w:spacing w:val="8"/>
          <w:sz w:val="32"/>
          <w:szCs w:val="32"/>
          <w:highlight w:val="none"/>
          <w:u w:val="none"/>
          <w:lang w:val="en-US" w:eastAsia="zh-CN"/>
        </w:rPr>
        <w:sectPr>
          <w:footerReference r:id="rId12" w:type="first"/>
          <w:footerReference r:id="rId11" w:type="default"/>
          <w:pgSz w:w="11906" w:h="16838"/>
          <w:pgMar w:top="1440" w:right="1289" w:bottom="1440" w:left="1797" w:header="851" w:footer="992" w:gutter="0"/>
          <w:pgNumType w:fmt="decimal"/>
          <w:cols w:space="720" w:num="1"/>
        </w:sectPr>
      </w:pPr>
    </w:p>
    <w:p w14:paraId="0247A956">
      <w:pPr>
        <w:pStyle w:val="7"/>
        <w:rPr>
          <w:rFonts w:hint="eastAsia" w:ascii="仿宋" w:hAnsi="仿宋" w:eastAsia="仿宋" w:cs="仿宋"/>
          <w:bCs/>
          <w:iCs/>
          <w:color w:val="auto"/>
          <w:szCs w:val="21"/>
          <w:highlight w:val="none"/>
        </w:rPr>
      </w:pPr>
      <w:r>
        <w:rPr>
          <w:rFonts w:hint="eastAsia" w:ascii="宋体" w:hAnsi="宋体" w:eastAsia="宋体" w:cs="宋体"/>
          <w:b/>
          <w:bCs/>
          <w:color w:val="auto"/>
          <w:spacing w:val="8"/>
          <w:sz w:val="32"/>
          <w:szCs w:val="32"/>
          <w:highlight w:val="none"/>
          <w:u w:val="none"/>
          <w:lang w:val="en-US" w:eastAsia="zh-CN"/>
        </w:rPr>
        <w:t>附件</w:t>
      </w:r>
      <w:r>
        <w:rPr>
          <w:rFonts w:hint="eastAsia" w:ascii="宋体" w:hAnsi="宋体" w:cs="宋体"/>
          <w:b/>
          <w:bCs/>
          <w:color w:val="auto"/>
          <w:spacing w:val="8"/>
          <w:sz w:val="32"/>
          <w:szCs w:val="32"/>
          <w:highlight w:val="none"/>
          <w:u w:val="none"/>
          <w:lang w:val="en-US" w:eastAsia="zh-CN"/>
        </w:rPr>
        <w:t>2</w:t>
      </w:r>
      <w:r>
        <w:rPr>
          <w:rFonts w:hint="eastAsia" w:ascii="宋体" w:hAnsi="宋体" w:eastAsia="宋体" w:cs="宋体"/>
          <w:b/>
          <w:bCs/>
          <w:color w:val="auto"/>
          <w:spacing w:val="8"/>
          <w:sz w:val="32"/>
          <w:szCs w:val="32"/>
          <w:highlight w:val="none"/>
          <w:u w:val="none"/>
          <w:lang w:val="en-US" w:eastAsia="zh-CN"/>
        </w:rPr>
        <w:t>：项目场地原始平面图</w:t>
      </w:r>
    </w:p>
    <w:p w14:paraId="4C9398ED">
      <w:pPr>
        <w:pStyle w:val="7"/>
        <w:rPr>
          <w:rFonts w:hint="default" w:ascii="宋体" w:hAnsi="宋体" w:eastAsia="宋体" w:cs="宋体"/>
          <w:color w:val="auto"/>
          <w:spacing w:val="8"/>
          <w:sz w:val="21"/>
          <w:szCs w:val="21"/>
          <w:highlight w:val="none"/>
          <w:u w:val="none"/>
          <w:lang w:val="en-US" w:eastAsia="zh-CN"/>
        </w:rPr>
      </w:pPr>
      <w:r>
        <w:rPr>
          <w:rFonts w:hint="default" w:ascii="宋体" w:hAnsi="宋体" w:eastAsia="宋体" w:cs="宋体"/>
          <w:color w:val="auto"/>
          <w:spacing w:val="8"/>
          <w:sz w:val="21"/>
          <w:szCs w:val="21"/>
          <w:highlight w:val="none"/>
          <w:u w:val="none"/>
          <w:lang w:val="en-US" w:eastAsia="zh-CN"/>
        </w:rPr>
        <w:drawing>
          <wp:inline distT="0" distB="0" distL="114300" distR="114300">
            <wp:extent cx="9232900" cy="3557270"/>
            <wp:effectExtent l="0" t="0" r="6350" b="5080"/>
            <wp:docPr id="7" name="图片 7" descr="9e14d558f801609b9202aea81628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e14d558f801609b9202aea81628e4a"/>
                    <pic:cNvPicPr>
                      <a:picLocks noChangeAspect="1"/>
                    </pic:cNvPicPr>
                  </pic:nvPicPr>
                  <pic:blipFill>
                    <a:blip r:embed="rId18"/>
                    <a:stretch>
                      <a:fillRect/>
                    </a:stretch>
                  </pic:blipFill>
                  <pic:spPr>
                    <a:xfrm>
                      <a:off x="0" y="0"/>
                      <a:ext cx="9232900" cy="3557270"/>
                    </a:xfrm>
                    <a:prstGeom prst="rect">
                      <a:avLst/>
                    </a:prstGeom>
                  </pic:spPr>
                </pic:pic>
              </a:graphicData>
            </a:graphic>
          </wp:inline>
        </w:drawing>
      </w:r>
    </w:p>
    <w:p w14:paraId="0A4B49D4">
      <w:pPr>
        <w:pStyle w:val="7"/>
        <w:rPr>
          <w:rFonts w:hint="default" w:ascii="宋体" w:hAnsi="宋体" w:eastAsia="宋体" w:cs="宋体"/>
          <w:color w:val="auto"/>
          <w:spacing w:val="8"/>
          <w:sz w:val="21"/>
          <w:szCs w:val="21"/>
          <w:highlight w:val="none"/>
          <w:u w:val="none"/>
          <w:lang w:val="en-US" w:eastAsia="zh-CN"/>
        </w:rPr>
      </w:pPr>
    </w:p>
    <w:p w14:paraId="06B3CF1F">
      <w:pPr>
        <w:pStyle w:val="7"/>
        <w:rPr>
          <w:rFonts w:hint="eastAsia" w:ascii="宋体" w:hAnsi="宋体" w:eastAsia="宋体" w:cs="宋体"/>
          <w:b/>
          <w:bCs/>
          <w:color w:val="auto"/>
          <w:spacing w:val="8"/>
          <w:sz w:val="32"/>
          <w:szCs w:val="32"/>
          <w:highlight w:val="none"/>
          <w:u w:val="none"/>
          <w:lang w:val="en-US" w:eastAsia="zh-CN"/>
        </w:rPr>
      </w:pPr>
    </w:p>
    <w:p w14:paraId="7223D7F1">
      <w:pPr>
        <w:pStyle w:val="7"/>
        <w:rPr>
          <w:rFonts w:hint="eastAsia" w:ascii="宋体" w:hAnsi="宋体" w:eastAsia="宋体" w:cs="宋体"/>
          <w:b/>
          <w:bCs/>
          <w:color w:val="auto"/>
          <w:spacing w:val="8"/>
          <w:sz w:val="32"/>
          <w:szCs w:val="32"/>
          <w:highlight w:val="none"/>
          <w:u w:val="none"/>
          <w:lang w:val="en-US" w:eastAsia="zh-CN"/>
        </w:rPr>
      </w:pPr>
    </w:p>
    <w:p w14:paraId="2FCD9B25">
      <w:pPr>
        <w:pStyle w:val="7"/>
        <w:rPr>
          <w:rFonts w:hint="eastAsia" w:ascii="宋体" w:hAnsi="宋体" w:eastAsia="宋体" w:cs="宋体"/>
          <w:b/>
          <w:bCs/>
          <w:color w:val="auto"/>
          <w:spacing w:val="8"/>
          <w:sz w:val="32"/>
          <w:szCs w:val="32"/>
          <w:highlight w:val="none"/>
          <w:u w:val="none"/>
          <w:lang w:val="en-US" w:eastAsia="zh-CN"/>
        </w:rPr>
      </w:pPr>
    </w:p>
    <w:p w14:paraId="53677453">
      <w:pPr>
        <w:pStyle w:val="7"/>
        <w:rPr>
          <w:rFonts w:hint="eastAsia" w:ascii="宋体" w:hAnsi="宋体" w:eastAsia="宋体" w:cs="宋体"/>
          <w:b/>
          <w:bCs/>
          <w:color w:val="auto"/>
          <w:spacing w:val="8"/>
          <w:sz w:val="32"/>
          <w:szCs w:val="32"/>
          <w:highlight w:val="none"/>
          <w:u w:val="none"/>
          <w:lang w:val="en-US" w:eastAsia="zh-CN"/>
        </w:rPr>
      </w:pPr>
    </w:p>
    <w:p w14:paraId="62964EEC">
      <w:pPr>
        <w:pStyle w:val="7"/>
        <w:rPr>
          <w:rFonts w:hint="default" w:ascii="仿宋" w:hAnsi="仿宋" w:eastAsia="仿宋" w:cs="仿宋"/>
          <w:bCs/>
          <w:iCs/>
          <w:color w:val="auto"/>
          <w:szCs w:val="21"/>
          <w:highlight w:val="none"/>
          <w:lang w:val="en-US"/>
        </w:rPr>
      </w:pPr>
      <w:r>
        <w:rPr>
          <w:rFonts w:hint="eastAsia" w:ascii="宋体" w:hAnsi="宋体" w:eastAsia="宋体" w:cs="宋体"/>
          <w:b/>
          <w:bCs/>
          <w:color w:val="auto"/>
          <w:spacing w:val="8"/>
          <w:sz w:val="32"/>
          <w:szCs w:val="32"/>
          <w:highlight w:val="none"/>
          <w:u w:val="none"/>
          <w:lang w:val="en-US" w:eastAsia="zh-CN"/>
        </w:rPr>
        <w:t>附件</w:t>
      </w:r>
      <w:r>
        <w:rPr>
          <w:rFonts w:hint="eastAsia" w:ascii="宋体" w:hAnsi="宋体" w:cs="宋体"/>
          <w:b/>
          <w:bCs/>
          <w:color w:val="auto"/>
          <w:spacing w:val="8"/>
          <w:sz w:val="32"/>
          <w:szCs w:val="32"/>
          <w:highlight w:val="none"/>
          <w:u w:val="none"/>
          <w:lang w:val="en-US" w:eastAsia="zh-CN"/>
        </w:rPr>
        <w:t>3</w:t>
      </w:r>
      <w:r>
        <w:rPr>
          <w:rFonts w:hint="eastAsia" w:ascii="宋体" w:hAnsi="宋体" w:eastAsia="宋体" w:cs="宋体"/>
          <w:b/>
          <w:bCs/>
          <w:color w:val="auto"/>
          <w:spacing w:val="8"/>
          <w:sz w:val="32"/>
          <w:szCs w:val="32"/>
          <w:highlight w:val="none"/>
          <w:u w:val="none"/>
          <w:lang w:val="en-US" w:eastAsia="zh-CN"/>
        </w:rPr>
        <w:t>：</w:t>
      </w:r>
      <w:r>
        <w:rPr>
          <w:rFonts w:hint="eastAsia" w:ascii="宋体" w:hAnsi="宋体" w:cs="宋体"/>
          <w:b/>
          <w:bCs/>
          <w:color w:val="auto"/>
          <w:spacing w:val="8"/>
          <w:sz w:val="32"/>
          <w:szCs w:val="32"/>
          <w:highlight w:val="none"/>
          <w:u w:val="none"/>
          <w:lang w:val="en-US" w:eastAsia="zh-CN"/>
        </w:rPr>
        <w:t>场地实拍图</w:t>
      </w:r>
    </w:p>
    <w:p w14:paraId="69C60CC2">
      <w:pPr>
        <w:pStyle w:val="7"/>
        <w:rPr>
          <w:rFonts w:hint="default" w:ascii="仿宋" w:hAnsi="仿宋" w:eastAsia="仿宋" w:cs="仿宋"/>
          <w:bCs/>
          <w:iCs/>
          <w:color w:val="auto"/>
          <w:szCs w:val="21"/>
          <w:highlight w:val="none"/>
          <w:lang w:val="en-US"/>
        </w:rPr>
      </w:pPr>
      <w:r>
        <w:rPr>
          <w:rFonts w:hint="default" w:ascii="宋体" w:hAnsi="宋体" w:eastAsia="宋体" w:cs="宋体"/>
          <w:color w:val="auto"/>
          <w:spacing w:val="8"/>
          <w:sz w:val="21"/>
          <w:szCs w:val="21"/>
          <w:highlight w:val="none"/>
          <w:u w:val="none"/>
          <w:lang w:val="en-US" w:eastAsia="zh-CN"/>
        </w:rPr>
        <w:drawing>
          <wp:inline distT="0" distB="0" distL="114300" distR="114300">
            <wp:extent cx="8846820" cy="4968240"/>
            <wp:effectExtent l="0" t="0" r="11430" b="3810"/>
            <wp:docPr id="9" name="图片 9" descr="d803dd8a19cf3198955d197b0743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803dd8a19cf3198955d197b07437006"/>
                    <pic:cNvPicPr>
                      <a:picLocks noChangeAspect="1"/>
                    </pic:cNvPicPr>
                  </pic:nvPicPr>
                  <pic:blipFill>
                    <a:blip r:embed="rId19"/>
                    <a:stretch>
                      <a:fillRect/>
                    </a:stretch>
                  </pic:blipFill>
                  <pic:spPr>
                    <a:xfrm>
                      <a:off x="0" y="0"/>
                      <a:ext cx="8846820" cy="4968240"/>
                    </a:xfrm>
                    <a:prstGeom prst="rect">
                      <a:avLst/>
                    </a:prstGeom>
                  </pic:spPr>
                </pic:pic>
              </a:graphicData>
            </a:graphic>
          </wp:inline>
        </w:drawing>
      </w:r>
      <w:r>
        <w:rPr>
          <w:rFonts w:hint="eastAsia" w:ascii="宋体" w:hAnsi="宋体" w:eastAsia="宋体" w:cs="宋体"/>
          <w:b/>
          <w:bCs/>
          <w:color w:val="auto"/>
          <w:spacing w:val="8"/>
          <w:sz w:val="32"/>
          <w:szCs w:val="32"/>
          <w:highlight w:val="none"/>
          <w:u w:val="none"/>
          <w:lang w:val="en-US" w:eastAsia="zh-CN"/>
        </w:rPr>
        <w:t>附件</w:t>
      </w:r>
      <w:r>
        <w:rPr>
          <w:rFonts w:hint="eastAsia" w:ascii="宋体" w:hAnsi="宋体" w:cs="宋体"/>
          <w:b/>
          <w:bCs/>
          <w:color w:val="auto"/>
          <w:spacing w:val="8"/>
          <w:sz w:val="32"/>
          <w:szCs w:val="32"/>
          <w:highlight w:val="none"/>
          <w:u w:val="none"/>
          <w:lang w:val="en-US" w:eastAsia="zh-CN"/>
        </w:rPr>
        <w:t>4</w:t>
      </w:r>
      <w:r>
        <w:rPr>
          <w:rFonts w:hint="eastAsia" w:ascii="宋体" w:hAnsi="宋体" w:eastAsia="宋体" w:cs="宋体"/>
          <w:b/>
          <w:bCs/>
          <w:color w:val="auto"/>
          <w:spacing w:val="8"/>
          <w:sz w:val="32"/>
          <w:szCs w:val="32"/>
          <w:highlight w:val="none"/>
          <w:u w:val="none"/>
          <w:lang w:val="en-US" w:eastAsia="zh-CN"/>
        </w:rPr>
        <w:t>：场地</w:t>
      </w:r>
      <w:r>
        <w:rPr>
          <w:rFonts w:hint="eastAsia" w:ascii="宋体" w:hAnsi="宋体" w:cs="宋体"/>
          <w:b/>
          <w:bCs/>
          <w:color w:val="auto"/>
          <w:spacing w:val="8"/>
          <w:sz w:val="32"/>
          <w:szCs w:val="32"/>
          <w:highlight w:val="none"/>
          <w:u w:val="none"/>
          <w:lang w:val="en-US" w:eastAsia="zh-CN"/>
        </w:rPr>
        <w:t>设计布置规划图</w:t>
      </w:r>
    </w:p>
    <w:p w14:paraId="7E2594BF">
      <w:pPr>
        <w:pStyle w:val="7"/>
        <w:rPr>
          <w:rFonts w:hint="eastAsia" w:ascii="仿宋" w:hAnsi="仿宋" w:eastAsia="仿宋" w:cs="仿宋"/>
          <w:bCs/>
          <w:iCs/>
          <w:color w:val="auto"/>
          <w:szCs w:val="21"/>
          <w:highlight w:val="none"/>
        </w:rPr>
      </w:pPr>
    </w:p>
    <w:p w14:paraId="4C0526DC">
      <w:pPr>
        <w:pStyle w:val="7"/>
        <w:jc w:val="center"/>
        <w:rPr>
          <w:rFonts w:hint="eastAsia" w:ascii="仿宋" w:hAnsi="仿宋" w:eastAsia="仿宋" w:cs="仿宋"/>
          <w:bCs/>
          <w:iCs/>
          <w:color w:val="auto"/>
          <w:szCs w:val="21"/>
          <w:highlight w:val="none"/>
          <w:lang w:eastAsia="zh-CN"/>
        </w:rPr>
      </w:pPr>
      <w:r>
        <w:rPr>
          <w:rFonts w:hint="eastAsia" w:ascii="仿宋" w:hAnsi="仿宋" w:eastAsia="仿宋" w:cs="仿宋"/>
          <w:bCs/>
          <w:iCs/>
          <w:color w:val="auto"/>
          <w:szCs w:val="21"/>
          <w:highlight w:val="none"/>
          <w:lang w:eastAsia="zh-CN"/>
        </w:rPr>
        <w:drawing>
          <wp:inline distT="0" distB="0" distL="114300" distR="114300">
            <wp:extent cx="9067800" cy="3468370"/>
            <wp:effectExtent l="0" t="0" r="0" b="8255"/>
            <wp:docPr id="8" name="图片 8" descr="设计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设计布局图"/>
                    <pic:cNvPicPr>
                      <a:picLocks noChangeAspect="1"/>
                    </pic:cNvPicPr>
                  </pic:nvPicPr>
                  <pic:blipFill>
                    <a:blip r:embed="rId20"/>
                    <a:stretch>
                      <a:fillRect/>
                    </a:stretch>
                  </pic:blipFill>
                  <pic:spPr>
                    <a:xfrm>
                      <a:off x="0" y="0"/>
                      <a:ext cx="9067800" cy="3468370"/>
                    </a:xfrm>
                    <a:prstGeom prst="rect">
                      <a:avLst/>
                    </a:prstGeom>
                  </pic:spPr>
                </pic:pic>
              </a:graphicData>
            </a:graphic>
          </wp:inline>
        </w:drawing>
      </w:r>
    </w:p>
    <w:p w14:paraId="60AA950A">
      <w:pPr>
        <w:pStyle w:val="7"/>
        <w:jc w:val="left"/>
        <w:rPr>
          <w:rFonts w:hint="eastAsia" w:ascii="仿宋" w:hAnsi="仿宋" w:eastAsia="仿宋" w:cs="仿宋"/>
          <w:bCs/>
          <w:iCs/>
          <w:color w:val="auto"/>
          <w:szCs w:val="21"/>
          <w:highlight w:val="none"/>
          <w:lang w:eastAsia="zh-CN"/>
        </w:rPr>
      </w:pPr>
    </w:p>
    <w:p w14:paraId="4A54CE07">
      <w:pPr>
        <w:pStyle w:val="7"/>
        <w:jc w:val="left"/>
        <w:rPr>
          <w:rFonts w:hint="eastAsia" w:ascii="仿宋" w:hAnsi="仿宋" w:eastAsia="仿宋" w:cs="仿宋"/>
          <w:bCs/>
          <w:iCs/>
          <w:color w:val="auto"/>
          <w:sz w:val="32"/>
          <w:szCs w:val="32"/>
          <w:highlight w:val="none"/>
          <w:lang w:eastAsia="zh-CN"/>
        </w:rPr>
      </w:pPr>
      <w:r>
        <w:rPr>
          <w:rFonts w:hint="eastAsia" w:ascii="仿宋" w:hAnsi="仿宋" w:eastAsia="仿宋" w:cs="仿宋"/>
          <w:bCs/>
          <w:iCs/>
          <w:color w:val="auto"/>
          <w:sz w:val="32"/>
          <w:szCs w:val="32"/>
          <w:highlight w:val="none"/>
          <w:lang w:eastAsia="zh-CN"/>
        </w:rPr>
        <w:t>序厅：36m</w:t>
      </w:r>
      <w:r>
        <w:rPr>
          <w:rFonts w:hint="eastAsia" w:ascii="仿宋" w:hAnsi="仿宋" w:eastAsia="仿宋" w:cs="仿宋"/>
          <w:bCs/>
          <w:iCs/>
          <w:color w:val="auto"/>
          <w:sz w:val="32"/>
          <w:szCs w:val="32"/>
          <w:highlight w:val="none"/>
          <w:vertAlign w:val="superscript"/>
          <w:lang w:eastAsia="zh-CN"/>
        </w:rPr>
        <w:t>2</w:t>
      </w:r>
      <w:r>
        <w:rPr>
          <w:rFonts w:hint="eastAsia" w:ascii="仿宋" w:hAnsi="仿宋" w:eastAsia="仿宋" w:cs="仿宋"/>
          <w:bCs/>
          <w:iCs/>
          <w:color w:val="auto"/>
          <w:sz w:val="32"/>
          <w:szCs w:val="32"/>
          <w:highlight w:val="none"/>
          <w:lang w:eastAsia="zh-CN"/>
        </w:rPr>
        <w:t>、第一部分：中国共产党党史部分114m</w:t>
      </w:r>
      <w:r>
        <w:rPr>
          <w:rFonts w:hint="eastAsia" w:ascii="仿宋" w:hAnsi="仿宋" w:eastAsia="仿宋" w:cs="仿宋"/>
          <w:bCs/>
          <w:iCs/>
          <w:color w:val="auto"/>
          <w:sz w:val="32"/>
          <w:szCs w:val="32"/>
          <w:highlight w:val="none"/>
          <w:vertAlign w:val="superscript"/>
          <w:lang w:eastAsia="zh-CN"/>
        </w:rPr>
        <w:t>2</w:t>
      </w:r>
      <w:r>
        <w:rPr>
          <w:rFonts w:hint="eastAsia" w:ascii="仿宋" w:hAnsi="仿宋" w:eastAsia="仿宋" w:cs="仿宋"/>
          <w:bCs/>
          <w:iCs/>
          <w:color w:val="auto"/>
          <w:sz w:val="32"/>
          <w:szCs w:val="32"/>
          <w:highlight w:val="none"/>
          <w:lang w:eastAsia="zh-CN"/>
        </w:rPr>
        <w:t>、第二部分：广西党史107m</w:t>
      </w:r>
      <w:r>
        <w:rPr>
          <w:rFonts w:hint="eastAsia" w:ascii="仿宋" w:hAnsi="仿宋" w:eastAsia="仿宋" w:cs="仿宋"/>
          <w:bCs/>
          <w:iCs/>
          <w:color w:val="auto"/>
          <w:sz w:val="32"/>
          <w:szCs w:val="32"/>
          <w:highlight w:val="none"/>
          <w:vertAlign w:val="superscript"/>
          <w:lang w:eastAsia="zh-CN"/>
        </w:rPr>
        <w:t>2</w:t>
      </w:r>
      <w:r>
        <w:rPr>
          <w:rFonts w:hint="eastAsia" w:ascii="仿宋" w:hAnsi="仿宋" w:eastAsia="仿宋" w:cs="仿宋"/>
          <w:bCs/>
          <w:iCs/>
          <w:color w:val="auto"/>
          <w:sz w:val="32"/>
          <w:szCs w:val="32"/>
          <w:highlight w:val="none"/>
          <w:lang w:eastAsia="zh-CN"/>
        </w:rPr>
        <w:t>、</w:t>
      </w:r>
    </w:p>
    <w:p w14:paraId="19F1281A">
      <w:pPr>
        <w:pStyle w:val="7"/>
        <w:jc w:val="left"/>
        <w:rPr>
          <w:rFonts w:hint="eastAsia" w:ascii="仿宋" w:hAnsi="仿宋" w:eastAsia="仿宋" w:cs="仿宋"/>
          <w:bCs/>
          <w:iCs/>
          <w:color w:val="auto"/>
          <w:sz w:val="32"/>
          <w:szCs w:val="32"/>
          <w:highlight w:val="none"/>
          <w:lang w:eastAsia="zh-CN"/>
        </w:rPr>
      </w:pPr>
      <w:r>
        <w:rPr>
          <w:rFonts w:hint="eastAsia" w:ascii="仿宋" w:hAnsi="仿宋" w:eastAsia="仿宋" w:cs="仿宋"/>
          <w:bCs/>
          <w:iCs/>
          <w:color w:val="auto"/>
          <w:sz w:val="32"/>
          <w:szCs w:val="32"/>
          <w:highlight w:val="none"/>
          <w:lang w:eastAsia="zh-CN"/>
        </w:rPr>
        <w:t>第三部分：防城港地方</w:t>
      </w:r>
      <w:r>
        <w:rPr>
          <w:rFonts w:hint="eastAsia" w:ascii="仿宋" w:hAnsi="仿宋" w:eastAsia="仿宋" w:cs="仿宋"/>
          <w:bCs/>
          <w:iCs/>
          <w:color w:val="auto"/>
          <w:sz w:val="32"/>
          <w:szCs w:val="32"/>
          <w:highlight w:val="none"/>
          <w:lang w:val="en-US" w:eastAsia="zh-CN"/>
        </w:rPr>
        <w:t>建设与发展</w:t>
      </w:r>
      <w:r>
        <w:rPr>
          <w:rFonts w:hint="eastAsia" w:ascii="仿宋" w:hAnsi="仿宋" w:eastAsia="仿宋" w:cs="仿宋"/>
          <w:bCs/>
          <w:iCs/>
          <w:color w:val="auto"/>
          <w:sz w:val="32"/>
          <w:szCs w:val="32"/>
          <w:highlight w:val="none"/>
          <w:lang w:eastAsia="zh-CN"/>
        </w:rPr>
        <w:t>54m</w:t>
      </w:r>
      <w:r>
        <w:rPr>
          <w:rFonts w:hint="eastAsia" w:ascii="仿宋" w:hAnsi="仿宋" w:eastAsia="仿宋" w:cs="仿宋"/>
          <w:bCs/>
          <w:iCs/>
          <w:color w:val="auto"/>
          <w:sz w:val="32"/>
          <w:szCs w:val="32"/>
          <w:highlight w:val="none"/>
          <w:vertAlign w:val="superscript"/>
          <w:lang w:eastAsia="zh-CN"/>
        </w:rPr>
        <w:t>2</w:t>
      </w:r>
      <w:r>
        <w:rPr>
          <w:rFonts w:hint="eastAsia" w:ascii="仿宋" w:hAnsi="仿宋" w:eastAsia="仿宋" w:cs="仿宋"/>
          <w:bCs/>
          <w:iCs/>
          <w:color w:val="auto"/>
          <w:sz w:val="32"/>
          <w:szCs w:val="32"/>
          <w:highlight w:val="none"/>
          <w:lang w:eastAsia="zh-CN"/>
        </w:rPr>
        <w:t>、尾厅：16m</w:t>
      </w:r>
      <w:r>
        <w:rPr>
          <w:rFonts w:hint="eastAsia" w:ascii="仿宋" w:hAnsi="仿宋" w:eastAsia="仿宋" w:cs="仿宋"/>
          <w:bCs/>
          <w:iCs/>
          <w:color w:val="auto"/>
          <w:sz w:val="32"/>
          <w:szCs w:val="32"/>
          <w:highlight w:val="none"/>
          <w:vertAlign w:val="superscript"/>
          <w:lang w:eastAsia="zh-CN"/>
        </w:rPr>
        <w:t>2</w:t>
      </w:r>
    </w:p>
    <w:p w14:paraId="7DF6B833">
      <w:pPr>
        <w:pStyle w:val="7"/>
        <w:jc w:val="left"/>
        <w:rPr>
          <w:rFonts w:hint="eastAsia" w:ascii="仿宋" w:hAnsi="仿宋" w:eastAsia="仿宋" w:cs="仿宋"/>
          <w:bCs/>
          <w:iCs/>
          <w:color w:val="auto"/>
          <w:szCs w:val="21"/>
          <w:highlight w:val="none"/>
          <w:lang w:eastAsia="zh-CN"/>
        </w:rPr>
        <w:sectPr>
          <w:pgSz w:w="16838" w:h="11906" w:orient="landscape"/>
          <w:pgMar w:top="1797" w:right="1440" w:bottom="1289" w:left="1440" w:header="851" w:footer="992" w:gutter="0"/>
          <w:pgNumType w:fmt="decimal"/>
          <w:cols w:space="720" w:num="1"/>
        </w:sectPr>
      </w:pPr>
    </w:p>
    <w:p w14:paraId="298020D4">
      <w:pPr>
        <w:spacing w:line="528" w:lineRule="exact"/>
        <w:jc w:val="center"/>
        <w:rPr>
          <w:rFonts w:hint="eastAsia"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中小微企业划型标准</w:t>
      </w:r>
    </w:p>
    <w:tbl>
      <w:tblPr>
        <w:tblStyle w:val="13"/>
        <w:tblW w:w="8996" w:type="dxa"/>
        <w:jc w:val="center"/>
        <w:tblLayout w:type="fixed"/>
        <w:tblCellMar>
          <w:top w:w="0" w:type="dxa"/>
          <w:left w:w="108" w:type="dxa"/>
          <w:bottom w:w="0" w:type="dxa"/>
          <w:right w:w="108" w:type="dxa"/>
        </w:tblCellMar>
      </w:tblPr>
      <w:tblGrid>
        <w:gridCol w:w="1918"/>
        <w:gridCol w:w="1559"/>
        <w:gridCol w:w="1029"/>
        <w:gridCol w:w="1825"/>
        <w:gridCol w:w="1622"/>
        <w:gridCol w:w="1043"/>
      </w:tblGrid>
      <w:tr w14:paraId="1B599250">
        <w:tblPrEx>
          <w:tblCellMar>
            <w:top w:w="0" w:type="dxa"/>
            <w:left w:w="108" w:type="dxa"/>
            <w:bottom w:w="0" w:type="dxa"/>
            <w:right w:w="108" w:type="dxa"/>
          </w:tblCellMar>
        </w:tblPrEx>
        <w:trPr>
          <w:trHeight w:val="881" w:hRule="atLeast"/>
          <w:jc w:val="center"/>
        </w:trPr>
        <w:tc>
          <w:tcPr>
            <w:tcW w:w="1918" w:type="dxa"/>
            <w:tcBorders>
              <w:top w:val="single" w:color="auto" w:sz="4" w:space="0"/>
              <w:left w:val="single" w:color="auto" w:sz="4" w:space="0"/>
              <w:bottom w:val="single" w:color="auto" w:sz="4" w:space="0"/>
              <w:right w:val="single" w:color="auto" w:sz="4" w:space="0"/>
            </w:tcBorders>
            <w:noWrap w:val="0"/>
            <w:vAlign w:val="center"/>
          </w:tcPr>
          <w:p w14:paraId="2FA7D9B2">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559" w:type="dxa"/>
            <w:tcBorders>
              <w:top w:val="single" w:color="auto" w:sz="4" w:space="0"/>
              <w:left w:val="nil"/>
              <w:bottom w:val="single" w:color="auto" w:sz="4" w:space="0"/>
              <w:right w:val="single" w:color="auto" w:sz="4" w:space="0"/>
            </w:tcBorders>
            <w:noWrap w:val="0"/>
            <w:vAlign w:val="center"/>
          </w:tcPr>
          <w:p w14:paraId="0D9B1BC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1029" w:type="dxa"/>
            <w:tcBorders>
              <w:top w:val="single" w:color="auto" w:sz="4" w:space="0"/>
              <w:left w:val="nil"/>
              <w:bottom w:val="single" w:color="auto" w:sz="4" w:space="0"/>
              <w:right w:val="single" w:color="auto" w:sz="4" w:space="0"/>
            </w:tcBorders>
            <w:noWrap w:val="0"/>
            <w:vAlign w:val="center"/>
          </w:tcPr>
          <w:p w14:paraId="678804B3">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25" w:type="dxa"/>
            <w:tcBorders>
              <w:top w:val="single" w:color="auto" w:sz="4" w:space="0"/>
              <w:left w:val="nil"/>
              <w:bottom w:val="single" w:color="auto" w:sz="4" w:space="0"/>
              <w:right w:val="single" w:color="auto" w:sz="4" w:space="0"/>
            </w:tcBorders>
            <w:noWrap w:val="0"/>
            <w:vAlign w:val="center"/>
          </w:tcPr>
          <w:p w14:paraId="34F04C64">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622" w:type="dxa"/>
            <w:tcBorders>
              <w:top w:val="single" w:color="auto" w:sz="4" w:space="0"/>
              <w:left w:val="nil"/>
              <w:bottom w:val="single" w:color="auto" w:sz="4" w:space="0"/>
              <w:right w:val="single" w:color="auto" w:sz="4" w:space="0"/>
            </w:tcBorders>
            <w:noWrap w:val="0"/>
            <w:vAlign w:val="center"/>
          </w:tcPr>
          <w:p w14:paraId="74EAD06B">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043" w:type="dxa"/>
            <w:tcBorders>
              <w:top w:val="single" w:color="auto" w:sz="4" w:space="0"/>
              <w:left w:val="nil"/>
              <w:bottom w:val="single" w:color="auto" w:sz="4" w:space="0"/>
              <w:right w:val="single" w:color="auto" w:sz="4" w:space="0"/>
            </w:tcBorders>
            <w:noWrap w:val="0"/>
            <w:vAlign w:val="center"/>
          </w:tcPr>
          <w:p w14:paraId="5307CBC5">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15F08424">
        <w:tblPrEx>
          <w:tblCellMar>
            <w:top w:w="0" w:type="dxa"/>
            <w:left w:w="108" w:type="dxa"/>
            <w:bottom w:w="0" w:type="dxa"/>
            <w:right w:w="108" w:type="dxa"/>
          </w:tblCellMar>
        </w:tblPrEx>
        <w:trPr>
          <w:trHeight w:val="339" w:hRule="atLeast"/>
          <w:jc w:val="center"/>
        </w:trPr>
        <w:tc>
          <w:tcPr>
            <w:tcW w:w="1918" w:type="dxa"/>
            <w:tcBorders>
              <w:top w:val="nil"/>
              <w:left w:val="single" w:color="auto" w:sz="4" w:space="0"/>
              <w:bottom w:val="single" w:color="auto" w:sz="4" w:space="0"/>
              <w:right w:val="single" w:color="auto" w:sz="4" w:space="0"/>
            </w:tcBorders>
            <w:noWrap w:val="0"/>
            <w:vAlign w:val="center"/>
          </w:tcPr>
          <w:p w14:paraId="708F9C9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559" w:type="dxa"/>
            <w:tcBorders>
              <w:top w:val="nil"/>
              <w:left w:val="nil"/>
              <w:bottom w:val="single" w:color="auto" w:sz="4" w:space="0"/>
              <w:right w:val="single" w:color="auto" w:sz="4" w:space="0"/>
            </w:tcBorders>
            <w:noWrap w:val="0"/>
            <w:vAlign w:val="center"/>
          </w:tcPr>
          <w:p w14:paraId="4942C09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62BD2D4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53FDFC1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22" w:type="dxa"/>
            <w:tcBorders>
              <w:top w:val="nil"/>
              <w:left w:val="nil"/>
              <w:bottom w:val="single" w:color="auto" w:sz="4" w:space="0"/>
              <w:right w:val="single" w:color="auto" w:sz="4" w:space="0"/>
            </w:tcBorders>
            <w:noWrap w:val="0"/>
            <w:vAlign w:val="center"/>
          </w:tcPr>
          <w:p w14:paraId="74AAE15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043" w:type="dxa"/>
            <w:tcBorders>
              <w:top w:val="nil"/>
              <w:left w:val="nil"/>
              <w:bottom w:val="single" w:color="auto" w:sz="4" w:space="0"/>
              <w:right w:val="single" w:color="auto" w:sz="4" w:space="0"/>
            </w:tcBorders>
            <w:noWrap w:val="0"/>
            <w:vAlign w:val="center"/>
          </w:tcPr>
          <w:p w14:paraId="3EF730B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6493BC7F">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470CAC9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559" w:type="dxa"/>
            <w:tcBorders>
              <w:top w:val="nil"/>
              <w:left w:val="nil"/>
              <w:bottom w:val="single" w:color="auto" w:sz="4" w:space="0"/>
              <w:right w:val="single" w:color="auto" w:sz="4" w:space="0"/>
            </w:tcBorders>
            <w:noWrap w:val="0"/>
            <w:vAlign w:val="center"/>
          </w:tcPr>
          <w:p w14:paraId="093A3A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65333B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379B70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22" w:type="dxa"/>
            <w:tcBorders>
              <w:top w:val="nil"/>
              <w:left w:val="nil"/>
              <w:bottom w:val="single" w:color="auto" w:sz="4" w:space="0"/>
              <w:right w:val="single" w:color="auto" w:sz="4" w:space="0"/>
            </w:tcBorders>
            <w:noWrap w:val="0"/>
            <w:vAlign w:val="center"/>
          </w:tcPr>
          <w:p w14:paraId="4CDB06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43" w:type="dxa"/>
            <w:tcBorders>
              <w:top w:val="nil"/>
              <w:left w:val="nil"/>
              <w:bottom w:val="single" w:color="auto" w:sz="4" w:space="0"/>
              <w:right w:val="single" w:color="auto" w:sz="4" w:space="0"/>
            </w:tcBorders>
            <w:noWrap w:val="0"/>
            <w:vAlign w:val="center"/>
          </w:tcPr>
          <w:p w14:paraId="6DD01B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2EA4F3D">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483170A0">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19F104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41E51B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6078ED9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622" w:type="dxa"/>
            <w:tcBorders>
              <w:top w:val="nil"/>
              <w:left w:val="nil"/>
              <w:bottom w:val="single" w:color="auto" w:sz="4" w:space="0"/>
              <w:right w:val="single" w:color="auto" w:sz="4" w:space="0"/>
            </w:tcBorders>
            <w:noWrap w:val="0"/>
            <w:vAlign w:val="center"/>
          </w:tcPr>
          <w:p w14:paraId="58471CE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043" w:type="dxa"/>
            <w:tcBorders>
              <w:top w:val="nil"/>
              <w:left w:val="nil"/>
              <w:bottom w:val="single" w:color="auto" w:sz="4" w:space="0"/>
              <w:right w:val="single" w:color="auto" w:sz="4" w:space="0"/>
            </w:tcBorders>
            <w:noWrap w:val="0"/>
            <w:vAlign w:val="center"/>
          </w:tcPr>
          <w:p w14:paraId="08BF9F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31A57CBA">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7E3E639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559" w:type="dxa"/>
            <w:tcBorders>
              <w:top w:val="nil"/>
              <w:left w:val="nil"/>
              <w:bottom w:val="single" w:color="auto" w:sz="4" w:space="0"/>
              <w:right w:val="single" w:color="auto" w:sz="4" w:space="0"/>
            </w:tcBorders>
            <w:noWrap w:val="0"/>
            <w:vAlign w:val="center"/>
          </w:tcPr>
          <w:p w14:paraId="3455C3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4DA46F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465BBE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622" w:type="dxa"/>
            <w:tcBorders>
              <w:top w:val="nil"/>
              <w:left w:val="nil"/>
              <w:bottom w:val="single" w:color="auto" w:sz="4" w:space="0"/>
              <w:right w:val="single" w:color="auto" w:sz="4" w:space="0"/>
            </w:tcBorders>
            <w:noWrap w:val="0"/>
            <w:vAlign w:val="center"/>
          </w:tcPr>
          <w:p w14:paraId="1E50283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043" w:type="dxa"/>
            <w:tcBorders>
              <w:top w:val="nil"/>
              <w:left w:val="nil"/>
              <w:bottom w:val="single" w:color="auto" w:sz="4" w:space="0"/>
              <w:right w:val="single" w:color="auto" w:sz="4" w:space="0"/>
            </w:tcBorders>
            <w:noWrap w:val="0"/>
            <w:vAlign w:val="center"/>
          </w:tcPr>
          <w:p w14:paraId="59A185D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434F5437">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3A533830">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5510DEC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29" w:type="dxa"/>
            <w:tcBorders>
              <w:top w:val="nil"/>
              <w:left w:val="nil"/>
              <w:bottom w:val="single" w:color="auto" w:sz="4" w:space="0"/>
              <w:right w:val="single" w:color="auto" w:sz="4" w:space="0"/>
            </w:tcBorders>
            <w:noWrap w:val="0"/>
            <w:vAlign w:val="center"/>
          </w:tcPr>
          <w:p w14:paraId="1471E7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7BC784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622" w:type="dxa"/>
            <w:tcBorders>
              <w:top w:val="nil"/>
              <w:left w:val="nil"/>
              <w:bottom w:val="single" w:color="auto" w:sz="4" w:space="0"/>
              <w:right w:val="single" w:color="auto" w:sz="4" w:space="0"/>
            </w:tcBorders>
            <w:noWrap w:val="0"/>
            <w:vAlign w:val="center"/>
          </w:tcPr>
          <w:p w14:paraId="5A3C9F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043" w:type="dxa"/>
            <w:tcBorders>
              <w:top w:val="nil"/>
              <w:left w:val="nil"/>
              <w:bottom w:val="single" w:color="auto" w:sz="4" w:space="0"/>
              <w:right w:val="single" w:color="auto" w:sz="4" w:space="0"/>
            </w:tcBorders>
            <w:noWrap w:val="0"/>
            <w:vAlign w:val="center"/>
          </w:tcPr>
          <w:p w14:paraId="4A8C496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23219B78">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6243F60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559" w:type="dxa"/>
            <w:tcBorders>
              <w:top w:val="nil"/>
              <w:left w:val="nil"/>
              <w:bottom w:val="single" w:color="auto" w:sz="4" w:space="0"/>
              <w:right w:val="single" w:color="auto" w:sz="4" w:space="0"/>
            </w:tcBorders>
            <w:noWrap w:val="0"/>
            <w:vAlign w:val="center"/>
          </w:tcPr>
          <w:p w14:paraId="3F41668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1E46BEB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4BF346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622" w:type="dxa"/>
            <w:tcBorders>
              <w:top w:val="nil"/>
              <w:left w:val="nil"/>
              <w:bottom w:val="single" w:color="auto" w:sz="4" w:space="0"/>
              <w:right w:val="single" w:color="auto" w:sz="4" w:space="0"/>
            </w:tcBorders>
            <w:noWrap w:val="0"/>
            <w:vAlign w:val="center"/>
          </w:tcPr>
          <w:p w14:paraId="223E48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043" w:type="dxa"/>
            <w:tcBorders>
              <w:top w:val="nil"/>
              <w:left w:val="nil"/>
              <w:bottom w:val="single" w:color="auto" w:sz="4" w:space="0"/>
              <w:right w:val="single" w:color="auto" w:sz="4" w:space="0"/>
            </w:tcBorders>
            <w:noWrap w:val="0"/>
            <w:vAlign w:val="center"/>
          </w:tcPr>
          <w:p w14:paraId="1B3E891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46DE6730">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526314B1">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0EB927C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5AA57C8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7EC94D5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622" w:type="dxa"/>
            <w:tcBorders>
              <w:top w:val="nil"/>
              <w:left w:val="nil"/>
              <w:bottom w:val="single" w:color="auto" w:sz="4" w:space="0"/>
              <w:right w:val="single" w:color="auto" w:sz="4" w:space="0"/>
            </w:tcBorders>
            <w:noWrap w:val="0"/>
            <w:vAlign w:val="center"/>
          </w:tcPr>
          <w:p w14:paraId="1813DDB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043" w:type="dxa"/>
            <w:tcBorders>
              <w:top w:val="nil"/>
              <w:left w:val="nil"/>
              <w:bottom w:val="single" w:color="auto" w:sz="4" w:space="0"/>
              <w:right w:val="single" w:color="auto" w:sz="4" w:space="0"/>
            </w:tcBorders>
            <w:noWrap w:val="0"/>
            <w:vAlign w:val="center"/>
          </w:tcPr>
          <w:p w14:paraId="316E89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081C5BA2">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7BD0D8A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559" w:type="dxa"/>
            <w:tcBorders>
              <w:top w:val="nil"/>
              <w:left w:val="nil"/>
              <w:bottom w:val="single" w:color="auto" w:sz="4" w:space="0"/>
              <w:right w:val="single" w:color="auto" w:sz="4" w:space="0"/>
            </w:tcBorders>
            <w:noWrap w:val="0"/>
            <w:vAlign w:val="center"/>
          </w:tcPr>
          <w:p w14:paraId="3329419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076952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6EC3064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622" w:type="dxa"/>
            <w:tcBorders>
              <w:top w:val="nil"/>
              <w:left w:val="nil"/>
              <w:bottom w:val="single" w:color="auto" w:sz="4" w:space="0"/>
              <w:right w:val="single" w:color="auto" w:sz="4" w:space="0"/>
            </w:tcBorders>
            <w:noWrap w:val="0"/>
            <w:vAlign w:val="center"/>
          </w:tcPr>
          <w:p w14:paraId="4EED7E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043" w:type="dxa"/>
            <w:tcBorders>
              <w:top w:val="nil"/>
              <w:left w:val="nil"/>
              <w:bottom w:val="single" w:color="auto" w:sz="4" w:space="0"/>
              <w:right w:val="single" w:color="auto" w:sz="4" w:space="0"/>
            </w:tcBorders>
            <w:noWrap w:val="0"/>
            <w:vAlign w:val="center"/>
          </w:tcPr>
          <w:p w14:paraId="25B1804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D9BB34C">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53CDF871">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1715876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04B0631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470A36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22" w:type="dxa"/>
            <w:tcBorders>
              <w:top w:val="nil"/>
              <w:left w:val="nil"/>
              <w:bottom w:val="single" w:color="auto" w:sz="4" w:space="0"/>
              <w:right w:val="single" w:color="auto" w:sz="4" w:space="0"/>
            </w:tcBorders>
            <w:noWrap w:val="0"/>
            <w:vAlign w:val="center"/>
          </w:tcPr>
          <w:p w14:paraId="6BE98C6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043" w:type="dxa"/>
            <w:tcBorders>
              <w:top w:val="nil"/>
              <w:left w:val="nil"/>
              <w:bottom w:val="single" w:color="auto" w:sz="4" w:space="0"/>
              <w:right w:val="single" w:color="auto" w:sz="4" w:space="0"/>
            </w:tcBorders>
            <w:noWrap w:val="0"/>
            <w:vAlign w:val="center"/>
          </w:tcPr>
          <w:p w14:paraId="041DBEF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6CDC3E4">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3CFCB44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559" w:type="dxa"/>
            <w:tcBorders>
              <w:top w:val="nil"/>
              <w:left w:val="nil"/>
              <w:bottom w:val="single" w:color="auto" w:sz="4" w:space="0"/>
              <w:right w:val="single" w:color="auto" w:sz="4" w:space="0"/>
            </w:tcBorders>
            <w:noWrap w:val="0"/>
            <w:vAlign w:val="center"/>
          </w:tcPr>
          <w:p w14:paraId="712468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3E0897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178E58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22" w:type="dxa"/>
            <w:tcBorders>
              <w:top w:val="nil"/>
              <w:left w:val="nil"/>
              <w:bottom w:val="single" w:color="auto" w:sz="4" w:space="0"/>
              <w:right w:val="single" w:color="auto" w:sz="4" w:space="0"/>
            </w:tcBorders>
            <w:noWrap w:val="0"/>
            <w:vAlign w:val="center"/>
          </w:tcPr>
          <w:p w14:paraId="03B039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43" w:type="dxa"/>
            <w:tcBorders>
              <w:top w:val="nil"/>
              <w:left w:val="nil"/>
              <w:bottom w:val="single" w:color="auto" w:sz="4" w:space="0"/>
              <w:right w:val="single" w:color="auto" w:sz="4" w:space="0"/>
            </w:tcBorders>
            <w:noWrap w:val="0"/>
            <w:vAlign w:val="center"/>
          </w:tcPr>
          <w:p w14:paraId="7AAD0FD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181109A">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398816FB">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2CE5854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458B4D8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1101A0E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622" w:type="dxa"/>
            <w:tcBorders>
              <w:top w:val="nil"/>
              <w:left w:val="nil"/>
              <w:bottom w:val="single" w:color="auto" w:sz="4" w:space="0"/>
              <w:right w:val="single" w:color="auto" w:sz="4" w:space="0"/>
            </w:tcBorders>
            <w:noWrap w:val="0"/>
            <w:vAlign w:val="center"/>
          </w:tcPr>
          <w:p w14:paraId="0D5EF9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043" w:type="dxa"/>
            <w:tcBorders>
              <w:top w:val="nil"/>
              <w:left w:val="nil"/>
              <w:bottom w:val="single" w:color="auto" w:sz="4" w:space="0"/>
              <w:right w:val="single" w:color="auto" w:sz="4" w:space="0"/>
            </w:tcBorders>
            <w:noWrap w:val="0"/>
            <w:vAlign w:val="center"/>
          </w:tcPr>
          <w:p w14:paraId="69FB4D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2A5EBC12">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1CC8BAA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559" w:type="dxa"/>
            <w:tcBorders>
              <w:top w:val="nil"/>
              <w:left w:val="nil"/>
              <w:bottom w:val="single" w:color="auto" w:sz="4" w:space="0"/>
              <w:right w:val="single" w:color="auto" w:sz="4" w:space="0"/>
            </w:tcBorders>
            <w:noWrap w:val="0"/>
            <w:vAlign w:val="center"/>
          </w:tcPr>
          <w:p w14:paraId="6FCF3D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636427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2E7ECB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622" w:type="dxa"/>
            <w:tcBorders>
              <w:top w:val="nil"/>
              <w:left w:val="nil"/>
              <w:bottom w:val="single" w:color="auto" w:sz="4" w:space="0"/>
              <w:right w:val="single" w:color="auto" w:sz="4" w:space="0"/>
            </w:tcBorders>
            <w:noWrap w:val="0"/>
            <w:vAlign w:val="center"/>
          </w:tcPr>
          <w:p w14:paraId="7D3642E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043" w:type="dxa"/>
            <w:tcBorders>
              <w:top w:val="nil"/>
              <w:left w:val="nil"/>
              <w:bottom w:val="single" w:color="auto" w:sz="4" w:space="0"/>
              <w:right w:val="single" w:color="auto" w:sz="4" w:space="0"/>
            </w:tcBorders>
            <w:noWrap w:val="0"/>
            <w:vAlign w:val="center"/>
          </w:tcPr>
          <w:p w14:paraId="6577C7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B0EE2AC">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0AF9A9BE">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40BFF4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090EF82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46009EB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622" w:type="dxa"/>
            <w:tcBorders>
              <w:top w:val="nil"/>
              <w:left w:val="nil"/>
              <w:bottom w:val="single" w:color="auto" w:sz="4" w:space="0"/>
              <w:right w:val="single" w:color="auto" w:sz="4" w:space="0"/>
            </w:tcBorders>
            <w:noWrap w:val="0"/>
            <w:vAlign w:val="center"/>
          </w:tcPr>
          <w:p w14:paraId="6E1316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43" w:type="dxa"/>
            <w:tcBorders>
              <w:top w:val="nil"/>
              <w:left w:val="nil"/>
              <w:bottom w:val="single" w:color="auto" w:sz="4" w:space="0"/>
              <w:right w:val="single" w:color="auto" w:sz="4" w:space="0"/>
            </w:tcBorders>
            <w:noWrap w:val="0"/>
            <w:vAlign w:val="center"/>
          </w:tcPr>
          <w:p w14:paraId="0ED5FAF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13D3FE4">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3C8CCE3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559" w:type="dxa"/>
            <w:tcBorders>
              <w:top w:val="nil"/>
              <w:left w:val="nil"/>
              <w:bottom w:val="single" w:color="auto" w:sz="4" w:space="0"/>
              <w:right w:val="single" w:color="auto" w:sz="4" w:space="0"/>
            </w:tcBorders>
            <w:noWrap w:val="0"/>
            <w:vAlign w:val="center"/>
          </w:tcPr>
          <w:p w14:paraId="15B309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49DA72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51DA86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22" w:type="dxa"/>
            <w:tcBorders>
              <w:top w:val="nil"/>
              <w:left w:val="nil"/>
              <w:bottom w:val="single" w:color="auto" w:sz="4" w:space="0"/>
              <w:right w:val="single" w:color="auto" w:sz="4" w:space="0"/>
            </w:tcBorders>
            <w:noWrap w:val="0"/>
            <w:vAlign w:val="center"/>
          </w:tcPr>
          <w:p w14:paraId="14B3CB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43" w:type="dxa"/>
            <w:tcBorders>
              <w:top w:val="nil"/>
              <w:left w:val="nil"/>
              <w:bottom w:val="single" w:color="auto" w:sz="4" w:space="0"/>
              <w:right w:val="single" w:color="auto" w:sz="4" w:space="0"/>
            </w:tcBorders>
            <w:noWrap w:val="0"/>
            <w:vAlign w:val="center"/>
          </w:tcPr>
          <w:p w14:paraId="44E7EF2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6F6243E">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57455F6F">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2F5853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05EF8E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740334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622" w:type="dxa"/>
            <w:tcBorders>
              <w:top w:val="nil"/>
              <w:left w:val="nil"/>
              <w:bottom w:val="single" w:color="auto" w:sz="4" w:space="0"/>
              <w:right w:val="single" w:color="auto" w:sz="4" w:space="0"/>
            </w:tcBorders>
            <w:noWrap w:val="0"/>
            <w:vAlign w:val="center"/>
          </w:tcPr>
          <w:p w14:paraId="023E08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43" w:type="dxa"/>
            <w:tcBorders>
              <w:top w:val="nil"/>
              <w:left w:val="nil"/>
              <w:bottom w:val="single" w:color="auto" w:sz="4" w:space="0"/>
              <w:right w:val="single" w:color="auto" w:sz="4" w:space="0"/>
            </w:tcBorders>
            <w:noWrap w:val="0"/>
            <w:vAlign w:val="center"/>
          </w:tcPr>
          <w:p w14:paraId="3FD708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D856291">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5B7D747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559" w:type="dxa"/>
            <w:tcBorders>
              <w:top w:val="nil"/>
              <w:left w:val="nil"/>
              <w:bottom w:val="single" w:color="auto" w:sz="4" w:space="0"/>
              <w:right w:val="single" w:color="auto" w:sz="4" w:space="0"/>
            </w:tcBorders>
            <w:noWrap w:val="0"/>
            <w:vAlign w:val="center"/>
          </w:tcPr>
          <w:p w14:paraId="5EA5B2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62E6C48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57990C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22" w:type="dxa"/>
            <w:tcBorders>
              <w:top w:val="nil"/>
              <w:left w:val="nil"/>
              <w:bottom w:val="single" w:color="auto" w:sz="4" w:space="0"/>
              <w:right w:val="single" w:color="auto" w:sz="4" w:space="0"/>
            </w:tcBorders>
            <w:noWrap w:val="0"/>
            <w:vAlign w:val="center"/>
          </w:tcPr>
          <w:p w14:paraId="6524E9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43" w:type="dxa"/>
            <w:tcBorders>
              <w:top w:val="nil"/>
              <w:left w:val="nil"/>
              <w:bottom w:val="single" w:color="auto" w:sz="4" w:space="0"/>
              <w:right w:val="single" w:color="auto" w:sz="4" w:space="0"/>
            </w:tcBorders>
            <w:noWrap w:val="0"/>
            <w:vAlign w:val="center"/>
          </w:tcPr>
          <w:p w14:paraId="2B8B74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5E711FE">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6BC41C32">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214232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0EF775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4D9624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22" w:type="dxa"/>
            <w:tcBorders>
              <w:top w:val="nil"/>
              <w:left w:val="nil"/>
              <w:bottom w:val="single" w:color="auto" w:sz="4" w:space="0"/>
              <w:right w:val="single" w:color="auto" w:sz="4" w:space="0"/>
            </w:tcBorders>
            <w:noWrap w:val="0"/>
            <w:vAlign w:val="center"/>
          </w:tcPr>
          <w:p w14:paraId="648D79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43" w:type="dxa"/>
            <w:tcBorders>
              <w:top w:val="nil"/>
              <w:left w:val="nil"/>
              <w:bottom w:val="single" w:color="auto" w:sz="4" w:space="0"/>
              <w:right w:val="single" w:color="auto" w:sz="4" w:space="0"/>
            </w:tcBorders>
            <w:noWrap w:val="0"/>
            <w:vAlign w:val="center"/>
          </w:tcPr>
          <w:p w14:paraId="7369E5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196BC26">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355E97D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559" w:type="dxa"/>
            <w:tcBorders>
              <w:top w:val="nil"/>
              <w:left w:val="nil"/>
              <w:bottom w:val="single" w:color="auto" w:sz="4" w:space="0"/>
              <w:right w:val="single" w:color="auto" w:sz="4" w:space="0"/>
            </w:tcBorders>
            <w:noWrap w:val="0"/>
            <w:vAlign w:val="center"/>
          </w:tcPr>
          <w:p w14:paraId="5964B2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2CC5DAF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0C097E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22" w:type="dxa"/>
            <w:tcBorders>
              <w:top w:val="nil"/>
              <w:left w:val="nil"/>
              <w:bottom w:val="single" w:color="auto" w:sz="4" w:space="0"/>
              <w:right w:val="single" w:color="auto" w:sz="4" w:space="0"/>
            </w:tcBorders>
            <w:noWrap w:val="0"/>
            <w:vAlign w:val="center"/>
          </w:tcPr>
          <w:p w14:paraId="13F40B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43" w:type="dxa"/>
            <w:tcBorders>
              <w:top w:val="nil"/>
              <w:left w:val="nil"/>
              <w:bottom w:val="single" w:color="auto" w:sz="4" w:space="0"/>
              <w:right w:val="single" w:color="auto" w:sz="4" w:space="0"/>
            </w:tcBorders>
            <w:noWrap w:val="0"/>
            <w:vAlign w:val="center"/>
          </w:tcPr>
          <w:p w14:paraId="30AA43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850ABAE">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2DBFE4FE">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476CBE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1B2930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52525D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22" w:type="dxa"/>
            <w:tcBorders>
              <w:top w:val="nil"/>
              <w:left w:val="nil"/>
              <w:bottom w:val="single" w:color="auto" w:sz="4" w:space="0"/>
              <w:right w:val="single" w:color="auto" w:sz="4" w:space="0"/>
            </w:tcBorders>
            <w:noWrap w:val="0"/>
            <w:vAlign w:val="center"/>
          </w:tcPr>
          <w:p w14:paraId="39E828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43" w:type="dxa"/>
            <w:tcBorders>
              <w:top w:val="nil"/>
              <w:left w:val="nil"/>
              <w:bottom w:val="single" w:color="auto" w:sz="4" w:space="0"/>
              <w:right w:val="single" w:color="auto" w:sz="4" w:space="0"/>
            </w:tcBorders>
            <w:noWrap w:val="0"/>
            <w:vAlign w:val="center"/>
          </w:tcPr>
          <w:p w14:paraId="480DD2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89286F7">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0E2358E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559" w:type="dxa"/>
            <w:tcBorders>
              <w:top w:val="nil"/>
              <w:left w:val="nil"/>
              <w:bottom w:val="single" w:color="auto" w:sz="4" w:space="0"/>
              <w:right w:val="single" w:color="auto" w:sz="4" w:space="0"/>
            </w:tcBorders>
            <w:noWrap w:val="0"/>
            <w:vAlign w:val="center"/>
          </w:tcPr>
          <w:p w14:paraId="287D1EE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2E6EBE4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56A6EA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622" w:type="dxa"/>
            <w:tcBorders>
              <w:top w:val="nil"/>
              <w:left w:val="nil"/>
              <w:bottom w:val="single" w:color="auto" w:sz="4" w:space="0"/>
              <w:right w:val="single" w:color="auto" w:sz="4" w:space="0"/>
            </w:tcBorders>
            <w:noWrap w:val="0"/>
            <w:vAlign w:val="center"/>
          </w:tcPr>
          <w:p w14:paraId="5A283D4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43" w:type="dxa"/>
            <w:tcBorders>
              <w:top w:val="nil"/>
              <w:left w:val="nil"/>
              <w:bottom w:val="single" w:color="auto" w:sz="4" w:space="0"/>
              <w:right w:val="single" w:color="auto" w:sz="4" w:space="0"/>
            </w:tcBorders>
            <w:noWrap w:val="0"/>
            <w:vAlign w:val="center"/>
          </w:tcPr>
          <w:p w14:paraId="5E74D4D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14E99DB">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7837BF1F">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12B0B6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5F99955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2306FD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622" w:type="dxa"/>
            <w:tcBorders>
              <w:top w:val="nil"/>
              <w:left w:val="nil"/>
              <w:bottom w:val="single" w:color="auto" w:sz="4" w:space="0"/>
              <w:right w:val="single" w:color="auto" w:sz="4" w:space="0"/>
            </w:tcBorders>
            <w:noWrap w:val="0"/>
            <w:vAlign w:val="center"/>
          </w:tcPr>
          <w:p w14:paraId="5BE35B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43" w:type="dxa"/>
            <w:tcBorders>
              <w:top w:val="nil"/>
              <w:left w:val="nil"/>
              <w:bottom w:val="single" w:color="auto" w:sz="4" w:space="0"/>
              <w:right w:val="single" w:color="auto" w:sz="4" w:space="0"/>
            </w:tcBorders>
            <w:noWrap w:val="0"/>
            <w:vAlign w:val="center"/>
          </w:tcPr>
          <w:p w14:paraId="6DE17D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A9A9F12">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19D4B8F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559" w:type="dxa"/>
            <w:tcBorders>
              <w:top w:val="nil"/>
              <w:left w:val="nil"/>
              <w:bottom w:val="single" w:color="auto" w:sz="4" w:space="0"/>
              <w:right w:val="single" w:color="auto" w:sz="4" w:space="0"/>
            </w:tcBorders>
            <w:noWrap w:val="0"/>
            <w:vAlign w:val="center"/>
          </w:tcPr>
          <w:p w14:paraId="02D66B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409E71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4BCC811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22" w:type="dxa"/>
            <w:tcBorders>
              <w:top w:val="nil"/>
              <w:left w:val="nil"/>
              <w:bottom w:val="single" w:color="auto" w:sz="4" w:space="0"/>
              <w:right w:val="single" w:color="auto" w:sz="4" w:space="0"/>
            </w:tcBorders>
            <w:noWrap w:val="0"/>
            <w:vAlign w:val="center"/>
          </w:tcPr>
          <w:p w14:paraId="0CDA55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43" w:type="dxa"/>
            <w:tcBorders>
              <w:top w:val="nil"/>
              <w:left w:val="nil"/>
              <w:bottom w:val="single" w:color="auto" w:sz="4" w:space="0"/>
              <w:right w:val="single" w:color="auto" w:sz="4" w:space="0"/>
            </w:tcBorders>
            <w:noWrap w:val="0"/>
            <w:vAlign w:val="center"/>
          </w:tcPr>
          <w:p w14:paraId="743772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179BEDB">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7736AB20">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3EFD70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08765C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689E8D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622" w:type="dxa"/>
            <w:tcBorders>
              <w:top w:val="nil"/>
              <w:left w:val="nil"/>
              <w:bottom w:val="single" w:color="auto" w:sz="4" w:space="0"/>
              <w:right w:val="single" w:color="auto" w:sz="4" w:space="0"/>
            </w:tcBorders>
            <w:noWrap w:val="0"/>
            <w:vAlign w:val="center"/>
          </w:tcPr>
          <w:p w14:paraId="08A2C8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043" w:type="dxa"/>
            <w:tcBorders>
              <w:top w:val="nil"/>
              <w:left w:val="nil"/>
              <w:bottom w:val="single" w:color="auto" w:sz="4" w:space="0"/>
              <w:right w:val="single" w:color="auto" w:sz="4" w:space="0"/>
            </w:tcBorders>
            <w:noWrap w:val="0"/>
            <w:vAlign w:val="center"/>
          </w:tcPr>
          <w:p w14:paraId="48B161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673B65E5">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590202A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559" w:type="dxa"/>
            <w:tcBorders>
              <w:top w:val="nil"/>
              <w:left w:val="nil"/>
              <w:bottom w:val="single" w:color="auto" w:sz="4" w:space="0"/>
              <w:right w:val="single" w:color="auto" w:sz="4" w:space="0"/>
            </w:tcBorders>
            <w:noWrap w:val="0"/>
            <w:vAlign w:val="center"/>
          </w:tcPr>
          <w:p w14:paraId="1A93B24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35C679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3F335F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622" w:type="dxa"/>
            <w:tcBorders>
              <w:top w:val="nil"/>
              <w:left w:val="nil"/>
              <w:bottom w:val="single" w:color="auto" w:sz="4" w:space="0"/>
              <w:right w:val="single" w:color="auto" w:sz="4" w:space="0"/>
            </w:tcBorders>
            <w:noWrap w:val="0"/>
            <w:vAlign w:val="center"/>
          </w:tcPr>
          <w:p w14:paraId="64603C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043" w:type="dxa"/>
            <w:tcBorders>
              <w:top w:val="nil"/>
              <w:left w:val="nil"/>
              <w:bottom w:val="single" w:color="auto" w:sz="4" w:space="0"/>
              <w:right w:val="single" w:color="auto" w:sz="4" w:space="0"/>
            </w:tcBorders>
            <w:noWrap w:val="0"/>
            <w:vAlign w:val="center"/>
          </w:tcPr>
          <w:p w14:paraId="1944A4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0A63FE82">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495F77EC">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60F75A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29" w:type="dxa"/>
            <w:tcBorders>
              <w:top w:val="nil"/>
              <w:left w:val="nil"/>
              <w:bottom w:val="single" w:color="auto" w:sz="4" w:space="0"/>
              <w:right w:val="single" w:color="auto" w:sz="4" w:space="0"/>
            </w:tcBorders>
            <w:noWrap w:val="0"/>
            <w:vAlign w:val="center"/>
          </w:tcPr>
          <w:p w14:paraId="4EF9AB3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7CBF926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622" w:type="dxa"/>
            <w:tcBorders>
              <w:top w:val="nil"/>
              <w:left w:val="nil"/>
              <w:bottom w:val="single" w:color="auto" w:sz="4" w:space="0"/>
              <w:right w:val="single" w:color="auto" w:sz="4" w:space="0"/>
            </w:tcBorders>
            <w:noWrap w:val="0"/>
            <w:vAlign w:val="center"/>
          </w:tcPr>
          <w:p w14:paraId="259CB03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043" w:type="dxa"/>
            <w:tcBorders>
              <w:top w:val="nil"/>
              <w:left w:val="nil"/>
              <w:bottom w:val="single" w:color="auto" w:sz="4" w:space="0"/>
              <w:right w:val="single" w:color="auto" w:sz="4" w:space="0"/>
            </w:tcBorders>
            <w:noWrap w:val="0"/>
            <w:vAlign w:val="center"/>
          </w:tcPr>
          <w:p w14:paraId="4AD1C1D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595B4DD7">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3431187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559" w:type="dxa"/>
            <w:tcBorders>
              <w:top w:val="nil"/>
              <w:left w:val="nil"/>
              <w:bottom w:val="single" w:color="auto" w:sz="4" w:space="0"/>
              <w:right w:val="single" w:color="auto" w:sz="4" w:space="0"/>
            </w:tcBorders>
            <w:noWrap w:val="0"/>
            <w:vAlign w:val="center"/>
          </w:tcPr>
          <w:p w14:paraId="7B0623F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5A28EC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6543993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22" w:type="dxa"/>
            <w:tcBorders>
              <w:top w:val="nil"/>
              <w:left w:val="nil"/>
              <w:bottom w:val="single" w:color="auto" w:sz="4" w:space="0"/>
              <w:right w:val="single" w:color="auto" w:sz="4" w:space="0"/>
            </w:tcBorders>
            <w:noWrap w:val="0"/>
            <w:vAlign w:val="center"/>
          </w:tcPr>
          <w:p w14:paraId="23CB38D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043" w:type="dxa"/>
            <w:tcBorders>
              <w:top w:val="nil"/>
              <w:left w:val="nil"/>
              <w:bottom w:val="single" w:color="auto" w:sz="4" w:space="0"/>
              <w:right w:val="single" w:color="auto" w:sz="4" w:space="0"/>
            </w:tcBorders>
            <w:noWrap w:val="0"/>
            <w:vAlign w:val="center"/>
          </w:tcPr>
          <w:p w14:paraId="1FB27C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553F1621">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109B10E5">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0A35EC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29" w:type="dxa"/>
            <w:tcBorders>
              <w:top w:val="nil"/>
              <w:left w:val="nil"/>
              <w:bottom w:val="single" w:color="auto" w:sz="4" w:space="0"/>
              <w:right w:val="single" w:color="auto" w:sz="4" w:space="0"/>
            </w:tcBorders>
            <w:noWrap w:val="0"/>
            <w:vAlign w:val="center"/>
          </w:tcPr>
          <w:p w14:paraId="738FE1C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7D9D3CA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622" w:type="dxa"/>
            <w:tcBorders>
              <w:top w:val="nil"/>
              <w:left w:val="nil"/>
              <w:bottom w:val="single" w:color="auto" w:sz="4" w:space="0"/>
              <w:right w:val="single" w:color="auto" w:sz="4" w:space="0"/>
            </w:tcBorders>
            <w:noWrap w:val="0"/>
            <w:vAlign w:val="center"/>
          </w:tcPr>
          <w:p w14:paraId="1C1B32D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043" w:type="dxa"/>
            <w:tcBorders>
              <w:top w:val="nil"/>
              <w:left w:val="nil"/>
              <w:bottom w:val="single" w:color="auto" w:sz="4" w:space="0"/>
              <w:right w:val="single" w:color="auto" w:sz="4" w:space="0"/>
            </w:tcBorders>
            <w:noWrap w:val="0"/>
            <w:vAlign w:val="center"/>
          </w:tcPr>
          <w:p w14:paraId="6001E5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2D8F9BB8">
        <w:tblPrEx>
          <w:tblCellMar>
            <w:top w:w="0" w:type="dxa"/>
            <w:left w:w="108" w:type="dxa"/>
            <w:bottom w:w="0" w:type="dxa"/>
            <w:right w:w="108" w:type="dxa"/>
          </w:tblCellMar>
        </w:tblPrEx>
        <w:trPr>
          <w:trHeight w:val="339" w:hRule="atLeast"/>
          <w:jc w:val="center"/>
        </w:trPr>
        <w:tc>
          <w:tcPr>
            <w:tcW w:w="1918" w:type="dxa"/>
            <w:vMerge w:val="restart"/>
            <w:tcBorders>
              <w:top w:val="nil"/>
              <w:left w:val="single" w:color="auto" w:sz="4" w:space="0"/>
              <w:bottom w:val="single" w:color="auto" w:sz="4" w:space="0"/>
              <w:right w:val="single" w:color="auto" w:sz="4" w:space="0"/>
            </w:tcBorders>
            <w:noWrap w:val="0"/>
            <w:vAlign w:val="center"/>
          </w:tcPr>
          <w:p w14:paraId="7524F9E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559" w:type="dxa"/>
            <w:tcBorders>
              <w:top w:val="nil"/>
              <w:left w:val="nil"/>
              <w:bottom w:val="single" w:color="auto" w:sz="4" w:space="0"/>
              <w:right w:val="single" w:color="auto" w:sz="4" w:space="0"/>
            </w:tcBorders>
            <w:noWrap w:val="0"/>
            <w:vAlign w:val="center"/>
          </w:tcPr>
          <w:p w14:paraId="007D6B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13FD236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329422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22" w:type="dxa"/>
            <w:tcBorders>
              <w:top w:val="nil"/>
              <w:left w:val="nil"/>
              <w:bottom w:val="single" w:color="auto" w:sz="4" w:space="0"/>
              <w:right w:val="single" w:color="auto" w:sz="4" w:space="0"/>
            </w:tcBorders>
            <w:noWrap w:val="0"/>
            <w:vAlign w:val="center"/>
          </w:tcPr>
          <w:p w14:paraId="0B352F0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43" w:type="dxa"/>
            <w:tcBorders>
              <w:top w:val="nil"/>
              <w:left w:val="nil"/>
              <w:bottom w:val="single" w:color="auto" w:sz="4" w:space="0"/>
              <w:right w:val="single" w:color="auto" w:sz="4" w:space="0"/>
            </w:tcBorders>
            <w:noWrap w:val="0"/>
            <w:vAlign w:val="center"/>
          </w:tcPr>
          <w:p w14:paraId="5992110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3822BA2">
        <w:tblPrEx>
          <w:tblCellMar>
            <w:top w:w="0" w:type="dxa"/>
            <w:left w:w="108" w:type="dxa"/>
            <w:bottom w:w="0" w:type="dxa"/>
            <w:right w:w="108" w:type="dxa"/>
          </w:tblCellMar>
        </w:tblPrEx>
        <w:trPr>
          <w:trHeight w:val="339" w:hRule="atLeast"/>
          <w:jc w:val="center"/>
        </w:trPr>
        <w:tc>
          <w:tcPr>
            <w:tcW w:w="1918" w:type="dxa"/>
            <w:vMerge w:val="continue"/>
            <w:tcBorders>
              <w:top w:val="nil"/>
              <w:left w:val="single" w:color="auto" w:sz="4" w:space="0"/>
              <w:bottom w:val="single" w:color="auto" w:sz="4" w:space="0"/>
              <w:right w:val="single" w:color="auto" w:sz="4" w:space="0"/>
            </w:tcBorders>
            <w:noWrap w:val="0"/>
            <w:vAlign w:val="center"/>
          </w:tcPr>
          <w:p w14:paraId="53E6C840">
            <w:pPr>
              <w:widowControl/>
              <w:jc w:val="left"/>
              <w:rPr>
                <w:rFonts w:hint="eastAsia" w:ascii="仿宋" w:hAnsi="仿宋" w:eastAsia="仿宋" w:cs="仿宋"/>
                <w:b/>
                <w:bCs/>
                <w:color w:val="auto"/>
                <w:kern w:val="0"/>
                <w:sz w:val="18"/>
                <w:szCs w:val="18"/>
                <w:highlight w:val="none"/>
              </w:rPr>
            </w:pPr>
          </w:p>
        </w:tc>
        <w:tc>
          <w:tcPr>
            <w:tcW w:w="1559" w:type="dxa"/>
            <w:tcBorders>
              <w:top w:val="nil"/>
              <w:left w:val="nil"/>
              <w:bottom w:val="single" w:color="auto" w:sz="4" w:space="0"/>
              <w:right w:val="single" w:color="auto" w:sz="4" w:space="0"/>
            </w:tcBorders>
            <w:noWrap w:val="0"/>
            <w:vAlign w:val="center"/>
          </w:tcPr>
          <w:p w14:paraId="0C58D2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29" w:type="dxa"/>
            <w:tcBorders>
              <w:top w:val="nil"/>
              <w:left w:val="nil"/>
              <w:bottom w:val="single" w:color="auto" w:sz="4" w:space="0"/>
              <w:right w:val="single" w:color="auto" w:sz="4" w:space="0"/>
            </w:tcBorders>
            <w:noWrap w:val="0"/>
            <w:vAlign w:val="center"/>
          </w:tcPr>
          <w:p w14:paraId="104BC8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25" w:type="dxa"/>
            <w:tcBorders>
              <w:top w:val="nil"/>
              <w:left w:val="nil"/>
              <w:bottom w:val="single" w:color="auto" w:sz="4" w:space="0"/>
              <w:right w:val="single" w:color="auto" w:sz="4" w:space="0"/>
            </w:tcBorders>
            <w:noWrap w:val="0"/>
            <w:vAlign w:val="center"/>
          </w:tcPr>
          <w:p w14:paraId="6E654A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622" w:type="dxa"/>
            <w:tcBorders>
              <w:top w:val="nil"/>
              <w:left w:val="nil"/>
              <w:bottom w:val="single" w:color="auto" w:sz="4" w:space="0"/>
              <w:right w:val="single" w:color="auto" w:sz="4" w:space="0"/>
            </w:tcBorders>
            <w:noWrap w:val="0"/>
            <w:vAlign w:val="center"/>
          </w:tcPr>
          <w:p w14:paraId="3C4F3B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043" w:type="dxa"/>
            <w:tcBorders>
              <w:top w:val="nil"/>
              <w:left w:val="nil"/>
              <w:bottom w:val="single" w:color="auto" w:sz="4" w:space="0"/>
              <w:right w:val="single" w:color="auto" w:sz="4" w:space="0"/>
            </w:tcBorders>
            <w:noWrap w:val="0"/>
            <w:vAlign w:val="center"/>
          </w:tcPr>
          <w:p w14:paraId="13D3C1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05FB8EF">
        <w:tblPrEx>
          <w:tblCellMar>
            <w:top w:w="0" w:type="dxa"/>
            <w:left w:w="108" w:type="dxa"/>
            <w:bottom w:w="0" w:type="dxa"/>
            <w:right w:w="108" w:type="dxa"/>
          </w:tblCellMar>
        </w:tblPrEx>
        <w:trPr>
          <w:trHeight w:val="353" w:hRule="atLeast"/>
          <w:jc w:val="center"/>
        </w:trPr>
        <w:tc>
          <w:tcPr>
            <w:tcW w:w="1918" w:type="dxa"/>
            <w:tcBorders>
              <w:top w:val="nil"/>
              <w:left w:val="single" w:color="auto" w:sz="4" w:space="0"/>
              <w:bottom w:val="single" w:color="auto" w:sz="4" w:space="0"/>
              <w:right w:val="single" w:color="auto" w:sz="4" w:space="0"/>
            </w:tcBorders>
            <w:noWrap w:val="0"/>
            <w:vAlign w:val="center"/>
          </w:tcPr>
          <w:p w14:paraId="75AC549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559" w:type="dxa"/>
            <w:tcBorders>
              <w:top w:val="nil"/>
              <w:left w:val="nil"/>
              <w:bottom w:val="single" w:color="auto" w:sz="4" w:space="0"/>
              <w:right w:val="single" w:color="auto" w:sz="4" w:space="0"/>
            </w:tcBorders>
            <w:noWrap w:val="0"/>
            <w:vAlign w:val="center"/>
          </w:tcPr>
          <w:p w14:paraId="79827E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29" w:type="dxa"/>
            <w:tcBorders>
              <w:top w:val="nil"/>
              <w:left w:val="nil"/>
              <w:bottom w:val="single" w:color="auto" w:sz="4" w:space="0"/>
              <w:right w:val="single" w:color="auto" w:sz="4" w:space="0"/>
            </w:tcBorders>
            <w:noWrap w:val="0"/>
            <w:vAlign w:val="center"/>
          </w:tcPr>
          <w:p w14:paraId="3409D0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25" w:type="dxa"/>
            <w:tcBorders>
              <w:top w:val="nil"/>
              <w:left w:val="nil"/>
              <w:bottom w:val="single" w:color="auto" w:sz="4" w:space="0"/>
              <w:right w:val="single" w:color="auto" w:sz="4" w:space="0"/>
            </w:tcBorders>
            <w:noWrap w:val="0"/>
            <w:vAlign w:val="center"/>
          </w:tcPr>
          <w:p w14:paraId="5691AC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22" w:type="dxa"/>
            <w:tcBorders>
              <w:top w:val="nil"/>
              <w:left w:val="nil"/>
              <w:bottom w:val="single" w:color="auto" w:sz="4" w:space="0"/>
              <w:right w:val="single" w:color="auto" w:sz="4" w:space="0"/>
            </w:tcBorders>
            <w:noWrap w:val="0"/>
            <w:vAlign w:val="center"/>
          </w:tcPr>
          <w:p w14:paraId="3463D43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43" w:type="dxa"/>
            <w:tcBorders>
              <w:top w:val="nil"/>
              <w:left w:val="nil"/>
              <w:bottom w:val="single" w:color="auto" w:sz="4" w:space="0"/>
              <w:right w:val="single" w:color="auto" w:sz="4" w:space="0"/>
            </w:tcBorders>
            <w:noWrap w:val="0"/>
            <w:vAlign w:val="center"/>
          </w:tcPr>
          <w:p w14:paraId="04AD2C4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25CC7443">
      <w:pPr>
        <w:pStyle w:val="10"/>
        <w:rPr>
          <w:rFonts w:hint="eastAsia" w:ascii="仿宋" w:hAnsi="仿宋" w:eastAsia="仿宋" w:cs="仿宋"/>
          <w:color w:val="auto"/>
          <w:highlight w:val="none"/>
        </w:r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453B29F">
      <w:pPr>
        <w:spacing w:line="360" w:lineRule="auto"/>
        <w:jc w:val="left"/>
        <w:rPr>
          <w:rFonts w:hint="eastAsia" w:ascii="仿宋" w:hAnsi="仿宋" w:eastAsia="仿宋" w:cs="仿宋"/>
          <w:bCs/>
          <w:iCs/>
          <w:color w:val="auto"/>
          <w:szCs w:val="21"/>
          <w:highlight w:val="none"/>
        </w:rPr>
      </w:pPr>
    </w:p>
    <w:p w14:paraId="7FA13102">
      <w:pPr>
        <w:pStyle w:val="18"/>
        <w:jc w:val="center"/>
        <w:rPr>
          <w:rFonts w:hint="eastAsia" w:ascii="仿宋" w:hAnsi="仿宋" w:eastAsia="仿宋" w:cs="仿宋"/>
          <w:color w:val="auto"/>
          <w:highlight w:val="none"/>
        </w:rPr>
      </w:pPr>
      <w:bookmarkStart w:id="72" w:name="_Toc74323459"/>
      <w:r>
        <w:rPr>
          <w:rFonts w:hint="eastAsia" w:ascii="仿宋" w:hAnsi="仿宋" w:eastAsia="仿宋" w:cs="仿宋"/>
          <w:color w:val="auto"/>
          <w:highlight w:val="none"/>
        </w:rPr>
        <w:t>第四章  评审程序、评审方法和评审标准</w:t>
      </w:r>
      <w:bookmarkEnd w:id="72"/>
    </w:p>
    <w:p w14:paraId="4491C326">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一、评审程序和评审方法</w:t>
      </w:r>
    </w:p>
    <w:p w14:paraId="34753888">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1.资格审查</w:t>
      </w:r>
    </w:p>
    <w:p w14:paraId="4350A55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1.1响应文件开启后，磋商小组依法对供应商的资格证明文件进行审查。</w:t>
      </w:r>
    </w:p>
    <w:p w14:paraId="34BBF03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w:t>
      </w:r>
      <w:r>
        <w:rPr>
          <w:rFonts w:hint="eastAsia" w:ascii="仿宋" w:hAnsi="仿宋" w:eastAsia="仿宋" w:cs="仿宋"/>
          <w:color w:val="auto"/>
          <w:highlight w:val="none"/>
        </w:rPr>
        <w:t>磋商小组</w:t>
      </w:r>
      <w:r>
        <w:rPr>
          <w:rFonts w:hint="eastAsia" w:ascii="仿宋" w:hAnsi="仿宋" w:eastAsia="仿宋" w:cs="仿宋"/>
          <w:color w:val="auto"/>
          <w:szCs w:val="21"/>
          <w:highlight w:val="none"/>
        </w:rPr>
        <w:t>在资格审查结束前，对供应商进行信用查询。</w:t>
      </w:r>
    </w:p>
    <w:p w14:paraId="4A7F6F9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（1）查询渠道：广西政府采购云平台“信用中国”网站(www.creditchina.gov.cn)、中国政府采购网(www.ccgp.gov.cn)链接入口。</w:t>
      </w:r>
    </w:p>
    <w:p w14:paraId="77B3A13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（2）信用查询截止时点：资格审查结束前。</w:t>
      </w:r>
    </w:p>
    <w:p w14:paraId="1A983F0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（3）查询记录和证据留存方式：在查询网站中直接查询，截图另存为电子文档作为评审资料保存。</w:t>
      </w:r>
    </w:p>
    <w:p w14:paraId="58EA93A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1111E11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1.2资格审查标准为本磋商文件中载明对供应商资格要求的条件。资格审查采用合格制，凡符合磋商文件规定的供应商资格要求的响应文件均通过资格审查。</w:t>
      </w:r>
    </w:p>
    <w:p w14:paraId="30813270">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1.3供应商有下列情形之一的，资格审查不通过，其响应文件按无效响应处理：</w:t>
      </w:r>
    </w:p>
    <w:p w14:paraId="77FFBE9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（1）不具备磋商文件中规定的资格要求的；</w:t>
      </w:r>
    </w:p>
    <w:p w14:paraId="17DBD95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（2）未按磋商文件规定的方式获取本磋商文件的供应商；</w:t>
      </w:r>
    </w:p>
    <w:p w14:paraId="203931A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（3）响应文件的资格证明文件缺少任一项“供应商须知前附表”资格证明文件规定的“必须提供”的文件资料的；</w:t>
      </w:r>
    </w:p>
    <w:p w14:paraId="23A4C27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（4）响应文件中的资格证明文件出现任一项不符合“供应商须知前附表”资格证明文件规定的“必须提供”的文件资料要求或者无效的；</w:t>
      </w:r>
    </w:p>
    <w:p w14:paraId="033646C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39A6CCB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1.4通过资格审查的合格供应商不足3家的，不得进入符合性审查环节，采购人或者采购代理机构应当重新开展采购活动。</w:t>
      </w:r>
    </w:p>
    <w:p w14:paraId="20D8DD89">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2.符合性审查</w:t>
      </w:r>
    </w:p>
    <w:p w14:paraId="1821412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2.1由磋商小组对通过资格审查的合格供应商的响应文件的竞标报价、商务、技术等实质性要求进行符合性审查，以确定其是否满足磋商文件的实质性要求。</w:t>
      </w:r>
    </w:p>
    <w:p w14:paraId="144FD40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1E20EB">
      <w:pPr>
        <w:spacing w:line="360" w:lineRule="auto"/>
        <w:ind w:firstLine="420" w:firstLineChars="200"/>
        <w:rPr>
          <w:rFonts w:hint="eastAsia" w:ascii="仿宋" w:hAnsi="仿宋" w:eastAsia="仿宋" w:cs="仿宋"/>
          <w:color w:val="auto"/>
          <w:spacing w:val="-6"/>
          <w:szCs w:val="21"/>
          <w:highlight w:val="none"/>
        </w:rPr>
      </w:pPr>
      <w:r>
        <w:rPr>
          <w:rFonts w:hint="eastAsia" w:ascii="仿宋" w:hAnsi="仿宋" w:eastAsia="仿宋" w:cs="仿宋"/>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仿宋" w:hAnsi="仿宋" w:eastAsia="仿宋" w:cs="仿宋"/>
          <w:color w:val="auto"/>
          <w:highlight w:val="none"/>
        </w:rPr>
        <w:t>签章</w:t>
      </w:r>
      <w:r>
        <w:rPr>
          <w:rFonts w:hint="eastAsia" w:ascii="仿宋" w:hAnsi="仿宋" w:eastAsia="仿宋" w:cs="仿宋"/>
          <w:color w:val="auto"/>
          <w:spacing w:val="-6"/>
          <w:szCs w:val="21"/>
          <w:highlight w:val="none"/>
        </w:rPr>
        <w:t>。</w:t>
      </w:r>
    </w:p>
    <w:p w14:paraId="5DE0A095">
      <w:pPr>
        <w:spacing w:line="360" w:lineRule="auto"/>
        <w:ind w:firstLine="420" w:firstLineChars="200"/>
        <w:rPr>
          <w:rFonts w:hint="eastAsia" w:ascii="仿宋" w:hAnsi="仿宋" w:eastAsia="仿宋" w:cs="仿宋"/>
          <w:color w:val="auto"/>
          <w:spacing w:val="-6"/>
          <w:szCs w:val="21"/>
          <w:highlight w:val="none"/>
        </w:rPr>
      </w:pPr>
      <w:r>
        <w:rPr>
          <w:rFonts w:hint="eastAsia" w:ascii="仿宋" w:hAnsi="仿宋" w:eastAsia="仿宋" w:cs="仿宋"/>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11A388B">
      <w:pPr>
        <w:spacing w:line="360" w:lineRule="auto"/>
        <w:ind w:firstLine="396" w:firstLineChars="200"/>
        <w:rPr>
          <w:rFonts w:hint="eastAsia" w:ascii="仿宋" w:hAnsi="仿宋" w:eastAsia="仿宋" w:cs="仿宋"/>
          <w:color w:val="auto"/>
          <w:szCs w:val="21"/>
          <w:highlight w:val="none"/>
        </w:rPr>
      </w:pPr>
      <w:r>
        <w:rPr>
          <w:rFonts w:hint="eastAsia" w:ascii="仿宋" w:hAnsi="仿宋" w:eastAsia="仿宋" w:cs="仿宋"/>
          <w:color w:val="auto"/>
          <w:spacing w:val="-6"/>
          <w:szCs w:val="21"/>
          <w:highlight w:val="none"/>
        </w:rPr>
        <w:t>2.4</w:t>
      </w:r>
      <w:r>
        <w:rPr>
          <w:rFonts w:hint="eastAsia" w:ascii="仿宋" w:hAnsi="仿宋" w:eastAsia="仿宋" w:cs="仿宋"/>
          <w:color w:val="auto"/>
          <w:szCs w:val="21"/>
          <w:highlight w:val="none"/>
        </w:rPr>
        <w:t xml:space="preserve">首次响应文件报价出现前后不一致的，按照下列规定修正： </w:t>
      </w:r>
    </w:p>
    <w:p w14:paraId="316E54A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（1）响应文件中报价表内容与响应文件中相应内容不一致的，以报价表为准；</w:t>
      </w:r>
    </w:p>
    <w:p w14:paraId="5B98DF7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（2）大写金额和小写金额不一致的，以大写金额为准；</w:t>
      </w:r>
    </w:p>
    <w:p w14:paraId="0A96CBD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（3）单价金额小数点或者百分比有明显错位的，以报价表的总价为准，并修改单价；</w:t>
      </w:r>
    </w:p>
    <w:p w14:paraId="6635CBD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（4）总价金额与按单价汇总金额不一致的，以单价金额计算结果为准。</w:t>
      </w:r>
    </w:p>
    <w:p w14:paraId="44BDEBD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同时出现两种以上不一致的，按照以上（1）-（4）规定的顺序逐条进行修正。修正后的报价经供应商确认后产生约束力，供应商不确认的，其响应文件按无效响应处理。</w:t>
      </w:r>
    </w:p>
    <w:p w14:paraId="1F7721A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2.5商务技术报价评审</w:t>
      </w:r>
    </w:p>
    <w:p w14:paraId="48A9B991">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在评审时，如发现下列情形之一的，将被视为响应文件无效处理：</w:t>
      </w:r>
    </w:p>
    <w:p w14:paraId="7AD06FD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（1）商务技术评审</w:t>
      </w:r>
    </w:p>
    <w:p w14:paraId="6003E90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1）响应文件未按磋商文件要求签署、盖章；</w:t>
      </w:r>
    </w:p>
    <w:p w14:paraId="37E603E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2）委托代理人未能出具有效身份证或者出具的身份证与授权委托书中的信息不符的； </w:t>
      </w:r>
    </w:p>
    <w:p w14:paraId="0060BCE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EF7F39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4）商务要求允许负偏离的条款数超过“供应商须知前附表”规定项数的；</w:t>
      </w:r>
    </w:p>
    <w:p w14:paraId="50D8532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5）未对竞标有效期作出响应或者响应文件承诺的竞标有效期不满足磋商文件要求；</w:t>
      </w:r>
    </w:p>
    <w:p w14:paraId="741A1DE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6）响应文件的实质性内容未使用中文表述、使用计量单位不符合磋商文件要求；</w:t>
      </w:r>
    </w:p>
    <w:p w14:paraId="5919448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7）响应文件中的文件资料因填写不齐全或者内容虚假或者出现其他情形而导致被磋商小组认定无效；</w:t>
      </w:r>
    </w:p>
    <w:p w14:paraId="46065A8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8）响应文件含有采购人不能接受的附加条件；</w:t>
      </w:r>
    </w:p>
    <w:p w14:paraId="63F1C22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9）属于“供应商须知正文”第7.5条情形；</w:t>
      </w:r>
    </w:p>
    <w:p w14:paraId="5F8F81D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10）技术要求允许负偏离的条款数超过“供应商须知前附表”规定项数；</w:t>
      </w:r>
    </w:p>
    <w:p w14:paraId="38B8AB4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11）虚假竞标，或者出现其他情形而导致被磋商小组认定无效；</w:t>
      </w:r>
    </w:p>
    <w:p w14:paraId="0376401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12）磋商文件未载明允许提供备选（替代）竞标方案或明确不允许提供备选（替代）竞标方案时，供应商提供了备选（替代）竞标方案的；</w:t>
      </w:r>
    </w:p>
    <w:p w14:paraId="6D66326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13）响应文件标注的项目名称或者项目编号与磋商文件标注的项目名称或者项目编号不一致的；</w:t>
      </w:r>
    </w:p>
    <w:p w14:paraId="24EA3EE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14）</w:t>
      </w:r>
      <w:r>
        <w:rPr>
          <w:rFonts w:hint="eastAsia" w:ascii="仿宋" w:hAnsi="仿宋" w:eastAsia="仿宋" w:cs="仿宋"/>
          <w:b/>
          <w:color w:val="auto"/>
          <w:szCs w:val="21"/>
          <w:highlight w:val="none"/>
        </w:rPr>
        <w:t>竞争性磋商文件明确不允许分包，响应文件拟分包的；</w:t>
      </w:r>
    </w:p>
    <w:p w14:paraId="4DF16E6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15）未响应磋商文件实质性要求；</w:t>
      </w:r>
    </w:p>
    <w:p w14:paraId="3479ABC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16）法律、法规和磋商文件规定的其他无效情形。</w:t>
      </w:r>
    </w:p>
    <w:p w14:paraId="35DBF4D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（2）报价评审</w:t>
      </w:r>
    </w:p>
    <w:p w14:paraId="06A830D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 响应文件未提供“供应商须知前附表” 报价文件中规定的“竞标报价表”；</w:t>
      </w:r>
    </w:p>
    <w:p w14:paraId="2B1CC20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2）未采用人民币报价或者未按照磋商文件标明的币种报价；</w:t>
      </w:r>
    </w:p>
    <w:p w14:paraId="7CD6AF6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供应商未就所竞标项目进行报价或者存在漏项报价；供应商未就所竞标项目内容作唯一报价；供应商未就所竞标项目的全部内容作完整唯一总价报价；供应商响应文件中存在有选择、有条件报价的（磋商文件允许有备选方案或者其他约定的除外）；</w:t>
      </w:r>
    </w:p>
    <w:p w14:paraId="477CE7D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4）竞标报价（包含首次报价、最后报价）超过所竞标项目规定的</w:t>
      </w:r>
      <w:r>
        <w:rPr>
          <w:rFonts w:hint="eastAsia" w:ascii="仿宋" w:hAnsi="仿宋" w:eastAsia="仿宋" w:cs="仿宋"/>
          <w:bCs/>
          <w:color w:val="auto"/>
          <w:szCs w:val="21"/>
          <w:highlight w:val="none"/>
        </w:rPr>
        <w:t>采购预算或最高限价的</w:t>
      </w:r>
      <w:r>
        <w:rPr>
          <w:rFonts w:hint="eastAsia" w:ascii="仿宋" w:hAnsi="仿宋" w:eastAsia="仿宋" w:cs="仿宋"/>
          <w:color w:val="auto"/>
          <w:szCs w:val="21"/>
          <w:highlight w:val="none"/>
        </w:rPr>
        <w:t>；</w:t>
      </w:r>
    </w:p>
    <w:p w14:paraId="10443AD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5）修正后的报价，供应商不确认的；或者经供应商确认修正后的竞标报价（包含首次报价、最后报价）超过所竞标项目规定的</w:t>
      </w:r>
      <w:r>
        <w:rPr>
          <w:rFonts w:hint="eastAsia" w:ascii="仿宋" w:hAnsi="仿宋" w:eastAsia="仿宋" w:cs="仿宋"/>
          <w:bCs/>
          <w:color w:val="auto"/>
          <w:szCs w:val="21"/>
          <w:highlight w:val="none"/>
        </w:rPr>
        <w:t>采购预算或最高限价的</w:t>
      </w:r>
      <w:r>
        <w:rPr>
          <w:rFonts w:hint="eastAsia" w:ascii="仿宋" w:hAnsi="仿宋" w:eastAsia="仿宋" w:cs="仿宋"/>
          <w:color w:val="auto"/>
          <w:szCs w:val="21"/>
          <w:highlight w:val="none"/>
        </w:rPr>
        <w:t>；</w:t>
      </w:r>
    </w:p>
    <w:p w14:paraId="5F6B8D7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6）响应文件响应的标的数量及单位与竞争性磋商采购文件要求实质性不一致的</w:t>
      </w:r>
    </w:p>
    <w:p w14:paraId="7EAECCF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7）磋商小组认为供应商报价过低，有可能影响服务质量或者不能诚信履约，按本章4.9条启动异常低价响应审查程序，要求供应商提供书面说明及必要的证明材料，但供应商不能提供证明材料或无法证明其报价合理的</w:t>
      </w:r>
      <w:r>
        <w:rPr>
          <w:rFonts w:hint="eastAsia" w:ascii="仿宋" w:hAnsi="仿宋" w:eastAsia="仿宋" w:cs="仿宋"/>
          <w:color w:val="auto"/>
          <w:szCs w:val="21"/>
          <w:highlight w:val="none"/>
        </w:rPr>
        <w:t>。</w:t>
      </w:r>
    </w:p>
    <w:p w14:paraId="5DF9E35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2.6磋商小组对响应文件进行评审，</w:t>
      </w:r>
      <w:r>
        <w:rPr>
          <w:rFonts w:hint="eastAsia" w:ascii="仿宋" w:hAnsi="仿宋" w:eastAsia="仿宋" w:cs="仿宋"/>
          <w:b/>
          <w:bCs/>
          <w:color w:val="auto"/>
          <w:szCs w:val="21"/>
          <w:highlight w:val="none"/>
        </w:rPr>
        <w:t>未实质性响应磋商文件的响应文件按无效处理，</w:t>
      </w:r>
      <w:r>
        <w:rPr>
          <w:rFonts w:hint="eastAsia" w:ascii="仿宋" w:hAnsi="仿宋" w:eastAsia="仿宋" w:cs="仿宋"/>
          <w:color w:val="auto"/>
          <w:szCs w:val="21"/>
          <w:highlight w:val="none"/>
        </w:rPr>
        <w:t>磋商小组应当将资格和符合性不通过的情况告知有关供应商。磋商小组从符合磋商文件规定的相应资格条件的供应商名单中确定不少于3家的供应商参加磋商。</w:t>
      </w:r>
    </w:p>
    <w:p w14:paraId="7973D37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2.7通过符合性审查的合格供应商不足3家的，不得进入磋商环节，采购人或者采购代理机构应当重新开展采购活动。</w:t>
      </w:r>
    </w:p>
    <w:p w14:paraId="3A66BA5E">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3.磋商程序</w:t>
      </w:r>
    </w:p>
    <w:p w14:paraId="31FDCCDF">
      <w:pPr>
        <w:spacing w:line="360" w:lineRule="auto"/>
        <w:ind w:firstLine="420" w:firstLineChars="200"/>
        <w:rPr>
          <w:rFonts w:hint="eastAsia" w:ascii="仿宋" w:hAnsi="仿宋" w:eastAsia="仿宋" w:cs="仿宋"/>
          <w:b/>
          <w:bCs/>
          <w:color w:val="auto"/>
          <w:kern w:val="0"/>
          <w:szCs w:val="21"/>
          <w:highlight w:val="none"/>
        </w:rPr>
      </w:pPr>
      <w:r>
        <w:rPr>
          <w:rFonts w:hint="eastAsia" w:ascii="仿宋" w:hAnsi="仿宋" w:eastAsia="仿宋" w:cs="仿宋"/>
          <w:color w:val="auto"/>
          <w:kern w:val="0"/>
          <w:szCs w:val="21"/>
          <w:highlight w:val="none"/>
        </w:rPr>
        <w:t>3.1磋商小组</w:t>
      </w:r>
      <w:r>
        <w:rPr>
          <w:rFonts w:hint="eastAsia" w:ascii="仿宋" w:hAnsi="仿宋" w:eastAsia="仿宋" w:cs="仿宋"/>
          <w:color w:val="auto"/>
          <w:szCs w:val="21"/>
          <w:highlight w:val="none"/>
        </w:rPr>
        <w:t>集中与单一供应商分别进行磋商，并给予所有参加磋商的供应商平等的磋商机会。符合磋商资格的供应商必须在接到磋商通知后规定时间内参加磋商，</w:t>
      </w:r>
      <w:r>
        <w:rPr>
          <w:rFonts w:hint="eastAsia" w:ascii="仿宋" w:hAnsi="仿宋" w:eastAsia="仿宋" w:cs="仿宋"/>
          <w:b/>
          <w:bCs/>
          <w:color w:val="auto"/>
          <w:szCs w:val="21"/>
          <w:highlight w:val="none"/>
        </w:rPr>
        <w:t>未在规定时间内参加磋商的视同放弃参加磋商权利，其响应文件按无效响应处理。</w:t>
      </w:r>
    </w:p>
    <w:p w14:paraId="735D4B8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604A3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3.3对磋商文件作出的实质性变动是磋商文件的有效组成部分，由磋商小组及时以电子澄清函形式同时通知所有参加磋商的供应商。</w:t>
      </w:r>
    </w:p>
    <w:p w14:paraId="251F5C4B">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1E44DA5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3.5磋商中，</w:t>
      </w:r>
      <w:r>
        <w:rPr>
          <w:rFonts w:hint="eastAsia" w:ascii="仿宋" w:hAnsi="仿宋" w:eastAsia="仿宋" w:cs="仿宋"/>
          <w:color w:val="auto"/>
          <w:spacing w:val="-6"/>
          <w:szCs w:val="21"/>
          <w:highlight w:val="none"/>
        </w:rPr>
        <w:t>磋商的任何一方不得透露与磋商有关的其他供应商的技术资料、价格和其他信息。</w:t>
      </w:r>
    </w:p>
    <w:p w14:paraId="129E0A05">
      <w:pPr>
        <w:widowControl/>
        <w:tabs>
          <w:tab w:val="left" w:pos="540"/>
        </w:tabs>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3.6采购代理机构对磋商过程和重要磋商内容进行记录。</w:t>
      </w:r>
    </w:p>
    <w:p w14:paraId="54149E58">
      <w:pPr>
        <w:widowControl/>
        <w:tabs>
          <w:tab w:val="left" w:pos="540"/>
        </w:tabs>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3.7</w:t>
      </w:r>
      <w:r>
        <w:rPr>
          <w:rFonts w:hint="eastAsia" w:ascii="仿宋" w:hAnsi="仿宋" w:eastAsia="仿宋" w:cs="仿宋"/>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2A8C38B">
      <w:pPr>
        <w:tabs>
          <w:tab w:val="left" w:pos="2835"/>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3.8除</w:t>
      </w:r>
      <w:r>
        <w:rPr>
          <w:rFonts w:hint="eastAsia" w:ascii="仿宋" w:hAnsi="仿宋" w:eastAsia="仿宋" w:cs="仿宋"/>
          <w:color w:val="auto"/>
          <w:highlight w:val="none"/>
        </w:rPr>
        <w:t>本章第3.7条情形外，</w:t>
      </w:r>
      <w:r>
        <w:rPr>
          <w:rFonts w:hint="eastAsia" w:ascii="仿宋" w:hAnsi="仿宋" w:eastAsia="仿宋" w:cs="仿宋"/>
          <w:color w:val="auto"/>
          <w:szCs w:val="21"/>
          <w:highlight w:val="none"/>
        </w:rPr>
        <w:t>对磋商过程提交的响应文件进行有效性、完整性和响应程度审查，通过审查的合格供应商不足3家的，采购人或者采购代理机构应当重新开展采购活动。</w:t>
      </w:r>
    </w:p>
    <w:p w14:paraId="6E9576E7">
      <w:pPr>
        <w:spacing w:line="360" w:lineRule="auto"/>
        <w:ind w:firstLine="482" w:firstLineChars="200"/>
        <w:rPr>
          <w:rFonts w:hint="eastAsia" w:ascii="仿宋" w:hAnsi="仿宋" w:eastAsia="仿宋" w:cs="仿宋"/>
          <w:color w:val="auto"/>
          <w:szCs w:val="21"/>
          <w:highlight w:val="none"/>
        </w:rPr>
      </w:pPr>
      <w:r>
        <w:rPr>
          <w:rFonts w:hint="eastAsia" w:ascii="仿宋" w:hAnsi="仿宋" w:eastAsia="仿宋" w:cs="仿宋"/>
          <w:b/>
          <w:bCs/>
          <w:color w:val="auto"/>
          <w:sz w:val="24"/>
          <w:highlight w:val="none"/>
        </w:rPr>
        <w:t>4. 最后报价</w:t>
      </w:r>
    </w:p>
    <w:p w14:paraId="3E7E654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磋商文件能够详细列明采购标的的技术、服务要求的，磋商结束后，磋商小组应当要求所有继续参加磋商的供应商在规定时间内在广西政府采购云平台电子开标大厅提交最后报价，除本章第4.3条外，提交最后报价的供应商不得少于3家，否则必须重新采购。</w:t>
      </w:r>
    </w:p>
    <w:p w14:paraId="1B6899E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电子开标大厅提交最后报价。</w:t>
      </w:r>
    </w:p>
    <w:p w14:paraId="33F2D94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仿宋" w:hAnsi="仿宋" w:eastAsia="仿宋" w:cs="仿宋"/>
          <w:color w:val="auto"/>
          <w:highlight w:val="none"/>
        </w:rPr>
        <w:t>本章第3.7条情形的，</w:t>
      </w:r>
      <w:r>
        <w:rPr>
          <w:rFonts w:hint="eastAsia" w:ascii="仿宋" w:hAnsi="仿宋" w:eastAsia="仿宋" w:cs="仿宋"/>
          <w:color w:val="auto"/>
          <w:szCs w:val="21"/>
          <w:highlight w:val="none"/>
        </w:rPr>
        <w:t>提交最后报价的供应商可以为2家。</w:t>
      </w:r>
    </w:p>
    <w:p w14:paraId="5432BB2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4.4已经提交响应文件的供应商，在提交最后报价之前，可以根据磋商情况退出磋商，</w:t>
      </w:r>
      <w:r>
        <w:rPr>
          <w:rFonts w:hint="eastAsia" w:ascii="仿宋" w:hAnsi="仿宋" w:eastAsia="仿宋" w:cs="仿宋"/>
          <w:b/>
          <w:bCs/>
          <w:color w:val="auto"/>
          <w:szCs w:val="21"/>
          <w:highlight w:val="none"/>
        </w:rPr>
        <w:t>退出磋商的供应商的响应文件按无效响应处理。</w:t>
      </w:r>
      <w:r>
        <w:rPr>
          <w:rFonts w:hint="eastAsia" w:ascii="仿宋" w:hAnsi="仿宋" w:eastAsia="仿宋" w:cs="仿宋"/>
          <w:color w:val="auto"/>
          <w:szCs w:val="21"/>
          <w:highlight w:val="none"/>
        </w:rPr>
        <w:t>采购人、采购代理机构将退还退出磋商的供应商的保证金。</w:t>
      </w:r>
    </w:p>
    <w:p w14:paraId="675C59DE">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4.5供应商未在规定时间内提交最后报价的，视同退出磋商，其响应文件按无效处理。</w:t>
      </w:r>
    </w:p>
    <w:p w14:paraId="3CC9272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4.6最后报价统一开启后，磋商小组对最后报价进行有效性、完整性和响应程度的审查。</w:t>
      </w:r>
    </w:p>
    <w:p w14:paraId="3D8BB55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4.7最后报价出现前后不一致的，按照本章第2.4条的规定修正。 </w:t>
      </w:r>
    </w:p>
    <w:p w14:paraId="00234046">
      <w:pPr>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4.8修正后的报价出现下列情形的，按无效响应处理：</w:t>
      </w:r>
    </w:p>
    <w:p w14:paraId="50CAA9E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（1）供应商不确认的（全流程电子化评标采取在线确认）；</w:t>
      </w:r>
    </w:p>
    <w:p w14:paraId="7CADC13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（2）经供应商确认修正后的竞标报价（包含首次报价、最后报价）超过所竞标项目规定的</w:t>
      </w:r>
      <w:r>
        <w:rPr>
          <w:rFonts w:hint="eastAsia" w:ascii="仿宋" w:hAnsi="仿宋" w:eastAsia="仿宋" w:cs="仿宋"/>
          <w:bCs/>
          <w:color w:val="auto"/>
          <w:szCs w:val="21"/>
          <w:highlight w:val="none"/>
        </w:rPr>
        <w:t>采购预算或最高限价的</w:t>
      </w:r>
      <w:r>
        <w:rPr>
          <w:rFonts w:hint="eastAsia" w:ascii="仿宋" w:hAnsi="仿宋" w:eastAsia="仿宋" w:cs="仿宋"/>
          <w:color w:val="auto"/>
          <w:szCs w:val="21"/>
          <w:highlight w:val="none"/>
        </w:rPr>
        <w:t>；</w:t>
      </w:r>
    </w:p>
    <w:p w14:paraId="7FFB9AD0">
      <w:pPr>
        <w:snapToGrid w:val="0"/>
        <w:spacing w:line="360" w:lineRule="auto"/>
        <w:ind w:firstLine="426" w:firstLineChars="202"/>
        <w:jc w:val="left"/>
        <w:rPr>
          <w:rFonts w:hint="eastAsia" w:ascii="仿宋" w:hAnsi="仿宋" w:eastAsia="仿宋" w:cs="仿宋"/>
          <w:b/>
          <w:bCs/>
          <w:color w:val="auto"/>
          <w:spacing w:val="-6"/>
          <w:szCs w:val="21"/>
          <w:highlight w:val="none"/>
        </w:rPr>
      </w:pPr>
      <w:r>
        <w:rPr>
          <w:rFonts w:hint="eastAsia" w:ascii="仿宋" w:hAnsi="仿宋" w:eastAsia="仿宋" w:cs="仿宋"/>
          <w:b/>
          <w:bCs/>
          <w:color w:val="auto"/>
          <w:szCs w:val="21"/>
          <w:highlight w:val="none"/>
          <w:lang w:val="en-US" w:eastAsia="zh-CN"/>
        </w:rPr>
        <w:t>4.9</w:t>
      </w:r>
      <w:r>
        <w:rPr>
          <w:rFonts w:hint="eastAsia" w:ascii="仿宋" w:hAnsi="仿宋" w:eastAsia="仿宋" w:cs="仿宋"/>
          <w:b/>
          <w:bCs/>
          <w:color w:val="auto"/>
          <w:szCs w:val="21"/>
          <w:highlight w:val="none"/>
        </w:rPr>
        <w:t>异常低价响应审查</w:t>
      </w:r>
    </w:p>
    <w:p w14:paraId="645C509A">
      <w:pPr>
        <w:snapToGrid w:val="0"/>
        <w:spacing w:line="360" w:lineRule="auto"/>
        <w:ind w:firstLine="422" w:firstLineChars="200"/>
        <w:rPr>
          <w:rFonts w:hint="eastAsia" w:ascii="仿宋" w:hAnsi="仿宋" w:eastAsia="仿宋" w:cs="仿宋"/>
          <w:b/>
          <w:bCs/>
          <w:color w:val="auto"/>
          <w:szCs w:val="21"/>
          <w:highlight w:val="none"/>
        </w:rPr>
      </w:pPr>
      <w:bookmarkStart w:id="73" w:name="_Toc30593"/>
      <w:bookmarkStart w:id="74" w:name="_Toc18486"/>
      <w:r>
        <w:rPr>
          <w:rFonts w:hint="eastAsia" w:ascii="仿宋" w:hAnsi="仿宋" w:eastAsia="仿宋" w:cs="仿宋"/>
          <w:b/>
          <w:bCs/>
          <w:color w:val="auto"/>
          <w:szCs w:val="21"/>
          <w:highlight w:val="none"/>
          <w:lang w:val="en-US" w:eastAsia="zh-CN"/>
        </w:rPr>
        <w:t>根据</w:t>
      </w:r>
      <w:r>
        <w:rPr>
          <w:rFonts w:hint="eastAsia" w:ascii="仿宋" w:hAnsi="仿宋" w:eastAsia="仿宋" w:cs="仿宋"/>
          <w:b/>
          <w:bCs/>
          <w:color w:val="auto"/>
          <w:szCs w:val="21"/>
          <w:highlight w:val="none"/>
          <w:lang w:eastAsia="zh-CN"/>
        </w:rPr>
        <w:t>《</w:t>
      </w:r>
      <w:r>
        <w:rPr>
          <w:rFonts w:hint="eastAsia" w:ascii="仿宋" w:hAnsi="仿宋" w:eastAsia="仿宋" w:cs="仿宋"/>
          <w:b/>
          <w:bCs/>
          <w:color w:val="auto"/>
          <w:szCs w:val="21"/>
          <w:highlight w:val="none"/>
          <w:lang w:val="en-US" w:eastAsia="zh-CN"/>
        </w:rPr>
        <w:t>关于推动解决政府采购异常低价问题的通知</w:t>
      </w:r>
      <w:bookmarkEnd w:id="73"/>
      <w:bookmarkEnd w:id="74"/>
      <w:r>
        <w:rPr>
          <w:rFonts w:hint="eastAsia" w:ascii="仿宋" w:hAnsi="仿宋" w:eastAsia="仿宋" w:cs="仿宋"/>
          <w:b/>
          <w:bCs/>
          <w:color w:val="auto"/>
          <w:szCs w:val="21"/>
          <w:highlight w:val="none"/>
          <w:lang w:eastAsia="zh-CN"/>
        </w:rPr>
        <w:t>》</w:t>
      </w:r>
      <w:r>
        <w:rPr>
          <w:rFonts w:hint="eastAsia" w:ascii="仿宋" w:hAnsi="仿宋" w:eastAsia="仿宋" w:cs="仿宋"/>
          <w:b/>
          <w:bCs/>
          <w:color w:val="auto"/>
          <w:szCs w:val="21"/>
          <w:highlight w:val="none"/>
        </w:rPr>
        <w:t>财库〔2026〕2号</w:t>
      </w:r>
      <w:r>
        <w:rPr>
          <w:rFonts w:hint="eastAsia" w:ascii="仿宋" w:hAnsi="仿宋" w:eastAsia="仿宋" w:cs="仿宋"/>
          <w:b/>
          <w:bCs/>
          <w:color w:val="auto"/>
          <w:szCs w:val="21"/>
          <w:highlight w:val="none"/>
          <w:lang w:eastAsia="zh-CN"/>
        </w:rPr>
        <w:t>，</w:t>
      </w:r>
      <w:r>
        <w:rPr>
          <w:rFonts w:hint="eastAsia" w:ascii="仿宋" w:hAnsi="仿宋" w:eastAsia="仿宋" w:cs="仿宋"/>
          <w:b/>
          <w:bCs/>
          <w:color w:val="auto"/>
          <w:szCs w:val="21"/>
          <w:highlight w:val="none"/>
        </w:rPr>
        <w:t>磋商小组在评审中发现下列情形之一的，应当启动异常低价响应审查程序：</w:t>
      </w:r>
    </w:p>
    <w:p w14:paraId="67EF0035">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响应报价＜全部通过符合性审查供应商响应报价平均值×</w:t>
      </w:r>
      <w:r>
        <w:rPr>
          <w:rFonts w:hint="eastAsia" w:ascii="仿宋" w:hAnsi="仿宋" w:eastAsia="仿宋" w:cs="仿宋"/>
          <w:color w:val="auto"/>
          <w:szCs w:val="21"/>
          <w:highlight w:val="none"/>
          <w:u w:val="single"/>
          <w:lang w:val="en-US" w:eastAsia="zh-CN"/>
        </w:rPr>
        <w:t>50%</w:t>
      </w:r>
      <w:r>
        <w:rPr>
          <w:rFonts w:hint="eastAsia" w:ascii="仿宋" w:hAnsi="仿宋" w:eastAsia="仿宋" w:cs="仿宋"/>
          <w:color w:val="auto"/>
          <w:szCs w:val="21"/>
          <w:highlight w:val="none"/>
        </w:rPr>
        <w:t>；</w:t>
      </w:r>
    </w:p>
    <w:p w14:paraId="331B2F1C">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响应报价＜通过符合性审查的次低报价供应商响应报价×</w:t>
      </w:r>
      <w:r>
        <w:rPr>
          <w:rFonts w:hint="eastAsia" w:ascii="仿宋" w:hAnsi="仿宋" w:eastAsia="仿宋" w:cs="仿宋"/>
          <w:color w:val="auto"/>
          <w:szCs w:val="21"/>
          <w:highlight w:val="none"/>
          <w:u w:val="single"/>
          <w:lang w:val="en-US" w:eastAsia="zh-CN"/>
        </w:rPr>
        <w:t>55%</w:t>
      </w:r>
      <w:r>
        <w:rPr>
          <w:rFonts w:hint="eastAsia" w:ascii="仿宋" w:hAnsi="仿宋" w:eastAsia="仿宋" w:cs="仿宋"/>
          <w:color w:val="auto"/>
          <w:szCs w:val="21"/>
          <w:highlight w:val="none"/>
        </w:rPr>
        <w:t>；</w:t>
      </w:r>
    </w:p>
    <w:p w14:paraId="0E12997C">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响应报价＜采购项目最高限价×</w:t>
      </w:r>
      <w:r>
        <w:rPr>
          <w:rFonts w:hint="eastAsia" w:ascii="仿宋" w:hAnsi="仿宋" w:eastAsia="仿宋" w:cs="仿宋"/>
          <w:color w:val="auto"/>
          <w:szCs w:val="21"/>
          <w:highlight w:val="none"/>
          <w:u w:val="single"/>
          <w:lang w:val="en-US" w:eastAsia="zh-CN"/>
        </w:rPr>
        <w:t>45%</w:t>
      </w:r>
      <w:r>
        <w:rPr>
          <w:rFonts w:hint="eastAsia" w:ascii="仿宋" w:hAnsi="仿宋" w:eastAsia="仿宋" w:cs="仿宋"/>
          <w:color w:val="auto"/>
          <w:szCs w:val="21"/>
          <w:highlight w:val="none"/>
        </w:rPr>
        <w:t>；</w:t>
      </w:r>
    </w:p>
    <w:p w14:paraId="173EF9F7">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磋商小组基于专业判断，认为供应商报价过低，有可能影响产品质量或者不能诚信履约的其他情形。</w:t>
      </w:r>
    </w:p>
    <w:p w14:paraId="75B14BDB">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磋商小组启动异常低价响应审查后，属于前述第</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项至第</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情形的，应当要求相关供应商在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项情形，供应商已随响应文件一并提交相关书面说明及必要的证明材料的，可不再重复提交。</w:t>
      </w:r>
    </w:p>
    <w:p w14:paraId="6650D848">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仿宋" w:hAnsi="仿宋" w:eastAsia="仿宋" w:cs="仿宋"/>
          <w:b/>
          <w:color w:val="auto"/>
          <w:szCs w:val="21"/>
          <w:highlight w:val="none"/>
        </w:rPr>
        <w:t>相关供应商不能提供书面说明、证明材料，或者提供的书面说明、证明材料不能证明其报价合理性的，磋商小组应当将其作为无效响应处理。</w:t>
      </w:r>
    </w:p>
    <w:p w14:paraId="148BC7F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4.9经供应商确认修正后的最后报价作为评审及签订合同的依据。</w:t>
      </w:r>
    </w:p>
    <w:p w14:paraId="24F58FC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供应商出现最后报价按无效响应处理或者响应文件按无效处理时</w:t>
      </w:r>
      <w:r>
        <w:rPr>
          <w:rFonts w:hint="eastAsia" w:ascii="仿宋" w:hAnsi="仿宋" w:eastAsia="仿宋" w:cs="仿宋"/>
          <w:color w:val="auto"/>
          <w:sz w:val="22"/>
          <w:szCs w:val="22"/>
          <w:highlight w:val="none"/>
        </w:rPr>
        <w:t>，磋商小组应当告知有关供应商</w:t>
      </w:r>
      <w:r>
        <w:rPr>
          <w:rFonts w:hint="eastAsia" w:ascii="仿宋" w:hAnsi="仿宋" w:eastAsia="仿宋" w:cs="仿宋"/>
          <w:color w:val="auto"/>
          <w:szCs w:val="21"/>
          <w:highlight w:val="none"/>
        </w:rPr>
        <w:t>。</w:t>
      </w:r>
    </w:p>
    <w:p w14:paraId="25E3B10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最后报价结束后，磋商小组不得再与供应商进行任何形式的商谈。</w:t>
      </w:r>
    </w:p>
    <w:p w14:paraId="0D09E2CC">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5.比较与评价</w:t>
      </w:r>
    </w:p>
    <w:p w14:paraId="2D1B366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5.1评审方法：综合评分法。</w:t>
      </w:r>
    </w:p>
    <w:p w14:paraId="054DF73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5.2经磋商确定最终采购需求和提交最后报价的供应商后，由磋商小组采用综合评分法对提交最后报价的供应商的响应文件和最后报价进行综合评分。</w:t>
      </w:r>
    </w:p>
    <w:p w14:paraId="2BE4E3E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5.3评审时，磋商小组各成员应当独立对每个有效响应的文件进行评价、打分，然后汇总每个供应商每项评分因素的得分。</w:t>
      </w:r>
    </w:p>
    <w:p w14:paraId="23C9AE2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（1）磋商小组按照磋商文件中规定的评审标准计算各供应商的报价得分。项目评审过程中，不得去掉最后报价中的最高报价和最低报价。</w:t>
      </w:r>
    </w:p>
    <w:p w14:paraId="3F5D23F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（2）各供应商的得分为磋商小组所有成员的有效评分的算术平均数。</w:t>
      </w:r>
    </w:p>
    <w:p w14:paraId="0F5F1DC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3A74A67F">
      <w:pPr>
        <w:spacing w:line="360" w:lineRule="auto"/>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5.</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由磋商小组根据综合评分情况，按照评审得分由高到低顺序推荐3名以上成交候选供应商，并编写评</w:t>
      </w:r>
      <w:r>
        <w:rPr>
          <w:rFonts w:hint="eastAsia" w:ascii="仿宋" w:hAnsi="仿宋" w:eastAsia="仿宋" w:cs="仿宋"/>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0FC8267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5.</w:t>
      </w:r>
      <w:r>
        <w:rPr>
          <w:rFonts w:hint="eastAsia" w:ascii="仿宋" w:hAnsi="仿宋" w:eastAsia="仿宋" w:cs="仿宋"/>
          <w:color w:val="auto"/>
          <w:kern w:val="0"/>
          <w:szCs w:val="21"/>
          <w:highlight w:val="none"/>
          <w:lang w:val="en-US" w:eastAsia="zh-CN"/>
        </w:rPr>
        <w:t>6</w:t>
      </w:r>
      <w:r>
        <w:rPr>
          <w:rFonts w:hint="eastAsia" w:ascii="仿宋" w:hAnsi="仿宋" w:eastAsia="仿宋" w:cs="仿宋"/>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B5FAE72">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二、评审标准</w:t>
      </w:r>
    </w:p>
    <w:p w14:paraId="56D1E905">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6.评审依据：磋商小组将以磋商响应文件为评审依据，对供应商的报价、技术、商务等方面内容按百分制打分。（计分方法按四舍五入取至百分位）</w:t>
      </w:r>
    </w:p>
    <w:tbl>
      <w:tblPr>
        <w:tblStyle w:val="13"/>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3A54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2EE57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45A53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评审因素</w:t>
            </w:r>
          </w:p>
        </w:tc>
        <w:tc>
          <w:tcPr>
            <w:tcW w:w="6288" w:type="dxa"/>
            <w:tcBorders>
              <w:top w:val="single" w:color="auto" w:sz="4" w:space="0"/>
              <w:left w:val="single" w:color="auto" w:sz="4" w:space="0"/>
              <w:bottom w:val="single" w:color="auto" w:sz="4" w:space="0"/>
              <w:right w:val="single" w:color="auto" w:sz="4" w:space="0"/>
            </w:tcBorders>
            <w:vAlign w:val="center"/>
          </w:tcPr>
          <w:p w14:paraId="79701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评审因素具体内容</w:t>
            </w:r>
          </w:p>
        </w:tc>
        <w:tc>
          <w:tcPr>
            <w:tcW w:w="851" w:type="dxa"/>
            <w:tcBorders>
              <w:top w:val="single" w:color="auto" w:sz="4" w:space="0"/>
              <w:left w:val="single" w:color="auto" w:sz="4" w:space="0"/>
              <w:bottom w:val="single" w:color="auto" w:sz="4" w:space="0"/>
              <w:right w:val="single" w:color="auto" w:sz="4" w:space="0"/>
            </w:tcBorders>
            <w:vAlign w:val="center"/>
          </w:tcPr>
          <w:p w14:paraId="528E7D6D">
            <w:pPr>
              <w:widowControl/>
              <w:spacing w:line="360" w:lineRule="auto"/>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分值</w:t>
            </w:r>
          </w:p>
        </w:tc>
      </w:tr>
      <w:tr w14:paraId="63B2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2AC34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418" w:type="dxa"/>
            <w:tcBorders>
              <w:top w:val="single" w:color="auto" w:sz="4" w:space="0"/>
              <w:left w:val="single" w:color="auto" w:sz="4" w:space="0"/>
              <w:bottom w:val="single" w:color="auto" w:sz="4" w:space="0"/>
              <w:right w:val="single" w:color="auto" w:sz="4" w:space="0"/>
            </w:tcBorders>
            <w:vAlign w:val="center"/>
          </w:tcPr>
          <w:p w14:paraId="6485D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价格分</w:t>
            </w:r>
          </w:p>
        </w:tc>
        <w:tc>
          <w:tcPr>
            <w:tcW w:w="6288" w:type="dxa"/>
            <w:tcBorders>
              <w:top w:val="single" w:color="auto" w:sz="4" w:space="0"/>
              <w:left w:val="single" w:color="auto" w:sz="4" w:space="0"/>
              <w:bottom w:val="single" w:color="auto" w:sz="4" w:space="0"/>
              <w:right w:val="single" w:color="auto" w:sz="4" w:space="0"/>
            </w:tcBorders>
            <w:vAlign w:val="top"/>
          </w:tcPr>
          <w:p w14:paraId="4044493D">
            <w:pPr>
              <w:pStyle w:val="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本项目为专门面向小微企业采购</w:t>
            </w:r>
            <w:r>
              <w:rPr>
                <w:rFonts w:hint="eastAsia" w:ascii="仿宋" w:hAnsi="仿宋" w:eastAsia="仿宋" w:cs="仿宋"/>
                <w:bCs/>
                <w:color w:val="auto"/>
                <w:sz w:val="21"/>
                <w:szCs w:val="21"/>
                <w:highlight w:val="none"/>
                <w:lang w:val="en-US" w:eastAsia="zh-CN"/>
              </w:rPr>
              <w:t>，不执行政策价格扣除</w:t>
            </w:r>
            <w:r>
              <w:rPr>
                <w:rFonts w:hint="eastAsia" w:ascii="仿宋" w:hAnsi="仿宋" w:eastAsia="仿宋" w:cs="仿宋"/>
                <w:bCs/>
                <w:color w:val="auto"/>
                <w:sz w:val="21"/>
                <w:szCs w:val="21"/>
                <w:highlight w:val="none"/>
              </w:rPr>
              <w:t>。最终成交供应商的成交金额等于最后报价（如有修正，以确认修正后的最后报价为准）。</w:t>
            </w:r>
          </w:p>
          <w:p w14:paraId="5312EBB4">
            <w:pPr>
              <w:pStyle w:val="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（2）以进入比较与评价环节的最低的竞标价为基准价，基准价得分为</w:t>
            </w:r>
            <w:r>
              <w:rPr>
                <w:rFonts w:hint="eastAsia" w:ascii="仿宋" w:hAnsi="仿宋" w:eastAsia="仿宋" w:cs="仿宋"/>
                <w:bCs/>
                <w:color w:val="auto"/>
                <w:kern w:val="2"/>
                <w:sz w:val="21"/>
                <w:szCs w:val="21"/>
                <w:highlight w:val="none"/>
                <w:u w:val="single"/>
                <w:lang w:val="en-US" w:eastAsia="zh-CN"/>
              </w:rPr>
              <w:t xml:space="preserve"> 10分</w:t>
            </w:r>
            <w:r>
              <w:rPr>
                <w:rFonts w:hint="eastAsia" w:ascii="仿宋" w:hAnsi="仿宋" w:eastAsia="仿宋" w:cs="仿宋"/>
                <w:bCs/>
                <w:color w:val="auto"/>
                <w:kern w:val="2"/>
                <w:sz w:val="21"/>
                <w:szCs w:val="21"/>
                <w:highlight w:val="none"/>
                <w:lang w:val="en-US" w:eastAsia="zh-CN"/>
              </w:rPr>
              <w:t>。</w:t>
            </w:r>
          </w:p>
          <w:p w14:paraId="4A326432">
            <w:pPr>
              <w:pStyle w:val="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（8）价格分计算公式：</w:t>
            </w:r>
          </w:p>
          <w:p w14:paraId="098B69F2">
            <w:pPr>
              <w:pStyle w:val="6"/>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报价得分=（基准价/最后报价）×</w:t>
            </w:r>
            <w:r>
              <w:rPr>
                <w:rFonts w:hint="eastAsia" w:ascii="仿宋" w:hAnsi="仿宋" w:eastAsia="仿宋" w:cs="仿宋"/>
                <w:bCs/>
                <w:color w:val="auto"/>
                <w:kern w:val="2"/>
                <w:sz w:val="21"/>
                <w:szCs w:val="21"/>
                <w:highlight w:val="none"/>
                <w:u w:val="single"/>
                <w:lang w:val="en-US" w:eastAsia="zh-CN"/>
              </w:rPr>
              <w:t xml:space="preserve"> 10 分</w:t>
            </w:r>
          </w:p>
        </w:tc>
        <w:tc>
          <w:tcPr>
            <w:tcW w:w="851" w:type="dxa"/>
            <w:tcBorders>
              <w:top w:val="single" w:color="auto" w:sz="4" w:space="0"/>
              <w:left w:val="single" w:color="auto" w:sz="4" w:space="0"/>
              <w:bottom w:val="single" w:color="auto" w:sz="4" w:space="0"/>
              <w:right w:val="single" w:color="auto" w:sz="4" w:space="0"/>
            </w:tcBorders>
            <w:vAlign w:val="center"/>
          </w:tcPr>
          <w:p w14:paraId="7FA632BD">
            <w:pPr>
              <w:widowControl/>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10</w:t>
            </w:r>
            <w:r>
              <w:rPr>
                <w:rFonts w:hint="eastAsia" w:ascii="仿宋" w:hAnsi="仿宋" w:eastAsia="仿宋" w:cs="仿宋"/>
                <w:color w:val="auto"/>
                <w:kern w:val="0"/>
                <w:szCs w:val="21"/>
                <w:highlight w:val="none"/>
              </w:rPr>
              <w:t>分</w:t>
            </w:r>
          </w:p>
        </w:tc>
      </w:tr>
      <w:tr w14:paraId="3F11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7C875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bCs/>
                <w:color w:val="auto"/>
                <w:kern w:val="0"/>
                <w:sz w:val="21"/>
                <w:szCs w:val="21"/>
                <w:highlight w:val="none"/>
              </w:rPr>
              <w:t>2</w:t>
            </w:r>
          </w:p>
        </w:tc>
        <w:tc>
          <w:tcPr>
            <w:tcW w:w="1418" w:type="dxa"/>
            <w:tcBorders>
              <w:top w:val="single" w:color="auto" w:sz="4" w:space="0"/>
              <w:left w:val="single" w:color="auto" w:sz="4" w:space="0"/>
              <w:bottom w:val="single" w:color="auto" w:sz="4" w:space="0"/>
              <w:right w:val="single" w:color="auto" w:sz="4" w:space="0"/>
            </w:tcBorders>
            <w:vAlign w:val="center"/>
          </w:tcPr>
          <w:p w14:paraId="3274C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技术分</w:t>
            </w:r>
          </w:p>
        </w:tc>
        <w:tc>
          <w:tcPr>
            <w:tcW w:w="7139" w:type="dxa"/>
            <w:gridSpan w:val="2"/>
            <w:tcBorders>
              <w:top w:val="single" w:color="auto" w:sz="4" w:space="0"/>
              <w:left w:val="single" w:color="auto" w:sz="4" w:space="0"/>
              <w:bottom w:val="single" w:color="auto" w:sz="4" w:space="0"/>
              <w:right w:val="single" w:color="auto" w:sz="4" w:space="0"/>
            </w:tcBorders>
            <w:vAlign w:val="center"/>
          </w:tcPr>
          <w:p w14:paraId="31E50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评审因素</w:t>
            </w:r>
          </w:p>
        </w:tc>
      </w:tr>
      <w:tr w14:paraId="1DC4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756F7372">
            <w:pPr>
              <w:keepNext w:val="0"/>
              <w:keepLines w:val="0"/>
              <w:pageBreakBefore w:val="0"/>
              <w:kinsoku/>
              <w:wordWrap/>
              <w:overflowPunct/>
              <w:topLinePunct w:val="0"/>
              <w:autoSpaceDE/>
              <w:autoSpaceDN/>
              <w:bidi w:val="0"/>
              <w:adjustRightInd/>
              <w:snapToGrid/>
              <w:spacing w:line="360" w:lineRule="auto"/>
              <w:ind w:left="-105" w:leftChars="-50" w:right="-105" w:rightChars="-50"/>
              <w:jc w:val="center"/>
              <w:textAlignment w:val="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2.1</w:t>
            </w:r>
          </w:p>
        </w:tc>
        <w:tc>
          <w:tcPr>
            <w:tcW w:w="1418" w:type="dxa"/>
            <w:tcBorders>
              <w:top w:val="single" w:color="auto" w:sz="4" w:space="0"/>
              <w:left w:val="single" w:color="auto" w:sz="4" w:space="0"/>
              <w:bottom w:val="single" w:color="auto" w:sz="4" w:space="0"/>
              <w:right w:val="single" w:color="auto" w:sz="4" w:space="0"/>
            </w:tcBorders>
            <w:vAlign w:val="center"/>
          </w:tcPr>
          <w:p w14:paraId="507F6C4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rPr>
              <w:t>图文内容创作服务分</w:t>
            </w:r>
          </w:p>
        </w:tc>
        <w:tc>
          <w:tcPr>
            <w:tcW w:w="6288" w:type="dxa"/>
            <w:tcBorders>
              <w:top w:val="single" w:color="auto" w:sz="4" w:space="0"/>
              <w:left w:val="single" w:color="auto" w:sz="4" w:space="0"/>
              <w:bottom w:val="single" w:color="auto" w:sz="4" w:space="0"/>
              <w:right w:val="single" w:color="auto" w:sz="4" w:space="0"/>
            </w:tcBorders>
            <w:vAlign w:val="center"/>
          </w:tcPr>
          <w:p w14:paraId="482549DF">
            <w:pPr>
              <w:pStyle w:val="40"/>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0"/>
                <w:sz w:val="21"/>
                <w:szCs w:val="21"/>
                <w:highlight w:val="none"/>
                <w:lang w:val="en-US" w:eastAsia="zh-CN"/>
              </w:rPr>
            </w:pPr>
            <w:r>
              <w:rPr>
                <w:rFonts w:hint="eastAsia" w:ascii="仿宋" w:hAnsi="仿宋" w:eastAsia="仿宋" w:cs="仿宋"/>
                <w:bCs/>
                <w:color w:val="auto"/>
                <w:kern w:val="2"/>
                <w:sz w:val="21"/>
                <w:szCs w:val="21"/>
                <w:highlight w:val="none"/>
                <w:lang w:val="en-US" w:eastAsia="zh-CN"/>
              </w:rPr>
              <w:t>不提供方案或方案不满足一档要求的不得分。</w:t>
            </w:r>
          </w:p>
          <w:p w14:paraId="7E79AAFD">
            <w:pPr>
              <w:pStyle w:val="40"/>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一档（4分）：</w:t>
            </w:r>
            <w:r>
              <w:rPr>
                <w:rFonts w:hint="eastAsia" w:ascii="仿宋" w:hAnsi="仿宋" w:eastAsia="仿宋" w:cs="仿宋"/>
                <w:bCs/>
                <w:color w:val="auto"/>
                <w:kern w:val="2"/>
                <w:sz w:val="21"/>
                <w:szCs w:val="21"/>
                <w:highlight w:val="none"/>
                <w:lang w:val="en-US" w:eastAsia="zh-CN"/>
              </w:rPr>
              <w:t>根据展馆文案主题进行内容创作，各篇章、各单元主题表述简单，能够简单对应党史各历史阶段核心脉络，初步凸显各单元历史文化底色与育人特色。涵盖主要历史事件、典型革命人物基础内容，史实框架基本完整、无原则性错误。</w:t>
            </w:r>
          </w:p>
          <w:p w14:paraId="55A71A61">
            <w:pPr>
              <w:pStyle w:val="40"/>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二档（12分）：</w:t>
            </w:r>
            <w:r>
              <w:rPr>
                <w:rFonts w:hint="eastAsia" w:ascii="仿宋" w:hAnsi="仿宋" w:eastAsia="仿宋" w:cs="仿宋"/>
                <w:bCs/>
                <w:color w:val="auto"/>
                <w:kern w:val="2"/>
                <w:sz w:val="21"/>
                <w:szCs w:val="21"/>
                <w:highlight w:val="none"/>
                <w:lang w:val="en-US" w:eastAsia="zh-CN"/>
              </w:rPr>
              <w:t>根据展馆文案主题进行内容创作，各篇章、各单元主题阐释详实饱满，脉络清晰、层级分明，各单元历史文化特色、时代特征与育人属性呈现较为突出。所有历史事件、革命人物记述规范，史实脉络较为完整、人物事迹清晰，细节表述较为完善。历史事件配套大部分图片，图文一一对应，配图释义文字详实规范，能够呈现历史场景与核心内涵，符合展馆常态化展示与基础思政教学育人场景。</w:t>
            </w:r>
          </w:p>
          <w:p w14:paraId="778BC44A">
            <w:pPr>
              <w:pStyle w:val="40"/>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
                <w:bCs w:val="0"/>
                <w:color w:val="auto"/>
                <w:kern w:val="2"/>
                <w:sz w:val="21"/>
                <w:szCs w:val="21"/>
                <w:highlight w:val="none"/>
                <w:lang w:val="en-US" w:eastAsia="zh-CN"/>
              </w:rPr>
              <w:t>三档（20分）：</w:t>
            </w:r>
            <w:r>
              <w:rPr>
                <w:rFonts w:hint="eastAsia" w:ascii="仿宋" w:hAnsi="仿宋" w:eastAsia="仿宋" w:cs="仿宋"/>
                <w:bCs/>
                <w:color w:val="auto"/>
                <w:kern w:val="2"/>
                <w:sz w:val="21"/>
                <w:szCs w:val="21"/>
                <w:highlight w:val="none"/>
                <w:lang w:val="en-US" w:eastAsia="zh-CN"/>
              </w:rPr>
              <w:t>根据展馆文案主题进行内容创作，各篇章、各单元主题内涵阐释具体深刻，历史脉络连贯完整，精准提炼各阶段、各区域党史的独特文化底蕴、红色精神内核，单元辨识度、教育性、特色性显著提升。所有历史事件、革命人物记述精准详实、细节饱满，史实完整、人物事迹鲜活、价值导向鲜明。历史事件配有丰富图片，图片贴合史实、场景适配度高，配套解说文字专业精炼，能够完整呈现历史场景与核心内涵，符合展馆常态化展示与思政教学育人场景。</w:t>
            </w:r>
          </w:p>
        </w:tc>
        <w:tc>
          <w:tcPr>
            <w:tcW w:w="851" w:type="dxa"/>
            <w:tcBorders>
              <w:top w:val="single" w:color="auto" w:sz="4" w:space="0"/>
              <w:left w:val="single" w:color="auto" w:sz="4" w:space="0"/>
              <w:bottom w:val="single" w:color="auto" w:sz="4" w:space="0"/>
              <w:right w:val="single" w:color="auto" w:sz="4" w:space="0"/>
            </w:tcBorders>
            <w:vAlign w:val="center"/>
          </w:tcPr>
          <w:p w14:paraId="36A254F8">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20</w:t>
            </w:r>
            <w:r>
              <w:rPr>
                <w:rFonts w:hint="eastAsia" w:ascii="仿宋" w:hAnsi="仿宋" w:eastAsia="仿宋" w:cs="仿宋"/>
                <w:bCs/>
                <w:color w:val="auto"/>
                <w:szCs w:val="21"/>
                <w:highlight w:val="none"/>
              </w:rPr>
              <w:t>分</w:t>
            </w:r>
          </w:p>
        </w:tc>
      </w:tr>
      <w:tr w14:paraId="4F86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7565A652">
            <w:pPr>
              <w:keepNext w:val="0"/>
              <w:keepLines w:val="0"/>
              <w:pageBreakBefore w:val="0"/>
              <w:kinsoku/>
              <w:wordWrap/>
              <w:overflowPunct/>
              <w:topLinePunct w:val="0"/>
              <w:autoSpaceDE/>
              <w:autoSpaceDN/>
              <w:bidi w:val="0"/>
              <w:adjustRightInd/>
              <w:snapToGrid/>
              <w:spacing w:line="360" w:lineRule="auto"/>
              <w:ind w:left="-105" w:leftChars="-50" w:right="-105" w:rightChars="-50"/>
              <w:jc w:val="center"/>
              <w:textAlignment w:val="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2.2</w:t>
            </w:r>
          </w:p>
        </w:tc>
        <w:tc>
          <w:tcPr>
            <w:tcW w:w="1418" w:type="dxa"/>
            <w:tcBorders>
              <w:top w:val="single" w:color="auto" w:sz="4" w:space="0"/>
              <w:left w:val="single" w:color="auto" w:sz="4" w:space="0"/>
              <w:bottom w:val="single" w:color="auto" w:sz="4" w:space="0"/>
              <w:right w:val="single" w:color="auto" w:sz="4" w:space="0"/>
            </w:tcBorders>
            <w:vAlign w:val="center"/>
          </w:tcPr>
          <w:p w14:paraId="17785D78">
            <w:pPr>
              <w:pStyle w:val="40"/>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设计方案分</w:t>
            </w:r>
          </w:p>
          <w:p w14:paraId="7746294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仿宋" w:hAnsi="仿宋" w:eastAsia="仿宋" w:cs="仿宋"/>
                <w:bCs/>
                <w:color w:val="auto"/>
                <w:kern w:val="0"/>
                <w:sz w:val="21"/>
                <w:szCs w:val="21"/>
                <w:highlight w:val="none"/>
                <w:lang w:val="en-US" w:eastAsia="zh-CN"/>
              </w:rPr>
            </w:pPr>
          </w:p>
        </w:tc>
        <w:tc>
          <w:tcPr>
            <w:tcW w:w="6288" w:type="dxa"/>
            <w:tcBorders>
              <w:top w:val="single" w:color="auto" w:sz="4" w:space="0"/>
              <w:left w:val="single" w:color="auto" w:sz="4" w:space="0"/>
              <w:bottom w:val="single" w:color="auto" w:sz="4" w:space="0"/>
              <w:right w:val="single" w:color="auto" w:sz="4" w:space="0"/>
            </w:tcBorders>
            <w:vAlign w:val="center"/>
          </w:tcPr>
          <w:p w14:paraId="0959CB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不提供方案或方案不满足一档要求的不得分。</w:t>
            </w:r>
          </w:p>
          <w:p w14:paraId="68AEADC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一档（</w:t>
            </w:r>
            <w:r>
              <w:rPr>
                <w:rFonts w:hint="eastAsia" w:ascii="仿宋" w:hAnsi="仿宋" w:eastAsia="仿宋" w:cs="仿宋"/>
                <w:b/>
                <w:bCs/>
                <w:color w:val="auto"/>
                <w:sz w:val="21"/>
                <w:szCs w:val="21"/>
                <w:highlight w:val="none"/>
                <w:lang w:val="en-US" w:eastAsia="zh-CN"/>
              </w:rPr>
              <w:t>4</w:t>
            </w:r>
            <w:r>
              <w:rPr>
                <w:rFonts w:hint="eastAsia" w:ascii="仿宋" w:hAnsi="仿宋" w:eastAsia="仿宋" w:cs="仿宋"/>
                <w:b/>
                <w:bCs/>
                <w:color w:val="auto"/>
                <w:sz w:val="21"/>
                <w:szCs w:val="21"/>
                <w:highlight w:val="none"/>
              </w:rPr>
              <w:t>分）：</w:t>
            </w:r>
            <w:r>
              <w:rPr>
                <w:rFonts w:hint="eastAsia" w:ascii="仿宋" w:hAnsi="仿宋" w:eastAsia="仿宋" w:cs="仿宋"/>
                <w:b w:val="0"/>
                <w:bCs w:val="0"/>
                <w:color w:val="auto"/>
                <w:sz w:val="21"/>
                <w:szCs w:val="21"/>
                <w:highlight w:val="none"/>
              </w:rPr>
              <w:t>提供了设计方案，</w:t>
            </w:r>
            <w:r>
              <w:rPr>
                <w:rFonts w:hint="eastAsia" w:ascii="仿宋" w:hAnsi="仿宋" w:eastAsia="仿宋" w:cs="仿宋"/>
                <w:b w:val="0"/>
                <w:bCs w:val="0"/>
                <w:color w:val="auto"/>
                <w:sz w:val="21"/>
                <w:szCs w:val="21"/>
                <w:highlight w:val="none"/>
                <w:lang w:val="en-US" w:eastAsia="zh-CN"/>
              </w:rPr>
              <w:t>具备基本</w:t>
            </w:r>
            <w:r>
              <w:rPr>
                <w:rFonts w:hint="eastAsia" w:ascii="仿宋" w:hAnsi="仿宋" w:eastAsia="仿宋" w:cs="仿宋"/>
                <w:b w:val="0"/>
                <w:bCs w:val="0"/>
                <w:color w:val="auto"/>
                <w:sz w:val="21"/>
                <w:szCs w:val="21"/>
                <w:highlight w:val="none"/>
              </w:rPr>
              <w:t>关键设计要素，对项目的总体设计思路理解</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设计思路过程描述简单，平面布置图的功能布局及参观动线不够清晰，设计主题</w:t>
            </w:r>
            <w:r>
              <w:rPr>
                <w:rFonts w:hint="eastAsia" w:ascii="仿宋" w:hAnsi="仿宋" w:eastAsia="仿宋" w:cs="仿宋"/>
                <w:b w:val="0"/>
                <w:bCs w:val="0"/>
                <w:color w:val="auto"/>
                <w:sz w:val="21"/>
                <w:szCs w:val="21"/>
                <w:highlight w:val="none"/>
                <w:lang w:val="en-US" w:eastAsia="zh-CN"/>
              </w:rPr>
              <w:t>基本能够</w:t>
            </w:r>
            <w:r>
              <w:rPr>
                <w:rFonts w:hint="eastAsia" w:ascii="仿宋" w:hAnsi="仿宋" w:eastAsia="仿宋" w:cs="仿宋"/>
                <w:b w:val="0"/>
                <w:bCs w:val="0"/>
                <w:color w:val="auto"/>
                <w:sz w:val="21"/>
                <w:szCs w:val="21"/>
                <w:highlight w:val="none"/>
              </w:rPr>
              <w:t>围绕“中国共产党党史、中国共产党广西党史、</w:t>
            </w:r>
            <w:r>
              <w:rPr>
                <w:rFonts w:hint="eastAsia" w:ascii="仿宋" w:hAnsi="仿宋" w:eastAsia="仿宋" w:cs="仿宋"/>
                <w:bCs/>
                <w:color w:val="auto"/>
                <w:kern w:val="2"/>
                <w:sz w:val="21"/>
                <w:szCs w:val="21"/>
                <w:highlight w:val="none"/>
                <w:lang w:val="en-US" w:eastAsia="zh-CN" w:bidi="ar-SA"/>
              </w:rPr>
              <w:t>防城港地方建设与发展</w:t>
            </w:r>
            <w:r>
              <w:rPr>
                <w:rFonts w:hint="eastAsia" w:ascii="仿宋" w:hAnsi="仿宋" w:eastAsia="仿宋" w:cs="仿宋"/>
                <w:b w:val="0"/>
                <w:bCs w:val="0"/>
                <w:color w:val="auto"/>
                <w:sz w:val="21"/>
                <w:szCs w:val="21"/>
                <w:highlight w:val="none"/>
                <w:lang w:eastAsia="zh-CN"/>
              </w:rPr>
              <w:t>建设成果展示</w:t>
            </w:r>
            <w:r>
              <w:rPr>
                <w:rFonts w:hint="eastAsia" w:ascii="仿宋" w:hAnsi="仿宋" w:eastAsia="仿宋" w:cs="仿宋"/>
                <w:b w:val="0"/>
                <w:bCs w:val="0"/>
                <w:color w:val="auto"/>
                <w:sz w:val="21"/>
                <w:szCs w:val="21"/>
                <w:highlight w:val="none"/>
              </w:rPr>
              <w:t>”进行展开。</w:t>
            </w:r>
          </w:p>
          <w:p w14:paraId="5C341DC2">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二档（</w:t>
            </w:r>
            <w:r>
              <w:rPr>
                <w:rFonts w:hint="eastAsia" w:ascii="仿宋" w:hAnsi="仿宋" w:eastAsia="仿宋" w:cs="仿宋"/>
                <w:b/>
                <w:bCs/>
                <w:color w:val="auto"/>
                <w:sz w:val="21"/>
                <w:szCs w:val="21"/>
                <w:highlight w:val="none"/>
                <w:lang w:val="en-US" w:eastAsia="zh-CN"/>
              </w:rPr>
              <w:t>12</w:t>
            </w:r>
            <w:r>
              <w:rPr>
                <w:rFonts w:hint="eastAsia" w:ascii="仿宋" w:hAnsi="仿宋" w:eastAsia="仿宋" w:cs="仿宋"/>
                <w:b/>
                <w:bCs/>
                <w:color w:val="auto"/>
                <w:sz w:val="21"/>
                <w:szCs w:val="21"/>
                <w:highlight w:val="none"/>
              </w:rPr>
              <w:t>分）：</w:t>
            </w:r>
            <w:r>
              <w:rPr>
                <w:rFonts w:hint="eastAsia" w:ascii="仿宋" w:hAnsi="仿宋" w:eastAsia="仿宋" w:cs="仿宋"/>
                <w:b w:val="0"/>
                <w:bCs w:val="0"/>
                <w:color w:val="auto"/>
                <w:sz w:val="21"/>
                <w:szCs w:val="21"/>
                <w:highlight w:val="none"/>
              </w:rPr>
              <w:t>设计方案</w:t>
            </w:r>
            <w:r>
              <w:rPr>
                <w:rFonts w:hint="eastAsia" w:ascii="仿宋" w:hAnsi="仿宋" w:eastAsia="仿宋" w:cs="仿宋"/>
                <w:b w:val="0"/>
                <w:bCs w:val="0"/>
                <w:color w:val="auto"/>
                <w:sz w:val="21"/>
                <w:szCs w:val="21"/>
                <w:highlight w:val="none"/>
                <w:lang w:val="en-US" w:eastAsia="zh-CN"/>
              </w:rPr>
              <w:t>比上一档</w:t>
            </w:r>
            <w:r>
              <w:rPr>
                <w:rFonts w:hint="eastAsia" w:ascii="仿宋" w:hAnsi="仿宋" w:eastAsia="仿宋" w:cs="仿宋"/>
                <w:b w:val="0"/>
                <w:bCs w:val="0"/>
                <w:color w:val="auto"/>
                <w:sz w:val="21"/>
                <w:szCs w:val="21"/>
                <w:highlight w:val="none"/>
              </w:rPr>
              <w:t>详细，包含核心要素，准确把握项目实际需求，设计思路过程描述清晰，对项目的总体设计思路逻辑清晰，平面布置图的功能布局及参观动线规划清晰，各板块内容设置展示面积符合实际需求</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各板块元素运用与板块契合</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展陈形式能与内容融合。设计主题围绕“中国共产党党史、中国共产党广西党史、</w:t>
            </w:r>
            <w:r>
              <w:rPr>
                <w:rFonts w:hint="eastAsia" w:ascii="仿宋" w:hAnsi="仿宋" w:eastAsia="仿宋" w:cs="仿宋"/>
                <w:bCs/>
                <w:color w:val="auto"/>
                <w:kern w:val="2"/>
                <w:sz w:val="21"/>
                <w:szCs w:val="21"/>
                <w:highlight w:val="none"/>
                <w:lang w:val="en-US" w:eastAsia="zh-CN" w:bidi="ar-SA"/>
              </w:rPr>
              <w:t>防城港地方建设与发展</w:t>
            </w:r>
            <w:r>
              <w:rPr>
                <w:rFonts w:hint="eastAsia" w:ascii="仿宋" w:hAnsi="仿宋" w:eastAsia="仿宋" w:cs="仿宋"/>
                <w:b w:val="0"/>
                <w:bCs w:val="0"/>
                <w:color w:val="auto"/>
                <w:sz w:val="21"/>
                <w:szCs w:val="21"/>
                <w:highlight w:val="none"/>
                <w:lang w:eastAsia="zh-CN"/>
              </w:rPr>
              <w:t>建设成果展示</w:t>
            </w:r>
            <w:r>
              <w:rPr>
                <w:rFonts w:hint="eastAsia" w:ascii="仿宋" w:hAnsi="仿宋" w:eastAsia="仿宋" w:cs="仿宋"/>
                <w:b w:val="0"/>
                <w:bCs w:val="0"/>
                <w:color w:val="auto"/>
                <w:sz w:val="21"/>
                <w:szCs w:val="21"/>
                <w:highlight w:val="none"/>
              </w:rPr>
              <w:t>”进行详尽展开，主题明确，展示内容层次分明，展示形式、空间布局明确，色彩搭配与灯光设计符合项目展区要求；</w:t>
            </w:r>
          </w:p>
          <w:p w14:paraId="70D3580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
                <w:bCs/>
                <w:color w:val="auto"/>
                <w:sz w:val="21"/>
                <w:szCs w:val="21"/>
                <w:highlight w:val="none"/>
              </w:rPr>
              <w:t>三档（</w:t>
            </w:r>
            <w:r>
              <w:rPr>
                <w:rFonts w:hint="eastAsia" w:ascii="仿宋" w:hAnsi="仿宋" w:eastAsia="仿宋" w:cs="仿宋"/>
                <w:b/>
                <w:bCs/>
                <w:color w:val="auto"/>
                <w:sz w:val="21"/>
                <w:szCs w:val="21"/>
                <w:highlight w:val="none"/>
                <w:lang w:val="en-US" w:eastAsia="zh-CN"/>
              </w:rPr>
              <w:t>20</w:t>
            </w:r>
            <w:r>
              <w:rPr>
                <w:rFonts w:hint="eastAsia" w:ascii="仿宋" w:hAnsi="仿宋" w:eastAsia="仿宋" w:cs="仿宋"/>
                <w:b/>
                <w:bCs/>
                <w:color w:val="auto"/>
                <w:sz w:val="21"/>
                <w:szCs w:val="21"/>
                <w:highlight w:val="none"/>
              </w:rPr>
              <w:t>分）：</w:t>
            </w:r>
            <w:r>
              <w:rPr>
                <w:rFonts w:hint="eastAsia" w:ascii="仿宋" w:hAnsi="仿宋" w:eastAsia="仿宋" w:cs="仿宋"/>
                <w:b w:val="0"/>
                <w:bCs w:val="0"/>
                <w:color w:val="auto"/>
                <w:sz w:val="21"/>
                <w:szCs w:val="21"/>
                <w:highlight w:val="none"/>
              </w:rPr>
              <w:t>设计方案详细，平面布置图的功能布局及参观动线规划详细、简洁通透、充分考虑了人流动向和参观便利与舒适度，精准标注全馆所有功能分区，设计效果图完全能够体现相关设计元素，在视觉呈现、布局合理性及美工效果方面均能直观、专业地展示设计理念与整体效果。展陈创意突出且严谨，兼顾创新性与落地性，提出前瞻性的设计理念，贯穿始终，准确把握项目实际需求，对项目的总体设计思路逻辑清晰，深层次诠释理解大纲、立意新颖、元素运用符合地方特色，各板块内容设置展示面积契合采购需求</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rPr>
              <w:t>各板块元素运用与板块高度契合、展陈形式与内容完美融合、既能高效了解展示内容又极具观赏性，实物、艺术氛围搭配巧妙，主次清晰、主题立意精准。设计主题围绕“中国共产党党史、中国共产党广西党史、</w:t>
            </w:r>
            <w:r>
              <w:rPr>
                <w:rFonts w:hint="eastAsia" w:ascii="仿宋" w:hAnsi="仿宋" w:eastAsia="仿宋" w:cs="仿宋"/>
                <w:bCs/>
                <w:color w:val="auto"/>
                <w:kern w:val="2"/>
                <w:sz w:val="21"/>
                <w:szCs w:val="21"/>
                <w:highlight w:val="none"/>
                <w:lang w:val="en-US" w:eastAsia="zh-CN" w:bidi="ar-SA"/>
              </w:rPr>
              <w:t>防城港地方建设与发展</w:t>
            </w:r>
            <w:r>
              <w:rPr>
                <w:rFonts w:hint="eastAsia" w:ascii="仿宋" w:hAnsi="仿宋" w:eastAsia="仿宋" w:cs="仿宋"/>
                <w:b w:val="0"/>
                <w:bCs w:val="0"/>
                <w:color w:val="auto"/>
                <w:sz w:val="21"/>
                <w:szCs w:val="21"/>
                <w:highlight w:val="none"/>
                <w:lang w:eastAsia="zh-CN"/>
              </w:rPr>
              <w:t>建设成果展示</w:t>
            </w:r>
            <w:r>
              <w:rPr>
                <w:rFonts w:hint="eastAsia" w:ascii="仿宋" w:hAnsi="仿宋" w:eastAsia="仿宋" w:cs="仿宋"/>
                <w:b w:val="0"/>
                <w:bCs w:val="0"/>
                <w:color w:val="auto"/>
                <w:sz w:val="21"/>
                <w:szCs w:val="21"/>
                <w:highlight w:val="none"/>
              </w:rPr>
              <w:t>”进行详尽展开，主题鲜明突出，展示内容紧扣核心理念，展示形式灵活，空间布局与动线规划清晰，色彩搭配与灯光设计紧扣主题，具有艺术感染力且完全符合项目展区要求。</w:t>
            </w:r>
          </w:p>
        </w:tc>
        <w:tc>
          <w:tcPr>
            <w:tcW w:w="851" w:type="dxa"/>
            <w:tcBorders>
              <w:top w:val="single" w:color="auto" w:sz="4" w:space="0"/>
              <w:left w:val="single" w:color="auto" w:sz="4" w:space="0"/>
              <w:bottom w:val="single" w:color="auto" w:sz="4" w:space="0"/>
              <w:right w:val="single" w:color="auto" w:sz="4" w:space="0"/>
            </w:tcBorders>
            <w:vAlign w:val="center"/>
          </w:tcPr>
          <w:p w14:paraId="2F718FC8">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20</w:t>
            </w:r>
            <w:r>
              <w:rPr>
                <w:rFonts w:hint="eastAsia" w:ascii="仿宋" w:hAnsi="仿宋" w:eastAsia="仿宋" w:cs="仿宋"/>
                <w:bCs/>
                <w:color w:val="auto"/>
                <w:szCs w:val="21"/>
                <w:highlight w:val="none"/>
              </w:rPr>
              <w:t>分</w:t>
            </w:r>
          </w:p>
        </w:tc>
      </w:tr>
      <w:tr w14:paraId="06AC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1DF6E9F7">
            <w:pPr>
              <w:keepNext w:val="0"/>
              <w:keepLines w:val="0"/>
              <w:pageBreakBefore w:val="0"/>
              <w:kinsoku/>
              <w:wordWrap/>
              <w:overflowPunct/>
              <w:topLinePunct w:val="0"/>
              <w:autoSpaceDE/>
              <w:autoSpaceDN/>
              <w:bidi w:val="0"/>
              <w:adjustRightInd/>
              <w:snapToGrid/>
              <w:spacing w:line="360" w:lineRule="auto"/>
              <w:ind w:left="-105" w:leftChars="-50" w:right="-105" w:rightChars="-50"/>
              <w:jc w:val="center"/>
              <w:textAlignment w:val="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2.3</w:t>
            </w:r>
          </w:p>
        </w:tc>
        <w:tc>
          <w:tcPr>
            <w:tcW w:w="1418" w:type="dxa"/>
            <w:tcBorders>
              <w:top w:val="single" w:color="auto" w:sz="4" w:space="0"/>
              <w:left w:val="single" w:color="auto" w:sz="4" w:space="0"/>
              <w:bottom w:val="single" w:color="auto" w:sz="4" w:space="0"/>
              <w:right w:val="single" w:color="auto" w:sz="4" w:space="0"/>
            </w:tcBorders>
            <w:vAlign w:val="center"/>
          </w:tcPr>
          <w:p w14:paraId="47356BF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项目实施方案</w:t>
            </w:r>
          </w:p>
        </w:tc>
        <w:tc>
          <w:tcPr>
            <w:tcW w:w="6288" w:type="dxa"/>
            <w:tcBorders>
              <w:top w:val="single" w:color="auto" w:sz="4" w:space="0"/>
              <w:left w:val="single" w:color="auto" w:sz="4" w:space="0"/>
              <w:bottom w:val="single" w:color="auto" w:sz="4" w:space="0"/>
              <w:right w:val="single" w:color="auto" w:sz="4" w:space="0"/>
            </w:tcBorders>
            <w:vAlign w:val="center"/>
          </w:tcPr>
          <w:p w14:paraId="0CBCE881">
            <w:pPr>
              <w:pStyle w:val="40"/>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不提供方案或方案不满足一档要求的不得分。</w:t>
            </w:r>
          </w:p>
          <w:p w14:paraId="67A89D7A">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
                <w:bCs w:val="0"/>
                <w:color w:val="auto"/>
                <w:sz w:val="21"/>
                <w:szCs w:val="21"/>
                <w:highlight w:val="none"/>
              </w:rPr>
              <w:t>一档（4分）：</w:t>
            </w:r>
            <w:r>
              <w:rPr>
                <w:rFonts w:hint="eastAsia" w:ascii="仿宋" w:hAnsi="仿宋" w:eastAsia="仿宋" w:cs="仿宋"/>
                <w:bCs/>
                <w:color w:val="auto"/>
                <w:sz w:val="21"/>
                <w:szCs w:val="21"/>
                <w:highlight w:val="none"/>
              </w:rPr>
              <w:t>项目实施方案较为简单，有基本的项目人员组织管理、施工进度计划、主要施工方法、工期保证措施、质量保证措施、验收措施等。</w:t>
            </w:r>
          </w:p>
          <w:p w14:paraId="56DA9971">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
                <w:bCs w:val="0"/>
                <w:color w:val="auto"/>
                <w:sz w:val="21"/>
                <w:szCs w:val="21"/>
                <w:highlight w:val="none"/>
              </w:rPr>
              <w:t>二档（12分）：</w:t>
            </w:r>
            <w:r>
              <w:rPr>
                <w:rFonts w:hint="eastAsia" w:ascii="仿宋" w:hAnsi="仿宋" w:eastAsia="仿宋" w:cs="仿宋"/>
                <w:bCs/>
                <w:color w:val="auto"/>
                <w:sz w:val="21"/>
                <w:szCs w:val="21"/>
                <w:highlight w:val="none"/>
              </w:rPr>
              <w:t>项目实施方案详细，有完善的项目人员组织管理、施工进度计划、施工实施流程、拟投入的主要设备与材料、劳动力安排计划、主要施工方法、确保工期的技术组织措施、应急预案、验收方案等。</w:t>
            </w:r>
          </w:p>
          <w:p w14:paraId="5818D5F4">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color w:val="auto"/>
                <w:sz w:val="21"/>
                <w:szCs w:val="21"/>
                <w:highlight w:val="none"/>
              </w:rPr>
            </w:pPr>
            <w:r>
              <w:rPr>
                <w:rFonts w:hint="eastAsia" w:ascii="仿宋" w:hAnsi="仿宋" w:eastAsia="仿宋" w:cs="仿宋"/>
                <w:b/>
                <w:bCs w:val="0"/>
                <w:color w:val="auto"/>
                <w:sz w:val="21"/>
                <w:szCs w:val="21"/>
                <w:highlight w:val="none"/>
              </w:rPr>
              <w:t>三档（20分）：</w:t>
            </w:r>
            <w:r>
              <w:rPr>
                <w:rFonts w:hint="eastAsia" w:ascii="仿宋" w:hAnsi="仿宋" w:eastAsia="仿宋" w:cs="仿宋"/>
                <w:bCs/>
                <w:color w:val="auto"/>
                <w:sz w:val="21"/>
                <w:szCs w:val="21"/>
                <w:highlight w:val="none"/>
              </w:rPr>
              <w:t>项目实施方案有针对性，包含项目人员组织管理、施工进度计划、施工实施流程、拟投入的主要设备与材料、劳动力安排计划、主要施工方法、确保工程质量的技术组织措施、工程施工的重点和难点保证措施、确保工期的技术组织措施、确保安全生产和文明施工的技术组织措施、应急预案、验收方案等。</w:t>
            </w:r>
          </w:p>
        </w:tc>
        <w:tc>
          <w:tcPr>
            <w:tcW w:w="851" w:type="dxa"/>
            <w:tcBorders>
              <w:top w:val="single" w:color="auto" w:sz="4" w:space="0"/>
              <w:left w:val="single" w:color="auto" w:sz="4" w:space="0"/>
              <w:bottom w:val="single" w:color="auto" w:sz="4" w:space="0"/>
              <w:right w:val="single" w:color="auto" w:sz="4" w:space="0"/>
            </w:tcBorders>
            <w:vAlign w:val="center"/>
          </w:tcPr>
          <w:p w14:paraId="650C5B95">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20</w:t>
            </w:r>
            <w:r>
              <w:rPr>
                <w:rFonts w:hint="eastAsia" w:ascii="仿宋" w:hAnsi="仿宋" w:eastAsia="仿宋" w:cs="仿宋"/>
                <w:bCs/>
                <w:color w:val="auto"/>
                <w:szCs w:val="21"/>
                <w:highlight w:val="none"/>
              </w:rPr>
              <w:t>分</w:t>
            </w:r>
          </w:p>
        </w:tc>
      </w:tr>
      <w:tr w14:paraId="3A8B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4CC44982">
            <w:pPr>
              <w:keepNext w:val="0"/>
              <w:keepLines w:val="0"/>
              <w:pageBreakBefore w:val="0"/>
              <w:kinsoku/>
              <w:wordWrap/>
              <w:overflowPunct/>
              <w:topLinePunct w:val="0"/>
              <w:autoSpaceDE/>
              <w:autoSpaceDN/>
              <w:bidi w:val="0"/>
              <w:adjustRightInd/>
              <w:snapToGrid/>
              <w:spacing w:line="360" w:lineRule="auto"/>
              <w:ind w:left="-105" w:leftChars="-50" w:right="-105" w:rightChars="-50"/>
              <w:jc w:val="center"/>
              <w:textAlignment w:val="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2.4</w:t>
            </w:r>
          </w:p>
        </w:tc>
        <w:tc>
          <w:tcPr>
            <w:tcW w:w="1418" w:type="dxa"/>
            <w:tcBorders>
              <w:top w:val="single" w:color="auto" w:sz="4" w:space="0"/>
              <w:left w:val="single" w:color="auto" w:sz="4" w:space="0"/>
              <w:bottom w:val="single" w:color="auto" w:sz="4" w:space="0"/>
              <w:right w:val="single" w:color="auto" w:sz="4" w:space="0"/>
            </w:tcBorders>
            <w:vAlign w:val="center"/>
          </w:tcPr>
          <w:p w14:paraId="449BBFA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color w:val="auto"/>
                <w:sz w:val="21"/>
                <w:szCs w:val="21"/>
                <w:highlight w:val="none"/>
                <w:lang w:val="en-US" w:eastAsia="zh-CN"/>
              </w:rPr>
              <w:t>售后服务方案</w:t>
            </w:r>
          </w:p>
        </w:tc>
        <w:tc>
          <w:tcPr>
            <w:tcW w:w="6288" w:type="dxa"/>
            <w:tcBorders>
              <w:top w:val="single" w:color="auto" w:sz="4" w:space="0"/>
              <w:left w:val="single" w:color="auto" w:sz="4" w:space="0"/>
              <w:bottom w:val="single" w:color="auto" w:sz="4" w:space="0"/>
              <w:right w:val="single" w:color="auto" w:sz="4" w:space="0"/>
            </w:tcBorders>
            <w:vAlign w:val="center"/>
          </w:tcPr>
          <w:p w14:paraId="2822AB66">
            <w:pPr>
              <w:pStyle w:val="40"/>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不提供方案或方案不满足一档要求的不得分。</w:t>
            </w:r>
          </w:p>
          <w:p w14:paraId="4C0BD381">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一档（</w:t>
            </w:r>
            <w:r>
              <w:rPr>
                <w:rFonts w:hint="eastAsia" w:ascii="仿宋" w:hAnsi="仿宋" w:eastAsia="仿宋" w:cs="仿宋"/>
                <w:b/>
                <w:bCs/>
                <w:color w:val="auto"/>
                <w:sz w:val="21"/>
                <w:szCs w:val="21"/>
                <w:highlight w:val="none"/>
                <w:lang w:val="en-US" w:eastAsia="zh-CN"/>
              </w:rPr>
              <w:t>4</w:t>
            </w:r>
            <w:r>
              <w:rPr>
                <w:rFonts w:hint="eastAsia" w:ascii="仿宋" w:hAnsi="仿宋" w:eastAsia="仿宋" w:cs="仿宋"/>
                <w:b/>
                <w:bCs/>
                <w:color w:val="auto"/>
                <w:sz w:val="21"/>
                <w:szCs w:val="21"/>
                <w:highlight w:val="none"/>
              </w:rPr>
              <w:t>分）：</w:t>
            </w:r>
            <w:r>
              <w:rPr>
                <w:rFonts w:hint="eastAsia" w:ascii="仿宋" w:hAnsi="仿宋" w:eastAsia="仿宋" w:cs="仿宋"/>
                <w:color w:val="auto"/>
                <w:sz w:val="21"/>
                <w:szCs w:val="21"/>
                <w:highlight w:val="none"/>
              </w:rPr>
              <w:t>在满足</w:t>
            </w:r>
            <w:r>
              <w:rPr>
                <w:rFonts w:hint="eastAsia" w:ascii="仿宋" w:hAnsi="仿宋" w:eastAsia="仿宋" w:cs="仿宋"/>
                <w:color w:val="auto"/>
                <w:sz w:val="21"/>
                <w:szCs w:val="21"/>
                <w:highlight w:val="none"/>
                <w:lang w:val="en-US" w:eastAsia="zh-CN"/>
              </w:rPr>
              <w:t>采购</w:t>
            </w:r>
            <w:r>
              <w:rPr>
                <w:rFonts w:hint="eastAsia" w:ascii="仿宋" w:hAnsi="仿宋" w:eastAsia="仿宋" w:cs="仿宋"/>
                <w:color w:val="auto"/>
                <w:sz w:val="21"/>
                <w:szCs w:val="21"/>
                <w:highlight w:val="none"/>
              </w:rPr>
              <w:t>文件要求的基础上，售后服务方案较简单，提供售后服务</w:t>
            </w:r>
            <w:r>
              <w:rPr>
                <w:rFonts w:hint="eastAsia" w:ascii="仿宋" w:hAnsi="仿宋" w:eastAsia="仿宋" w:cs="仿宋"/>
                <w:color w:val="auto"/>
                <w:sz w:val="21"/>
                <w:szCs w:val="21"/>
                <w:highlight w:val="none"/>
                <w:lang w:val="en-US" w:eastAsia="zh-CN"/>
              </w:rPr>
              <w:t>机构及联系方式、</w:t>
            </w:r>
            <w:r>
              <w:rPr>
                <w:rFonts w:hint="eastAsia" w:ascii="仿宋" w:hAnsi="仿宋" w:eastAsia="仿宋" w:cs="仿宋"/>
                <w:color w:val="auto"/>
                <w:sz w:val="21"/>
                <w:szCs w:val="21"/>
                <w:highlight w:val="none"/>
              </w:rPr>
              <w:t>质保时间、故障响应时间、培训方案等</w:t>
            </w:r>
            <w:r>
              <w:rPr>
                <w:rFonts w:hint="eastAsia" w:ascii="仿宋" w:hAnsi="仿宋" w:eastAsia="仿宋" w:cs="仿宋"/>
                <w:color w:val="auto"/>
                <w:sz w:val="21"/>
                <w:szCs w:val="21"/>
                <w:highlight w:val="none"/>
                <w:lang w:val="en-US" w:eastAsia="zh-CN"/>
              </w:rPr>
              <w:t>内容</w:t>
            </w:r>
            <w:r>
              <w:rPr>
                <w:rFonts w:hint="eastAsia" w:ascii="仿宋" w:hAnsi="仿宋" w:eastAsia="仿宋" w:cs="仿宋"/>
                <w:color w:val="auto"/>
                <w:sz w:val="21"/>
                <w:szCs w:val="21"/>
                <w:highlight w:val="none"/>
              </w:rPr>
              <w:t>。</w:t>
            </w:r>
          </w:p>
          <w:p w14:paraId="59A1DB5B">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二档（</w:t>
            </w:r>
            <w:r>
              <w:rPr>
                <w:rFonts w:hint="eastAsia" w:ascii="仿宋" w:hAnsi="仿宋" w:eastAsia="仿宋" w:cs="仿宋"/>
                <w:b/>
                <w:bCs/>
                <w:color w:val="auto"/>
                <w:sz w:val="21"/>
                <w:szCs w:val="21"/>
                <w:highlight w:val="none"/>
                <w:lang w:val="en-US" w:eastAsia="zh-CN"/>
              </w:rPr>
              <w:t>8</w:t>
            </w:r>
            <w:r>
              <w:rPr>
                <w:rFonts w:hint="eastAsia" w:ascii="仿宋" w:hAnsi="仿宋" w:eastAsia="仿宋" w:cs="仿宋"/>
                <w:b/>
                <w:bCs/>
                <w:color w:val="auto"/>
                <w:sz w:val="21"/>
                <w:szCs w:val="21"/>
                <w:highlight w:val="none"/>
              </w:rPr>
              <w:t>分）：</w:t>
            </w:r>
            <w:r>
              <w:rPr>
                <w:rFonts w:hint="eastAsia" w:ascii="仿宋" w:hAnsi="仿宋" w:eastAsia="仿宋" w:cs="仿宋"/>
                <w:color w:val="auto"/>
                <w:sz w:val="21"/>
                <w:szCs w:val="21"/>
                <w:highlight w:val="none"/>
              </w:rPr>
              <w:t>在满足</w:t>
            </w:r>
            <w:r>
              <w:rPr>
                <w:rFonts w:hint="eastAsia" w:ascii="仿宋" w:hAnsi="仿宋" w:eastAsia="仿宋" w:cs="仿宋"/>
                <w:color w:val="auto"/>
                <w:sz w:val="21"/>
                <w:szCs w:val="21"/>
                <w:highlight w:val="none"/>
                <w:lang w:val="en-US" w:eastAsia="zh-CN"/>
              </w:rPr>
              <w:t>采购</w:t>
            </w:r>
            <w:r>
              <w:rPr>
                <w:rFonts w:hint="eastAsia" w:ascii="仿宋" w:hAnsi="仿宋" w:eastAsia="仿宋" w:cs="仿宋"/>
                <w:color w:val="auto"/>
                <w:sz w:val="21"/>
                <w:szCs w:val="21"/>
                <w:highlight w:val="none"/>
              </w:rPr>
              <w:t>文件要求的基础上，售后服务方案内容有</w:t>
            </w:r>
            <w:r>
              <w:rPr>
                <w:rFonts w:hint="eastAsia" w:ascii="仿宋" w:hAnsi="仿宋" w:eastAsia="仿宋" w:cs="仿宋"/>
                <w:color w:val="auto"/>
                <w:sz w:val="21"/>
                <w:szCs w:val="21"/>
                <w:highlight w:val="none"/>
                <w:lang w:val="en-US" w:eastAsia="zh-CN"/>
              </w:rPr>
              <w:t>较为完善</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包含但不限于：</w:t>
            </w:r>
            <w:r>
              <w:rPr>
                <w:rFonts w:hint="eastAsia" w:ascii="仿宋" w:hAnsi="仿宋" w:eastAsia="仿宋" w:cs="仿宋"/>
                <w:color w:val="auto"/>
                <w:sz w:val="21"/>
                <w:szCs w:val="21"/>
                <w:highlight w:val="none"/>
              </w:rPr>
              <w:t>售后服务流程图且流程图清晰</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技术服务队伍组织配置</w:t>
            </w:r>
            <w:r>
              <w:rPr>
                <w:rFonts w:hint="eastAsia" w:ascii="仿宋" w:hAnsi="仿宋" w:eastAsia="仿宋" w:cs="仿宋"/>
                <w:color w:val="auto"/>
                <w:sz w:val="21"/>
                <w:szCs w:val="21"/>
                <w:highlight w:val="none"/>
                <w:lang w:val="en-US" w:eastAsia="zh-CN"/>
              </w:rPr>
              <w:t>及</w:t>
            </w:r>
            <w:r>
              <w:rPr>
                <w:rFonts w:hint="eastAsia" w:ascii="仿宋" w:hAnsi="仿宋" w:eastAsia="仿宋" w:cs="仿宋"/>
                <w:color w:val="auto"/>
                <w:sz w:val="21"/>
                <w:szCs w:val="21"/>
                <w:highlight w:val="none"/>
              </w:rPr>
              <w:t>人员名单</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售后服务</w:t>
            </w:r>
            <w:r>
              <w:rPr>
                <w:rFonts w:hint="eastAsia" w:ascii="仿宋" w:hAnsi="仿宋" w:eastAsia="仿宋" w:cs="仿宋"/>
                <w:color w:val="auto"/>
                <w:sz w:val="21"/>
                <w:szCs w:val="21"/>
                <w:highlight w:val="none"/>
                <w:lang w:val="en-US" w:eastAsia="zh-CN"/>
              </w:rPr>
              <w:t>机构及联系方式</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售后维护方式</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故障响应时间</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质保时间</w:t>
            </w:r>
            <w:r>
              <w:rPr>
                <w:rFonts w:hint="eastAsia" w:ascii="仿宋" w:hAnsi="仿宋" w:eastAsia="仿宋" w:cs="仿宋"/>
                <w:color w:val="auto"/>
                <w:sz w:val="21"/>
                <w:szCs w:val="21"/>
                <w:highlight w:val="none"/>
                <w:lang w:val="en-US" w:eastAsia="zh-CN"/>
              </w:rPr>
              <w:t>及</w:t>
            </w:r>
            <w:r>
              <w:rPr>
                <w:rFonts w:hint="eastAsia" w:ascii="仿宋" w:hAnsi="仿宋" w:eastAsia="仿宋" w:cs="仿宋"/>
                <w:color w:val="auto"/>
                <w:sz w:val="21"/>
                <w:szCs w:val="21"/>
                <w:highlight w:val="none"/>
              </w:rPr>
              <w:t>保修期外维修方案，定期回访</w:t>
            </w:r>
            <w:r>
              <w:rPr>
                <w:rFonts w:hint="eastAsia" w:ascii="仿宋" w:hAnsi="仿宋" w:eastAsia="仿宋" w:cs="仿宋"/>
                <w:color w:val="auto"/>
                <w:sz w:val="21"/>
                <w:szCs w:val="21"/>
                <w:highlight w:val="none"/>
                <w:lang w:val="en-US" w:eastAsia="zh-CN"/>
              </w:rPr>
              <w:t>管理</w:t>
            </w:r>
            <w:r>
              <w:rPr>
                <w:rFonts w:hint="eastAsia" w:ascii="仿宋" w:hAnsi="仿宋" w:eastAsia="仿宋" w:cs="仿宋"/>
                <w:color w:val="auto"/>
                <w:sz w:val="21"/>
                <w:szCs w:val="21"/>
                <w:highlight w:val="none"/>
              </w:rPr>
              <w:t>（注明时间），培训方案等，</w:t>
            </w:r>
            <w:r>
              <w:rPr>
                <w:rFonts w:hint="eastAsia" w:ascii="仿宋" w:hAnsi="仿宋" w:eastAsia="仿宋" w:cs="仿宋"/>
                <w:color w:val="auto"/>
                <w:sz w:val="21"/>
                <w:szCs w:val="21"/>
                <w:highlight w:val="none"/>
                <w:lang w:val="en-US" w:eastAsia="zh-CN"/>
              </w:rPr>
              <w:t>基本能</w:t>
            </w:r>
            <w:r>
              <w:rPr>
                <w:rFonts w:hint="eastAsia" w:ascii="仿宋" w:hAnsi="仿宋" w:eastAsia="仿宋" w:cs="仿宋"/>
                <w:color w:val="auto"/>
                <w:sz w:val="21"/>
                <w:szCs w:val="21"/>
                <w:highlight w:val="none"/>
              </w:rPr>
              <w:t>满足本项目需求。</w:t>
            </w:r>
          </w:p>
          <w:p w14:paraId="522CCCA0">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三档（</w:t>
            </w:r>
            <w:r>
              <w:rPr>
                <w:rFonts w:hint="eastAsia" w:ascii="仿宋" w:hAnsi="仿宋" w:eastAsia="仿宋" w:cs="仿宋"/>
                <w:b/>
                <w:bCs/>
                <w:color w:val="auto"/>
                <w:sz w:val="21"/>
                <w:szCs w:val="21"/>
                <w:highlight w:val="none"/>
                <w:lang w:val="en-US" w:eastAsia="zh-CN"/>
              </w:rPr>
              <w:t>12</w:t>
            </w:r>
            <w:r>
              <w:rPr>
                <w:rFonts w:hint="eastAsia" w:ascii="仿宋" w:hAnsi="仿宋" w:eastAsia="仿宋" w:cs="仿宋"/>
                <w:b/>
                <w:bCs/>
                <w:color w:val="auto"/>
                <w:sz w:val="21"/>
                <w:szCs w:val="21"/>
                <w:highlight w:val="none"/>
              </w:rPr>
              <w:t>分）：</w:t>
            </w:r>
            <w:r>
              <w:rPr>
                <w:rFonts w:hint="eastAsia" w:ascii="仿宋" w:hAnsi="仿宋" w:eastAsia="仿宋" w:cs="仿宋"/>
                <w:color w:val="auto"/>
                <w:sz w:val="21"/>
                <w:szCs w:val="21"/>
                <w:highlight w:val="none"/>
              </w:rPr>
              <w:t>在满足</w:t>
            </w:r>
            <w:r>
              <w:rPr>
                <w:rFonts w:hint="eastAsia" w:ascii="仿宋" w:hAnsi="仿宋" w:eastAsia="仿宋" w:cs="仿宋"/>
                <w:color w:val="auto"/>
                <w:sz w:val="21"/>
                <w:szCs w:val="21"/>
                <w:highlight w:val="none"/>
                <w:lang w:val="en-US" w:eastAsia="zh-CN"/>
              </w:rPr>
              <w:t>采购</w:t>
            </w:r>
            <w:r>
              <w:rPr>
                <w:rFonts w:hint="eastAsia" w:ascii="仿宋" w:hAnsi="仿宋" w:eastAsia="仿宋" w:cs="仿宋"/>
                <w:color w:val="auto"/>
                <w:sz w:val="21"/>
                <w:szCs w:val="21"/>
                <w:highlight w:val="none"/>
              </w:rPr>
              <w:t>文件要求的基础上，售后服务方案内容</w:t>
            </w:r>
            <w:r>
              <w:rPr>
                <w:rFonts w:hint="eastAsia" w:ascii="仿宋" w:hAnsi="仿宋" w:eastAsia="仿宋" w:cs="仿宋"/>
                <w:color w:val="auto"/>
                <w:sz w:val="21"/>
                <w:szCs w:val="21"/>
                <w:highlight w:val="none"/>
                <w:lang w:val="en-US" w:eastAsia="zh-CN"/>
              </w:rPr>
              <w:t>详细</w:t>
            </w:r>
            <w:r>
              <w:rPr>
                <w:rFonts w:hint="eastAsia" w:ascii="仿宋" w:hAnsi="仿宋" w:eastAsia="仿宋" w:cs="仿宋"/>
                <w:color w:val="auto"/>
                <w:sz w:val="21"/>
                <w:szCs w:val="21"/>
                <w:highlight w:val="none"/>
              </w:rPr>
              <w:t>有针对性，</w:t>
            </w:r>
            <w:r>
              <w:rPr>
                <w:rFonts w:hint="eastAsia" w:ascii="仿宋" w:hAnsi="仿宋" w:eastAsia="仿宋" w:cs="仿宋"/>
                <w:color w:val="auto"/>
                <w:sz w:val="21"/>
                <w:szCs w:val="21"/>
                <w:highlight w:val="none"/>
                <w:lang w:val="en-US" w:eastAsia="zh-CN"/>
              </w:rPr>
              <w:t>包含但不限于：</w:t>
            </w:r>
            <w:r>
              <w:rPr>
                <w:rFonts w:hint="eastAsia" w:ascii="仿宋" w:hAnsi="仿宋" w:eastAsia="仿宋" w:cs="仿宋"/>
                <w:color w:val="auto"/>
                <w:sz w:val="21"/>
                <w:szCs w:val="21"/>
                <w:highlight w:val="none"/>
              </w:rPr>
              <w:t>售后服务流程图且流程图清晰</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技术服务队伍组织配置</w:t>
            </w:r>
            <w:r>
              <w:rPr>
                <w:rFonts w:hint="eastAsia" w:ascii="仿宋" w:hAnsi="仿宋" w:eastAsia="仿宋" w:cs="仿宋"/>
                <w:color w:val="auto"/>
                <w:sz w:val="21"/>
                <w:szCs w:val="21"/>
                <w:highlight w:val="none"/>
                <w:lang w:val="en-US" w:eastAsia="zh-CN"/>
              </w:rPr>
              <w:t>及</w:t>
            </w:r>
            <w:r>
              <w:rPr>
                <w:rFonts w:hint="eastAsia" w:ascii="仿宋" w:hAnsi="仿宋" w:eastAsia="仿宋" w:cs="仿宋"/>
                <w:color w:val="auto"/>
                <w:sz w:val="21"/>
                <w:szCs w:val="21"/>
                <w:highlight w:val="none"/>
              </w:rPr>
              <w:t>人员名单</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售后服务</w:t>
            </w:r>
            <w:r>
              <w:rPr>
                <w:rFonts w:hint="eastAsia" w:ascii="仿宋" w:hAnsi="仿宋" w:eastAsia="仿宋" w:cs="仿宋"/>
                <w:color w:val="auto"/>
                <w:sz w:val="21"/>
                <w:szCs w:val="21"/>
                <w:highlight w:val="none"/>
                <w:lang w:val="en-US" w:eastAsia="zh-CN"/>
              </w:rPr>
              <w:t>机构及联系方式</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售后维护方式</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售后保障能力方案</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故障响应时间、到达现场维护时间、修复时间优于</w:t>
            </w:r>
            <w:r>
              <w:rPr>
                <w:rFonts w:hint="eastAsia" w:ascii="仿宋" w:hAnsi="仿宋" w:eastAsia="仿宋" w:cs="仿宋"/>
                <w:color w:val="auto"/>
                <w:sz w:val="21"/>
                <w:szCs w:val="21"/>
                <w:highlight w:val="none"/>
                <w:lang w:val="en-US" w:eastAsia="zh-CN"/>
              </w:rPr>
              <w:t>采购</w:t>
            </w:r>
            <w:r>
              <w:rPr>
                <w:rFonts w:hint="eastAsia" w:ascii="仿宋" w:hAnsi="仿宋" w:eastAsia="仿宋" w:cs="仿宋"/>
                <w:color w:val="auto"/>
                <w:sz w:val="21"/>
                <w:szCs w:val="21"/>
                <w:highlight w:val="none"/>
              </w:rPr>
              <w:t>文件要求</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质保时间</w:t>
            </w:r>
            <w:r>
              <w:rPr>
                <w:rFonts w:hint="eastAsia" w:ascii="仿宋" w:hAnsi="仿宋" w:eastAsia="仿宋" w:cs="仿宋"/>
                <w:color w:val="auto"/>
                <w:sz w:val="21"/>
                <w:szCs w:val="21"/>
                <w:highlight w:val="none"/>
                <w:lang w:val="en-US" w:eastAsia="zh-CN"/>
              </w:rPr>
              <w:t>及</w:t>
            </w:r>
            <w:r>
              <w:rPr>
                <w:rFonts w:hint="eastAsia" w:ascii="仿宋" w:hAnsi="仿宋" w:eastAsia="仿宋" w:cs="仿宋"/>
                <w:color w:val="auto"/>
                <w:sz w:val="21"/>
                <w:szCs w:val="21"/>
                <w:highlight w:val="none"/>
              </w:rPr>
              <w:t>保修期外维修方案，定期回访</w:t>
            </w:r>
            <w:r>
              <w:rPr>
                <w:rFonts w:hint="eastAsia" w:ascii="仿宋" w:hAnsi="仿宋" w:eastAsia="仿宋" w:cs="仿宋"/>
                <w:color w:val="auto"/>
                <w:sz w:val="21"/>
                <w:szCs w:val="21"/>
                <w:highlight w:val="none"/>
                <w:lang w:val="en-US" w:eastAsia="zh-CN"/>
              </w:rPr>
              <w:t>管理</w:t>
            </w:r>
            <w:r>
              <w:rPr>
                <w:rFonts w:hint="eastAsia" w:ascii="仿宋" w:hAnsi="仿宋" w:eastAsia="仿宋" w:cs="仿宋"/>
                <w:color w:val="auto"/>
                <w:sz w:val="21"/>
                <w:szCs w:val="21"/>
                <w:highlight w:val="none"/>
              </w:rPr>
              <w:t>（注明时间），</w:t>
            </w:r>
            <w:r>
              <w:rPr>
                <w:rFonts w:hint="eastAsia" w:ascii="仿宋" w:hAnsi="仿宋" w:eastAsia="仿宋" w:cs="仿宋"/>
                <w:color w:val="auto"/>
                <w:sz w:val="21"/>
                <w:szCs w:val="21"/>
                <w:highlight w:val="none"/>
                <w:lang w:val="en-US" w:eastAsia="zh-CN"/>
              </w:rPr>
              <w:t>质保期内各类紧急情况分析并制定有合理的专项</w:t>
            </w:r>
            <w:r>
              <w:rPr>
                <w:rFonts w:hint="eastAsia" w:ascii="仿宋" w:hAnsi="仿宋" w:eastAsia="仿宋" w:cs="仿宋"/>
                <w:color w:val="auto"/>
                <w:sz w:val="21"/>
                <w:szCs w:val="21"/>
                <w:highlight w:val="none"/>
              </w:rPr>
              <w:t>应急预案、培训方案等，能全面满足本项目需求。</w:t>
            </w:r>
          </w:p>
          <w:p w14:paraId="7DC5DDFA">
            <w:pPr>
              <w:pStyle w:val="40"/>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63A2EDB8">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12</w:t>
            </w:r>
            <w:r>
              <w:rPr>
                <w:rFonts w:hint="eastAsia" w:ascii="仿宋" w:hAnsi="仿宋" w:eastAsia="仿宋" w:cs="仿宋"/>
                <w:bCs/>
                <w:color w:val="auto"/>
                <w:szCs w:val="21"/>
                <w:highlight w:val="none"/>
              </w:rPr>
              <w:t>分</w:t>
            </w:r>
          </w:p>
        </w:tc>
      </w:tr>
      <w:tr w14:paraId="44C9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3BCEFDAA">
            <w:pPr>
              <w:keepNext w:val="0"/>
              <w:keepLines w:val="0"/>
              <w:pageBreakBefore w:val="0"/>
              <w:kinsoku/>
              <w:wordWrap/>
              <w:overflowPunct/>
              <w:topLinePunct w:val="0"/>
              <w:autoSpaceDE/>
              <w:autoSpaceDN/>
              <w:bidi w:val="0"/>
              <w:adjustRightInd/>
              <w:snapToGrid/>
              <w:spacing w:line="360" w:lineRule="auto"/>
              <w:ind w:left="-105" w:leftChars="-50" w:right="-105" w:rightChars="-50"/>
              <w:jc w:val="center"/>
              <w:textAlignment w:val="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2.5</w:t>
            </w:r>
          </w:p>
        </w:tc>
        <w:tc>
          <w:tcPr>
            <w:tcW w:w="1418" w:type="dxa"/>
            <w:tcBorders>
              <w:top w:val="single" w:color="auto" w:sz="4" w:space="0"/>
              <w:left w:val="single" w:color="auto" w:sz="4" w:space="0"/>
              <w:bottom w:val="single" w:color="auto" w:sz="4" w:space="0"/>
              <w:right w:val="single" w:color="auto" w:sz="4" w:space="0"/>
            </w:tcBorders>
            <w:vAlign w:val="center"/>
          </w:tcPr>
          <w:p w14:paraId="28A9E07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lang w:val="en-US" w:eastAsia="zh-CN"/>
              </w:rPr>
              <w:t>服务团队配置</w:t>
            </w:r>
          </w:p>
        </w:tc>
        <w:tc>
          <w:tcPr>
            <w:tcW w:w="6288" w:type="dxa"/>
            <w:tcBorders>
              <w:top w:val="single" w:color="auto" w:sz="4" w:space="0"/>
              <w:left w:val="single" w:color="auto" w:sz="4" w:space="0"/>
              <w:bottom w:val="single" w:color="auto" w:sz="4" w:space="0"/>
              <w:right w:val="single" w:color="auto" w:sz="4" w:space="0"/>
            </w:tcBorders>
            <w:vAlign w:val="center"/>
          </w:tcPr>
          <w:p w14:paraId="4A2A54C6">
            <w:pPr>
              <w:pStyle w:val="40"/>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不提供方案或方案不满足一档要求的不得分。</w:t>
            </w:r>
          </w:p>
          <w:p w14:paraId="49FB120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一档（4分）：服务团队人员数量不低于10人，项目经理、设计人员、施工管理人员等关键岗位人员配备齐全。</w:t>
            </w:r>
          </w:p>
          <w:p w14:paraId="50C0C95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二档（7分）：在一档基础上，团队人员配备优于上一档的要求，不低于15人，且详细列明人员岗位职责，项目经理、创作人员、设计人员、施工管理人员、各类技术工人等配备齐全。</w:t>
            </w:r>
          </w:p>
          <w:p w14:paraId="71025FD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三档（10分）：在二档基础上，团队配置不低于20人，项目经理、设计人员、施工管理人员等关键岗位人员具有同类项目实施经验，特殊岗位人员如电工、焊工等具有特种作业证书。响应文件中能够提供相关岗位人员同类项目实施经验证明材料（证明材料形式不限）和特种作业证书，且建立明确的内部沟通机制与问题快速响应流程。</w:t>
            </w:r>
          </w:p>
        </w:tc>
        <w:tc>
          <w:tcPr>
            <w:tcW w:w="851" w:type="dxa"/>
            <w:tcBorders>
              <w:top w:val="single" w:color="auto" w:sz="4" w:space="0"/>
              <w:left w:val="single" w:color="auto" w:sz="4" w:space="0"/>
              <w:bottom w:val="single" w:color="auto" w:sz="4" w:space="0"/>
              <w:right w:val="single" w:color="auto" w:sz="4" w:space="0"/>
            </w:tcBorders>
            <w:vAlign w:val="center"/>
          </w:tcPr>
          <w:p w14:paraId="1AC365C4">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10</w:t>
            </w:r>
            <w:r>
              <w:rPr>
                <w:rFonts w:hint="eastAsia" w:ascii="仿宋" w:hAnsi="仿宋" w:eastAsia="仿宋" w:cs="仿宋"/>
                <w:bCs/>
                <w:color w:val="auto"/>
                <w:szCs w:val="21"/>
                <w:highlight w:val="none"/>
              </w:rPr>
              <w:t>分</w:t>
            </w:r>
          </w:p>
        </w:tc>
      </w:tr>
      <w:tr w14:paraId="00CB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6BE2A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rPr>
              <w:t>3</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0751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
                <w:bCs w:val="0"/>
                <w:color w:val="auto"/>
                <w:sz w:val="21"/>
                <w:szCs w:val="21"/>
                <w:highlight w:val="none"/>
              </w:rPr>
              <w:t>商务分</w:t>
            </w:r>
          </w:p>
        </w:tc>
        <w:tc>
          <w:tcPr>
            <w:tcW w:w="71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42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rPr>
              <w:t>评审因素</w:t>
            </w:r>
          </w:p>
        </w:tc>
      </w:tr>
      <w:tr w14:paraId="2E45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533" w:type="dxa"/>
            <w:tcBorders>
              <w:top w:val="single" w:color="auto" w:sz="4" w:space="0"/>
              <w:left w:val="single" w:color="auto" w:sz="4" w:space="0"/>
              <w:bottom w:val="single" w:color="auto" w:sz="4" w:space="0"/>
              <w:right w:val="single" w:color="auto" w:sz="4" w:space="0"/>
            </w:tcBorders>
            <w:vAlign w:val="center"/>
          </w:tcPr>
          <w:p w14:paraId="5BA0089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95D7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auto"/>
                <w:kern w:val="0"/>
                <w:sz w:val="21"/>
                <w:szCs w:val="21"/>
                <w:highlight w:val="none"/>
                <w:lang w:val="en-US" w:eastAsia="zh-CN" w:bidi="ar-SA"/>
              </w:rPr>
            </w:pPr>
            <w:r>
              <w:rPr>
                <w:rFonts w:hint="eastAsia" w:ascii="仿宋" w:hAnsi="仿宋" w:eastAsia="仿宋" w:cs="仿宋"/>
                <w:bCs/>
                <w:color w:val="auto"/>
                <w:kern w:val="0"/>
                <w:sz w:val="21"/>
                <w:szCs w:val="21"/>
                <w:highlight w:val="none"/>
              </w:rPr>
              <w:t>业绩分</w:t>
            </w:r>
          </w:p>
        </w:tc>
        <w:tc>
          <w:tcPr>
            <w:tcW w:w="6288" w:type="dxa"/>
            <w:tcBorders>
              <w:top w:val="single" w:color="auto" w:sz="4" w:space="0"/>
              <w:left w:val="single" w:color="auto" w:sz="4" w:space="0"/>
              <w:bottom w:val="single" w:color="auto" w:sz="4" w:space="0"/>
              <w:right w:val="single" w:color="auto" w:sz="4" w:space="0"/>
            </w:tcBorders>
            <w:shd w:val="clear" w:color="auto" w:fill="auto"/>
            <w:vAlign w:val="top"/>
          </w:tcPr>
          <w:p w14:paraId="73C1EE9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2023年1月1日至响应文件递交截止时间止，供应商具有同类项目业绩的，每项1分，业绩满分</w:t>
            </w:r>
            <w:r>
              <w:rPr>
                <w:rFonts w:hint="eastAsia" w:ascii="仿宋" w:hAnsi="仿宋" w:eastAsia="仿宋" w:cs="仿宋"/>
                <w:bCs/>
                <w:color w:val="auto"/>
                <w:sz w:val="21"/>
                <w:szCs w:val="21"/>
                <w:highlight w:val="none"/>
                <w:lang w:val="en-US" w:eastAsia="zh-CN"/>
              </w:rPr>
              <w:t>8</w:t>
            </w:r>
            <w:r>
              <w:rPr>
                <w:rFonts w:hint="eastAsia" w:ascii="仿宋" w:hAnsi="仿宋" w:eastAsia="仿宋" w:cs="仿宋"/>
                <w:bCs/>
                <w:color w:val="auto"/>
                <w:sz w:val="21"/>
                <w:szCs w:val="21"/>
                <w:highlight w:val="none"/>
              </w:rPr>
              <w:t xml:space="preserve">分。  </w:t>
            </w:r>
          </w:p>
          <w:p w14:paraId="473BD3A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rPr>
              <w:t>注：以项目合同扫描件为准，并能清晰反映项目名称、合同标的明细、日期、双方公章，否则将不予评审；同一个编号的项目有两个或两个以上的分标中标的只算一次。</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CB10296">
            <w:pPr>
              <w:widowControl/>
              <w:spacing w:line="360" w:lineRule="auto"/>
              <w:jc w:val="center"/>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Cs w:val="21"/>
                <w:highlight w:val="none"/>
                <w:lang w:val="en-US" w:eastAsia="zh-CN"/>
              </w:rPr>
              <w:t>8</w:t>
            </w:r>
            <w:r>
              <w:rPr>
                <w:rFonts w:hint="eastAsia" w:ascii="仿宋" w:hAnsi="仿宋" w:eastAsia="仿宋" w:cs="仿宋"/>
                <w:bCs/>
                <w:color w:val="auto"/>
                <w:szCs w:val="21"/>
                <w:highlight w:val="none"/>
              </w:rPr>
              <w:t>分</w:t>
            </w:r>
          </w:p>
        </w:tc>
      </w:tr>
      <w:tr w14:paraId="0001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tcBorders>
              <w:top w:val="single" w:color="auto" w:sz="4" w:space="0"/>
              <w:left w:val="single" w:color="auto" w:sz="4" w:space="0"/>
              <w:bottom w:val="single" w:color="auto" w:sz="4" w:space="0"/>
              <w:right w:val="single" w:color="auto" w:sz="4" w:space="0"/>
            </w:tcBorders>
            <w:vAlign w:val="top"/>
          </w:tcPr>
          <w:p w14:paraId="48CBFDD1">
            <w:pPr>
              <w:pStyle w:val="40"/>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总得分＝1＋2＋3</w:t>
            </w:r>
          </w:p>
        </w:tc>
        <w:tc>
          <w:tcPr>
            <w:tcW w:w="851" w:type="dxa"/>
            <w:tcBorders>
              <w:top w:val="single" w:color="auto" w:sz="4" w:space="0"/>
              <w:left w:val="single" w:color="auto" w:sz="4" w:space="0"/>
              <w:bottom w:val="single" w:color="auto" w:sz="4" w:space="0"/>
              <w:right w:val="single" w:color="auto" w:sz="4" w:space="0"/>
            </w:tcBorders>
            <w:vAlign w:val="center"/>
          </w:tcPr>
          <w:p w14:paraId="38C1A536">
            <w:pPr>
              <w:widowControl/>
              <w:spacing w:line="360" w:lineRule="auto"/>
              <w:jc w:val="center"/>
              <w:rPr>
                <w:rFonts w:hint="eastAsia" w:ascii="仿宋" w:hAnsi="仿宋" w:eastAsia="仿宋" w:cs="仿宋"/>
                <w:color w:val="auto"/>
                <w:kern w:val="0"/>
                <w:szCs w:val="21"/>
                <w:highlight w:val="none"/>
              </w:rPr>
            </w:pPr>
          </w:p>
        </w:tc>
      </w:tr>
    </w:tbl>
    <w:p w14:paraId="0CCDF6A4">
      <w:pPr>
        <w:spacing w:line="400" w:lineRule="exact"/>
        <w:ind w:firstLine="420" w:firstLineChars="200"/>
        <w:rPr>
          <w:rFonts w:hint="eastAsia" w:ascii="仿宋" w:hAnsi="仿宋" w:eastAsia="仿宋" w:cs="仿宋"/>
          <w:color w:val="auto"/>
          <w:highlight w:val="none"/>
        </w:rPr>
      </w:pPr>
      <w:r>
        <w:rPr>
          <w:rFonts w:hint="eastAsia" w:ascii="仿宋" w:hAnsi="仿宋" w:eastAsia="仿宋" w:cs="仿宋"/>
          <w:bCs/>
          <w:color w:val="auto"/>
          <w:szCs w:val="21"/>
          <w:highlight w:val="none"/>
        </w:rPr>
        <w:t>7.由磋商小组根据综合评分情况，按照评审得分由高到低顺序推荐3名</w:t>
      </w:r>
      <w:r>
        <w:rPr>
          <w:rFonts w:hint="eastAsia" w:ascii="仿宋" w:hAnsi="仿宋" w:eastAsia="仿宋" w:cs="仿宋"/>
          <w:bCs/>
          <w:color w:val="auto"/>
          <w:szCs w:val="21"/>
          <w:highlight w:val="none"/>
          <w:lang w:eastAsia="zh-CN"/>
        </w:rPr>
        <w:t>及</w:t>
      </w:r>
      <w:r>
        <w:rPr>
          <w:rFonts w:hint="eastAsia" w:ascii="仿宋" w:hAnsi="仿宋" w:eastAsia="仿宋" w:cs="仿宋"/>
          <w:bCs/>
          <w:color w:val="auto"/>
          <w:szCs w:val="21"/>
          <w:highlight w:val="none"/>
        </w:rPr>
        <w:t>以上成交候选供应商，并编写评审报告，评审报告通过电子交易平台向采购人、采购代理机构提交。符合本章第4.3条情形的，可以推荐2家成交候选供应商。评审得分相同的，按照最后报价由低到高的顺序推荐。评审得分且最后报价相同的，按照技术指标优劣顺序推荐（按技术得分由高到低排序）。评审得分、最后报价、技术得分均相同的，由磋商小组随机抽取推荐。</w:t>
      </w:r>
    </w:p>
    <w:p w14:paraId="55F30E2F">
      <w:pPr>
        <w:pStyle w:val="18"/>
        <w:spacing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第五章 响应文件格式</w:t>
      </w:r>
    </w:p>
    <w:p w14:paraId="4B7EEB42">
      <w:pPr>
        <w:spacing w:line="240" w:lineRule="auto"/>
        <w:rPr>
          <w:rFonts w:hint="eastAsia" w:ascii="仿宋" w:hAnsi="仿宋" w:eastAsia="仿宋" w:cs="仿宋"/>
          <w:b/>
          <w:color w:val="auto"/>
          <w:sz w:val="32"/>
          <w:szCs w:val="32"/>
          <w:highlight w:val="none"/>
        </w:rPr>
      </w:pPr>
    </w:p>
    <w:p w14:paraId="11F01269">
      <w:pPr>
        <w:spacing w:line="240" w:lineRule="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一、资格证明文件格式</w:t>
      </w:r>
    </w:p>
    <w:p w14:paraId="385A76B1">
      <w:pPr>
        <w:spacing w:after="50" w:line="240" w:lineRule="auto"/>
        <w:jc w:val="left"/>
        <w:rPr>
          <w:rFonts w:hint="eastAsia" w:ascii="仿宋" w:hAnsi="仿宋" w:eastAsia="仿宋" w:cs="仿宋"/>
          <w:b/>
          <w:color w:val="auto"/>
          <w:sz w:val="24"/>
          <w:highlight w:val="none"/>
        </w:rPr>
      </w:pPr>
      <w:r>
        <w:rPr>
          <w:rFonts w:hint="eastAsia" w:ascii="仿宋" w:hAnsi="仿宋" w:eastAsia="仿宋" w:cs="仿宋"/>
          <w:b/>
          <w:color w:val="auto"/>
          <w:sz w:val="32"/>
          <w:szCs w:val="32"/>
          <w:highlight w:val="none"/>
        </w:rPr>
        <w:t>1.资格证明文件封面格式：</w:t>
      </w:r>
      <w:r>
        <w:rPr>
          <w:rFonts w:hint="eastAsia" w:ascii="仿宋" w:hAnsi="仿宋" w:eastAsia="仿宋" w:cs="仿宋"/>
          <w:b/>
          <w:color w:val="auto"/>
          <w:sz w:val="24"/>
          <w:highlight w:val="none"/>
        </w:rPr>
        <w:t xml:space="preserve"> </w:t>
      </w:r>
    </w:p>
    <w:p w14:paraId="22206930">
      <w:pPr>
        <w:spacing w:after="50"/>
        <w:jc w:val="center"/>
        <w:rPr>
          <w:rFonts w:hint="eastAsia" w:ascii="仿宋" w:hAnsi="仿宋" w:eastAsia="仿宋" w:cs="仿宋"/>
          <w:color w:val="auto"/>
          <w:sz w:val="44"/>
          <w:szCs w:val="44"/>
          <w:highlight w:val="none"/>
        </w:rPr>
      </w:pPr>
    </w:p>
    <w:p w14:paraId="40B4CB88">
      <w:pPr>
        <w:spacing w:after="50"/>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电 子 响 应 文 件</w:t>
      </w:r>
    </w:p>
    <w:p w14:paraId="38B65B71">
      <w:pPr>
        <w:spacing w:after="50"/>
        <w:rPr>
          <w:rFonts w:hint="eastAsia" w:ascii="仿宋" w:hAnsi="仿宋" w:eastAsia="仿宋" w:cs="仿宋"/>
          <w:color w:val="auto"/>
          <w:sz w:val="24"/>
          <w:szCs w:val="20"/>
          <w:highlight w:val="none"/>
        </w:rPr>
      </w:pPr>
    </w:p>
    <w:p w14:paraId="51B6E8CB">
      <w:pPr>
        <w:spacing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资  格  证  明  文  件</w:t>
      </w:r>
    </w:p>
    <w:p w14:paraId="15234676">
      <w:pPr>
        <w:spacing w:after="50"/>
        <w:rPr>
          <w:rFonts w:hint="eastAsia" w:ascii="仿宋" w:hAnsi="仿宋" w:eastAsia="仿宋" w:cs="仿宋"/>
          <w:bCs/>
          <w:color w:val="auto"/>
          <w:sz w:val="24"/>
          <w:szCs w:val="20"/>
          <w:highlight w:val="none"/>
        </w:rPr>
      </w:pPr>
    </w:p>
    <w:p w14:paraId="42D6644F">
      <w:pPr>
        <w:spacing w:after="50"/>
        <w:rPr>
          <w:rFonts w:hint="eastAsia" w:ascii="仿宋" w:hAnsi="仿宋" w:eastAsia="仿宋" w:cs="仿宋"/>
          <w:bCs/>
          <w:color w:val="auto"/>
          <w:sz w:val="24"/>
          <w:szCs w:val="20"/>
          <w:highlight w:val="none"/>
        </w:rPr>
      </w:pPr>
    </w:p>
    <w:p w14:paraId="3F620FD0">
      <w:pPr>
        <w:spacing w:after="50"/>
        <w:rPr>
          <w:rFonts w:hint="eastAsia" w:ascii="仿宋" w:hAnsi="仿宋" w:eastAsia="仿宋" w:cs="仿宋"/>
          <w:bCs/>
          <w:color w:val="auto"/>
          <w:sz w:val="24"/>
          <w:szCs w:val="20"/>
          <w:highlight w:val="none"/>
        </w:rPr>
      </w:pPr>
    </w:p>
    <w:p w14:paraId="3416D51B">
      <w:pPr>
        <w:spacing w:after="50"/>
        <w:rPr>
          <w:rFonts w:hint="eastAsia" w:ascii="仿宋" w:hAnsi="仿宋" w:eastAsia="仿宋" w:cs="仿宋"/>
          <w:bCs/>
          <w:color w:val="auto"/>
          <w:sz w:val="24"/>
          <w:szCs w:val="20"/>
          <w:highlight w:val="none"/>
        </w:rPr>
      </w:pPr>
    </w:p>
    <w:p w14:paraId="377B6259">
      <w:pPr>
        <w:spacing w:after="50"/>
        <w:rPr>
          <w:rFonts w:hint="eastAsia" w:ascii="仿宋" w:hAnsi="仿宋" w:eastAsia="仿宋" w:cs="仿宋"/>
          <w:bCs/>
          <w:color w:val="auto"/>
          <w:sz w:val="24"/>
          <w:szCs w:val="20"/>
          <w:highlight w:val="none"/>
        </w:rPr>
      </w:pPr>
    </w:p>
    <w:p w14:paraId="34BF0CF1">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29AA7ABB">
      <w:pPr>
        <w:spacing w:after="50"/>
        <w:ind w:firstLine="720" w:firstLineChars="225"/>
        <w:rPr>
          <w:rFonts w:hint="eastAsia" w:ascii="仿宋" w:hAnsi="仿宋" w:eastAsia="仿宋" w:cs="仿宋"/>
          <w:bCs/>
          <w:color w:val="auto"/>
          <w:sz w:val="32"/>
          <w:szCs w:val="32"/>
          <w:highlight w:val="none"/>
        </w:rPr>
      </w:pPr>
    </w:p>
    <w:p w14:paraId="18262F63">
      <w:pPr>
        <w:spacing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2FFA9DB5">
      <w:pPr>
        <w:spacing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14:paraId="6E266D09">
      <w:pPr>
        <w:spacing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473D89FF">
      <w:pPr>
        <w:spacing w:after="50"/>
        <w:ind w:firstLine="720" w:firstLineChars="225"/>
        <w:rPr>
          <w:rFonts w:hint="eastAsia" w:ascii="仿宋" w:hAnsi="仿宋" w:eastAsia="仿宋" w:cs="仿宋"/>
          <w:bCs/>
          <w:color w:val="auto"/>
          <w:sz w:val="32"/>
          <w:szCs w:val="32"/>
          <w:highlight w:val="none"/>
        </w:rPr>
      </w:pPr>
    </w:p>
    <w:p w14:paraId="653083CB">
      <w:pPr>
        <w:pStyle w:val="22"/>
        <w:spacing w:before="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6D11405A">
      <w:pPr>
        <w:spacing w:after="50"/>
        <w:ind w:firstLine="640" w:firstLineChars="200"/>
        <w:rPr>
          <w:rFonts w:hint="eastAsia" w:ascii="仿宋" w:hAnsi="仿宋" w:eastAsia="仿宋" w:cs="仿宋"/>
          <w:bCs/>
          <w:color w:val="auto"/>
          <w:sz w:val="32"/>
          <w:szCs w:val="32"/>
          <w:highlight w:val="none"/>
        </w:rPr>
      </w:pPr>
    </w:p>
    <w:p w14:paraId="11FDAB89">
      <w:pPr>
        <w:pStyle w:val="22"/>
        <w:spacing w:before="50" w:after="50"/>
        <w:ind w:firstLine="720" w:firstLineChars="225"/>
        <w:rPr>
          <w:rFonts w:hint="eastAsia" w:ascii="仿宋" w:hAnsi="仿宋" w:eastAsia="仿宋" w:cs="仿宋"/>
          <w:bCs/>
          <w:color w:val="auto"/>
          <w:sz w:val="32"/>
          <w:szCs w:val="32"/>
          <w:highlight w:val="none"/>
        </w:rPr>
      </w:pPr>
    </w:p>
    <w:p w14:paraId="64313AAF">
      <w:pPr>
        <w:pStyle w:val="22"/>
        <w:spacing w:before="50" w:after="50"/>
        <w:ind w:firstLine="720" w:firstLineChars="225"/>
        <w:rPr>
          <w:rFonts w:hint="eastAsia" w:ascii="仿宋" w:hAnsi="仿宋" w:eastAsia="仿宋" w:cs="仿宋"/>
          <w:bCs/>
          <w:color w:val="auto"/>
          <w:sz w:val="32"/>
          <w:szCs w:val="32"/>
          <w:highlight w:val="none"/>
        </w:rPr>
      </w:pPr>
    </w:p>
    <w:p w14:paraId="1BE55B88">
      <w:pPr>
        <w:pStyle w:val="22"/>
        <w:spacing w:before="50" w:after="50"/>
        <w:ind w:firstLine="1280" w:firstLineChars="400"/>
        <w:rPr>
          <w:rFonts w:hint="eastAsia" w:ascii="仿宋" w:hAnsi="仿宋" w:eastAsia="仿宋" w:cs="仿宋"/>
          <w:bCs/>
          <w:color w:val="auto"/>
          <w:sz w:val="32"/>
          <w:szCs w:val="32"/>
          <w:highlight w:val="none"/>
        </w:rPr>
      </w:pPr>
    </w:p>
    <w:p w14:paraId="042D7A5E">
      <w:pPr>
        <w:spacing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217C7791">
      <w:pPr>
        <w:spacing w:after="50" w:line="360" w:lineRule="auto"/>
        <w:ind w:left="142"/>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2.资格证明文件目录</w:t>
      </w:r>
    </w:p>
    <w:p w14:paraId="31B9C5D0">
      <w:pPr>
        <w:spacing w:after="50" w:line="360" w:lineRule="auto"/>
        <w:ind w:firstLine="64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根据磋商文件规定及供应商提供的材料自行编写目录（部分格式后附）。</w:t>
      </w:r>
    </w:p>
    <w:p w14:paraId="285ECF77">
      <w:pPr>
        <w:spacing w:after="5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39087CAC">
      <w:pPr>
        <w:spacing w:line="300" w:lineRule="auto"/>
        <w:rPr>
          <w:rFonts w:hint="eastAsia" w:ascii="仿宋" w:hAnsi="仿宋" w:eastAsia="仿宋" w:cs="仿宋"/>
          <w:color w:val="auto"/>
          <w:szCs w:val="21"/>
          <w:highlight w:val="none"/>
        </w:rPr>
      </w:pPr>
    </w:p>
    <w:p w14:paraId="74F965E1">
      <w:pPr>
        <w:spacing w:line="300" w:lineRule="auto"/>
        <w:rPr>
          <w:rFonts w:hint="eastAsia" w:ascii="仿宋" w:hAnsi="仿宋" w:eastAsia="仿宋" w:cs="仿宋"/>
          <w:color w:val="auto"/>
          <w:szCs w:val="21"/>
          <w:highlight w:val="none"/>
        </w:rPr>
      </w:pPr>
    </w:p>
    <w:p w14:paraId="10F5C6A7">
      <w:pPr>
        <w:spacing w:line="300" w:lineRule="auto"/>
        <w:rPr>
          <w:rFonts w:hint="eastAsia" w:ascii="仿宋" w:hAnsi="仿宋" w:eastAsia="仿宋" w:cs="仿宋"/>
          <w:color w:val="auto"/>
          <w:szCs w:val="21"/>
          <w:highlight w:val="none"/>
        </w:rPr>
      </w:pPr>
    </w:p>
    <w:p w14:paraId="439E3A62">
      <w:pPr>
        <w:spacing w:line="300" w:lineRule="auto"/>
        <w:rPr>
          <w:rFonts w:hint="eastAsia" w:ascii="仿宋" w:hAnsi="仿宋" w:eastAsia="仿宋" w:cs="仿宋"/>
          <w:color w:val="auto"/>
          <w:szCs w:val="21"/>
          <w:highlight w:val="none"/>
        </w:rPr>
      </w:pPr>
    </w:p>
    <w:p w14:paraId="6A838F92">
      <w:pPr>
        <w:spacing w:line="300" w:lineRule="auto"/>
        <w:rPr>
          <w:rFonts w:hint="eastAsia" w:ascii="仿宋" w:hAnsi="仿宋" w:eastAsia="仿宋" w:cs="仿宋"/>
          <w:color w:val="auto"/>
          <w:szCs w:val="21"/>
          <w:highlight w:val="none"/>
        </w:rPr>
      </w:pPr>
    </w:p>
    <w:p w14:paraId="48C83301">
      <w:pPr>
        <w:spacing w:line="300" w:lineRule="auto"/>
        <w:rPr>
          <w:rFonts w:hint="eastAsia" w:ascii="仿宋" w:hAnsi="仿宋" w:eastAsia="仿宋" w:cs="仿宋"/>
          <w:color w:val="auto"/>
          <w:szCs w:val="21"/>
          <w:highlight w:val="none"/>
        </w:rPr>
      </w:pPr>
    </w:p>
    <w:p w14:paraId="34C6497C">
      <w:pPr>
        <w:spacing w:line="300" w:lineRule="auto"/>
        <w:rPr>
          <w:rFonts w:hint="eastAsia" w:ascii="仿宋" w:hAnsi="仿宋" w:eastAsia="仿宋" w:cs="仿宋"/>
          <w:color w:val="auto"/>
          <w:szCs w:val="21"/>
          <w:highlight w:val="none"/>
        </w:rPr>
      </w:pPr>
    </w:p>
    <w:p w14:paraId="7FE94B59">
      <w:pPr>
        <w:spacing w:line="300" w:lineRule="auto"/>
        <w:rPr>
          <w:rFonts w:hint="eastAsia" w:ascii="仿宋" w:hAnsi="仿宋" w:eastAsia="仿宋" w:cs="仿宋"/>
          <w:color w:val="auto"/>
          <w:szCs w:val="21"/>
          <w:highlight w:val="none"/>
        </w:rPr>
      </w:pPr>
    </w:p>
    <w:p w14:paraId="131828DE">
      <w:pPr>
        <w:spacing w:line="300" w:lineRule="auto"/>
        <w:rPr>
          <w:rFonts w:hint="eastAsia" w:ascii="仿宋" w:hAnsi="仿宋" w:eastAsia="仿宋" w:cs="仿宋"/>
          <w:color w:val="auto"/>
          <w:szCs w:val="21"/>
          <w:highlight w:val="none"/>
        </w:rPr>
      </w:pPr>
    </w:p>
    <w:p w14:paraId="536971B2">
      <w:pPr>
        <w:spacing w:line="300" w:lineRule="auto"/>
        <w:rPr>
          <w:rFonts w:hint="eastAsia" w:ascii="仿宋" w:hAnsi="仿宋" w:eastAsia="仿宋" w:cs="仿宋"/>
          <w:color w:val="auto"/>
          <w:szCs w:val="21"/>
          <w:highlight w:val="none"/>
        </w:rPr>
      </w:pPr>
    </w:p>
    <w:p w14:paraId="208C88C3">
      <w:pPr>
        <w:spacing w:line="300" w:lineRule="auto"/>
        <w:rPr>
          <w:rFonts w:hint="eastAsia" w:ascii="仿宋" w:hAnsi="仿宋" w:eastAsia="仿宋" w:cs="仿宋"/>
          <w:color w:val="auto"/>
          <w:szCs w:val="21"/>
          <w:highlight w:val="none"/>
        </w:rPr>
      </w:pPr>
    </w:p>
    <w:p w14:paraId="09464D29">
      <w:pPr>
        <w:spacing w:line="300" w:lineRule="auto"/>
        <w:rPr>
          <w:rFonts w:hint="eastAsia" w:ascii="仿宋" w:hAnsi="仿宋" w:eastAsia="仿宋" w:cs="仿宋"/>
          <w:color w:val="auto"/>
          <w:szCs w:val="21"/>
          <w:highlight w:val="none"/>
        </w:rPr>
      </w:pPr>
    </w:p>
    <w:p w14:paraId="5A80262A">
      <w:pPr>
        <w:spacing w:line="300" w:lineRule="auto"/>
        <w:rPr>
          <w:rFonts w:hint="eastAsia" w:ascii="仿宋" w:hAnsi="仿宋" w:eastAsia="仿宋" w:cs="仿宋"/>
          <w:color w:val="auto"/>
          <w:szCs w:val="21"/>
          <w:highlight w:val="none"/>
        </w:rPr>
      </w:pPr>
    </w:p>
    <w:p w14:paraId="46EF6613">
      <w:pPr>
        <w:spacing w:line="300" w:lineRule="auto"/>
        <w:rPr>
          <w:rFonts w:hint="eastAsia" w:ascii="仿宋" w:hAnsi="仿宋" w:eastAsia="仿宋" w:cs="仿宋"/>
          <w:color w:val="auto"/>
          <w:szCs w:val="21"/>
          <w:highlight w:val="none"/>
        </w:rPr>
      </w:pPr>
    </w:p>
    <w:p w14:paraId="4F22B470">
      <w:pPr>
        <w:spacing w:line="300" w:lineRule="auto"/>
        <w:rPr>
          <w:rFonts w:hint="eastAsia" w:ascii="仿宋" w:hAnsi="仿宋" w:eastAsia="仿宋" w:cs="仿宋"/>
          <w:color w:val="auto"/>
          <w:szCs w:val="21"/>
          <w:highlight w:val="none"/>
        </w:rPr>
      </w:pPr>
    </w:p>
    <w:p w14:paraId="3BD78AA3">
      <w:pPr>
        <w:spacing w:line="240" w:lineRule="auto"/>
        <w:jc w:val="center"/>
        <w:rPr>
          <w:rFonts w:hint="eastAsia" w:ascii="仿宋" w:hAnsi="仿宋" w:eastAsia="仿宋" w:cs="仿宋"/>
          <w:b/>
          <w:color w:val="auto"/>
          <w:sz w:val="32"/>
          <w:szCs w:val="32"/>
          <w:highlight w:val="none"/>
        </w:rPr>
      </w:pPr>
      <w:r>
        <w:rPr>
          <w:rFonts w:hint="eastAsia" w:ascii="仿宋" w:hAnsi="仿宋" w:eastAsia="仿宋" w:cs="仿宋"/>
          <w:color w:val="auto"/>
          <w:szCs w:val="21"/>
          <w:highlight w:val="none"/>
        </w:rPr>
        <w:br w:type="page"/>
      </w:r>
      <w:r>
        <w:rPr>
          <w:rFonts w:hint="eastAsia" w:ascii="仿宋" w:hAnsi="仿宋" w:eastAsia="仿宋" w:cs="仿宋"/>
          <w:color w:val="auto"/>
          <w:szCs w:val="21"/>
          <w:highlight w:val="none"/>
        </w:rPr>
        <w:t xml:space="preserve"> </w:t>
      </w:r>
      <w:r>
        <w:rPr>
          <w:rFonts w:hint="eastAsia" w:ascii="仿宋" w:hAnsi="仿宋" w:eastAsia="仿宋" w:cs="仿宋"/>
          <w:b/>
          <w:color w:val="auto"/>
          <w:sz w:val="32"/>
          <w:szCs w:val="32"/>
          <w:highlight w:val="none"/>
        </w:rPr>
        <w:t>防城港市政府采购供应商信用承诺函（格式）</w:t>
      </w:r>
    </w:p>
    <w:p w14:paraId="770D15BA">
      <w:pPr>
        <w:spacing w:line="320" w:lineRule="exact"/>
        <w:jc w:val="left"/>
        <w:rPr>
          <w:rFonts w:hint="eastAsia" w:ascii="仿宋" w:hAnsi="仿宋" w:eastAsia="仿宋" w:cs="仿宋"/>
          <w:color w:val="auto"/>
          <w:szCs w:val="21"/>
          <w:highlight w:val="none"/>
        </w:rPr>
      </w:pPr>
    </w:p>
    <w:p w14:paraId="1F4A9CF0">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致（采购人或采购代理机构） ：</w:t>
      </w:r>
    </w:p>
    <w:p w14:paraId="101F4D9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我方自愿参加</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项目（</w:t>
      </w:r>
      <w:r>
        <w:rPr>
          <w:rFonts w:hint="eastAsia" w:ascii="仿宋" w:hAnsi="仿宋" w:eastAsia="仿宋" w:cs="仿宋"/>
          <w:color w:val="auto"/>
          <w:sz w:val="24"/>
          <w:highlight w:val="none"/>
          <w:u w:val="single"/>
        </w:rPr>
        <w:t xml:space="preserve">项目编号：         </w:t>
      </w:r>
      <w:r>
        <w:rPr>
          <w:rFonts w:hint="eastAsia" w:ascii="仿宋" w:hAnsi="仿宋" w:eastAsia="仿宋" w:cs="仿宋"/>
          <w:color w:val="auto"/>
          <w:sz w:val="24"/>
          <w:highlight w:val="none"/>
        </w:rPr>
        <w:t xml:space="preserve">）的政府采购活动，严格遵守《中华人民共和国政府采购法》及相关法律法规，依法诚信经营，无条件遵守本次政府采购活动的各项规定，并郑重承诺： </w:t>
      </w:r>
    </w:p>
    <w:p w14:paraId="5D4D5C52">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1.我方具有符合采购文件资格要求的财务状况报告。 </w:t>
      </w:r>
    </w:p>
    <w:p w14:paraId="77FEB111">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2.我方具有符合采购文件资格要求的依法缴纳税收和社会保障资金的良好记录。 </w:t>
      </w:r>
    </w:p>
    <w:p w14:paraId="0836F5BA">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3.我方参加政府采购活动前三年内在经营活动中没有重大违法记录。 </w:t>
      </w:r>
    </w:p>
    <w:p w14:paraId="66E9BB63">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我方对以上承诺内容的真实性负责。如有虚假，将依法承担相应责任。</w:t>
      </w:r>
    </w:p>
    <w:p w14:paraId="23A18BD7">
      <w:pPr>
        <w:spacing w:line="360" w:lineRule="auto"/>
        <w:jc w:val="left"/>
        <w:rPr>
          <w:rFonts w:hint="eastAsia" w:ascii="仿宋" w:hAnsi="仿宋" w:eastAsia="仿宋" w:cs="仿宋"/>
          <w:color w:val="auto"/>
          <w:sz w:val="24"/>
          <w:highlight w:val="none"/>
        </w:rPr>
      </w:pPr>
    </w:p>
    <w:p w14:paraId="515D2E19">
      <w:pPr>
        <w:spacing w:line="360" w:lineRule="auto"/>
        <w:jc w:val="left"/>
        <w:rPr>
          <w:rFonts w:hint="eastAsia" w:ascii="仿宋" w:hAnsi="仿宋" w:eastAsia="仿宋" w:cs="仿宋"/>
          <w:color w:val="auto"/>
          <w:sz w:val="24"/>
          <w:highlight w:val="none"/>
        </w:rPr>
      </w:pPr>
    </w:p>
    <w:p w14:paraId="6B7099D0">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供应商名称（电子签章）：</w:t>
      </w:r>
    </w:p>
    <w:p w14:paraId="18CE6D5B">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统一社会信用代码：</w:t>
      </w:r>
    </w:p>
    <w:p w14:paraId="01386C92">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法定代表人或授权代表(签字或者电子签名)：</w:t>
      </w:r>
    </w:p>
    <w:p w14:paraId="67B63DD5">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47A66EE6">
      <w:pPr>
        <w:spacing w:line="360" w:lineRule="auto"/>
        <w:jc w:val="left"/>
        <w:rPr>
          <w:rFonts w:hint="eastAsia" w:ascii="仿宋" w:hAnsi="仿宋" w:eastAsia="仿宋" w:cs="仿宋"/>
          <w:color w:val="auto"/>
          <w:sz w:val="24"/>
          <w:highlight w:val="none"/>
        </w:rPr>
      </w:pPr>
    </w:p>
    <w:p w14:paraId="6068BE7C">
      <w:pPr>
        <w:spacing w:line="360" w:lineRule="auto"/>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注：1.供应商须在响应文件中按此模板提供承诺函，未提供视为未实质性响应采购文件要求，按无效响应处理。</w:t>
      </w:r>
    </w:p>
    <w:p w14:paraId="1BCFB705">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2.供应商的法定代表人（其他组织的为负责人）或者授权代表的签名或盖章应真实、有效，如由授权代表签名或盖章的，应提供“法定代表人授权书”。</w:t>
      </w:r>
    </w:p>
    <w:p w14:paraId="6556BC56">
      <w:pPr>
        <w:spacing w:line="320" w:lineRule="exact"/>
        <w:jc w:val="left"/>
        <w:rPr>
          <w:rFonts w:hint="eastAsia" w:ascii="仿宋" w:hAnsi="仿宋" w:eastAsia="仿宋" w:cs="仿宋"/>
          <w:color w:val="auto"/>
          <w:szCs w:val="21"/>
          <w:highlight w:val="none"/>
        </w:rPr>
      </w:pPr>
    </w:p>
    <w:p w14:paraId="24FBD92F">
      <w:pPr>
        <w:pStyle w:val="22"/>
        <w:rPr>
          <w:rFonts w:hint="eastAsia" w:ascii="仿宋" w:hAnsi="仿宋" w:eastAsia="仿宋" w:cs="仿宋"/>
          <w:color w:val="auto"/>
          <w:highlight w:val="none"/>
        </w:rPr>
      </w:pPr>
    </w:p>
    <w:p w14:paraId="2921D9CF">
      <w:pPr>
        <w:pStyle w:val="22"/>
        <w:rPr>
          <w:rFonts w:hint="eastAsia" w:ascii="仿宋" w:hAnsi="仿宋" w:eastAsia="仿宋" w:cs="仿宋"/>
          <w:color w:val="auto"/>
          <w:highlight w:val="none"/>
        </w:rPr>
      </w:pPr>
    </w:p>
    <w:p w14:paraId="10C6A9E0">
      <w:pPr>
        <w:pStyle w:val="22"/>
        <w:rPr>
          <w:rFonts w:hint="eastAsia" w:ascii="仿宋" w:hAnsi="仿宋" w:eastAsia="仿宋" w:cs="仿宋"/>
          <w:color w:val="auto"/>
          <w:highlight w:val="none"/>
        </w:rPr>
      </w:pPr>
    </w:p>
    <w:p w14:paraId="7EA7F3AD">
      <w:pPr>
        <w:pStyle w:val="22"/>
        <w:rPr>
          <w:rFonts w:hint="eastAsia" w:ascii="仿宋" w:hAnsi="仿宋" w:eastAsia="仿宋" w:cs="仿宋"/>
          <w:color w:val="auto"/>
          <w:highlight w:val="none"/>
        </w:rPr>
      </w:pPr>
    </w:p>
    <w:p w14:paraId="49ACFB69">
      <w:pPr>
        <w:pStyle w:val="22"/>
        <w:rPr>
          <w:rFonts w:hint="eastAsia" w:ascii="仿宋" w:hAnsi="仿宋" w:eastAsia="仿宋" w:cs="仿宋"/>
          <w:color w:val="auto"/>
          <w:highlight w:val="none"/>
        </w:rPr>
      </w:pPr>
    </w:p>
    <w:p w14:paraId="3C88B392">
      <w:pPr>
        <w:pStyle w:val="22"/>
        <w:rPr>
          <w:rFonts w:hint="eastAsia" w:ascii="仿宋" w:hAnsi="仿宋" w:eastAsia="仿宋" w:cs="仿宋"/>
          <w:color w:val="auto"/>
          <w:highlight w:val="none"/>
        </w:rPr>
      </w:pPr>
    </w:p>
    <w:p w14:paraId="5EC3964C">
      <w:pPr>
        <w:pStyle w:val="22"/>
        <w:rPr>
          <w:rFonts w:hint="eastAsia" w:ascii="仿宋" w:hAnsi="仿宋" w:eastAsia="仿宋" w:cs="仿宋"/>
          <w:color w:val="auto"/>
          <w:highlight w:val="none"/>
        </w:rPr>
      </w:pPr>
    </w:p>
    <w:p w14:paraId="16BBA627">
      <w:pPr>
        <w:pStyle w:val="22"/>
        <w:rPr>
          <w:rFonts w:hint="eastAsia" w:ascii="仿宋" w:hAnsi="仿宋" w:eastAsia="仿宋" w:cs="仿宋"/>
          <w:color w:val="auto"/>
          <w:highlight w:val="none"/>
        </w:rPr>
      </w:pPr>
    </w:p>
    <w:p w14:paraId="70575569">
      <w:pPr>
        <w:pStyle w:val="22"/>
        <w:rPr>
          <w:rFonts w:hint="eastAsia" w:ascii="仿宋" w:hAnsi="仿宋" w:eastAsia="仿宋" w:cs="仿宋"/>
          <w:color w:val="auto"/>
          <w:highlight w:val="none"/>
        </w:rPr>
      </w:pPr>
    </w:p>
    <w:p w14:paraId="7AE52433">
      <w:pPr>
        <w:pStyle w:val="22"/>
        <w:rPr>
          <w:rFonts w:hint="eastAsia" w:ascii="仿宋" w:hAnsi="仿宋" w:eastAsia="仿宋" w:cs="仿宋"/>
          <w:color w:val="auto"/>
          <w:highlight w:val="none"/>
        </w:rPr>
      </w:pPr>
    </w:p>
    <w:p w14:paraId="6AEF60BA">
      <w:pPr>
        <w:pStyle w:val="22"/>
        <w:rPr>
          <w:rFonts w:hint="eastAsia" w:ascii="仿宋" w:hAnsi="仿宋" w:eastAsia="仿宋" w:cs="仿宋"/>
          <w:color w:val="auto"/>
          <w:highlight w:val="none"/>
        </w:rPr>
      </w:pPr>
    </w:p>
    <w:p w14:paraId="5F176791">
      <w:pPr>
        <w:pStyle w:val="22"/>
        <w:rPr>
          <w:rFonts w:hint="eastAsia" w:ascii="仿宋" w:hAnsi="仿宋" w:eastAsia="仿宋" w:cs="仿宋"/>
          <w:color w:val="auto"/>
          <w:highlight w:val="none"/>
        </w:rPr>
      </w:pPr>
    </w:p>
    <w:p w14:paraId="643AF647">
      <w:pPr>
        <w:wordWrap w:val="0"/>
        <w:spacing w:after="50" w:line="320" w:lineRule="exact"/>
        <w:ind w:right="482" w:firstLine="210" w:firstLineChars="100"/>
        <w:contextualSpacing/>
        <w:jc w:val="center"/>
        <w:rPr>
          <w:rFonts w:hint="eastAsia" w:ascii="仿宋" w:hAnsi="仿宋" w:eastAsia="仿宋" w:cs="仿宋"/>
          <w:color w:val="auto"/>
          <w:szCs w:val="21"/>
          <w:highlight w:val="none"/>
        </w:rPr>
      </w:pPr>
    </w:p>
    <w:p w14:paraId="64A4B1EE">
      <w:pPr>
        <w:pStyle w:val="5"/>
        <w:rPr>
          <w:rFonts w:hint="eastAsia" w:ascii="仿宋" w:hAnsi="仿宋" w:eastAsia="仿宋" w:cs="仿宋"/>
          <w:color w:val="auto"/>
          <w:highlight w:val="none"/>
        </w:rPr>
      </w:pPr>
    </w:p>
    <w:p w14:paraId="6F997AF2">
      <w:pPr>
        <w:wordWrap w:val="0"/>
        <w:spacing w:after="50" w:line="320" w:lineRule="exact"/>
        <w:ind w:right="482" w:firstLine="210" w:firstLineChars="100"/>
        <w:contextualSpacing/>
        <w:jc w:val="center"/>
        <w:rPr>
          <w:rFonts w:hint="eastAsia" w:ascii="仿宋" w:hAnsi="仿宋" w:eastAsia="仿宋" w:cs="仿宋"/>
          <w:color w:val="auto"/>
          <w:szCs w:val="21"/>
          <w:highlight w:val="none"/>
        </w:rPr>
      </w:pPr>
    </w:p>
    <w:p w14:paraId="2F1CB0DF">
      <w:pPr>
        <w:spacing w:line="24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供应商直接控股、管理关系信息表</w:t>
      </w:r>
    </w:p>
    <w:p w14:paraId="6F6FC0DB">
      <w:pPr>
        <w:spacing w:after="50" w:line="240" w:lineRule="auto"/>
        <w:jc w:val="center"/>
        <w:rPr>
          <w:rFonts w:hint="eastAsia" w:ascii="仿宋" w:hAnsi="仿宋" w:eastAsia="仿宋" w:cs="仿宋"/>
          <w:b/>
          <w:color w:val="auto"/>
          <w:sz w:val="24"/>
          <w:highlight w:val="none"/>
        </w:rPr>
      </w:pPr>
    </w:p>
    <w:p w14:paraId="1CBA20F8">
      <w:pPr>
        <w:spacing w:line="240" w:lineRule="auto"/>
        <w:contextualSpacing/>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供应商直接控股股东信息表</w:t>
      </w:r>
    </w:p>
    <w:p w14:paraId="5240B98A">
      <w:pPr>
        <w:spacing w:line="360" w:lineRule="auto"/>
        <w:contextualSpacing/>
        <w:jc w:val="center"/>
        <w:rPr>
          <w:rFonts w:hint="eastAsia" w:ascii="仿宋" w:hAnsi="仿宋" w:eastAsia="仿宋" w:cs="仿宋"/>
          <w:b/>
          <w:color w:val="auto"/>
          <w:sz w:val="24"/>
          <w:highlight w:val="none"/>
        </w:rPr>
      </w:pPr>
    </w:p>
    <w:tbl>
      <w:tblPr>
        <w:tblStyle w:val="13"/>
        <w:tblW w:w="9255" w:type="dxa"/>
        <w:jc w:val="center"/>
        <w:shd w:val="clear" w:color="auto" w:fill="FBFBFB"/>
        <w:tblLayout w:type="fixed"/>
        <w:tblCellMar>
          <w:top w:w="120" w:type="dxa"/>
          <w:left w:w="120" w:type="dxa"/>
          <w:bottom w:w="120" w:type="dxa"/>
          <w:right w:w="120" w:type="dxa"/>
        </w:tblCellMar>
      </w:tblPr>
      <w:tblGrid>
        <w:gridCol w:w="880"/>
        <w:gridCol w:w="2655"/>
        <w:gridCol w:w="1455"/>
        <w:gridCol w:w="3065"/>
        <w:gridCol w:w="1200"/>
      </w:tblGrid>
      <w:tr w14:paraId="7A2BA20C">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376C61A">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206FA56">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876F9E9">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306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C57BFE8">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12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31B110F">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64FE8328">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0D126A3">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C184F39">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D9EA3F1">
            <w:pPr>
              <w:widowControl/>
              <w:spacing w:line="360" w:lineRule="auto"/>
              <w:contextualSpacing/>
              <w:jc w:val="center"/>
              <w:rPr>
                <w:rFonts w:hint="eastAsia" w:ascii="仿宋" w:hAnsi="仿宋" w:eastAsia="仿宋" w:cs="仿宋"/>
                <w:color w:val="auto"/>
                <w:kern w:val="0"/>
                <w:sz w:val="24"/>
                <w:highlight w:val="none"/>
              </w:rPr>
            </w:pPr>
          </w:p>
        </w:tc>
        <w:tc>
          <w:tcPr>
            <w:tcW w:w="306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0BDC0B6">
            <w:pPr>
              <w:widowControl/>
              <w:spacing w:line="360" w:lineRule="auto"/>
              <w:contextualSpacing/>
              <w:jc w:val="center"/>
              <w:rPr>
                <w:rFonts w:hint="eastAsia" w:ascii="仿宋" w:hAnsi="仿宋" w:eastAsia="仿宋" w:cs="仿宋"/>
                <w:color w:val="auto"/>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0EA7DAC">
            <w:pPr>
              <w:widowControl/>
              <w:spacing w:line="360" w:lineRule="auto"/>
              <w:contextualSpacing/>
              <w:jc w:val="center"/>
              <w:rPr>
                <w:rFonts w:hint="eastAsia" w:ascii="仿宋" w:hAnsi="仿宋" w:eastAsia="仿宋" w:cs="仿宋"/>
                <w:color w:val="auto"/>
                <w:kern w:val="0"/>
                <w:sz w:val="24"/>
                <w:highlight w:val="none"/>
              </w:rPr>
            </w:pPr>
          </w:p>
        </w:tc>
      </w:tr>
      <w:tr w14:paraId="3358509C">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BE08075">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422E2CB">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C71B327">
            <w:pPr>
              <w:widowControl/>
              <w:spacing w:line="360" w:lineRule="auto"/>
              <w:contextualSpacing/>
              <w:jc w:val="center"/>
              <w:rPr>
                <w:rFonts w:hint="eastAsia" w:ascii="仿宋" w:hAnsi="仿宋" w:eastAsia="仿宋" w:cs="仿宋"/>
                <w:color w:val="auto"/>
                <w:kern w:val="0"/>
                <w:sz w:val="24"/>
                <w:highlight w:val="none"/>
              </w:rPr>
            </w:pPr>
          </w:p>
        </w:tc>
        <w:tc>
          <w:tcPr>
            <w:tcW w:w="306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99315AD">
            <w:pPr>
              <w:widowControl/>
              <w:spacing w:line="360" w:lineRule="auto"/>
              <w:contextualSpacing/>
              <w:jc w:val="center"/>
              <w:rPr>
                <w:rFonts w:hint="eastAsia" w:ascii="仿宋" w:hAnsi="仿宋" w:eastAsia="仿宋" w:cs="仿宋"/>
                <w:color w:val="auto"/>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47F8492">
            <w:pPr>
              <w:widowControl/>
              <w:spacing w:line="360" w:lineRule="auto"/>
              <w:contextualSpacing/>
              <w:jc w:val="center"/>
              <w:rPr>
                <w:rFonts w:hint="eastAsia" w:ascii="仿宋" w:hAnsi="仿宋" w:eastAsia="仿宋" w:cs="仿宋"/>
                <w:color w:val="auto"/>
                <w:kern w:val="0"/>
                <w:sz w:val="24"/>
                <w:highlight w:val="none"/>
              </w:rPr>
            </w:pPr>
          </w:p>
        </w:tc>
      </w:tr>
      <w:tr w14:paraId="6FE030A4">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CE856BB">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3FA7F83">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DEF5E39">
            <w:pPr>
              <w:widowControl/>
              <w:spacing w:line="360" w:lineRule="auto"/>
              <w:contextualSpacing/>
              <w:jc w:val="center"/>
              <w:rPr>
                <w:rFonts w:hint="eastAsia" w:ascii="仿宋" w:hAnsi="仿宋" w:eastAsia="仿宋" w:cs="仿宋"/>
                <w:color w:val="auto"/>
                <w:kern w:val="0"/>
                <w:sz w:val="24"/>
                <w:highlight w:val="none"/>
              </w:rPr>
            </w:pPr>
          </w:p>
        </w:tc>
        <w:tc>
          <w:tcPr>
            <w:tcW w:w="306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C740D3E">
            <w:pPr>
              <w:widowControl/>
              <w:spacing w:line="360" w:lineRule="auto"/>
              <w:contextualSpacing/>
              <w:jc w:val="center"/>
              <w:rPr>
                <w:rFonts w:hint="eastAsia" w:ascii="仿宋" w:hAnsi="仿宋" w:eastAsia="仿宋" w:cs="仿宋"/>
                <w:color w:val="auto"/>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2E0255B">
            <w:pPr>
              <w:widowControl/>
              <w:spacing w:line="360" w:lineRule="auto"/>
              <w:contextualSpacing/>
              <w:jc w:val="center"/>
              <w:rPr>
                <w:rFonts w:hint="eastAsia" w:ascii="仿宋" w:hAnsi="仿宋" w:eastAsia="仿宋" w:cs="仿宋"/>
                <w:color w:val="auto"/>
                <w:kern w:val="0"/>
                <w:sz w:val="24"/>
                <w:highlight w:val="none"/>
              </w:rPr>
            </w:pPr>
          </w:p>
        </w:tc>
      </w:tr>
      <w:tr w14:paraId="763808D7">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D20FE82">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7FEEDC4">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1D50836">
            <w:pPr>
              <w:widowControl/>
              <w:spacing w:line="360" w:lineRule="auto"/>
              <w:contextualSpacing/>
              <w:jc w:val="center"/>
              <w:rPr>
                <w:rFonts w:hint="eastAsia" w:ascii="仿宋" w:hAnsi="仿宋" w:eastAsia="仿宋" w:cs="仿宋"/>
                <w:color w:val="auto"/>
                <w:kern w:val="0"/>
                <w:sz w:val="24"/>
                <w:highlight w:val="none"/>
              </w:rPr>
            </w:pPr>
          </w:p>
        </w:tc>
        <w:tc>
          <w:tcPr>
            <w:tcW w:w="306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06DFD00">
            <w:pPr>
              <w:widowControl/>
              <w:spacing w:line="360" w:lineRule="auto"/>
              <w:contextualSpacing/>
              <w:jc w:val="center"/>
              <w:rPr>
                <w:rFonts w:hint="eastAsia" w:ascii="仿宋" w:hAnsi="仿宋" w:eastAsia="仿宋" w:cs="仿宋"/>
                <w:color w:val="auto"/>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3239A19">
            <w:pPr>
              <w:widowControl/>
              <w:spacing w:line="360" w:lineRule="auto"/>
              <w:contextualSpacing/>
              <w:jc w:val="center"/>
              <w:rPr>
                <w:rFonts w:hint="eastAsia" w:ascii="仿宋" w:hAnsi="仿宋" w:eastAsia="仿宋" w:cs="仿宋"/>
                <w:color w:val="auto"/>
                <w:kern w:val="0"/>
                <w:sz w:val="24"/>
                <w:highlight w:val="none"/>
              </w:rPr>
            </w:pPr>
          </w:p>
        </w:tc>
      </w:tr>
    </w:tbl>
    <w:p w14:paraId="3D1EDC98">
      <w:pPr>
        <w:spacing w:line="360" w:lineRule="auto"/>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5946CD7D">
      <w:pPr>
        <w:spacing w:line="360" w:lineRule="auto"/>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CA00259">
      <w:pPr>
        <w:spacing w:line="360" w:lineRule="auto"/>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2.本表所指的控股关系仅限于直接控股关系，不包括间接的控股关系。公司实际控制人与公司之间的关系不属于本表所指的直接控股关系。</w:t>
      </w:r>
    </w:p>
    <w:p w14:paraId="57F04742">
      <w:pPr>
        <w:spacing w:line="360" w:lineRule="auto"/>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3.供应商不存在直接控股股东的，则在“直接控股股东名称”填“无”。</w:t>
      </w:r>
    </w:p>
    <w:p w14:paraId="57FFC122">
      <w:pPr>
        <w:spacing w:line="360" w:lineRule="auto"/>
        <w:ind w:firstLine="420" w:firstLineChars="200"/>
        <w:contextualSpacing/>
        <w:jc w:val="left"/>
        <w:rPr>
          <w:rFonts w:hint="eastAsia" w:ascii="仿宋" w:hAnsi="仿宋" w:eastAsia="仿宋" w:cs="仿宋"/>
          <w:color w:val="auto"/>
          <w:szCs w:val="21"/>
          <w:highlight w:val="none"/>
        </w:rPr>
      </w:pPr>
    </w:p>
    <w:p w14:paraId="4F9CA9E3">
      <w:pPr>
        <w:spacing w:line="360" w:lineRule="auto"/>
        <w:ind w:firstLine="560" w:firstLineChars="200"/>
        <w:contextualSpacing/>
        <w:jc w:val="left"/>
        <w:rPr>
          <w:rFonts w:hint="eastAsia" w:ascii="仿宋" w:hAnsi="仿宋" w:eastAsia="仿宋" w:cs="仿宋"/>
          <w:color w:val="auto"/>
          <w:sz w:val="28"/>
          <w:szCs w:val="28"/>
          <w:highlight w:val="none"/>
        </w:rPr>
      </w:pPr>
    </w:p>
    <w:p w14:paraId="7888DE39">
      <w:pPr>
        <w:spacing w:line="360" w:lineRule="auto"/>
        <w:ind w:right="480"/>
        <w:contextualSpacing/>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法定代表人或者委托代理人（签字或者电子签名）：</w:t>
      </w:r>
      <w:r>
        <w:rPr>
          <w:rFonts w:hint="eastAsia" w:ascii="仿宋" w:hAnsi="仿宋" w:eastAsia="仿宋" w:cs="仿宋"/>
          <w:color w:val="auto"/>
          <w:sz w:val="24"/>
          <w:highlight w:val="none"/>
          <w:u w:val="single"/>
        </w:rPr>
        <w:t xml:space="preserve">                    </w:t>
      </w:r>
    </w:p>
    <w:p w14:paraId="75D0B55A">
      <w:pPr>
        <w:spacing w:line="360" w:lineRule="auto"/>
        <w:ind w:right="480" w:firstLine="3000" w:firstLineChars="125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供应商（电子签章）： </w:t>
      </w:r>
      <w:r>
        <w:rPr>
          <w:rFonts w:hint="eastAsia" w:ascii="仿宋" w:hAnsi="仿宋" w:eastAsia="仿宋" w:cs="仿宋"/>
          <w:color w:val="auto"/>
          <w:sz w:val="24"/>
          <w:highlight w:val="none"/>
          <w:u w:val="single"/>
        </w:rPr>
        <w:t xml:space="preserve">                              </w:t>
      </w:r>
    </w:p>
    <w:p w14:paraId="0FC6BACA">
      <w:pPr>
        <w:spacing w:line="360" w:lineRule="auto"/>
        <w:ind w:firstLine="480" w:firstLineChars="200"/>
        <w:contextualSpacing/>
        <w:jc w:val="right"/>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t>年    月    日</w:t>
      </w:r>
    </w:p>
    <w:p w14:paraId="1DA5C2FC">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7F2D57B1">
      <w:pPr>
        <w:spacing w:line="24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供应商直接管理关系信息表</w:t>
      </w:r>
    </w:p>
    <w:p w14:paraId="201F19E3">
      <w:pPr>
        <w:spacing w:line="360" w:lineRule="auto"/>
        <w:jc w:val="center"/>
        <w:rPr>
          <w:rFonts w:hint="eastAsia" w:ascii="仿宋" w:hAnsi="仿宋" w:eastAsia="仿宋" w:cs="仿宋"/>
          <w:b/>
          <w:color w:val="auto"/>
          <w:sz w:val="24"/>
          <w:highlight w:val="none"/>
        </w:rPr>
      </w:pPr>
    </w:p>
    <w:tbl>
      <w:tblPr>
        <w:tblStyle w:val="13"/>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C032DAF">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FAED196">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2197248">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C309920">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E8B00AF">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277D56E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037B17A">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5030D0B">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CD478F6">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801EFF4">
            <w:pPr>
              <w:widowControl/>
              <w:spacing w:line="360" w:lineRule="auto"/>
              <w:contextualSpacing/>
              <w:jc w:val="center"/>
              <w:rPr>
                <w:rFonts w:hint="eastAsia" w:ascii="仿宋" w:hAnsi="仿宋" w:eastAsia="仿宋" w:cs="仿宋"/>
                <w:color w:val="auto"/>
                <w:kern w:val="0"/>
                <w:sz w:val="24"/>
                <w:highlight w:val="none"/>
              </w:rPr>
            </w:pPr>
          </w:p>
        </w:tc>
      </w:tr>
      <w:tr w14:paraId="3D5E055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5C12D66">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2E5DA6B">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7996288">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DC1699A">
            <w:pPr>
              <w:widowControl/>
              <w:spacing w:line="360" w:lineRule="auto"/>
              <w:contextualSpacing/>
              <w:jc w:val="center"/>
              <w:rPr>
                <w:rFonts w:hint="eastAsia" w:ascii="仿宋" w:hAnsi="仿宋" w:eastAsia="仿宋" w:cs="仿宋"/>
                <w:color w:val="auto"/>
                <w:kern w:val="0"/>
                <w:sz w:val="24"/>
                <w:highlight w:val="none"/>
              </w:rPr>
            </w:pPr>
          </w:p>
        </w:tc>
      </w:tr>
      <w:tr w14:paraId="54018C9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79CCF3A">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A2FE67E">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ED27255">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A8C4B63">
            <w:pPr>
              <w:widowControl/>
              <w:spacing w:line="360" w:lineRule="auto"/>
              <w:contextualSpacing/>
              <w:jc w:val="center"/>
              <w:rPr>
                <w:rFonts w:hint="eastAsia" w:ascii="仿宋" w:hAnsi="仿宋" w:eastAsia="仿宋" w:cs="仿宋"/>
                <w:color w:val="auto"/>
                <w:kern w:val="0"/>
                <w:sz w:val="24"/>
                <w:highlight w:val="none"/>
              </w:rPr>
            </w:pPr>
          </w:p>
        </w:tc>
      </w:tr>
      <w:tr w14:paraId="6872780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FB825F2">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77641ED">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5042D66">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53A9495">
            <w:pPr>
              <w:widowControl/>
              <w:spacing w:line="360" w:lineRule="auto"/>
              <w:contextualSpacing/>
              <w:jc w:val="center"/>
              <w:rPr>
                <w:rFonts w:hint="eastAsia" w:ascii="仿宋" w:hAnsi="仿宋" w:eastAsia="仿宋" w:cs="仿宋"/>
                <w:color w:val="auto"/>
                <w:kern w:val="0"/>
                <w:sz w:val="24"/>
                <w:highlight w:val="none"/>
              </w:rPr>
            </w:pPr>
          </w:p>
        </w:tc>
      </w:tr>
    </w:tbl>
    <w:p w14:paraId="16981666">
      <w:pPr>
        <w:spacing w:line="360" w:lineRule="auto"/>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1143DC92">
      <w:pPr>
        <w:spacing w:line="360" w:lineRule="auto"/>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1.管理关系：是指不具有出资持股关系的其他单位之间存在的管理与被管理关系，如一些上下级关系的事业单位和团体组织。</w:t>
      </w:r>
    </w:p>
    <w:p w14:paraId="03CB557C">
      <w:pPr>
        <w:spacing w:line="360" w:lineRule="auto"/>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pacing w:val="-6"/>
          <w:sz w:val="24"/>
          <w:highlight w:val="none"/>
        </w:rPr>
        <w:t>本表所指的管理关系仅限于直接管理关系，不包括间接的管理关系。</w:t>
      </w:r>
    </w:p>
    <w:p w14:paraId="0E13AB5C">
      <w:pPr>
        <w:spacing w:line="360" w:lineRule="auto"/>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3.供应商不存在直接管理关系的，则在“直接管理关系单位名称”填“无”。</w:t>
      </w:r>
    </w:p>
    <w:p w14:paraId="7D6F7FC9">
      <w:pPr>
        <w:spacing w:line="360" w:lineRule="auto"/>
        <w:contextualSpacing/>
        <w:jc w:val="left"/>
        <w:rPr>
          <w:rFonts w:hint="eastAsia" w:ascii="仿宋" w:hAnsi="仿宋" w:eastAsia="仿宋" w:cs="仿宋"/>
          <w:color w:val="auto"/>
          <w:sz w:val="28"/>
          <w:szCs w:val="28"/>
          <w:highlight w:val="none"/>
        </w:rPr>
      </w:pPr>
    </w:p>
    <w:p w14:paraId="31B398DA">
      <w:pPr>
        <w:spacing w:line="360" w:lineRule="auto"/>
        <w:contextualSpacing/>
        <w:jc w:val="left"/>
        <w:rPr>
          <w:rFonts w:hint="eastAsia" w:ascii="仿宋" w:hAnsi="仿宋" w:eastAsia="仿宋" w:cs="仿宋"/>
          <w:color w:val="auto"/>
          <w:sz w:val="28"/>
          <w:szCs w:val="28"/>
          <w:highlight w:val="none"/>
        </w:rPr>
      </w:pPr>
    </w:p>
    <w:p w14:paraId="1FD35EF3">
      <w:pPr>
        <w:spacing w:line="360" w:lineRule="auto"/>
        <w:contextualSpacing/>
        <w:jc w:val="left"/>
        <w:rPr>
          <w:rFonts w:hint="eastAsia" w:ascii="仿宋" w:hAnsi="仿宋" w:eastAsia="仿宋" w:cs="仿宋"/>
          <w:color w:val="auto"/>
          <w:sz w:val="28"/>
          <w:szCs w:val="28"/>
          <w:highlight w:val="none"/>
        </w:rPr>
      </w:pPr>
    </w:p>
    <w:p w14:paraId="725F4BD7">
      <w:pPr>
        <w:spacing w:line="360" w:lineRule="auto"/>
        <w:contextualSpacing/>
        <w:jc w:val="left"/>
        <w:rPr>
          <w:rFonts w:hint="eastAsia" w:ascii="仿宋" w:hAnsi="仿宋" w:eastAsia="仿宋" w:cs="仿宋"/>
          <w:color w:val="auto"/>
          <w:sz w:val="28"/>
          <w:szCs w:val="28"/>
          <w:highlight w:val="none"/>
        </w:rPr>
      </w:pPr>
    </w:p>
    <w:p w14:paraId="6550A66B">
      <w:pPr>
        <w:spacing w:line="360" w:lineRule="auto"/>
        <w:contextualSpacing/>
        <w:jc w:val="left"/>
        <w:rPr>
          <w:rFonts w:hint="eastAsia" w:ascii="仿宋" w:hAnsi="仿宋" w:eastAsia="仿宋" w:cs="仿宋"/>
          <w:color w:val="auto"/>
          <w:sz w:val="28"/>
          <w:szCs w:val="28"/>
          <w:highlight w:val="none"/>
        </w:rPr>
      </w:pPr>
    </w:p>
    <w:p w14:paraId="5E3E75DF">
      <w:pPr>
        <w:spacing w:line="360" w:lineRule="auto"/>
        <w:contextualSpacing/>
        <w:jc w:val="left"/>
        <w:rPr>
          <w:rFonts w:hint="eastAsia" w:ascii="仿宋" w:hAnsi="仿宋" w:eastAsia="仿宋" w:cs="仿宋"/>
          <w:color w:val="auto"/>
          <w:sz w:val="28"/>
          <w:szCs w:val="28"/>
          <w:highlight w:val="none"/>
        </w:rPr>
      </w:pPr>
    </w:p>
    <w:p w14:paraId="63309AF7">
      <w:pPr>
        <w:spacing w:line="360" w:lineRule="auto"/>
        <w:ind w:right="480"/>
        <w:contextualSpacing/>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法定代表人或者委托代理人（签字或者电子签名）：</w:t>
      </w:r>
      <w:r>
        <w:rPr>
          <w:rFonts w:hint="eastAsia" w:ascii="仿宋" w:hAnsi="仿宋" w:eastAsia="仿宋" w:cs="仿宋"/>
          <w:color w:val="auto"/>
          <w:sz w:val="24"/>
          <w:highlight w:val="none"/>
          <w:u w:val="single"/>
        </w:rPr>
        <w:t xml:space="preserve">                   </w:t>
      </w:r>
    </w:p>
    <w:p w14:paraId="455F7CC0">
      <w:pPr>
        <w:spacing w:line="360" w:lineRule="auto"/>
        <w:ind w:right="480" w:firstLine="3360" w:firstLineChars="14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供应商（电子签章）：</w:t>
      </w:r>
      <w:r>
        <w:rPr>
          <w:rFonts w:hint="eastAsia" w:ascii="仿宋" w:hAnsi="仿宋" w:eastAsia="仿宋" w:cs="仿宋"/>
          <w:color w:val="auto"/>
          <w:sz w:val="24"/>
          <w:highlight w:val="none"/>
          <w:u w:val="single"/>
        </w:rPr>
        <w:t xml:space="preserve">                </w:t>
      </w:r>
    </w:p>
    <w:p w14:paraId="7B17F794">
      <w:pPr>
        <w:spacing w:line="360" w:lineRule="auto"/>
        <w:ind w:firstLine="480" w:firstLineChars="200"/>
        <w:contextualSpacing/>
        <w:jc w:val="left"/>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t xml:space="preserve">                                        年    月    日</w:t>
      </w:r>
    </w:p>
    <w:p w14:paraId="0D19A9E3">
      <w:pPr>
        <w:spacing w:line="240" w:lineRule="auto"/>
        <w:jc w:val="center"/>
        <w:rPr>
          <w:rFonts w:hint="eastAsia" w:ascii="仿宋" w:hAnsi="仿宋" w:eastAsia="仿宋" w:cs="仿宋"/>
          <w:b/>
          <w:color w:val="auto"/>
          <w:sz w:val="32"/>
          <w:szCs w:val="32"/>
          <w:highlight w:val="none"/>
        </w:rPr>
      </w:pPr>
      <w:r>
        <w:rPr>
          <w:rFonts w:hint="eastAsia" w:ascii="仿宋" w:hAnsi="仿宋" w:eastAsia="仿宋" w:cs="仿宋"/>
          <w:color w:val="auto"/>
          <w:sz w:val="28"/>
          <w:szCs w:val="28"/>
          <w:highlight w:val="none"/>
        </w:rPr>
        <w:br w:type="page"/>
      </w:r>
      <w:r>
        <w:rPr>
          <w:rFonts w:hint="eastAsia" w:ascii="仿宋" w:hAnsi="仿宋" w:eastAsia="仿宋" w:cs="仿宋"/>
          <w:b/>
          <w:color w:val="auto"/>
          <w:sz w:val="32"/>
          <w:szCs w:val="32"/>
          <w:highlight w:val="none"/>
        </w:rPr>
        <w:t>竞标声明</w:t>
      </w:r>
    </w:p>
    <w:p w14:paraId="7DCABD15">
      <w:pPr>
        <w:spacing w:line="320" w:lineRule="exact"/>
        <w:jc w:val="center"/>
        <w:rPr>
          <w:rFonts w:hint="eastAsia" w:ascii="仿宋" w:hAnsi="仿宋" w:eastAsia="仿宋" w:cs="仿宋"/>
          <w:color w:val="auto"/>
          <w:sz w:val="24"/>
          <w:szCs w:val="20"/>
          <w:highlight w:val="none"/>
        </w:rPr>
      </w:pPr>
    </w:p>
    <w:p w14:paraId="278894E1">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（采购人名称）</w:t>
      </w:r>
      <w:r>
        <w:rPr>
          <w:rFonts w:hint="eastAsia" w:ascii="仿宋" w:hAnsi="仿宋" w:eastAsia="仿宋" w:cs="仿宋"/>
          <w:color w:val="auto"/>
          <w:sz w:val="24"/>
          <w:highlight w:val="none"/>
        </w:rPr>
        <w:t>：</w:t>
      </w:r>
    </w:p>
    <w:p w14:paraId="24368163">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系中华人民共和国合法供应商，经营地址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FEA983C">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我方愿意参加贵方组织的</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项目的竞标，为便于贵方公正、择优地确定成交供应商及其竞标产品和服务，我方就本次竞标有关事项郑重声明如下：</w:t>
      </w:r>
    </w:p>
    <w:p w14:paraId="57D0088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1.我方向贵方提交的所有响应文件、资料都是准确的和真实的。</w:t>
      </w:r>
    </w:p>
    <w:p w14:paraId="49AA8E10">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2.我方不是为本次采购项目提供整体设计、规范编制或者项目管理、监理、检测等服务的供应商。</w:t>
      </w:r>
    </w:p>
    <w:p w14:paraId="59D8C521">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3.在此，我方宣布同意如下：</w:t>
      </w:r>
    </w:p>
    <w:p w14:paraId="7E4EF6B7">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（1）将按磋商文件的约定履行合同责任和义务；</w:t>
      </w:r>
    </w:p>
    <w:p w14:paraId="1516ACF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（2）已详细审查全部磋商文件，包括澄清或者更正公告（如有）；</w:t>
      </w:r>
    </w:p>
    <w:p w14:paraId="2B136EBA">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（3）同意提供按照贵方可能要求的与磋商有关的一切数据或者资料；</w:t>
      </w:r>
    </w:p>
    <w:p w14:paraId="77E427F8">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（4）响应磋商文件规定的竞标有效期。</w:t>
      </w:r>
    </w:p>
    <w:p w14:paraId="3BC76458">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4.我方承诺符合《中华人民共和国政府采购法》第二十二条规定：</w:t>
      </w:r>
    </w:p>
    <w:p w14:paraId="1EA7F5A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p>
    <w:p w14:paraId="2537A41F">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（2）具有良好的商业信誉和健全的财务会计制度；</w:t>
      </w:r>
    </w:p>
    <w:p w14:paraId="195A1301">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6366E074">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22E47649">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FBD4CF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（6）法律、行政法规规定的其他条件。</w:t>
      </w:r>
    </w:p>
    <w:p w14:paraId="7D44295A">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BEC4F9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1999E4D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5F5CD9F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涉及商业秘密的内容有：</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2A1BE0E">
      <w:pPr>
        <w:pStyle w:val="40"/>
        <w:spacing w:line="360" w:lineRule="auto"/>
        <w:ind w:firstLine="480" w:firstLineChars="200"/>
        <w:contextualSpacing/>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.与本磋商有关的一切正式往来信函请寄：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邮政编号：</w:t>
      </w:r>
      <w:r>
        <w:rPr>
          <w:rFonts w:hint="eastAsia" w:ascii="仿宋" w:hAnsi="仿宋" w:eastAsia="仿宋" w:cs="仿宋"/>
          <w:color w:val="auto"/>
          <w:sz w:val="24"/>
          <w:szCs w:val="24"/>
          <w:highlight w:val="none"/>
          <w:u w:val="single"/>
        </w:rPr>
        <w:t xml:space="preserve">        </w:t>
      </w:r>
    </w:p>
    <w:p w14:paraId="4FFA38B8">
      <w:pPr>
        <w:pStyle w:val="40"/>
        <w:spacing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电子邮箱：</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00835E55">
      <w:pPr>
        <w:pStyle w:val="39"/>
        <w:tabs>
          <w:tab w:val="left" w:pos="939"/>
        </w:tabs>
        <w:spacing w:line="360" w:lineRule="auto"/>
        <w:ind w:left="14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账号：</w:t>
      </w:r>
      <w:r>
        <w:rPr>
          <w:rFonts w:hint="eastAsia" w:ascii="仿宋" w:hAnsi="仿宋" w:eastAsia="仿宋" w:cs="仿宋"/>
          <w:color w:val="auto"/>
          <w:sz w:val="24"/>
          <w:highlight w:val="none"/>
          <w:u w:val="single"/>
        </w:rPr>
        <w:t xml:space="preserve">                               </w:t>
      </w:r>
    </w:p>
    <w:p w14:paraId="3E54C4B5">
      <w:pPr>
        <w:pStyle w:val="39"/>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.以上事项如有虚假或者隐瞒，我方愿意承担一切后果，并不再寻求任何旨在减轻或者免除法律责任的辩解。</w:t>
      </w:r>
    </w:p>
    <w:p w14:paraId="77B43BF5">
      <w:pPr>
        <w:pStyle w:val="39"/>
        <w:tabs>
          <w:tab w:val="left" w:pos="939"/>
        </w:tabs>
        <w:spacing w:line="360" w:lineRule="auto"/>
        <w:ind w:left="14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44BD4932">
      <w:pPr>
        <w:spacing w:line="360" w:lineRule="auto"/>
        <w:contextualSpacing/>
        <w:jc w:val="left"/>
        <w:rPr>
          <w:rFonts w:hint="eastAsia" w:ascii="仿宋" w:hAnsi="仿宋" w:eastAsia="仿宋" w:cs="仿宋"/>
          <w:b/>
          <w:color w:val="auto"/>
          <w:sz w:val="24"/>
          <w:highlight w:val="none"/>
        </w:rPr>
      </w:pPr>
    </w:p>
    <w:p w14:paraId="3F8C1892">
      <w:pPr>
        <w:spacing w:line="360" w:lineRule="auto"/>
        <w:contextualSpacing/>
        <w:jc w:val="left"/>
        <w:rPr>
          <w:rFonts w:hint="eastAsia" w:ascii="仿宋" w:hAnsi="仿宋" w:eastAsia="仿宋" w:cs="仿宋"/>
          <w:color w:val="auto"/>
          <w:szCs w:val="21"/>
          <w:highlight w:val="none"/>
        </w:rPr>
      </w:pPr>
    </w:p>
    <w:p w14:paraId="2746C21B">
      <w:pPr>
        <w:spacing w:line="360" w:lineRule="auto"/>
        <w:ind w:firstLine="1575" w:firstLineChars="750"/>
        <w:contextualSpacing/>
        <w:rPr>
          <w:rFonts w:hint="eastAsia" w:ascii="仿宋" w:hAnsi="仿宋" w:eastAsia="仿宋" w:cs="仿宋"/>
          <w:color w:val="auto"/>
          <w:highlight w:val="none"/>
        </w:rPr>
      </w:pPr>
      <w:r>
        <w:rPr>
          <w:rFonts w:hint="eastAsia" w:ascii="仿宋" w:hAnsi="仿宋" w:eastAsia="仿宋" w:cs="仿宋"/>
          <w:color w:val="auto"/>
          <w:highlight w:val="none"/>
        </w:rPr>
        <w:t>法定代表人（</w:t>
      </w:r>
      <w:r>
        <w:rPr>
          <w:rFonts w:hint="eastAsia" w:ascii="仿宋" w:hAnsi="仿宋" w:eastAsia="仿宋" w:cs="仿宋"/>
          <w:color w:val="auto"/>
          <w:sz w:val="24"/>
          <w:highlight w:val="none"/>
        </w:rPr>
        <w:t>签字或者盖章或者电子签名</w:t>
      </w:r>
      <w:r>
        <w:rPr>
          <w:rFonts w:hint="eastAsia" w:ascii="仿宋" w:hAnsi="仿宋" w:eastAsia="仿宋" w:cs="仿宋"/>
          <w:color w:val="auto"/>
          <w:highlight w:val="none"/>
        </w:rPr>
        <w:t>）：</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14:paraId="660AE568">
      <w:pPr>
        <w:spacing w:line="360" w:lineRule="auto"/>
        <w:ind w:firstLine="3780" w:firstLineChars="1800"/>
        <w:contextualSpacing/>
        <w:rPr>
          <w:rFonts w:hint="eastAsia" w:ascii="仿宋" w:hAnsi="仿宋" w:eastAsia="仿宋" w:cs="仿宋"/>
          <w:color w:val="auto"/>
          <w:szCs w:val="21"/>
          <w:highlight w:val="none"/>
          <w:u w:val="single"/>
        </w:rPr>
      </w:pPr>
      <w:r>
        <w:rPr>
          <w:rFonts w:hint="eastAsia" w:ascii="仿宋" w:hAnsi="仿宋" w:eastAsia="仿宋" w:cs="仿宋"/>
          <w:color w:val="auto"/>
          <w:highlight w:val="none"/>
        </w:rPr>
        <w:t>供应商（电子签章）：</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r>
        <w:rPr>
          <w:rFonts w:hint="eastAsia" w:ascii="仿宋" w:hAnsi="仿宋" w:eastAsia="仿宋" w:cs="仿宋"/>
          <w:color w:val="auto"/>
          <w:szCs w:val="21"/>
          <w:highlight w:val="none"/>
        </w:rPr>
        <w:t xml:space="preserve">    </w:t>
      </w:r>
    </w:p>
    <w:p w14:paraId="4DA368AC">
      <w:pPr>
        <w:pStyle w:val="39"/>
        <w:tabs>
          <w:tab w:val="left" w:pos="939"/>
        </w:tabs>
        <w:spacing w:line="360" w:lineRule="auto"/>
        <w:ind w:left="0" w:leftChars="0" w:firstLine="420" w:firstLineChars="200"/>
        <w:rPr>
          <w:rFonts w:hint="eastAsia" w:ascii="仿宋" w:hAnsi="仿宋" w:eastAsia="仿宋" w:cs="仿宋"/>
          <w:color w:val="auto"/>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highlight w:val="none"/>
        </w:rPr>
        <w:t xml:space="preserve"> 年    月    日</w:t>
      </w:r>
    </w:p>
    <w:p w14:paraId="798B445C">
      <w:pPr>
        <w:pStyle w:val="22"/>
        <w:overflowPunct w:val="0"/>
        <w:spacing w:line="520" w:lineRule="exact"/>
        <w:ind w:firstLine="0"/>
        <w:jc w:val="center"/>
        <w:rPr>
          <w:rFonts w:hint="eastAsia" w:ascii="仿宋" w:hAnsi="仿宋" w:eastAsia="仿宋" w:cs="仿宋"/>
          <w:color w:val="auto"/>
          <w:sz w:val="24"/>
          <w:highlight w:val="none"/>
        </w:rPr>
      </w:pPr>
    </w:p>
    <w:p w14:paraId="00A1E30B">
      <w:pPr>
        <w:pStyle w:val="22"/>
        <w:overflowPunct w:val="0"/>
        <w:spacing w:line="520" w:lineRule="exact"/>
        <w:ind w:firstLine="0"/>
        <w:jc w:val="center"/>
        <w:rPr>
          <w:rFonts w:hint="eastAsia" w:ascii="仿宋" w:hAnsi="仿宋" w:eastAsia="仿宋" w:cs="仿宋"/>
          <w:color w:val="auto"/>
          <w:sz w:val="24"/>
          <w:highlight w:val="none"/>
        </w:rPr>
      </w:pPr>
    </w:p>
    <w:p w14:paraId="6DCBBD28">
      <w:pPr>
        <w:pStyle w:val="22"/>
        <w:overflowPunct w:val="0"/>
        <w:spacing w:line="520" w:lineRule="exact"/>
        <w:ind w:firstLine="0"/>
        <w:jc w:val="center"/>
        <w:rPr>
          <w:rFonts w:hint="eastAsia" w:ascii="仿宋" w:hAnsi="仿宋" w:eastAsia="仿宋" w:cs="仿宋"/>
          <w:color w:val="auto"/>
          <w:sz w:val="24"/>
          <w:highlight w:val="none"/>
        </w:rPr>
      </w:pPr>
    </w:p>
    <w:p w14:paraId="42F622EA">
      <w:pPr>
        <w:pStyle w:val="22"/>
        <w:overflowPunct w:val="0"/>
        <w:spacing w:line="520" w:lineRule="exact"/>
        <w:ind w:firstLine="0"/>
        <w:jc w:val="center"/>
        <w:rPr>
          <w:rFonts w:hint="eastAsia" w:ascii="仿宋" w:hAnsi="仿宋" w:eastAsia="仿宋" w:cs="仿宋"/>
          <w:color w:val="auto"/>
          <w:sz w:val="24"/>
          <w:highlight w:val="none"/>
        </w:rPr>
      </w:pPr>
    </w:p>
    <w:p w14:paraId="38E67AA6">
      <w:pPr>
        <w:pStyle w:val="22"/>
        <w:overflowPunct w:val="0"/>
        <w:spacing w:line="520" w:lineRule="exact"/>
        <w:ind w:firstLine="0"/>
        <w:jc w:val="center"/>
        <w:rPr>
          <w:rFonts w:hint="eastAsia" w:ascii="仿宋" w:hAnsi="仿宋" w:eastAsia="仿宋" w:cs="仿宋"/>
          <w:color w:val="auto"/>
          <w:sz w:val="24"/>
          <w:highlight w:val="none"/>
        </w:rPr>
      </w:pPr>
    </w:p>
    <w:p w14:paraId="475BFB23">
      <w:pPr>
        <w:pStyle w:val="22"/>
        <w:overflowPunct w:val="0"/>
        <w:spacing w:line="520" w:lineRule="exact"/>
        <w:ind w:firstLine="0"/>
        <w:jc w:val="center"/>
        <w:rPr>
          <w:rFonts w:hint="eastAsia" w:ascii="仿宋" w:hAnsi="仿宋" w:eastAsia="仿宋" w:cs="仿宋"/>
          <w:color w:val="auto"/>
          <w:sz w:val="24"/>
          <w:highlight w:val="none"/>
        </w:rPr>
      </w:pPr>
    </w:p>
    <w:p w14:paraId="5D5A1878">
      <w:pPr>
        <w:pStyle w:val="22"/>
        <w:overflowPunct w:val="0"/>
        <w:spacing w:line="520" w:lineRule="exact"/>
        <w:ind w:firstLine="0"/>
        <w:jc w:val="center"/>
        <w:rPr>
          <w:rFonts w:hint="eastAsia" w:ascii="仿宋" w:hAnsi="仿宋" w:eastAsia="仿宋" w:cs="仿宋"/>
          <w:color w:val="auto"/>
          <w:sz w:val="24"/>
          <w:highlight w:val="none"/>
        </w:rPr>
      </w:pPr>
    </w:p>
    <w:p w14:paraId="2FE9AE07">
      <w:pPr>
        <w:pStyle w:val="22"/>
        <w:overflowPunct w:val="0"/>
        <w:spacing w:line="520" w:lineRule="exact"/>
        <w:ind w:firstLine="0"/>
        <w:jc w:val="center"/>
        <w:rPr>
          <w:rFonts w:hint="eastAsia" w:ascii="仿宋" w:hAnsi="仿宋" w:eastAsia="仿宋" w:cs="仿宋"/>
          <w:color w:val="auto"/>
          <w:sz w:val="24"/>
          <w:highlight w:val="none"/>
        </w:rPr>
      </w:pPr>
    </w:p>
    <w:p w14:paraId="55E5FD5E">
      <w:pPr>
        <w:pStyle w:val="22"/>
        <w:overflowPunct w:val="0"/>
        <w:spacing w:line="520" w:lineRule="exact"/>
        <w:ind w:firstLine="0"/>
        <w:jc w:val="center"/>
        <w:rPr>
          <w:rFonts w:hint="eastAsia" w:ascii="仿宋" w:hAnsi="仿宋" w:eastAsia="仿宋" w:cs="仿宋"/>
          <w:color w:val="auto"/>
          <w:sz w:val="24"/>
          <w:highlight w:val="none"/>
        </w:rPr>
      </w:pPr>
    </w:p>
    <w:p w14:paraId="2B4EF49B">
      <w:pPr>
        <w:spacing w:line="360" w:lineRule="auto"/>
        <w:ind w:right="420"/>
        <w:contextualSpacing/>
        <w:jc w:val="left"/>
        <w:rPr>
          <w:rFonts w:hint="eastAsia" w:ascii="仿宋" w:hAnsi="仿宋" w:eastAsia="仿宋" w:cs="仿宋"/>
          <w:b/>
          <w:bCs/>
          <w:color w:val="auto"/>
          <w:sz w:val="32"/>
          <w:szCs w:val="32"/>
          <w:highlight w:val="none"/>
        </w:rPr>
      </w:pPr>
    </w:p>
    <w:p w14:paraId="2D977670">
      <w:pPr>
        <w:spacing w:line="360" w:lineRule="auto"/>
        <w:ind w:right="420"/>
        <w:contextualSpacing/>
        <w:jc w:val="left"/>
        <w:rPr>
          <w:rFonts w:hint="eastAsia" w:ascii="仿宋" w:hAnsi="仿宋" w:eastAsia="仿宋" w:cs="仿宋"/>
          <w:b/>
          <w:bCs/>
          <w:color w:val="auto"/>
          <w:sz w:val="32"/>
          <w:szCs w:val="32"/>
          <w:highlight w:val="none"/>
        </w:rPr>
      </w:pPr>
    </w:p>
    <w:p w14:paraId="60D4BAF9">
      <w:pPr>
        <w:spacing w:line="360" w:lineRule="auto"/>
        <w:ind w:right="420"/>
        <w:contextualSpacing/>
        <w:jc w:val="left"/>
        <w:rPr>
          <w:rFonts w:hint="eastAsia" w:ascii="仿宋" w:hAnsi="仿宋" w:eastAsia="仿宋" w:cs="仿宋"/>
          <w:b/>
          <w:bCs/>
          <w:color w:val="auto"/>
          <w:sz w:val="32"/>
          <w:szCs w:val="32"/>
          <w:highlight w:val="none"/>
        </w:rPr>
      </w:pPr>
    </w:p>
    <w:p w14:paraId="53F45B93">
      <w:pPr>
        <w:spacing w:line="360" w:lineRule="auto"/>
        <w:ind w:right="420"/>
        <w:contextualSpacing/>
        <w:jc w:val="left"/>
        <w:rPr>
          <w:rFonts w:hint="eastAsia" w:ascii="仿宋" w:hAnsi="仿宋" w:eastAsia="仿宋" w:cs="仿宋"/>
          <w:b/>
          <w:bCs/>
          <w:color w:val="auto"/>
          <w:sz w:val="32"/>
          <w:szCs w:val="32"/>
          <w:highlight w:val="none"/>
        </w:rPr>
      </w:pPr>
    </w:p>
    <w:p w14:paraId="356DD531">
      <w:pPr>
        <w:spacing w:line="360" w:lineRule="auto"/>
        <w:ind w:right="420"/>
        <w:contextualSpacing/>
        <w:jc w:val="left"/>
        <w:rPr>
          <w:rFonts w:hint="eastAsia" w:ascii="仿宋" w:hAnsi="仿宋" w:eastAsia="仿宋" w:cs="仿宋"/>
          <w:b/>
          <w:bCs/>
          <w:color w:val="auto"/>
          <w:sz w:val="32"/>
          <w:szCs w:val="32"/>
          <w:highlight w:val="none"/>
        </w:rPr>
      </w:pPr>
    </w:p>
    <w:p w14:paraId="708FC432">
      <w:pPr>
        <w:jc w:val="center"/>
        <w:rPr>
          <w:rFonts w:hint="eastAsia" w:ascii="仿宋" w:hAnsi="仿宋" w:eastAsia="仿宋" w:cs="仿宋"/>
          <w:color w:val="auto"/>
          <w:sz w:val="44"/>
          <w:szCs w:val="44"/>
          <w:highlight w:val="none"/>
        </w:rPr>
      </w:pPr>
      <w:r>
        <w:rPr>
          <w:rFonts w:hint="eastAsia" w:ascii="仿宋" w:hAnsi="仿宋" w:eastAsia="仿宋" w:cs="仿宋"/>
          <w:b/>
          <w:color w:val="auto"/>
          <w:sz w:val="32"/>
          <w:szCs w:val="32"/>
          <w:highlight w:val="none"/>
          <w:lang w:val="en-US" w:eastAsia="zh-CN"/>
        </w:rPr>
        <w:t>小微</w:t>
      </w:r>
      <w:r>
        <w:rPr>
          <w:rFonts w:hint="eastAsia" w:ascii="仿宋" w:hAnsi="仿宋" w:eastAsia="仿宋" w:cs="仿宋"/>
          <w:b/>
          <w:color w:val="auto"/>
          <w:sz w:val="32"/>
          <w:szCs w:val="32"/>
          <w:highlight w:val="none"/>
        </w:rPr>
        <w:t>企业声明函（服务）</w:t>
      </w:r>
    </w:p>
    <w:p w14:paraId="28D2EC03">
      <w:pPr>
        <w:spacing w:before="2" w:line="500" w:lineRule="exact"/>
        <w:ind w:firstLine="708" w:firstLineChars="294"/>
        <w:rPr>
          <w:rFonts w:hint="eastAsia" w:ascii="仿宋" w:hAnsi="仿宋" w:eastAsia="仿宋" w:cs="仿宋"/>
          <w:b/>
          <w:bCs/>
          <w:color w:val="auto"/>
          <w:sz w:val="24"/>
          <w:highlight w:val="none"/>
        </w:rPr>
      </w:pPr>
    </w:p>
    <w:p w14:paraId="29A5B2A4">
      <w:pPr>
        <w:widowControl w:val="0"/>
        <w:spacing w:after="120" w:line="500" w:lineRule="exact"/>
        <w:ind w:right="142" w:firstLine="705" w:firstLineChars="294"/>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本公司（联合体）郑重声明，根据《政府采购促进中小企业发展管理办法》（财库﹝2020﹞46号）的规定，本公司（联合体）参加</w:t>
      </w:r>
      <w:r>
        <w:rPr>
          <w:rFonts w:hint="eastAsia" w:ascii="仿宋" w:hAnsi="仿宋" w:eastAsia="仿宋" w:cs="仿宋"/>
          <w:color w:val="auto"/>
          <w:kern w:val="2"/>
          <w:sz w:val="24"/>
          <w:szCs w:val="24"/>
          <w:highlight w:val="none"/>
          <w:u w:val="single"/>
          <w:lang w:val="en-US" w:eastAsia="zh-CN" w:bidi="ar-SA"/>
        </w:rPr>
        <w:t>（单位名称）</w:t>
      </w:r>
      <w:r>
        <w:rPr>
          <w:rFonts w:hint="eastAsia" w:ascii="仿宋" w:hAnsi="仿宋" w:eastAsia="仿宋" w:cs="仿宋"/>
          <w:color w:val="auto"/>
          <w:kern w:val="2"/>
          <w:sz w:val="24"/>
          <w:szCs w:val="24"/>
          <w:highlight w:val="none"/>
          <w:lang w:val="en-US" w:eastAsia="zh-CN" w:bidi="ar-SA"/>
        </w:rPr>
        <w:t>的</w:t>
      </w:r>
      <w:r>
        <w:rPr>
          <w:rFonts w:hint="eastAsia" w:ascii="仿宋" w:hAnsi="仿宋" w:eastAsia="仿宋" w:cs="仿宋"/>
          <w:color w:val="auto"/>
          <w:kern w:val="2"/>
          <w:sz w:val="24"/>
          <w:szCs w:val="24"/>
          <w:highlight w:val="none"/>
          <w:u w:val="single"/>
          <w:lang w:val="en-US" w:eastAsia="zh-CN" w:bidi="ar-SA"/>
        </w:rPr>
        <w:t>（项目名称）</w:t>
      </w:r>
      <w:r>
        <w:rPr>
          <w:rFonts w:hint="eastAsia" w:ascii="仿宋" w:hAnsi="仿宋" w:eastAsia="仿宋" w:cs="仿宋"/>
          <w:color w:val="auto"/>
          <w:kern w:val="2"/>
          <w:sz w:val="24"/>
          <w:szCs w:val="24"/>
          <w:highlight w:val="none"/>
          <w:lang w:val="en-US" w:eastAsia="zh-CN" w:bidi="ar-SA"/>
        </w:rPr>
        <w:t>采购活动，服务全部由符合政策要求的中小企业承接。相关企业（含联合体中的中小企业、签订分包意向协议的中小企业）的具体情况如下：</w:t>
      </w:r>
    </w:p>
    <w:p w14:paraId="50B77AAC">
      <w:pPr>
        <w:tabs>
          <w:tab w:val="left" w:pos="1384"/>
          <w:tab w:val="left" w:pos="4562"/>
          <w:tab w:val="left" w:pos="6803"/>
        </w:tabs>
        <w:spacing w:before="13" w:line="500" w:lineRule="exact"/>
        <w:ind w:right="142" w:firstLine="772" w:firstLineChars="322"/>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；承接企业为</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（小型企业、微型企业）</w:t>
      </w:r>
      <w:r>
        <w:rPr>
          <w:rFonts w:hint="eastAsia" w:ascii="仿宋" w:hAnsi="仿宋" w:eastAsia="仿宋" w:cs="仿宋"/>
          <w:color w:val="auto"/>
          <w:sz w:val="24"/>
          <w:highlight w:val="none"/>
        </w:rPr>
        <w:t>；</w:t>
      </w:r>
    </w:p>
    <w:p w14:paraId="170C4CFA">
      <w:pPr>
        <w:tabs>
          <w:tab w:val="left" w:pos="1065"/>
          <w:tab w:val="left" w:pos="4262"/>
          <w:tab w:val="left" w:pos="6477"/>
        </w:tabs>
        <w:spacing w:before="20" w:line="500" w:lineRule="exact"/>
        <w:ind w:right="84" w:firstLine="772" w:firstLineChars="32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；承接企业为</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（小型企业、微型企业）</w:t>
      </w:r>
      <w:r>
        <w:rPr>
          <w:rFonts w:hint="eastAsia" w:ascii="仿宋" w:hAnsi="仿宋" w:eastAsia="仿宋" w:cs="仿宋"/>
          <w:color w:val="auto"/>
          <w:sz w:val="24"/>
          <w:highlight w:val="none"/>
        </w:rPr>
        <w:t>；</w:t>
      </w:r>
    </w:p>
    <w:p w14:paraId="6D17E228">
      <w:pPr>
        <w:widowControl w:val="0"/>
        <w:spacing w:before="34" w:after="120" w:line="500" w:lineRule="exact"/>
        <w:ind w:right="142" w:firstLine="705" w:firstLineChars="294"/>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 </w:t>
      </w:r>
    </w:p>
    <w:p w14:paraId="5D34823A">
      <w:pPr>
        <w:widowControl w:val="0"/>
        <w:spacing w:before="34" w:after="120" w:line="500" w:lineRule="exact"/>
        <w:ind w:right="142" w:firstLine="705" w:firstLineChars="294"/>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以上企业，不属于大企业的分支机构，不存在控股股东为大企业的情形，也不存在与大企业的负责人为同一人的情形。</w:t>
      </w:r>
    </w:p>
    <w:p w14:paraId="67FBBF8A">
      <w:pPr>
        <w:widowControl w:val="0"/>
        <w:spacing w:before="25" w:after="120" w:line="500" w:lineRule="exact"/>
        <w:ind w:right="142" w:firstLine="705" w:firstLineChars="294"/>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本企业对上述声明内容的真实性负责。如有虚假，将依法承担相应责任。</w:t>
      </w:r>
    </w:p>
    <w:p w14:paraId="766D7F5E">
      <w:pPr>
        <w:widowControl w:val="0"/>
        <w:spacing w:before="56" w:after="120" w:line="500" w:lineRule="exact"/>
        <w:ind w:right="1808" w:firstLine="705" w:firstLineChars="294"/>
        <w:jc w:val="both"/>
        <w:rPr>
          <w:rFonts w:hint="eastAsia" w:ascii="仿宋" w:hAnsi="仿宋" w:eastAsia="仿宋" w:cs="仿宋"/>
          <w:color w:val="auto"/>
          <w:kern w:val="2"/>
          <w:sz w:val="24"/>
          <w:szCs w:val="24"/>
          <w:highlight w:val="none"/>
          <w:lang w:val="en-US" w:eastAsia="zh-CN" w:bidi="ar-SA"/>
        </w:rPr>
      </w:pPr>
    </w:p>
    <w:p w14:paraId="625700B1">
      <w:pPr>
        <w:widowControl w:val="0"/>
        <w:spacing w:before="56" w:after="120" w:line="500" w:lineRule="exact"/>
        <w:ind w:right="650"/>
        <w:jc w:val="righ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企业名称（电子签章）： </w:t>
      </w:r>
    </w:p>
    <w:p w14:paraId="39AF1D72">
      <w:pPr>
        <w:widowControl w:val="0"/>
        <w:spacing w:before="56" w:after="120" w:line="500" w:lineRule="exact"/>
        <w:ind w:right="1808" w:firstLine="5625" w:firstLineChars="2344"/>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日 期：</w:t>
      </w:r>
    </w:p>
    <w:p w14:paraId="3880F965">
      <w:pPr>
        <w:spacing w:line="52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C82AD51">
      <w:pPr>
        <w:jc w:val="center"/>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sz w:val="32"/>
          <w:szCs w:val="32"/>
          <w:highlight w:val="none"/>
        </w:rPr>
        <w:t>残疾人福利性单位声明函</w:t>
      </w:r>
    </w:p>
    <w:p w14:paraId="190E040C">
      <w:pPr>
        <w:spacing w:line="360" w:lineRule="auto"/>
        <w:contextualSpacing/>
        <w:rPr>
          <w:rFonts w:hint="eastAsia" w:ascii="仿宋" w:hAnsi="仿宋" w:eastAsia="仿宋" w:cs="仿宋"/>
          <w:color w:val="auto"/>
          <w:sz w:val="32"/>
          <w:szCs w:val="32"/>
          <w:highlight w:val="none"/>
        </w:rPr>
      </w:pPr>
    </w:p>
    <w:p w14:paraId="2933F20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65455A1">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18BAA18C">
      <w:pPr>
        <w:spacing w:line="360" w:lineRule="auto"/>
        <w:contextualSpacing/>
        <w:rPr>
          <w:rFonts w:hint="eastAsia" w:ascii="仿宋" w:hAnsi="仿宋" w:eastAsia="仿宋" w:cs="仿宋"/>
          <w:color w:val="auto"/>
          <w:sz w:val="24"/>
          <w:highlight w:val="none"/>
        </w:rPr>
      </w:pPr>
    </w:p>
    <w:p w14:paraId="6097497B">
      <w:pPr>
        <w:spacing w:line="360" w:lineRule="auto"/>
        <w:contextualSpacing/>
        <w:rPr>
          <w:rFonts w:hint="eastAsia" w:ascii="仿宋" w:hAnsi="仿宋" w:eastAsia="仿宋" w:cs="仿宋"/>
          <w:color w:val="auto"/>
          <w:sz w:val="24"/>
          <w:highlight w:val="none"/>
        </w:rPr>
      </w:pPr>
    </w:p>
    <w:p w14:paraId="364D9E28">
      <w:pPr>
        <w:spacing w:line="360" w:lineRule="auto"/>
        <w:contextualSpacing/>
        <w:rPr>
          <w:rFonts w:hint="eastAsia" w:ascii="仿宋" w:hAnsi="仿宋" w:eastAsia="仿宋" w:cs="仿宋"/>
          <w:color w:val="auto"/>
          <w:sz w:val="24"/>
          <w:highlight w:val="none"/>
        </w:rPr>
      </w:pPr>
    </w:p>
    <w:p w14:paraId="14EFDD1B">
      <w:pPr>
        <w:spacing w:line="360" w:lineRule="auto"/>
        <w:ind w:firstLine="2400" w:firstLineChars="10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单位名称（电子签章）：</w:t>
      </w:r>
    </w:p>
    <w:p w14:paraId="583DC61E">
      <w:pPr>
        <w:spacing w:line="360" w:lineRule="auto"/>
        <w:ind w:firstLine="3600" w:firstLineChars="15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11721EF5">
      <w:pPr>
        <w:spacing w:line="360" w:lineRule="auto"/>
        <w:contextualSpacing/>
        <w:rPr>
          <w:rFonts w:hint="eastAsia" w:ascii="仿宋" w:hAnsi="仿宋" w:eastAsia="仿宋" w:cs="仿宋"/>
          <w:color w:val="auto"/>
          <w:sz w:val="24"/>
          <w:highlight w:val="none"/>
        </w:rPr>
      </w:pPr>
    </w:p>
    <w:p w14:paraId="0C28034D">
      <w:pPr>
        <w:spacing w:line="360" w:lineRule="auto"/>
        <w:contextualSpacing/>
        <w:rPr>
          <w:rFonts w:hint="eastAsia" w:ascii="仿宋" w:hAnsi="仿宋" w:eastAsia="仿宋" w:cs="仿宋"/>
          <w:color w:val="auto"/>
          <w:sz w:val="24"/>
          <w:highlight w:val="none"/>
        </w:rPr>
      </w:pPr>
    </w:p>
    <w:p w14:paraId="76925C59">
      <w:pPr>
        <w:spacing w:line="360" w:lineRule="auto"/>
        <w:contextualSpacing/>
        <w:rPr>
          <w:rFonts w:hint="eastAsia" w:ascii="仿宋" w:hAnsi="仿宋" w:eastAsia="仿宋" w:cs="仿宋"/>
          <w:color w:val="auto"/>
          <w:sz w:val="24"/>
          <w:highlight w:val="none"/>
        </w:rPr>
      </w:pPr>
    </w:p>
    <w:p w14:paraId="346300DF">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7C5A440">
      <w:pPr>
        <w:spacing w:line="360" w:lineRule="auto"/>
        <w:ind w:right="420"/>
        <w:contextualSpacing/>
        <w:jc w:val="left"/>
        <w:rPr>
          <w:rFonts w:hint="eastAsia" w:ascii="仿宋" w:hAnsi="仿宋" w:eastAsia="仿宋" w:cs="仿宋"/>
          <w:b/>
          <w:bCs/>
          <w:color w:val="auto"/>
          <w:sz w:val="32"/>
          <w:szCs w:val="32"/>
          <w:highlight w:val="none"/>
        </w:rPr>
      </w:pPr>
    </w:p>
    <w:p w14:paraId="010D89DA">
      <w:pPr>
        <w:spacing w:line="360" w:lineRule="auto"/>
        <w:ind w:right="420"/>
        <w:contextualSpacing/>
        <w:jc w:val="left"/>
        <w:rPr>
          <w:rFonts w:hint="eastAsia" w:ascii="仿宋" w:hAnsi="仿宋" w:eastAsia="仿宋" w:cs="仿宋"/>
          <w:b/>
          <w:bCs/>
          <w:color w:val="auto"/>
          <w:sz w:val="32"/>
          <w:szCs w:val="32"/>
          <w:highlight w:val="none"/>
        </w:rPr>
      </w:pPr>
    </w:p>
    <w:p w14:paraId="73755BF8">
      <w:pP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58AF86A4">
      <w:pPr>
        <w:spacing w:line="360" w:lineRule="auto"/>
        <w:ind w:right="420"/>
        <w:contextualSpacing/>
        <w:jc w:val="left"/>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rPr>
        <w:t>二、</w:t>
      </w:r>
      <w:r>
        <w:rPr>
          <w:rFonts w:hint="eastAsia" w:ascii="仿宋" w:hAnsi="仿宋" w:eastAsia="仿宋" w:cs="仿宋"/>
          <w:b/>
          <w:color w:val="auto"/>
          <w:sz w:val="32"/>
          <w:szCs w:val="32"/>
          <w:highlight w:val="none"/>
        </w:rPr>
        <w:t xml:space="preserve">报价文件格式 </w:t>
      </w:r>
    </w:p>
    <w:p w14:paraId="205FACDD">
      <w:pPr>
        <w:spacing w:after="50" w:line="360" w:lineRule="auto"/>
        <w:jc w:val="lef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1.报价文件封面格式</w:t>
      </w:r>
    </w:p>
    <w:p w14:paraId="362DA868">
      <w:pPr>
        <w:spacing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p>
    <w:p w14:paraId="7B0B9BBC">
      <w:pPr>
        <w:spacing w:after="50"/>
        <w:jc w:val="center"/>
        <w:rPr>
          <w:rFonts w:hint="eastAsia" w:ascii="仿宋" w:hAnsi="仿宋" w:eastAsia="仿宋" w:cs="仿宋"/>
          <w:color w:val="auto"/>
          <w:sz w:val="24"/>
          <w:szCs w:val="20"/>
          <w:highlight w:val="none"/>
        </w:rPr>
      </w:pPr>
      <w:r>
        <w:rPr>
          <w:rFonts w:hint="eastAsia" w:ascii="仿宋" w:hAnsi="仿宋" w:eastAsia="仿宋" w:cs="仿宋"/>
          <w:color w:val="auto"/>
          <w:sz w:val="44"/>
          <w:szCs w:val="44"/>
          <w:highlight w:val="none"/>
        </w:rPr>
        <w:t>电 子 响 应 文 件</w:t>
      </w:r>
    </w:p>
    <w:p w14:paraId="170E8C4D">
      <w:pPr>
        <w:spacing w:after="50"/>
        <w:rPr>
          <w:rFonts w:hint="eastAsia" w:ascii="仿宋" w:hAnsi="仿宋" w:eastAsia="仿宋" w:cs="仿宋"/>
          <w:color w:val="auto"/>
          <w:sz w:val="24"/>
          <w:szCs w:val="20"/>
          <w:highlight w:val="none"/>
        </w:rPr>
      </w:pPr>
    </w:p>
    <w:p w14:paraId="6C36218F">
      <w:pPr>
        <w:spacing w:after="50"/>
        <w:rPr>
          <w:rFonts w:hint="eastAsia" w:ascii="仿宋" w:hAnsi="仿宋" w:eastAsia="仿宋" w:cs="仿宋"/>
          <w:color w:val="auto"/>
          <w:sz w:val="24"/>
          <w:szCs w:val="20"/>
          <w:highlight w:val="none"/>
        </w:rPr>
      </w:pPr>
    </w:p>
    <w:p w14:paraId="22125A48">
      <w:pPr>
        <w:spacing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报  价  文  件</w:t>
      </w:r>
    </w:p>
    <w:p w14:paraId="54ECB7C1">
      <w:pPr>
        <w:spacing w:after="50"/>
        <w:rPr>
          <w:rFonts w:hint="eastAsia" w:ascii="仿宋" w:hAnsi="仿宋" w:eastAsia="仿宋" w:cs="仿宋"/>
          <w:bCs/>
          <w:color w:val="auto"/>
          <w:sz w:val="24"/>
          <w:szCs w:val="20"/>
          <w:highlight w:val="none"/>
        </w:rPr>
      </w:pPr>
    </w:p>
    <w:p w14:paraId="686194E8">
      <w:pPr>
        <w:spacing w:after="50"/>
        <w:rPr>
          <w:rFonts w:hint="eastAsia" w:ascii="仿宋" w:hAnsi="仿宋" w:eastAsia="仿宋" w:cs="仿宋"/>
          <w:bCs/>
          <w:color w:val="auto"/>
          <w:sz w:val="24"/>
          <w:szCs w:val="20"/>
          <w:highlight w:val="none"/>
        </w:rPr>
      </w:pPr>
    </w:p>
    <w:p w14:paraId="04018DE1">
      <w:pPr>
        <w:spacing w:after="50"/>
        <w:rPr>
          <w:rFonts w:hint="eastAsia" w:ascii="仿宋" w:hAnsi="仿宋" w:eastAsia="仿宋" w:cs="仿宋"/>
          <w:bCs/>
          <w:color w:val="auto"/>
          <w:sz w:val="24"/>
          <w:szCs w:val="20"/>
          <w:highlight w:val="none"/>
        </w:rPr>
      </w:pPr>
    </w:p>
    <w:p w14:paraId="591EA547">
      <w:pPr>
        <w:spacing w:after="50"/>
        <w:rPr>
          <w:rFonts w:hint="eastAsia" w:ascii="仿宋" w:hAnsi="仿宋" w:eastAsia="仿宋" w:cs="仿宋"/>
          <w:bCs/>
          <w:color w:val="auto"/>
          <w:sz w:val="24"/>
          <w:szCs w:val="20"/>
          <w:highlight w:val="none"/>
        </w:rPr>
      </w:pPr>
    </w:p>
    <w:p w14:paraId="3E2AF961">
      <w:pPr>
        <w:spacing w:after="50"/>
        <w:rPr>
          <w:rFonts w:hint="eastAsia" w:ascii="仿宋" w:hAnsi="仿宋" w:eastAsia="仿宋" w:cs="仿宋"/>
          <w:bCs/>
          <w:color w:val="auto"/>
          <w:sz w:val="24"/>
          <w:szCs w:val="20"/>
          <w:highlight w:val="none"/>
        </w:rPr>
      </w:pPr>
    </w:p>
    <w:p w14:paraId="42D8FD6F">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6FA9507C">
      <w:pPr>
        <w:spacing w:after="50"/>
        <w:ind w:firstLine="720" w:firstLineChars="225"/>
        <w:rPr>
          <w:rFonts w:hint="eastAsia" w:ascii="仿宋" w:hAnsi="仿宋" w:eastAsia="仿宋" w:cs="仿宋"/>
          <w:bCs/>
          <w:color w:val="auto"/>
          <w:sz w:val="32"/>
          <w:szCs w:val="32"/>
          <w:highlight w:val="none"/>
        </w:rPr>
      </w:pPr>
    </w:p>
    <w:p w14:paraId="2541F3E1">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734B59C8">
      <w:pPr>
        <w:spacing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14:paraId="6C165070">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11E4E775">
      <w:pPr>
        <w:spacing w:after="50"/>
        <w:ind w:firstLine="720" w:firstLineChars="225"/>
        <w:rPr>
          <w:rFonts w:hint="eastAsia" w:ascii="仿宋" w:hAnsi="仿宋" w:eastAsia="仿宋" w:cs="仿宋"/>
          <w:bCs/>
          <w:color w:val="auto"/>
          <w:sz w:val="32"/>
          <w:szCs w:val="32"/>
          <w:highlight w:val="none"/>
        </w:rPr>
      </w:pPr>
    </w:p>
    <w:p w14:paraId="46D691C0">
      <w:pPr>
        <w:pStyle w:val="22"/>
        <w:spacing w:before="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4CCF1DFA">
      <w:pPr>
        <w:pStyle w:val="22"/>
        <w:spacing w:before="50" w:after="50"/>
        <w:ind w:firstLine="640" w:firstLineChars="200"/>
        <w:rPr>
          <w:rFonts w:hint="eastAsia" w:ascii="仿宋" w:hAnsi="仿宋" w:eastAsia="仿宋" w:cs="仿宋"/>
          <w:bCs/>
          <w:color w:val="auto"/>
          <w:sz w:val="32"/>
          <w:szCs w:val="32"/>
          <w:highlight w:val="none"/>
        </w:rPr>
      </w:pPr>
    </w:p>
    <w:p w14:paraId="22687F0F">
      <w:pPr>
        <w:pStyle w:val="22"/>
        <w:spacing w:before="50" w:after="50"/>
        <w:ind w:firstLine="720" w:firstLineChars="225"/>
        <w:rPr>
          <w:rFonts w:hint="eastAsia" w:ascii="仿宋" w:hAnsi="仿宋" w:eastAsia="仿宋" w:cs="仿宋"/>
          <w:bCs/>
          <w:color w:val="auto"/>
          <w:sz w:val="32"/>
          <w:szCs w:val="32"/>
          <w:highlight w:val="none"/>
        </w:rPr>
      </w:pPr>
    </w:p>
    <w:p w14:paraId="4F7BCE9F">
      <w:pPr>
        <w:pStyle w:val="22"/>
        <w:spacing w:before="50" w:after="50"/>
        <w:ind w:firstLine="0"/>
        <w:rPr>
          <w:rFonts w:hint="eastAsia" w:ascii="仿宋" w:hAnsi="仿宋" w:eastAsia="仿宋" w:cs="仿宋"/>
          <w:bCs/>
          <w:color w:val="auto"/>
          <w:sz w:val="32"/>
          <w:szCs w:val="32"/>
          <w:highlight w:val="none"/>
        </w:rPr>
      </w:pPr>
    </w:p>
    <w:p w14:paraId="19E90791">
      <w:pPr>
        <w:pStyle w:val="22"/>
        <w:spacing w:before="50" w:after="50"/>
        <w:ind w:firstLine="1280" w:firstLineChars="400"/>
        <w:rPr>
          <w:rFonts w:hint="eastAsia" w:ascii="仿宋" w:hAnsi="仿宋" w:eastAsia="仿宋" w:cs="仿宋"/>
          <w:bCs/>
          <w:color w:val="auto"/>
          <w:sz w:val="32"/>
          <w:szCs w:val="32"/>
          <w:highlight w:val="none"/>
        </w:rPr>
      </w:pPr>
    </w:p>
    <w:p w14:paraId="79C698C6">
      <w:pPr>
        <w:spacing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1933C90D">
      <w:pPr>
        <w:spacing w:after="50" w:line="360" w:lineRule="auto"/>
        <w:ind w:left="142"/>
        <w:jc w:val="left"/>
        <w:rPr>
          <w:rFonts w:hint="eastAsia" w:ascii="仿宋" w:hAnsi="仿宋" w:eastAsia="仿宋" w:cs="仿宋"/>
          <w:b/>
          <w:bCs/>
          <w:color w:val="auto"/>
          <w:sz w:val="24"/>
          <w:highlight w:val="none"/>
        </w:rPr>
      </w:pPr>
      <w:r>
        <w:rPr>
          <w:rFonts w:hint="eastAsia" w:ascii="仿宋" w:hAnsi="仿宋" w:eastAsia="仿宋" w:cs="仿宋"/>
          <w:color w:val="auto"/>
          <w:szCs w:val="21"/>
          <w:highlight w:val="none"/>
        </w:rPr>
        <w:br w:type="page"/>
      </w:r>
      <w:r>
        <w:rPr>
          <w:rFonts w:hint="eastAsia" w:ascii="仿宋" w:hAnsi="仿宋" w:eastAsia="仿宋" w:cs="仿宋"/>
          <w:b/>
          <w:bCs/>
          <w:color w:val="auto"/>
          <w:sz w:val="32"/>
          <w:szCs w:val="32"/>
          <w:highlight w:val="none"/>
        </w:rPr>
        <w:t>2.报价文件目录</w:t>
      </w:r>
    </w:p>
    <w:p w14:paraId="548AE819">
      <w:pPr>
        <w:spacing w:line="520" w:lineRule="exact"/>
        <w:jc w:val="center"/>
        <w:rPr>
          <w:rFonts w:hint="eastAsia" w:ascii="仿宋" w:hAnsi="仿宋" w:eastAsia="仿宋" w:cs="仿宋"/>
          <w:bCs/>
          <w:color w:val="auto"/>
          <w:sz w:val="32"/>
          <w:szCs w:val="32"/>
          <w:highlight w:val="none"/>
        </w:rPr>
      </w:pPr>
      <w:r>
        <w:rPr>
          <w:rFonts w:hint="eastAsia" w:ascii="仿宋" w:hAnsi="仿宋" w:eastAsia="仿宋" w:cs="仿宋"/>
          <w:color w:val="auto"/>
          <w:sz w:val="32"/>
          <w:szCs w:val="32"/>
          <w:highlight w:val="none"/>
        </w:rPr>
        <w:t>根据磋商文件规定及供应商提供的材料自行编写目录（部分格式后附）。</w:t>
      </w:r>
      <w:r>
        <w:rPr>
          <w:rFonts w:hint="eastAsia" w:ascii="仿宋" w:hAnsi="仿宋" w:eastAsia="仿宋" w:cs="仿宋"/>
          <w:b/>
          <w:bCs/>
          <w:color w:val="auto"/>
          <w:sz w:val="32"/>
          <w:szCs w:val="32"/>
          <w:highlight w:val="none"/>
        </w:rPr>
        <w:br w:type="page"/>
      </w:r>
      <w:r>
        <w:rPr>
          <w:rFonts w:hint="eastAsia" w:ascii="仿宋" w:hAnsi="仿宋" w:eastAsia="仿宋" w:cs="仿宋"/>
          <w:bCs/>
          <w:color w:val="auto"/>
          <w:sz w:val="44"/>
          <w:szCs w:val="44"/>
          <w:highlight w:val="none"/>
        </w:rPr>
        <w:t>竞  标  报  价  表</w:t>
      </w:r>
    </w:p>
    <w:p w14:paraId="1CDC1B08">
      <w:pPr>
        <w:spacing w:line="440" w:lineRule="exact"/>
        <w:jc w:val="center"/>
        <w:rPr>
          <w:rFonts w:hint="eastAsia" w:ascii="仿宋" w:hAnsi="仿宋" w:eastAsia="仿宋" w:cs="仿宋"/>
          <w:bCs/>
          <w:color w:val="auto"/>
          <w:sz w:val="32"/>
          <w:szCs w:val="32"/>
          <w:highlight w:val="none"/>
        </w:rPr>
      </w:pPr>
    </w:p>
    <w:p w14:paraId="4C2FDEFC">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6DDCA918">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分标（如有）：</w:t>
      </w:r>
      <w:r>
        <w:rPr>
          <w:rFonts w:hint="eastAsia" w:ascii="仿宋" w:hAnsi="仿宋" w:eastAsia="仿宋" w:cs="仿宋"/>
          <w:color w:val="auto"/>
          <w:sz w:val="24"/>
          <w:highlight w:val="none"/>
          <w:u w:val="single"/>
        </w:rPr>
        <w:t xml:space="preserve">                                         </w:t>
      </w:r>
    </w:p>
    <w:p w14:paraId="36B98A72">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5BC62BC">
      <w:pPr>
        <w:spacing w:line="360" w:lineRule="auto"/>
        <w:contextualSpacing/>
        <w:rPr>
          <w:color w:val="auto"/>
          <w:highlight w:val="none"/>
        </w:rPr>
      </w:pPr>
      <w:r>
        <w:rPr>
          <w:rFonts w:hint="eastAsia" w:ascii="仿宋" w:hAnsi="仿宋" w:eastAsia="仿宋" w:cs="仿宋"/>
          <w:color w:val="auto"/>
          <w:sz w:val="24"/>
          <w:highlight w:val="none"/>
        </w:rPr>
        <w:t xml:space="preserve">                                                单位：元</w:t>
      </w:r>
    </w:p>
    <w:tbl>
      <w:tblPr>
        <w:tblStyle w:val="13"/>
        <w:tblW w:w="9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9"/>
        <w:gridCol w:w="729"/>
        <w:gridCol w:w="553"/>
        <w:gridCol w:w="504"/>
        <w:gridCol w:w="4536"/>
        <w:gridCol w:w="1082"/>
        <w:gridCol w:w="1082"/>
      </w:tblGrid>
      <w:tr w14:paraId="2205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jc w:val="center"/>
        </w:trPr>
        <w:tc>
          <w:tcPr>
            <w:tcW w:w="549" w:type="dxa"/>
            <w:shd w:val="clear" w:color="auto" w:fill="auto"/>
            <w:vAlign w:val="center"/>
          </w:tcPr>
          <w:p w14:paraId="2BCD0B7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序号</w:t>
            </w:r>
          </w:p>
        </w:tc>
        <w:tc>
          <w:tcPr>
            <w:tcW w:w="729" w:type="dxa"/>
            <w:shd w:val="clear" w:color="auto" w:fill="auto"/>
            <w:vAlign w:val="center"/>
          </w:tcPr>
          <w:p w14:paraId="1097F86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名称</w:t>
            </w:r>
          </w:p>
        </w:tc>
        <w:tc>
          <w:tcPr>
            <w:tcW w:w="553" w:type="dxa"/>
            <w:shd w:val="clear" w:color="auto" w:fill="auto"/>
            <w:vAlign w:val="center"/>
          </w:tcPr>
          <w:p w14:paraId="66574E6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数量</w:t>
            </w:r>
          </w:p>
        </w:tc>
        <w:tc>
          <w:tcPr>
            <w:tcW w:w="504" w:type="dxa"/>
            <w:shd w:val="clear" w:color="auto" w:fill="auto"/>
            <w:vAlign w:val="center"/>
          </w:tcPr>
          <w:p w14:paraId="5CC3378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单位</w:t>
            </w:r>
          </w:p>
        </w:tc>
        <w:tc>
          <w:tcPr>
            <w:tcW w:w="4536" w:type="dxa"/>
            <w:shd w:val="clear" w:color="auto" w:fill="auto"/>
            <w:vAlign w:val="center"/>
          </w:tcPr>
          <w:p w14:paraId="336E689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参数</w:t>
            </w:r>
          </w:p>
        </w:tc>
        <w:tc>
          <w:tcPr>
            <w:tcW w:w="1082" w:type="dxa"/>
            <w:shd w:val="clear" w:color="auto" w:fill="auto"/>
            <w:vAlign w:val="center"/>
          </w:tcPr>
          <w:p w14:paraId="01C4465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单价（元）</w:t>
            </w:r>
          </w:p>
        </w:tc>
        <w:tc>
          <w:tcPr>
            <w:tcW w:w="1082" w:type="dxa"/>
            <w:shd w:val="clear" w:color="auto" w:fill="auto"/>
            <w:vAlign w:val="center"/>
          </w:tcPr>
          <w:p w14:paraId="46DDF1D7">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Cs/>
                <w:iCs/>
                <w:color w:val="auto"/>
                <w:szCs w:val="21"/>
                <w:highlight w:val="none"/>
                <w:lang w:val="en-US" w:eastAsia="zh-CN"/>
              </w:rPr>
            </w:pPr>
            <w:r>
              <w:rPr>
                <w:rFonts w:hint="eastAsia" w:ascii="仿宋" w:hAnsi="仿宋" w:eastAsia="仿宋" w:cs="仿宋"/>
                <w:bCs/>
                <w:iCs/>
                <w:color w:val="auto"/>
                <w:szCs w:val="21"/>
                <w:highlight w:val="none"/>
                <w:lang w:val="en-US" w:eastAsia="zh-CN"/>
              </w:rPr>
              <w:t>单项合计（元）</w:t>
            </w:r>
          </w:p>
        </w:tc>
      </w:tr>
      <w:tr w14:paraId="1A5C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9035" w:type="dxa"/>
            <w:gridSpan w:val="7"/>
            <w:shd w:val="clear" w:color="auto" w:fill="auto"/>
            <w:vAlign w:val="center"/>
          </w:tcPr>
          <w:p w14:paraId="6AF66BB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一、定制文稿服务</w:t>
            </w:r>
          </w:p>
        </w:tc>
      </w:tr>
      <w:tr w14:paraId="4DAD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49" w:type="dxa"/>
            <w:shd w:val="clear" w:color="auto" w:fill="auto"/>
            <w:noWrap/>
            <w:vAlign w:val="center"/>
          </w:tcPr>
          <w:p w14:paraId="2EB8272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729" w:type="dxa"/>
            <w:shd w:val="clear" w:color="auto" w:fill="auto"/>
            <w:vAlign w:val="center"/>
          </w:tcPr>
          <w:p w14:paraId="38CA5F5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图文内容创作、编制服务</w:t>
            </w:r>
          </w:p>
        </w:tc>
        <w:tc>
          <w:tcPr>
            <w:tcW w:w="553" w:type="dxa"/>
            <w:shd w:val="clear" w:color="auto" w:fill="auto"/>
            <w:vAlign w:val="center"/>
          </w:tcPr>
          <w:p w14:paraId="7F9B7A9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504" w:type="dxa"/>
            <w:shd w:val="clear" w:color="auto" w:fill="auto"/>
            <w:vAlign w:val="center"/>
          </w:tcPr>
          <w:p w14:paraId="60E08D7E">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项</w:t>
            </w:r>
          </w:p>
        </w:tc>
        <w:tc>
          <w:tcPr>
            <w:tcW w:w="4536" w:type="dxa"/>
            <w:shd w:val="clear" w:color="auto" w:fill="auto"/>
            <w:vAlign w:val="center"/>
          </w:tcPr>
          <w:p w14:paraId="3732A9F3">
            <w:pPr>
              <w:pStyle w:val="7"/>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详见采购需求</w:t>
            </w:r>
          </w:p>
        </w:tc>
        <w:tc>
          <w:tcPr>
            <w:tcW w:w="1082" w:type="dxa"/>
            <w:shd w:val="clear" w:color="auto" w:fill="auto"/>
            <w:vAlign w:val="center"/>
          </w:tcPr>
          <w:p w14:paraId="4C3C482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98864A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95D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9035" w:type="dxa"/>
            <w:gridSpan w:val="7"/>
            <w:shd w:val="clear" w:color="auto" w:fill="auto"/>
            <w:vAlign w:val="center"/>
          </w:tcPr>
          <w:p w14:paraId="13C0F46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二、文化服务与布展服务</w:t>
            </w:r>
          </w:p>
        </w:tc>
      </w:tr>
      <w:tr w14:paraId="6C6C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67D685C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729" w:type="dxa"/>
            <w:vMerge w:val="restart"/>
            <w:shd w:val="clear" w:color="auto" w:fill="auto"/>
            <w:vAlign w:val="center"/>
          </w:tcPr>
          <w:p w14:paraId="0072DC3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序厅</w:t>
            </w:r>
          </w:p>
          <w:p w14:paraId="5E3BD13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480B722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CF7AA3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4D75F3A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2E7EAF8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5D75960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259A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3E122FC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6B86FC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3AFD860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8C488A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146A0B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5039493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3E62E5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1C65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C8948B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686F55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1EF90D7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5679A1A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1BC817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7514D3B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1BE34A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15E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DED063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11A7689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37864F7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6CC795C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2550BBA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成品红色铝方通</w:t>
            </w:r>
          </w:p>
        </w:tc>
        <w:tc>
          <w:tcPr>
            <w:tcW w:w="1082" w:type="dxa"/>
            <w:shd w:val="clear" w:color="auto" w:fill="auto"/>
            <w:vAlign w:val="center"/>
          </w:tcPr>
          <w:p w14:paraId="599FDBF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65602B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2937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0172F7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7B1D90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5B09339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33ECB5D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1BDCCF4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3D048A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1039553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99C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A41398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48897E3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6E62CB9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558D1B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1734743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1D1FFAF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6D123B2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6C55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043A36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7DFD25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0045225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EBB3DF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5B28A98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1082" w:type="dxa"/>
            <w:shd w:val="clear" w:color="auto" w:fill="auto"/>
            <w:vAlign w:val="center"/>
          </w:tcPr>
          <w:p w14:paraId="69CD88C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6AFA4B1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2DC0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457F2F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06FAD69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2F5D03F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0FF6FC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185D6C7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661C0FF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4914DC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5F78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5F61E6B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w:t>
            </w:r>
          </w:p>
        </w:tc>
        <w:tc>
          <w:tcPr>
            <w:tcW w:w="729" w:type="dxa"/>
            <w:vMerge w:val="restart"/>
            <w:shd w:val="clear" w:color="auto" w:fill="auto"/>
            <w:vAlign w:val="center"/>
          </w:tcPr>
          <w:p w14:paraId="4406CB0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第一部分：中国共产党党史部分</w:t>
            </w:r>
          </w:p>
          <w:p w14:paraId="65C21EC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330A73F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0513101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5602671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5A8AF2A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5D9531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24A2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D93D3B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4F9FF3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39D9B70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0D00A1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1364BF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5791328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5E4D71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4F1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39C267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235962D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431073E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626B4F3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58366DD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0EB24C0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27416C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C19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BDD3A6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CC29D9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6DD0BC4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B7B85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4E3E480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177506E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6FAE782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3CA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E8A188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C73DCB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17BDAF5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2EF3CB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1C6497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成品木纹铝方通</w:t>
            </w:r>
          </w:p>
        </w:tc>
        <w:tc>
          <w:tcPr>
            <w:tcW w:w="1082" w:type="dxa"/>
            <w:shd w:val="clear" w:color="auto" w:fill="auto"/>
            <w:vAlign w:val="center"/>
          </w:tcPr>
          <w:p w14:paraId="588DB41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657082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17A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BA532E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F0BDD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7984B3E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0BFDF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65B9258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1082" w:type="dxa"/>
            <w:shd w:val="clear" w:color="auto" w:fill="auto"/>
            <w:vAlign w:val="center"/>
          </w:tcPr>
          <w:p w14:paraId="7CEC03F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B89BDF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7EA6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0F8605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829146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6B2DE86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5211D3F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1C63E52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4B7F5BF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4AC261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DAD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4DC717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72E5178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75F0618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1190E77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1862CB7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5C173C4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97B22B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433B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07E92E4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3</w:t>
            </w:r>
          </w:p>
        </w:tc>
        <w:tc>
          <w:tcPr>
            <w:tcW w:w="729" w:type="dxa"/>
            <w:vMerge w:val="restart"/>
            <w:shd w:val="clear" w:color="auto" w:fill="auto"/>
            <w:vAlign w:val="center"/>
          </w:tcPr>
          <w:p w14:paraId="1EA2868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第二部分：中国共产党广西历史</w:t>
            </w:r>
          </w:p>
          <w:p w14:paraId="20D2531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09E9B8F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24A9DD8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48AB2F9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7721443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7FC275F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DB1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319CE81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51AE78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4319F97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B0F795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991E28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6D9FDEE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4F1A71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CF3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953F48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78F2BAE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2A6E532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0C2791B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209E40B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5DE4787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AEBAAD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B88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16C8EB7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D0CBFC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7ECB3A6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28431A6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2C9C203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4EF49E7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19BCF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2C1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616C53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45FD8B9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03403FF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109F0F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3B54CD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竹炭纤维格栅板</w:t>
            </w:r>
          </w:p>
        </w:tc>
        <w:tc>
          <w:tcPr>
            <w:tcW w:w="1082" w:type="dxa"/>
            <w:shd w:val="clear" w:color="auto" w:fill="auto"/>
            <w:vAlign w:val="center"/>
          </w:tcPr>
          <w:p w14:paraId="2A9277D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7CC2542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05B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17449B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41B43A6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3A3B3E3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38A09C4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70D03F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58FB69C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42978A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D3A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49" w:type="dxa"/>
            <w:vMerge w:val="continue"/>
            <w:shd w:val="clear" w:color="auto" w:fill="auto"/>
            <w:noWrap/>
            <w:vAlign w:val="center"/>
          </w:tcPr>
          <w:p w14:paraId="181C50F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0F834F7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3D8C198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45D4B5D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74F274B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0A9AF02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58BEC22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73F1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1E2A74D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4</w:t>
            </w:r>
          </w:p>
        </w:tc>
        <w:tc>
          <w:tcPr>
            <w:tcW w:w="729" w:type="dxa"/>
            <w:vMerge w:val="restart"/>
            <w:shd w:val="clear" w:color="auto" w:fill="auto"/>
            <w:vAlign w:val="center"/>
          </w:tcPr>
          <w:p w14:paraId="63364A3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第三部分：防城港地方建设与发展内容+结语</w:t>
            </w:r>
          </w:p>
          <w:p w14:paraId="7F5AF9E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0BEFE35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E914BA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4DB810F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0F9BFC9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7486F9B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4CD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F2B441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05B238A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738C921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339D44F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623862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373ED43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D750B9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0B0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0B9A0B7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2D1C075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73D6D8E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7DCEBB6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37DB29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6A79707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A483CB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A6D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7EAC8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E7A437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473E94B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13CD178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35BB954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4F1DF11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81D18E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D78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CF26AE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0DC4E8A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2E89A27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0BA18F1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2EE6B27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成品木纹铝方通</w:t>
            </w:r>
          </w:p>
        </w:tc>
        <w:tc>
          <w:tcPr>
            <w:tcW w:w="1082" w:type="dxa"/>
            <w:shd w:val="clear" w:color="auto" w:fill="auto"/>
            <w:vAlign w:val="center"/>
          </w:tcPr>
          <w:p w14:paraId="498F440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C9386A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6CD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1A5DD0E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7EC009F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532C7A4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51B1E0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4F02929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1082" w:type="dxa"/>
            <w:shd w:val="clear" w:color="auto" w:fill="auto"/>
            <w:vAlign w:val="center"/>
          </w:tcPr>
          <w:p w14:paraId="3D02699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1922245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564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1509C8B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2905688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15EE505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24C0061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0218AE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3F14A06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630FBE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FBF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9" w:type="dxa"/>
            <w:vMerge w:val="continue"/>
            <w:shd w:val="clear" w:color="auto" w:fill="auto"/>
            <w:noWrap/>
            <w:vAlign w:val="center"/>
          </w:tcPr>
          <w:p w14:paraId="5D5B851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1B8C50D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5F62AAA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03BE0F2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0E40528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7C54EB4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ABBC5B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4BE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9035" w:type="dxa"/>
            <w:gridSpan w:val="7"/>
            <w:shd w:val="clear" w:color="auto" w:fill="auto"/>
            <w:noWrap/>
            <w:vAlign w:val="center"/>
          </w:tcPr>
          <w:p w14:paraId="1254756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lang w:val="en-US" w:eastAsia="zh-CN"/>
              </w:rPr>
            </w:pPr>
            <w:r>
              <w:rPr>
                <w:rFonts w:hint="eastAsia" w:ascii="仿宋" w:hAnsi="仿宋" w:eastAsia="仿宋" w:cs="仿宋"/>
                <w:bCs/>
                <w:iCs/>
                <w:color w:val="auto"/>
                <w:szCs w:val="21"/>
                <w:highlight w:val="none"/>
                <w:lang w:val="en-US" w:eastAsia="zh-CN"/>
              </w:rPr>
              <w:t>金额合计（人民币，含税）：大写  小写¥</w:t>
            </w:r>
          </w:p>
        </w:tc>
      </w:tr>
    </w:tbl>
    <w:p w14:paraId="244A4343">
      <w:pPr>
        <w:spacing w:line="360" w:lineRule="auto"/>
        <w:contextualSpacing/>
        <w:jc w:val="left"/>
        <w:rPr>
          <w:rFonts w:hint="eastAsia" w:ascii="仿宋" w:hAnsi="仿宋" w:eastAsia="仿宋" w:cs="仿宋"/>
          <w:color w:val="auto"/>
          <w:sz w:val="24"/>
          <w:highlight w:val="none"/>
        </w:rPr>
      </w:pPr>
    </w:p>
    <w:p w14:paraId="4071E55B">
      <w:pPr>
        <w:spacing w:line="360" w:lineRule="auto"/>
        <w:contextualSpacing/>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注: </w:t>
      </w:r>
    </w:p>
    <w:p w14:paraId="695858C1">
      <w:pPr>
        <w:spacing w:line="360" w:lineRule="auto"/>
        <w:ind w:firstLine="420" w:firstLineChars="200"/>
        <w:contextualSpacing/>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1.供应商的报价表必须加盖供应商电子签章并由法定代表人或者委托代理人签字或者电子签名，</w:t>
      </w:r>
      <w:r>
        <w:rPr>
          <w:rFonts w:hint="eastAsia" w:ascii="仿宋" w:hAnsi="仿宋" w:eastAsia="仿宋" w:cs="仿宋"/>
          <w:b/>
          <w:color w:val="auto"/>
          <w:szCs w:val="21"/>
          <w:highlight w:val="none"/>
        </w:rPr>
        <w:t>否则其响应文件按无效处理</w:t>
      </w:r>
      <w:r>
        <w:rPr>
          <w:rFonts w:hint="eastAsia" w:ascii="仿宋" w:hAnsi="仿宋" w:eastAsia="仿宋" w:cs="仿宋"/>
          <w:color w:val="auto"/>
          <w:szCs w:val="21"/>
          <w:highlight w:val="none"/>
        </w:rPr>
        <w:t>。</w:t>
      </w:r>
    </w:p>
    <w:p w14:paraId="35682761">
      <w:pPr>
        <w:spacing w:line="360" w:lineRule="auto"/>
        <w:ind w:firstLine="420" w:firstLineChars="200"/>
        <w:contextualSpacing/>
        <w:jc w:val="left"/>
        <w:rPr>
          <w:rFonts w:hint="eastAsia" w:ascii="仿宋" w:hAnsi="仿宋" w:eastAsia="仿宋" w:cs="仿宋"/>
          <w:b/>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color w:val="auto"/>
          <w:szCs w:val="21"/>
          <w:highlight w:val="none"/>
        </w:rPr>
        <w:t>报价一经涂改，应在涂改处加盖供应商公章或者加盖电子签章或者由法定代表人或者授权委托人签字（或者电子签名）</w:t>
      </w:r>
      <w:r>
        <w:rPr>
          <w:rFonts w:hint="eastAsia" w:ascii="仿宋" w:hAnsi="仿宋" w:eastAsia="仿宋" w:cs="仿宋"/>
          <w:b/>
          <w:color w:val="auto"/>
          <w:szCs w:val="21"/>
          <w:highlight w:val="none"/>
        </w:rPr>
        <w:t>，否则其响应文件按无效处理。</w:t>
      </w:r>
    </w:p>
    <w:p w14:paraId="0BD10985">
      <w:pPr>
        <w:spacing w:line="360" w:lineRule="auto"/>
        <w:ind w:right="-817" w:rightChars="-389"/>
        <w:contextualSpacing/>
        <w:rPr>
          <w:rFonts w:hint="eastAsia" w:ascii="仿宋" w:hAnsi="仿宋" w:eastAsia="仿宋" w:cs="仿宋"/>
          <w:color w:val="auto"/>
          <w:sz w:val="24"/>
          <w:highlight w:val="none"/>
        </w:rPr>
      </w:pPr>
    </w:p>
    <w:p w14:paraId="5B85EF5F">
      <w:pPr>
        <w:spacing w:line="360" w:lineRule="auto"/>
        <w:ind w:right="-817" w:rightChars="-389" w:firstLine="2640" w:firstLineChars="11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法定代表人或者委托代理人（签字或者电子签名）：                    </w:t>
      </w:r>
    </w:p>
    <w:p w14:paraId="4D57E3B1">
      <w:pPr>
        <w:spacing w:line="360" w:lineRule="auto"/>
        <w:ind w:right="-817" w:rightChars="-389" w:firstLine="2640" w:firstLineChars="11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w:t>
      </w:r>
      <w:r>
        <w:rPr>
          <w:rFonts w:hint="eastAsia" w:ascii="仿宋" w:hAnsi="仿宋" w:eastAsia="仿宋" w:cs="仿宋"/>
          <w:color w:val="auto"/>
          <w:sz w:val="24"/>
          <w:highlight w:val="none"/>
          <w:lang w:val="en-US" w:eastAsia="zh-CN"/>
        </w:rPr>
        <w:t>盖章</w:t>
      </w:r>
      <w:r>
        <w:rPr>
          <w:rFonts w:hint="eastAsia" w:ascii="仿宋" w:hAnsi="仿宋" w:eastAsia="仿宋" w:cs="仿宋"/>
          <w:color w:val="auto"/>
          <w:sz w:val="24"/>
          <w:highlight w:val="none"/>
        </w:rPr>
        <w:t xml:space="preserve">）：      </w:t>
      </w:r>
    </w:p>
    <w:p w14:paraId="05F85FA2">
      <w:pPr>
        <w:spacing w:line="360" w:lineRule="auto"/>
        <w:ind w:right="-817" w:rightChars="-389" w:firstLine="4080" w:firstLineChars="17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AE36D88">
      <w:pPr>
        <w:pStyle w:val="17"/>
        <w:rPr>
          <w:rFonts w:hint="eastAsia" w:ascii="仿宋" w:hAnsi="仿宋" w:eastAsia="仿宋" w:cs="仿宋"/>
          <w:color w:val="auto"/>
          <w:sz w:val="24"/>
          <w:highlight w:val="none"/>
        </w:rPr>
      </w:pPr>
    </w:p>
    <w:p w14:paraId="12FEBE85">
      <w:pPr>
        <w:pStyle w:val="17"/>
        <w:rPr>
          <w:rFonts w:hint="eastAsia" w:ascii="仿宋" w:hAnsi="仿宋" w:eastAsia="仿宋" w:cs="仿宋"/>
          <w:color w:val="auto"/>
          <w:sz w:val="24"/>
          <w:highlight w:val="none"/>
        </w:rPr>
      </w:pPr>
    </w:p>
    <w:p w14:paraId="0A1A77E9">
      <w:pPr>
        <w:pStyle w:val="17"/>
        <w:rPr>
          <w:rFonts w:hint="eastAsia" w:ascii="仿宋" w:hAnsi="仿宋" w:eastAsia="仿宋" w:cs="仿宋"/>
          <w:color w:val="auto"/>
          <w:sz w:val="24"/>
          <w:highlight w:val="none"/>
        </w:rPr>
      </w:pPr>
    </w:p>
    <w:p w14:paraId="3BFC8FA6">
      <w:pPr>
        <w:pStyle w:val="17"/>
        <w:rPr>
          <w:rFonts w:hint="eastAsia" w:ascii="仿宋" w:hAnsi="仿宋" w:eastAsia="仿宋" w:cs="仿宋"/>
          <w:color w:val="auto"/>
          <w:sz w:val="24"/>
          <w:highlight w:val="none"/>
        </w:rPr>
      </w:pPr>
    </w:p>
    <w:p w14:paraId="0E3EC53D">
      <w:pPr>
        <w:pStyle w:val="17"/>
        <w:rPr>
          <w:rFonts w:hint="eastAsia" w:ascii="仿宋" w:hAnsi="仿宋" w:eastAsia="仿宋" w:cs="仿宋"/>
          <w:color w:val="auto"/>
          <w:sz w:val="24"/>
          <w:highlight w:val="none"/>
        </w:rPr>
      </w:pPr>
    </w:p>
    <w:p w14:paraId="489FB706">
      <w:pPr>
        <w:pStyle w:val="17"/>
        <w:rPr>
          <w:rFonts w:hint="eastAsia" w:ascii="仿宋" w:hAnsi="仿宋" w:eastAsia="仿宋" w:cs="仿宋"/>
          <w:color w:val="auto"/>
          <w:sz w:val="24"/>
          <w:highlight w:val="none"/>
        </w:rPr>
      </w:pPr>
    </w:p>
    <w:p w14:paraId="443F0123">
      <w:pPr>
        <w:pStyle w:val="17"/>
        <w:rPr>
          <w:rFonts w:hint="eastAsia" w:ascii="仿宋" w:hAnsi="仿宋" w:eastAsia="仿宋" w:cs="仿宋"/>
          <w:color w:val="auto"/>
          <w:sz w:val="24"/>
          <w:highlight w:val="none"/>
        </w:rPr>
      </w:pPr>
    </w:p>
    <w:p w14:paraId="4DF09203">
      <w:pPr>
        <w:pStyle w:val="17"/>
        <w:rPr>
          <w:rFonts w:hint="eastAsia" w:ascii="仿宋" w:hAnsi="仿宋" w:eastAsia="仿宋" w:cs="仿宋"/>
          <w:color w:val="auto"/>
          <w:sz w:val="24"/>
          <w:highlight w:val="none"/>
        </w:rPr>
      </w:pPr>
    </w:p>
    <w:p w14:paraId="372E2345">
      <w:pPr>
        <w:pStyle w:val="17"/>
        <w:rPr>
          <w:rFonts w:hint="eastAsia" w:ascii="仿宋" w:hAnsi="仿宋" w:eastAsia="仿宋" w:cs="仿宋"/>
          <w:color w:val="auto"/>
          <w:sz w:val="24"/>
          <w:highlight w:val="none"/>
        </w:rPr>
      </w:pPr>
    </w:p>
    <w:p w14:paraId="4638ABC4">
      <w:pPr>
        <w:pStyle w:val="17"/>
        <w:rPr>
          <w:rFonts w:hint="eastAsia" w:ascii="仿宋" w:hAnsi="仿宋" w:eastAsia="仿宋" w:cs="仿宋"/>
          <w:color w:val="auto"/>
          <w:sz w:val="24"/>
          <w:highlight w:val="none"/>
        </w:rPr>
      </w:pPr>
    </w:p>
    <w:p w14:paraId="1E333D1D">
      <w:pPr>
        <w:pStyle w:val="17"/>
        <w:rPr>
          <w:rFonts w:hint="eastAsia" w:ascii="仿宋" w:hAnsi="仿宋" w:eastAsia="仿宋" w:cs="仿宋"/>
          <w:color w:val="auto"/>
          <w:sz w:val="24"/>
          <w:highlight w:val="none"/>
        </w:rPr>
      </w:pPr>
    </w:p>
    <w:p w14:paraId="51ACCED8">
      <w:pPr>
        <w:pStyle w:val="17"/>
        <w:rPr>
          <w:rFonts w:hint="eastAsia" w:ascii="仿宋" w:hAnsi="仿宋" w:eastAsia="仿宋" w:cs="仿宋"/>
          <w:color w:val="auto"/>
          <w:sz w:val="24"/>
          <w:highlight w:val="none"/>
        </w:rPr>
      </w:pPr>
    </w:p>
    <w:p w14:paraId="5C73F18C">
      <w:pPr>
        <w:spacing w:line="360" w:lineRule="auto"/>
        <w:ind w:right="420"/>
        <w:contextualSpacing/>
        <w:jc w:val="left"/>
        <w:rPr>
          <w:rFonts w:hint="eastAsia" w:ascii="仿宋" w:hAnsi="仿宋" w:eastAsia="仿宋" w:cs="仿宋"/>
          <w:b/>
          <w:bCs/>
          <w:color w:val="auto"/>
          <w:sz w:val="32"/>
          <w:szCs w:val="32"/>
          <w:highlight w:val="none"/>
        </w:rPr>
      </w:pPr>
    </w:p>
    <w:p w14:paraId="63944E9C">
      <w:pPr>
        <w:spacing w:line="520" w:lineRule="exact"/>
        <w:jc w:val="center"/>
        <w:rPr>
          <w:rFonts w:hint="eastAsia" w:ascii="仿宋" w:hAnsi="仿宋" w:eastAsia="仿宋" w:cs="仿宋"/>
          <w:bCs/>
          <w:color w:val="auto"/>
          <w:sz w:val="44"/>
          <w:szCs w:val="44"/>
          <w:highlight w:val="none"/>
          <w:lang w:eastAsia="zh-CN"/>
        </w:rPr>
      </w:pPr>
      <w:r>
        <w:rPr>
          <w:rFonts w:hint="eastAsia" w:ascii="仿宋" w:hAnsi="仿宋" w:eastAsia="仿宋" w:cs="仿宋"/>
          <w:bCs/>
          <w:color w:val="auto"/>
          <w:sz w:val="44"/>
          <w:szCs w:val="44"/>
          <w:highlight w:val="none"/>
          <w:lang w:val="en-US" w:eastAsia="zh-CN"/>
        </w:rPr>
        <w:t>最终</w:t>
      </w:r>
      <w:r>
        <w:rPr>
          <w:rFonts w:hint="eastAsia" w:ascii="仿宋" w:hAnsi="仿宋" w:eastAsia="仿宋" w:cs="仿宋"/>
          <w:bCs/>
          <w:color w:val="auto"/>
          <w:sz w:val="44"/>
          <w:szCs w:val="44"/>
          <w:highlight w:val="none"/>
        </w:rPr>
        <w:t>报价表</w:t>
      </w:r>
      <w:r>
        <w:rPr>
          <w:rFonts w:hint="eastAsia" w:ascii="仿宋" w:hAnsi="仿宋" w:eastAsia="仿宋" w:cs="仿宋"/>
          <w:bCs/>
          <w:color w:val="auto"/>
          <w:sz w:val="44"/>
          <w:szCs w:val="44"/>
          <w:highlight w:val="none"/>
          <w:lang w:eastAsia="zh-CN"/>
        </w:rPr>
        <w:t>（</w:t>
      </w:r>
      <w:r>
        <w:rPr>
          <w:rFonts w:hint="eastAsia" w:ascii="仿宋" w:hAnsi="仿宋" w:eastAsia="仿宋" w:cs="仿宋"/>
          <w:bCs/>
          <w:color w:val="auto"/>
          <w:sz w:val="44"/>
          <w:szCs w:val="44"/>
          <w:highlight w:val="none"/>
          <w:lang w:val="en-US" w:eastAsia="zh-CN"/>
        </w:rPr>
        <w:t>格式</w:t>
      </w:r>
      <w:r>
        <w:rPr>
          <w:rFonts w:hint="eastAsia" w:ascii="仿宋" w:hAnsi="仿宋" w:eastAsia="仿宋" w:cs="仿宋"/>
          <w:bCs/>
          <w:color w:val="auto"/>
          <w:sz w:val="44"/>
          <w:szCs w:val="44"/>
          <w:highlight w:val="none"/>
          <w:lang w:eastAsia="zh-CN"/>
        </w:rPr>
        <w:t>）</w:t>
      </w:r>
    </w:p>
    <w:p w14:paraId="484A1460">
      <w:pPr>
        <w:spacing w:line="520" w:lineRule="exact"/>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（广西政府采购云平台最终报价附件格式，</w:t>
      </w:r>
    </w:p>
    <w:p w14:paraId="6A9353CF">
      <w:pPr>
        <w:spacing w:line="520" w:lineRule="exact"/>
        <w:jc w:val="center"/>
        <w:rPr>
          <w:rFonts w:hint="eastAsia" w:ascii="仿宋" w:hAnsi="仿宋" w:eastAsia="仿宋" w:cs="仿宋"/>
          <w:bCs/>
          <w:color w:val="auto"/>
          <w:sz w:val="32"/>
          <w:szCs w:val="32"/>
          <w:highlight w:val="none"/>
        </w:rPr>
      </w:pPr>
      <w:r>
        <w:rPr>
          <w:rFonts w:hint="eastAsia" w:ascii="仿宋" w:hAnsi="仿宋" w:eastAsia="仿宋" w:cs="仿宋"/>
          <w:b/>
          <w:bCs w:val="0"/>
          <w:color w:val="auto"/>
          <w:sz w:val="24"/>
          <w:szCs w:val="24"/>
          <w:highlight w:val="none"/>
          <w:lang w:val="en-US" w:eastAsia="zh-CN"/>
        </w:rPr>
        <w:t>首次上传的响应文件中无须提供）</w:t>
      </w:r>
    </w:p>
    <w:p w14:paraId="05444DC9">
      <w:pPr>
        <w:spacing w:line="440" w:lineRule="exact"/>
        <w:jc w:val="center"/>
        <w:rPr>
          <w:rFonts w:hint="eastAsia" w:ascii="仿宋" w:hAnsi="仿宋" w:eastAsia="仿宋" w:cs="仿宋"/>
          <w:bCs/>
          <w:color w:val="auto"/>
          <w:sz w:val="32"/>
          <w:szCs w:val="32"/>
          <w:highlight w:val="none"/>
        </w:rPr>
      </w:pPr>
    </w:p>
    <w:p w14:paraId="50C54BC6">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53885E93">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分标（如有）：</w:t>
      </w:r>
      <w:r>
        <w:rPr>
          <w:rFonts w:hint="eastAsia" w:ascii="仿宋" w:hAnsi="仿宋" w:eastAsia="仿宋" w:cs="仿宋"/>
          <w:color w:val="auto"/>
          <w:sz w:val="24"/>
          <w:highlight w:val="none"/>
          <w:u w:val="single"/>
        </w:rPr>
        <w:t xml:space="preserve">                                         </w:t>
      </w:r>
    </w:p>
    <w:p w14:paraId="3649F123">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974C01B">
      <w:pPr>
        <w:spacing w:line="360" w:lineRule="auto"/>
        <w:contextualSpacing/>
        <w:rPr>
          <w:color w:val="auto"/>
          <w:highlight w:val="none"/>
        </w:rPr>
      </w:pPr>
      <w:r>
        <w:rPr>
          <w:rFonts w:hint="eastAsia" w:ascii="仿宋" w:hAnsi="仿宋" w:eastAsia="仿宋" w:cs="仿宋"/>
          <w:color w:val="auto"/>
          <w:sz w:val="24"/>
          <w:highlight w:val="none"/>
        </w:rPr>
        <w:t xml:space="preserve">                                                单位：元</w:t>
      </w:r>
    </w:p>
    <w:tbl>
      <w:tblPr>
        <w:tblStyle w:val="13"/>
        <w:tblW w:w="9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9"/>
        <w:gridCol w:w="729"/>
        <w:gridCol w:w="553"/>
        <w:gridCol w:w="504"/>
        <w:gridCol w:w="4536"/>
        <w:gridCol w:w="1082"/>
        <w:gridCol w:w="1082"/>
      </w:tblGrid>
      <w:tr w14:paraId="6448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jc w:val="center"/>
        </w:trPr>
        <w:tc>
          <w:tcPr>
            <w:tcW w:w="549" w:type="dxa"/>
            <w:shd w:val="clear" w:color="auto" w:fill="auto"/>
            <w:vAlign w:val="center"/>
          </w:tcPr>
          <w:p w14:paraId="4ADF784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序号</w:t>
            </w:r>
          </w:p>
        </w:tc>
        <w:tc>
          <w:tcPr>
            <w:tcW w:w="729" w:type="dxa"/>
            <w:shd w:val="clear" w:color="auto" w:fill="auto"/>
            <w:vAlign w:val="center"/>
          </w:tcPr>
          <w:p w14:paraId="5443B8C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名称</w:t>
            </w:r>
          </w:p>
        </w:tc>
        <w:tc>
          <w:tcPr>
            <w:tcW w:w="553" w:type="dxa"/>
            <w:shd w:val="clear" w:color="auto" w:fill="auto"/>
            <w:vAlign w:val="center"/>
          </w:tcPr>
          <w:p w14:paraId="7DE45AB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数量</w:t>
            </w:r>
          </w:p>
        </w:tc>
        <w:tc>
          <w:tcPr>
            <w:tcW w:w="504" w:type="dxa"/>
            <w:shd w:val="clear" w:color="auto" w:fill="auto"/>
            <w:vAlign w:val="center"/>
          </w:tcPr>
          <w:p w14:paraId="3AF5DBA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单位</w:t>
            </w:r>
          </w:p>
        </w:tc>
        <w:tc>
          <w:tcPr>
            <w:tcW w:w="4536" w:type="dxa"/>
            <w:shd w:val="clear" w:color="auto" w:fill="auto"/>
            <w:vAlign w:val="center"/>
          </w:tcPr>
          <w:p w14:paraId="53EA398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参数</w:t>
            </w:r>
          </w:p>
        </w:tc>
        <w:tc>
          <w:tcPr>
            <w:tcW w:w="1082" w:type="dxa"/>
            <w:shd w:val="clear" w:color="auto" w:fill="auto"/>
            <w:vAlign w:val="center"/>
          </w:tcPr>
          <w:p w14:paraId="115ED2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单价（元）</w:t>
            </w:r>
          </w:p>
        </w:tc>
        <w:tc>
          <w:tcPr>
            <w:tcW w:w="1082" w:type="dxa"/>
            <w:shd w:val="clear" w:color="auto" w:fill="auto"/>
            <w:vAlign w:val="center"/>
          </w:tcPr>
          <w:p w14:paraId="4E5B6D99">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Cs/>
                <w:iCs/>
                <w:color w:val="auto"/>
                <w:szCs w:val="21"/>
                <w:highlight w:val="none"/>
                <w:lang w:val="en-US" w:eastAsia="zh-CN"/>
              </w:rPr>
            </w:pPr>
            <w:r>
              <w:rPr>
                <w:rFonts w:hint="eastAsia" w:ascii="仿宋" w:hAnsi="仿宋" w:eastAsia="仿宋" w:cs="仿宋"/>
                <w:bCs/>
                <w:iCs/>
                <w:color w:val="auto"/>
                <w:szCs w:val="21"/>
                <w:highlight w:val="none"/>
                <w:lang w:val="en-US" w:eastAsia="zh-CN"/>
              </w:rPr>
              <w:t>单项合计（元）</w:t>
            </w:r>
          </w:p>
        </w:tc>
      </w:tr>
      <w:tr w14:paraId="538D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9035" w:type="dxa"/>
            <w:gridSpan w:val="7"/>
            <w:shd w:val="clear" w:color="auto" w:fill="auto"/>
            <w:vAlign w:val="center"/>
          </w:tcPr>
          <w:p w14:paraId="0F462147">
            <w:pPr>
              <w:pStyle w:val="7"/>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一、定制文稿服务</w:t>
            </w:r>
          </w:p>
        </w:tc>
      </w:tr>
      <w:tr w14:paraId="1E52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549" w:type="dxa"/>
            <w:shd w:val="clear" w:color="auto" w:fill="auto"/>
            <w:noWrap/>
            <w:vAlign w:val="center"/>
          </w:tcPr>
          <w:p w14:paraId="5C2E0AD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729" w:type="dxa"/>
            <w:shd w:val="clear" w:color="auto" w:fill="auto"/>
            <w:vAlign w:val="center"/>
          </w:tcPr>
          <w:p w14:paraId="5AF3C38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图文内容创作、编制服务</w:t>
            </w:r>
          </w:p>
        </w:tc>
        <w:tc>
          <w:tcPr>
            <w:tcW w:w="553" w:type="dxa"/>
            <w:shd w:val="clear" w:color="auto" w:fill="auto"/>
            <w:vAlign w:val="center"/>
          </w:tcPr>
          <w:p w14:paraId="754D9E8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504" w:type="dxa"/>
            <w:shd w:val="clear" w:color="auto" w:fill="auto"/>
            <w:vAlign w:val="center"/>
          </w:tcPr>
          <w:p w14:paraId="3B6FBC10">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项</w:t>
            </w:r>
          </w:p>
        </w:tc>
        <w:tc>
          <w:tcPr>
            <w:tcW w:w="4536" w:type="dxa"/>
            <w:shd w:val="clear" w:color="auto" w:fill="auto"/>
            <w:vAlign w:val="center"/>
          </w:tcPr>
          <w:p w14:paraId="1B53E641">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详见采购需求</w:t>
            </w:r>
          </w:p>
        </w:tc>
        <w:tc>
          <w:tcPr>
            <w:tcW w:w="1082" w:type="dxa"/>
            <w:shd w:val="clear" w:color="auto" w:fill="auto"/>
            <w:vAlign w:val="center"/>
          </w:tcPr>
          <w:p w14:paraId="4FE88F6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751A082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51FA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9035" w:type="dxa"/>
            <w:gridSpan w:val="7"/>
            <w:shd w:val="clear" w:color="auto" w:fill="auto"/>
            <w:vAlign w:val="center"/>
          </w:tcPr>
          <w:p w14:paraId="2469A3D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二、文化服务与布展服务</w:t>
            </w:r>
          </w:p>
        </w:tc>
      </w:tr>
      <w:tr w14:paraId="66E8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0311D36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729" w:type="dxa"/>
            <w:vMerge w:val="restart"/>
            <w:shd w:val="clear" w:color="auto" w:fill="auto"/>
            <w:vAlign w:val="center"/>
          </w:tcPr>
          <w:p w14:paraId="52E2225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序厅</w:t>
            </w:r>
          </w:p>
          <w:p w14:paraId="07DD008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47D6782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CD7A2D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274FFBE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11E9812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5333370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52CE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1C942BB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18C7B1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4D1B345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025B358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28650B7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1614CDA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84547B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24F0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C10B83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23862B7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1D20E16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5772D52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8A2A91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7E0BB10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1C50020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3138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BEC858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1214BAD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1D1642B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213CAEA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470080B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成品红色铝方通</w:t>
            </w:r>
          </w:p>
        </w:tc>
        <w:tc>
          <w:tcPr>
            <w:tcW w:w="1082" w:type="dxa"/>
            <w:shd w:val="clear" w:color="auto" w:fill="auto"/>
            <w:vAlign w:val="center"/>
          </w:tcPr>
          <w:p w14:paraId="6B0E6A7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8FD58F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376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A9B76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4285457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60E2155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3AECD73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7A679DC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643AAF2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65522BA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A81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9352C2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7233C85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6F5E0F3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1BBCA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69B1C1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60A36CF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3DE93E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5F95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18DB0BB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B9536D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533B040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B3A804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1136CB5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1082" w:type="dxa"/>
            <w:shd w:val="clear" w:color="auto" w:fill="auto"/>
            <w:vAlign w:val="center"/>
          </w:tcPr>
          <w:p w14:paraId="099FCE1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F1B66C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5A5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0E0EE96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6F6D1D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222565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A73947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47F9216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129BD51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335ED2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2F2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27A2B3B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w:t>
            </w:r>
          </w:p>
        </w:tc>
        <w:tc>
          <w:tcPr>
            <w:tcW w:w="729" w:type="dxa"/>
            <w:vMerge w:val="restart"/>
            <w:shd w:val="clear" w:color="auto" w:fill="auto"/>
            <w:vAlign w:val="center"/>
          </w:tcPr>
          <w:p w14:paraId="20D3E14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第一部分：中国共产党党史部分</w:t>
            </w:r>
          </w:p>
          <w:p w14:paraId="64F0C13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3FF8A58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654D41F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036F238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23A56DD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7CD11B8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3B19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7D5A71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A9F656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21E1EDF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40205AA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38343B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09E5BEF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051BF9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7EDD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0C0CCFC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1BF4631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1A8B509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E09554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91153F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35358C3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229013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1D2F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1184AE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A8EDA8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49A560B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0236174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4F20B82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67AF6A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DAEA1E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44F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B7E82F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13876C9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68CFF2F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1189E8D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7C07FD3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成品木纹铝方通</w:t>
            </w:r>
          </w:p>
        </w:tc>
        <w:tc>
          <w:tcPr>
            <w:tcW w:w="1082" w:type="dxa"/>
            <w:shd w:val="clear" w:color="auto" w:fill="auto"/>
            <w:vAlign w:val="center"/>
          </w:tcPr>
          <w:p w14:paraId="4AF1699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AEF97F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5EAF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05BC11D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9FF4E7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037C414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39FE31D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516A9DC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1082" w:type="dxa"/>
            <w:shd w:val="clear" w:color="auto" w:fill="auto"/>
            <w:vAlign w:val="center"/>
          </w:tcPr>
          <w:p w14:paraId="358E2D6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950816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1485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F9639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0749253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720CE7B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0F06E2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17C7480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5B2A691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2A74B4A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423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F9160D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89122E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603B9A1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78E769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2AE91F5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6284C04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DA6764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7B4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41DFF99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3</w:t>
            </w:r>
          </w:p>
        </w:tc>
        <w:tc>
          <w:tcPr>
            <w:tcW w:w="729" w:type="dxa"/>
            <w:vMerge w:val="restart"/>
            <w:shd w:val="clear" w:color="auto" w:fill="auto"/>
            <w:vAlign w:val="center"/>
          </w:tcPr>
          <w:p w14:paraId="51428DB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第二部分：中国共产党广西历史</w:t>
            </w:r>
          </w:p>
          <w:p w14:paraId="1C28E08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663589B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8E721E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00AA94B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3F38C40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297C08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BFD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5F9F64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7A4E10A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668E709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188E6E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201C29B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7C86FA6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1CAE55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533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20C682A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6741D0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6D6BA1F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50A289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61A3178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61C3B88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764CA6C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71B4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0A249B7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4FFE461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0D1997D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3130A3E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7BEC39B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107849C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F8AD96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53F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7E6AFE0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CC7A65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3CC4996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6BE922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477AAFF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竹炭纤维格栅板</w:t>
            </w:r>
          </w:p>
        </w:tc>
        <w:tc>
          <w:tcPr>
            <w:tcW w:w="1082" w:type="dxa"/>
            <w:shd w:val="clear" w:color="auto" w:fill="auto"/>
            <w:vAlign w:val="center"/>
          </w:tcPr>
          <w:p w14:paraId="5B4591C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6760553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68F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1393A9B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9A24A2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179E66D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2FB10B9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56A5251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6377BDC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2A06B4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A32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49" w:type="dxa"/>
            <w:vMerge w:val="continue"/>
            <w:shd w:val="clear" w:color="auto" w:fill="auto"/>
            <w:noWrap/>
            <w:vAlign w:val="center"/>
          </w:tcPr>
          <w:p w14:paraId="63EE1B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60D6E3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49B9A85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04AB1F8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3774124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0D2DD3E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D8B6D6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9BA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restart"/>
            <w:shd w:val="clear" w:color="auto" w:fill="auto"/>
            <w:noWrap/>
            <w:vAlign w:val="center"/>
          </w:tcPr>
          <w:p w14:paraId="264B2B6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4</w:t>
            </w:r>
          </w:p>
        </w:tc>
        <w:tc>
          <w:tcPr>
            <w:tcW w:w="729" w:type="dxa"/>
            <w:vMerge w:val="restart"/>
            <w:shd w:val="clear" w:color="auto" w:fill="auto"/>
            <w:vAlign w:val="center"/>
          </w:tcPr>
          <w:p w14:paraId="37EB45E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第三部分：</w:t>
            </w:r>
            <w:r>
              <w:rPr>
                <w:rFonts w:hint="eastAsia" w:ascii="仿宋" w:hAnsi="仿宋" w:eastAsia="仿宋" w:cs="仿宋"/>
                <w:bCs/>
                <w:color w:val="auto"/>
                <w:kern w:val="2"/>
                <w:sz w:val="21"/>
                <w:szCs w:val="21"/>
                <w:highlight w:val="none"/>
                <w:lang w:val="en-US" w:eastAsia="zh-CN" w:bidi="ar-SA"/>
              </w:rPr>
              <w:t>防城港地方建设与发展</w:t>
            </w:r>
            <w:r>
              <w:rPr>
                <w:rFonts w:hint="eastAsia" w:ascii="仿宋" w:hAnsi="仿宋" w:eastAsia="仿宋" w:cs="仿宋"/>
                <w:bCs/>
                <w:iCs/>
                <w:color w:val="auto"/>
                <w:szCs w:val="21"/>
                <w:highlight w:val="none"/>
                <w:lang w:val="en-US" w:eastAsia="zh-CN"/>
              </w:rPr>
              <w:t>内容+结语</w:t>
            </w:r>
          </w:p>
          <w:p w14:paraId="75BF584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63A974E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7F244EF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48FD9B7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1082" w:type="dxa"/>
            <w:shd w:val="clear" w:color="auto" w:fill="auto"/>
            <w:vAlign w:val="center"/>
          </w:tcPr>
          <w:p w14:paraId="7B2F8FE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4F48EC4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3ED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CE5F17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00E1D40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2AE0EB2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371AC76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53C3130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1082" w:type="dxa"/>
            <w:shd w:val="clear" w:color="auto" w:fill="auto"/>
            <w:vAlign w:val="center"/>
          </w:tcPr>
          <w:p w14:paraId="0B50569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5B55F05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0639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49F31A8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6E2097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0D97669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40CCCCF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5993562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1082" w:type="dxa"/>
            <w:shd w:val="clear" w:color="auto" w:fill="auto"/>
            <w:vAlign w:val="center"/>
          </w:tcPr>
          <w:p w14:paraId="53AA2A0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0B1FF5B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813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03F5A7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66AB9D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386B89E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0EDBC5C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3649ECD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1082" w:type="dxa"/>
            <w:shd w:val="clear" w:color="auto" w:fill="auto"/>
            <w:vAlign w:val="center"/>
          </w:tcPr>
          <w:p w14:paraId="067FB59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3A374DD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0018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0636C44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640187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57D2CD9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7CA0C4F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31B574A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成品木纹铝方通</w:t>
            </w:r>
          </w:p>
        </w:tc>
        <w:tc>
          <w:tcPr>
            <w:tcW w:w="1082" w:type="dxa"/>
            <w:shd w:val="clear" w:color="auto" w:fill="auto"/>
            <w:vAlign w:val="center"/>
          </w:tcPr>
          <w:p w14:paraId="5DE6830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6862020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73A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694E821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3FBA2BB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vAlign w:val="center"/>
          </w:tcPr>
          <w:p w14:paraId="3C3C99F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vAlign w:val="center"/>
          </w:tcPr>
          <w:p w14:paraId="29541D2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4536" w:type="dxa"/>
            <w:shd w:val="clear" w:color="auto" w:fill="auto"/>
            <w:vAlign w:val="center"/>
          </w:tcPr>
          <w:p w14:paraId="40189BC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1082" w:type="dxa"/>
            <w:shd w:val="clear" w:color="auto" w:fill="auto"/>
            <w:vAlign w:val="center"/>
          </w:tcPr>
          <w:p w14:paraId="1EF9838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100DBC6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4B1F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49" w:type="dxa"/>
            <w:vMerge w:val="continue"/>
            <w:shd w:val="clear" w:color="auto" w:fill="auto"/>
            <w:noWrap/>
            <w:vAlign w:val="center"/>
          </w:tcPr>
          <w:p w14:paraId="535123C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184F92B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64EEA22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6F73053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4536" w:type="dxa"/>
            <w:shd w:val="clear" w:color="auto" w:fill="auto"/>
            <w:vAlign w:val="center"/>
          </w:tcPr>
          <w:p w14:paraId="1A0F284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1082" w:type="dxa"/>
            <w:shd w:val="clear" w:color="auto" w:fill="auto"/>
            <w:vAlign w:val="center"/>
          </w:tcPr>
          <w:p w14:paraId="3F3F3FD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11115D3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0F08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9" w:type="dxa"/>
            <w:vMerge w:val="continue"/>
            <w:shd w:val="clear" w:color="auto" w:fill="auto"/>
            <w:noWrap/>
            <w:vAlign w:val="center"/>
          </w:tcPr>
          <w:p w14:paraId="0B61635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29" w:type="dxa"/>
            <w:vMerge w:val="continue"/>
            <w:shd w:val="clear" w:color="auto" w:fill="auto"/>
            <w:vAlign w:val="center"/>
          </w:tcPr>
          <w:p w14:paraId="519D75E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3" w:type="dxa"/>
            <w:shd w:val="clear" w:color="auto" w:fill="auto"/>
            <w:noWrap/>
            <w:vAlign w:val="center"/>
          </w:tcPr>
          <w:p w14:paraId="25BBCA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p>
        </w:tc>
        <w:tc>
          <w:tcPr>
            <w:tcW w:w="504" w:type="dxa"/>
            <w:shd w:val="clear" w:color="auto" w:fill="auto"/>
            <w:noWrap/>
            <w:vAlign w:val="center"/>
          </w:tcPr>
          <w:p w14:paraId="55A58AD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4536" w:type="dxa"/>
            <w:shd w:val="clear" w:color="auto" w:fill="auto"/>
            <w:vAlign w:val="center"/>
          </w:tcPr>
          <w:p w14:paraId="255F98D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1082" w:type="dxa"/>
            <w:shd w:val="clear" w:color="auto" w:fill="auto"/>
            <w:vAlign w:val="center"/>
          </w:tcPr>
          <w:p w14:paraId="72E0399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2" w:type="dxa"/>
            <w:shd w:val="clear" w:color="auto" w:fill="auto"/>
            <w:vAlign w:val="center"/>
          </w:tcPr>
          <w:p w14:paraId="180317F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681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9035" w:type="dxa"/>
            <w:gridSpan w:val="7"/>
            <w:shd w:val="clear" w:color="auto" w:fill="auto"/>
            <w:noWrap/>
            <w:vAlign w:val="center"/>
          </w:tcPr>
          <w:p w14:paraId="75970F8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lang w:val="en-US" w:eastAsia="zh-CN"/>
              </w:rPr>
            </w:pPr>
            <w:r>
              <w:rPr>
                <w:rFonts w:hint="eastAsia" w:ascii="仿宋" w:hAnsi="仿宋" w:eastAsia="仿宋" w:cs="仿宋"/>
                <w:bCs/>
                <w:iCs/>
                <w:color w:val="auto"/>
                <w:szCs w:val="21"/>
                <w:highlight w:val="none"/>
                <w:lang w:val="en-US" w:eastAsia="zh-CN"/>
              </w:rPr>
              <w:t>金额合计（人民币，含税）：大写  小写¥</w:t>
            </w:r>
          </w:p>
        </w:tc>
      </w:tr>
    </w:tbl>
    <w:p w14:paraId="75051CF8">
      <w:pPr>
        <w:spacing w:line="360" w:lineRule="auto"/>
        <w:contextualSpacing/>
        <w:jc w:val="left"/>
        <w:rPr>
          <w:rFonts w:hint="eastAsia" w:ascii="仿宋" w:hAnsi="仿宋" w:eastAsia="仿宋" w:cs="仿宋"/>
          <w:color w:val="auto"/>
          <w:sz w:val="24"/>
          <w:highlight w:val="none"/>
        </w:rPr>
      </w:pPr>
    </w:p>
    <w:p w14:paraId="42878AAA">
      <w:pPr>
        <w:spacing w:line="360" w:lineRule="auto"/>
        <w:ind w:right="-817" w:rightChars="-389" w:firstLine="2640" w:firstLineChars="11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w:t>
      </w:r>
      <w:r>
        <w:rPr>
          <w:rFonts w:hint="eastAsia" w:ascii="仿宋" w:hAnsi="仿宋" w:eastAsia="仿宋" w:cs="仿宋"/>
          <w:color w:val="auto"/>
          <w:sz w:val="24"/>
          <w:highlight w:val="none"/>
          <w:lang w:val="en-US" w:eastAsia="zh-CN"/>
        </w:rPr>
        <w:t>盖章</w:t>
      </w:r>
      <w:r>
        <w:rPr>
          <w:rFonts w:hint="eastAsia" w:ascii="仿宋" w:hAnsi="仿宋" w:eastAsia="仿宋" w:cs="仿宋"/>
          <w:color w:val="auto"/>
          <w:sz w:val="24"/>
          <w:highlight w:val="none"/>
        </w:rPr>
        <w:t xml:space="preserve">）：      </w:t>
      </w:r>
    </w:p>
    <w:p w14:paraId="17CEEDA0">
      <w:pPr>
        <w:spacing w:line="360" w:lineRule="auto"/>
        <w:ind w:right="-817" w:rightChars="-389" w:firstLine="4080" w:firstLineChars="17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253DBAD">
      <w:pPr>
        <w:spacing w:line="360" w:lineRule="auto"/>
        <w:ind w:right="420"/>
        <w:contextualSpacing/>
        <w:jc w:val="left"/>
        <w:rPr>
          <w:rFonts w:hint="eastAsia" w:ascii="仿宋" w:hAnsi="仿宋" w:eastAsia="仿宋" w:cs="仿宋"/>
          <w:b/>
          <w:bCs/>
          <w:color w:val="auto"/>
          <w:sz w:val="32"/>
          <w:szCs w:val="32"/>
          <w:highlight w:val="none"/>
        </w:rPr>
      </w:pPr>
    </w:p>
    <w:p w14:paraId="68DAADB0">
      <w:pPr>
        <w:spacing w:line="360" w:lineRule="auto"/>
        <w:ind w:right="420"/>
        <w:contextualSpacing/>
        <w:jc w:val="left"/>
        <w:rPr>
          <w:rFonts w:hint="eastAsia" w:ascii="仿宋" w:hAnsi="仿宋" w:eastAsia="仿宋" w:cs="仿宋"/>
          <w:b/>
          <w:bCs/>
          <w:color w:val="auto"/>
          <w:sz w:val="32"/>
          <w:szCs w:val="32"/>
          <w:highlight w:val="none"/>
        </w:rPr>
      </w:pPr>
    </w:p>
    <w:p w14:paraId="560C8100">
      <w:pPr>
        <w:spacing w:line="240" w:lineRule="auto"/>
        <w:ind w:right="0"/>
        <w:contextualSpacing w:val="0"/>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54C0174D">
      <w:pPr>
        <w:spacing w:line="360" w:lineRule="auto"/>
        <w:ind w:right="420"/>
        <w:contextualSpacing/>
        <w:jc w:val="left"/>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rPr>
        <w:t>三、</w:t>
      </w:r>
      <w:r>
        <w:rPr>
          <w:rFonts w:hint="eastAsia" w:ascii="仿宋" w:hAnsi="仿宋" w:eastAsia="仿宋" w:cs="仿宋"/>
          <w:b/>
          <w:color w:val="auto"/>
          <w:sz w:val="32"/>
          <w:szCs w:val="32"/>
          <w:highlight w:val="none"/>
        </w:rPr>
        <w:t xml:space="preserve">商务技术文件格式 </w:t>
      </w:r>
    </w:p>
    <w:p w14:paraId="7D2ABE18">
      <w:pPr>
        <w:spacing w:after="50" w:line="360" w:lineRule="auto"/>
        <w:jc w:val="lef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1.商务技术文件封面格式</w:t>
      </w:r>
    </w:p>
    <w:p w14:paraId="6028BAFB">
      <w:pPr>
        <w:spacing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p>
    <w:p w14:paraId="443F757E">
      <w:pPr>
        <w:spacing w:after="50"/>
        <w:jc w:val="center"/>
        <w:rPr>
          <w:rFonts w:hint="eastAsia" w:ascii="仿宋" w:hAnsi="仿宋" w:eastAsia="仿宋" w:cs="仿宋"/>
          <w:color w:val="auto"/>
          <w:sz w:val="24"/>
          <w:szCs w:val="20"/>
          <w:highlight w:val="none"/>
        </w:rPr>
      </w:pPr>
      <w:r>
        <w:rPr>
          <w:rFonts w:hint="eastAsia" w:ascii="仿宋" w:hAnsi="仿宋" w:eastAsia="仿宋" w:cs="仿宋"/>
          <w:color w:val="auto"/>
          <w:sz w:val="44"/>
          <w:szCs w:val="44"/>
          <w:highlight w:val="none"/>
        </w:rPr>
        <w:t>电 子 响 应 文 件</w:t>
      </w:r>
    </w:p>
    <w:p w14:paraId="6DA2954B">
      <w:pPr>
        <w:spacing w:after="50"/>
        <w:rPr>
          <w:rFonts w:hint="eastAsia" w:ascii="仿宋" w:hAnsi="仿宋" w:eastAsia="仿宋" w:cs="仿宋"/>
          <w:color w:val="auto"/>
          <w:sz w:val="24"/>
          <w:szCs w:val="20"/>
          <w:highlight w:val="none"/>
        </w:rPr>
      </w:pPr>
    </w:p>
    <w:p w14:paraId="60D4D919">
      <w:pPr>
        <w:spacing w:after="50"/>
        <w:rPr>
          <w:rFonts w:hint="eastAsia" w:ascii="仿宋" w:hAnsi="仿宋" w:eastAsia="仿宋" w:cs="仿宋"/>
          <w:color w:val="auto"/>
          <w:sz w:val="24"/>
          <w:szCs w:val="20"/>
          <w:highlight w:val="none"/>
        </w:rPr>
      </w:pPr>
    </w:p>
    <w:p w14:paraId="4F9282D8">
      <w:pPr>
        <w:spacing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商  务  技  术  文  件</w:t>
      </w:r>
    </w:p>
    <w:p w14:paraId="17F690FA">
      <w:pPr>
        <w:spacing w:after="50"/>
        <w:rPr>
          <w:rFonts w:hint="eastAsia" w:ascii="仿宋" w:hAnsi="仿宋" w:eastAsia="仿宋" w:cs="仿宋"/>
          <w:bCs/>
          <w:color w:val="auto"/>
          <w:sz w:val="24"/>
          <w:szCs w:val="20"/>
          <w:highlight w:val="none"/>
        </w:rPr>
      </w:pPr>
    </w:p>
    <w:p w14:paraId="6D289064">
      <w:pPr>
        <w:spacing w:after="50"/>
        <w:rPr>
          <w:rFonts w:hint="eastAsia" w:ascii="仿宋" w:hAnsi="仿宋" w:eastAsia="仿宋" w:cs="仿宋"/>
          <w:bCs/>
          <w:color w:val="auto"/>
          <w:sz w:val="24"/>
          <w:szCs w:val="20"/>
          <w:highlight w:val="none"/>
        </w:rPr>
      </w:pPr>
    </w:p>
    <w:p w14:paraId="303AEB4A">
      <w:pPr>
        <w:spacing w:after="50"/>
        <w:rPr>
          <w:rFonts w:hint="eastAsia" w:ascii="仿宋" w:hAnsi="仿宋" w:eastAsia="仿宋" w:cs="仿宋"/>
          <w:bCs/>
          <w:color w:val="auto"/>
          <w:sz w:val="24"/>
          <w:szCs w:val="20"/>
          <w:highlight w:val="none"/>
        </w:rPr>
      </w:pPr>
    </w:p>
    <w:p w14:paraId="314875FA">
      <w:pPr>
        <w:spacing w:after="50"/>
        <w:rPr>
          <w:rFonts w:hint="eastAsia" w:ascii="仿宋" w:hAnsi="仿宋" w:eastAsia="仿宋" w:cs="仿宋"/>
          <w:bCs/>
          <w:color w:val="auto"/>
          <w:sz w:val="24"/>
          <w:szCs w:val="20"/>
          <w:highlight w:val="none"/>
        </w:rPr>
      </w:pPr>
    </w:p>
    <w:p w14:paraId="6093CCAE">
      <w:pPr>
        <w:spacing w:after="50"/>
        <w:rPr>
          <w:rFonts w:hint="eastAsia" w:ascii="仿宋" w:hAnsi="仿宋" w:eastAsia="仿宋" w:cs="仿宋"/>
          <w:bCs/>
          <w:color w:val="auto"/>
          <w:sz w:val="24"/>
          <w:szCs w:val="20"/>
          <w:highlight w:val="none"/>
        </w:rPr>
      </w:pPr>
    </w:p>
    <w:p w14:paraId="074CFA9C">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2B1C6608">
      <w:pPr>
        <w:spacing w:after="50"/>
        <w:ind w:firstLine="720" w:firstLineChars="225"/>
        <w:rPr>
          <w:rFonts w:hint="eastAsia" w:ascii="仿宋" w:hAnsi="仿宋" w:eastAsia="仿宋" w:cs="仿宋"/>
          <w:bCs/>
          <w:color w:val="auto"/>
          <w:sz w:val="32"/>
          <w:szCs w:val="32"/>
          <w:highlight w:val="none"/>
        </w:rPr>
      </w:pPr>
    </w:p>
    <w:p w14:paraId="27166BAC">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53C534DB">
      <w:pPr>
        <w:spacing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14:paraId="6B33F892">
      <w:pPr>
        <w:spacing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4259FE52">
      <w:pPr>
        <w:spacing w:after="50"/>
        <w:ind w:firstLine="720" w:firstLineChars="225"/>
        <w:rPr>
          <w:rFonts w:hint="eastAsia" w:ascii="仿宋" w:hAnsi="仿宋" w:eastAsia="仿宋" w:cs="仿宋"/>
          <w:bCs/>
          <w:color w:val="auto"/>
          <w:sz w:val="32"/>
          <w:szCs w:val="32"/>
          <w:highlight w:val="none"/>
        </w:rPr>
      </w:pPr>
    </w:p>
    <w:p w14:paraId="487AC56D">
      <w:pPr>
        <w:pStyle w:val="22"/>
        <w:spacing w:before="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49498E88">
      <w:pPr>
        <w:pStyle w:val="22"/>
        <w:spacing w:before="50" w:after="50"/>
        <w:ind w:firstLine="640" w:firstLineChars="200"/>
        <w:rPr>
          <w:rFonts w:hint="eastAsia" w:ascii="仿宋" w:hAnsi="仿宋" w:eastAsia="仿宋" w:cs="仿宋"/>
          <w:bCs/>
          <w:color w:val="auto"/>
          <w:sz w:val="32"/>
          <w:szCs w:val="32"/>
          <w:highlight w:val="none"/>
        </w:rPr>
      </w:pPr>
    </w:p>
    <w:p w14:paraId="512CFBDC">
      <w:pPr>
        <w:pStyle w:val="22"/>
        <w:spacing w:before="50" w:after="50"/>
        <w:ind w:firstLine="720" w:firstLineChars="225"/>
        <w:rPr>
          <w:rFonts w:hint="eastAsia" w:ascii="仿宋" w:hAnsi="仿宋" w:eastAsia="仿宋" w:cs="仿宋"/>
          <w:bCs/>
          <w:color w:val="auto"/>
          <w:sz w:val="32"/>
          <w:szCs w:val="32"/>
          <w:highlight w:val="none"/>
        </w:rPr>
      </w:pPr>
    </w:p>
    <w:p w14:paraId="7DB3D8D0">
      <w:pPr>
        <w:pStyle w:val="22"/>
        <w:spacing w:before="50" w:after="50"/>
        <w:ind w:firstLine="0"/>
        <w:rPr>
          <w:rFonts w:hint="eastAsia" w:ascii="仿宋" w:hAnsi="仿宋" w:eastAsia="仿宋" w:cs="仿宋"/>
          <w:bCs/>
          <w:color w:val="auto"/>
          <w:sz w:val="32"/>
          <w:szCs w:val="32"/>
          <w:highlight w:val="none"/>
        </w:rPr>
      </w:pPr>
    </w:p>
    <w:p w14:paraId="2BCAD10B">
      <w:pPr>
        <w:pStyle w:val="22"/>
        <w:spacing w:before="50" w:after="50"/>
        <w:ind w:firstLine="1280" w:firstLineChars="400"/>
        <w:rPr>
          <w:rFonts w:hint="eastAsia" w:ascii="仿宋" w:hAnsi="仿宋" w:eastAsia="仿宋" w:cs="仿宋"/>
          <w:bCs/>
          <w:color w:val="auto"/>
          <w:sz w:val="32"/>
          <w:szCs w:val="32"/>
          <w:highlight w:val="none"/>
        </w:rPr>
      </w:pPr>
    </w:p>
    <w:p w14:paraId="4AEDAF2C">
      <w:pPr>
        <w:spacing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65A0A6C3">
      <w:pPr>
        <w:spacing w:after="50" w:line="360" w:lineRule="auto"/>
        <w:ind w:right="480" w:firstLine="240" w:firstLineChars="100"/>
        <w:jc w:val="left"/>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2.商务技术文件目录</w:t>
      </w:r>
    </w:p>
    <w:p w14:paraId="13BEE779">
      <w:pPr>
        <w:spacing w:after="50"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根据磋商文件规定及供应商提供的材料自行编写目录（部分格式后附）。</w:t>
      </w:r>
    </w:p>
    <w:p w14:paraId="2E8E5162">
      <w:pPr>
        <w:spacing w:line="400" w:lineRule="exact"/>
        <w:rPr>
          <w:rFonts w:hint="eastAsia" w:ascii="仿宋" w:hAnsi="仿宋" w:eastAsia="仿宋" w:cs="仿宋"/>
          <w:color w:val="auto"/>
          <w:sz w:val="32"/>
          <w:szCs w:val="32"/>
          <w:highlight w:val="none"/>
        </w:rPr>
      </w:pPr>
    </w:p>
    <w:p w14:paraId="32605E90">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44"/>
          <w:szCs w:val="44"/>
          <w:highlight w:val="none"/>
        </w:rPr>
        <w:br w:type="page"/>
      </w:r>
      <w:r>
        <w:rPr>
          <w:rFonts w:hint="eastAsia" w:ascii="仿宋" w:hAnsi="仿宋" w:eastAsia="仿宋" w:cs="仿宋"/>
          <w:color w:val="auto"/>
          <w:sz w:val="44"/>
          <w:szCs w:val="44"/>
          <w:highlight w:val="none"/>
        </w:rPr>
        <w:t>无串通竞标行为的承诺函</w:t>
      </w:r>
    </w:p>
    <w:p w14:paraId="55C4BD0A">
      <w:pPr>
        <w:spacing w:line="360" w:lineRule="auto"/>
        <w:ind w:firstLine="640" w:firstLineChars="200"/>
        <w:contextualSpacing/>
        <w:rPr>
          <w:rFonts w:hint="eastAsia" w:ascii="仿宋" w:hAnsi="仿宋" w:eastAsia="仿宋" w:cs="仿宋"/>
          <w:color w:val="auto"/>
          <w:sz w:val="32"/>
          <w:szCs w:val="32"/>
          <w:highlight w:val="none"/>
        </w:rPr>
      </w:pPr>
    </w:p>
    <w:p w14:paraId="525BD062">
      <w:pPr>
        <w:spacing w:line="360" w:lineRule="auto"/>
        <w:ind w:firstLine="482" w:firstLineChars="200"/>
        <w:contextualSpacing/>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一、我方承诺无下列相互串通竞标的情形：</w:t>
      </w:r>
    </w:p>
    <w:p w14:paraId="0BF1536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1.不同供应商的响应文件由同一单位或者个人编制</w:t>
      </w:r>
      <w:r>
        <w:rPr>
          <w:rFonts w:hint="eastAsia" w:ascii="仿宋" w:hAnsi="仿宋" w:eastAsia="仿宋" w:cs="仿宋"/>
          <w:color w:val="auto"/>
          <w:szCs w:val="21"/>
          <w:highlight w:val="none"/>
        </w:rPr>
        <w:t>或不同供应商报名的IP地址一致的；</w:t>
      </w:r>
      <w:r>
        <w:rPr>
          <w:rFonts w:hint="eastAsia" w:ascii="仿宋" w:hAnsi="仿宋" w:eastAsia="仿宋" w:cs="仿宋"/>
          <w:color w:val="auto"/>
          <w:sz w:val="24"/>
          <w:highlight w:val="none"/>
        </w:rPr>
        <w:t xml:space="preserve"> </w:t>
      </w:r>
    </w:p>
    <w:p w14:paraId="72E1B531">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2.不同供应商委托同一单位或者个人办理竞标事宜；</w:t>
      </w:r>
    </w:p>
    <w:p w14:paraId="40B38EA6">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3.不同供应商的响应文件载明的项目管理员为同一个人；</w:t>
      </w:r>
    </w:p>
    <w:p w14:paraId="06386499">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4.不</w:t>
      </w:r>
      <w:r>
        <w:rPr>
          <w:rFonts w:hint="eastAsia" w:ascii="仿宋" w:hAnsi="仿宋" w:eastAsia="仿宋" w:cs="仿宋"/>
          <w:color w:val="auto"/>
          <w:spacing w:val="-6"/>
          <w:sz w:val="24"/>
          <w:highlight w:val="none"/>
        </w:rPr>
        <w:t>同供应商的响应文件异常一致或者竞标报价呈规律性差异；</w:t>
      </w:r>
    </w:p>
    <w:p w14:paraId="606D3258">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5.不同供应商的响应文件相互混装；</w:t>
      </w:r>
    </w:p>
    <w:p w14:paraId="6E638898">
      <w:pPr>
        <w:spacing w:line="360" w:lineRule="auto"/>
        <w:ind w:firstLine="482" w:firstLineChars="200"/>
        <w:contextualSpacing/>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二、我方承诺无下列恶意串通的情形：</w:t>
      </w:r>
    </w:p>
    <w:p w14:paraId="40FFDBB4">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1.供应商直接或者间接从采购人或者采购代理机构处获得其他供应商的相关信息并修改其响应文件；</w:t>
      </w:r>
    </w:p>
    <w:p w14:paraId="40D406AA">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2.供应商按照采购人或者采购代理机构的授意撤换、修改响应文件；</w:t>
      </w:r>
    </w:p>
    <w:p w14:paraId="67098A37">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3.供</w:t>
      </w:r>
      <w:r>
        <w:rPr>
          <w:rFonts w:hint="eastAsia" w:ascii="仿宋" w:hAnsi="仿宋" w:eastAsia="仿宋" w:cs="仿宋"/>
          <w:color w:val="auto"/>
          <w:spacing w:val="-6"/>
          <w:sz w:val="24"/>
          <w:highlight w:val="none"/>
        </w:rPr>
        <w:t>应商之间协商报价、技术方案等响应文件的实质性内容；</w:t>
      </w:r>
    </w:p>
    <w:p w14:paraId="40CC9420">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4.属于同一集团、协会、商会等组织成员的供应商按照该组织要求协同参加政府采购活动；</w:t>
      </w:r>
    </w:p>
    <w:p w14:paraId="2F079D54">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3F0504E">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6.供应商之间商定部分供应商放弃参加政府采购活动或者放弃成交；</w:t>
      </w:r>
    </w:p>
    <w:p w14:paraId="28F2ADCE">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7.供应商与采购人或者采购代理机构之间、供应商相互之间，为</w:t>
      </w:r>
      <w:r>
        <w:rPr>
          <w:rFonts w:hint="eastAsia" w:ascii="仿宋" w:hAnsi="仿宋" w:eastAsia="仿宋" w:cs="仿宋"/>
          <w:color w:val="auto"/>
          <w:spacing w:val="-6"/>
          <w:sz w:val="24"/>
          <w:highlight w:val="none"/>
        </w:rPr>
        <w:t>谋求特定供应商成交或者排斥其他供应商的其他串通行为。</w:t>
      </w:r>
    </w:p>
    <w:p w14:paraId="5A1C8627">
      <w:pPr>
        <w:spacing w:line="360" w:lineRule="auto"/>
        <w:ind w:firstLine="480" w:firstLineChars="200"/>
        <w:contextualSpacing/>
        <w:rPr>
          <w:rFonts w:hint="eastAsia" w:ascii="仿宋" w:hAnsi="仿宋" w:eastAsia="仿宋" w:cs="仿宋"/>
          <w:color w:val="auto"/>
          <w:sz w:val="24"/>
          <w:highlight w:val="none"/>
        </w:rPr>
      </w:pPr>
    </w:p>
    <w:p w14:paraId="12136C7F">
      <w:pPr>
        <w:spacing w:line="360" w:lineRule="auto"/>
        <w:ind w:firstLine="482" w:firstLineChars="200"/>
        <w:contextualSpacing/>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以上情形一经核查属实，我方愿意承担一切后果，并不再寻求任何旨在减轻或者免除法律责任的辩解。</w:t>
      </w:r>
    </w:p>
    <w:p w14:paraId="1D3950C5">
      <w:pPr>
        <w:spacing w:line="360" w:lineRule="auto"/>
        <w:contextualSpacing/>
        <w:rPr>
          <w:rFonts w:hint="eastAsia" w:ascii="仿宋" w:hAnsi="仿宋" w:eastAsia="仿宋" w:cs="仿宋"/>
          <w:color w:val="auto"/>
          <w:sz w:val="24"/>
          <w:highlight w:val="none"/>
        </w:rPr>
      </w:pPr>
    </w:p>
    <w:p w14:paraId="0047F05C">
      <w:pPr>
        <w:spacing w:line="360" w:lineRule="auto"/>
        <w:ind w:firstLine="3600" w:firstLineChars="15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供应商（电子签章）：</w:t>
      </w:r>
    </w:p>
    <w:p w14:paraId="161F8180">
      <w:pPr>
        <w:spacing w:line="360" w:lineRule="auto"/>
        <w:ind w:firstLine="480" w:firstLineChars="200"/>
        <w:contextualSpacing/>
        <w:jc w:val="center"/>
        <w:rPr>
          <w:rFonts w:hint="eastAsia" w:ascii="仿宋" w:hAnsi="仿宋" w:eastAsia="仿宋" w:cs="仿宋"/>
          <w:color w:val="auto"/>
          <w:sz w:val="32"/>
          <w:szCs w:val="32"/>
          <w:highlight w:val="none"/>
        </w:rPr>
      </w:pPr>
      <w:r>
        <w:rPr>
          <w:rFonts w:hint="eastAsia" w:ascii="仿宋" w:hAnsi="仿宋" w:eastAsia="仿宋" w:cs="仿宋"/>
          <w:color w:val="auto"/>
          <w:sz w:val="24"/>
          <w:highlight w:val="none"/>
        </w:rPr>
        <w:t xml:space="preserve">                               年   月   日</w:t>
      </w:r>
    </w:p>
    <w:p w14:paraId="2CAA24F3">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bCs/>
          <w:color w:val="auto"/>
          <w:sz w:val="44"/>
          <w:szCs w:val="44"/>
          <w:highlight w:val="none"/>
        </w:rPr>
        <w:br w:type="page"/>
      </w:r>
      <w:r>
        <w:rPr>
          <w:rFonts w:hint="eastAsia" w:ascii="仿宋" w:hAnsi="仿宋" w:eastAsia="仿宋" w:cs="仿宋"/>
          <w:bCs/>
          <w:color w:val="auto"/>
          <w:sz w:val="44"/>
          <w:szCs w:val="44"/>
          <w:highlight w:val="none"/>
        </w:rPr>
        <w:t>法定代表人证明书</w:t>
      </w:r>
    </w:p>
    <w:p w14:paraId="67629AC9">
      <w:pPr>
        <w:spacing w:line="360" w:lineRule="auto"/>
        <w:ind w:left="540"/>
        <w:contextualSpacing/>
        <w:rPr>
          <w:rFonts w:hint="eastAsia" w:ascii="仿宋" w:hAnsi="仿宋" w:eastAsia="仿宋" w:cs="仿宋"/>
          <w:color w:val="auto"/>
          <w:sz w:val="32"/>
          <w:szCs w:val="32"/>
          <w:highlight w:val="none"/>
        </w:rPr>
      </w:pPr>
    </w:p>
    <w:p w14:paraId="32E223FE">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p>
    <w:p w14:paraId="24295ACE">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DD432DA">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性     别：</w:t>
      </w:r>
      <w:r>
        <w:rPr>
          <w:rFonts w:hint="eastAsia" w:ascii="仿宋" w:hAnsi="仿宋" w:eastAsia="仿宋" w:cs="仿宋"/>
          <w:color w:val="auto"/>
          <w:sz w:val="24"/>
          <w:highlight w:val="none"/>
          <w:u w:val="single"/>
        </w:rPr>
        <w:t xml:space="preserve">                </w:t>
      </w:r>
    </w:p>
    <w:p w14:paraId="01B6F025">
      <w:pPr>
        <w:spacing w:line="360" w:lineRule="auto"/>
        <w:ind w:left="54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年    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39A4FD25">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43A278CA">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的法定代表人。</w:t>
      </w:r>
    </w:p>
    <w:p w14:paraId="2D844AD5">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B108706">
      <w:pPr>
        <w:spacing w:line="360" w:lineRule="auto"/>
        <w:ind w:left="540"/>
        <w:contextualSpacing/>
        <w:rPr>
          <w:rFonts w:hint="eastAsia" w:ascii="仿宋" w:hAnsi="仿宋" w:eastAsia="仿宋" w:cs="仿宋"/>
          <w:color w:val="auto"/>
          <w:sz w:val="24"/>
          <w:highlight w:val="none"/>
        </w:rPr>
      </w:pPr>
    </w:p>
    <w:p w14:paraId="4500F3E5">
      <w:pPr>
        <w:spacing w:line="360" w:lineRule="auto"/>
        <w:ind w:left="540"/>
        <w:contextualSpacing/>
        <w:rPr>
          <w:rFonts w:hint="eastAsia" w:ascii="仿宋" w:hAnsi="仿宋" w:eastAsia="仿宋" w:cs="仿宋"/>
          <w:color w:val="auto"/>
          <w:sz w:val="24"/>
          <w:highlight w:val="none"/>
        </w:rPr>
      </w:pPr>
    </w:p>
    <w:p w14:paraId="0476F91E">
      <w:pPr>
        <w:spacing w:line="360" w:lineRule="auto"/>
        <w:ind w:left="540"/>
        <w:contextualSpacing/>
        <w:rPr>
          <w:rFonts w:hint="eastAsia" w:ascii="仿宋" w:hAnsi="仿宋" w:eastAsia="仿宋" w:cs="仿宋"/>
          <w:color w:val="auto"/>
          <w:sz w:val="24"/>
          <w:highlight w:val="none"/>
        </w:rPr>
      </w:pPr>
    </w:p>
    <w:p w14:paraId="6103707D">
      <w:pPr>
        <w:spacing w:line="360" w:lineRule="auto"/>
        <w:ind w:left="540"/>
        <w:contextualSpacing/>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附件：法定代表人有效身份证正反面复印件</w:t>
      </w:r>
      <w:r>
        <w:rPr>
          <w:rFonts w:hint="eastAsia" w:ascii="仿宋" w:hAnsi="仿宋" w:eastAsia="仿宋" w:cs="仿宋"/>
          <w:color w:val="auto"/>
          <w:sz w:val="24"/>
          <w:highlight w:val="none"/>
          <w:lang w:eastAsia="zh-CN"/>
        </w:rPr>
        <w:t>或扫描件</w:t>
      </w:r>
    </w:p>
    <w:p w14:paraId="37FB9C21">
      <w:pPr>
        <w:spacing w:line="360" w:lineRule="auto"/>
        <w:ind w:left="540"/>
        <w:contextualSpacing/>
        <w:rPr>
          <w:rFonts w:hint="eastAsia" w:ascii="仿宋" w:hAnsi="仿宋" w:eastAsia="仿宋" w:cs="仿宋"/>
          <w:color w:val="auto"/>
          <w:sz w:val="24"/>
          <w:highlight w:val="none"/>
        </w:rPr>
      </w:pPr>
    </w:p>
    <w:p w14:paraId="2DD3501F">
      <w:pPr>
        <w:spacing w:line="360" w:lineRule="auto"/>
        <w:ind w:left="540"/>
        <w:contextualSpacing/>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供应商（电子签章）：</w:t>
      </w:r>
      <w:r>
        <w:rPr>
          <w:rFonts w:hint="eastAsia" w:ascii="仿宋" w:hAnsi="仿宋" w:eastAsia="仿宋" w:cs="仿宋"/>
          <w:color w:val="auto"/>
          <w:sz w:val="24"/>
          <w:highlight w:val="none"/>
          <w:u w:val="single"/>
        </w:rPr>
        <w:t xml:space="preserve">               </w:t>
      </w:r>
    </w:p>
    <w:p w14:paraId="7C95A29E">
      <w:pPr>
        <w:spacing w:line="360" w:lineRule="auto"/>
        <w:contextualSpacing/>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0D5E5E83">
      <w:pPr>
        <w:spacing w:line="360" w:lineRule="auto"/>
        <w:contextualSpacing/>
        <w:jc w:val="right"/>
        <w:rPr>
          <w:rFonts w:hint="eastAsia" w:ascii="仿宋" w:hAnsi="仿宋" w:eastAsia="仿宋" w:cs="仿宋"/>
          <w:color w:val="auto"/>
          <w:sz w:val="24"/>
          <w:highlight w:val="none"/>
        </w:rPr>
      </w:pPr>
    </w:p>
    <w:p w14:paraId="773CCB1B">
      <w:pPr>
        <w:spacing w:line="360" w:lineRule="auto"/>
        <w:contextualSpacing/>
        <w:jc w:val="left"/>
        <w:rPr>
          <w:rFonts w:hint="eastAsia" w:ascii="仿宋" w:hAnsi="仿宋" w:eastAsia="仿宋" w:cs="仿宋"/>
          <w:color w:val="auto"/>
          <w:sz w:val="24"/>
          <w:highlight w:val="none"/>
        </w:rPr>
      </w:pPr>
    </w:p>
    <w:p w14:paraId="50012390">
      <w:pPr>
        <w:spacing w:line="360" w:lineRule="auto"/>
        <w:contextualSpacing/>
        <w:jc w:val="center"/>
        <w:rPr>
          <w:rFonts w:hint="eastAsia" w:ascii="仿宋" w:hAnsi="仿宋" w:eastAsia="仿宋" w:cs="仿宋"/>
          <w:b/>
          <w:color w:val="auto"/>
          <w:sz w:val="24"/>
          <w:highlight w:val="none"/>
        </w:rPr>
      </w:pPr>
    </w:p>
    <w:p w14:paraId="4FB91ECD">
      <w:pPr>
        <w:spacing w:line="360" w:lineRule="auto"/>
        <w:contextualSpacing/>
        <w:jc w:val="left"/>
        <w:rPr>
          <w:rFonts w:hint="eastAsia" w:ascii="仿宋" w:hAnsi="仿宋" w:eastAsia="仿宋" w:cs="仿宋"/>
          <w:color w:val="auto"/>
          <w:sz w:val="24"/>
          <w:highlight w:val="none"/>
        </w:rPr>
      </w:pPr>
    </w:p>
    <w:p w14:paraId="366E87D1">
      <w:pPr>
        <w:spacing w:line="300" w:lineRule="auto"/>
        <w:jc w:val="left"/>
        <w:rPr>
          <w:rFonts w:hint="eastAsia" w:ascii="仿宋" w:hAnsi="仿宋" w:eastAsia="仿宋" w:cs="仿宋"/>
          <w:b/>
          <w:color w:val="auto"/>
          <w:szCs w:val="21"/>
          <w:highlight w:val="none"/>
        </w:rPr>
      </w:pPr>
    </w:p>
    <w:p w14:paraId="57CE0B14">
      <w:pPr>
        <w:spacing w:line="50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r>
        <w:rPr>
          <w:rFonts w:hint="eastAsia" w:ascii="仿宋" w:hAnsi="仿宋" w:eastAsia="仿宋" w:cs="仿宋"/>
          <w:color w:val="auto"/>
          <w:sz w:val="44"/>
          <w:szCs w:val="44"/>
          <w:highlight w:val="none"/>
        </w:rPr>
        <w:t xml:space="preserve"> </w:t>
      </w:r>
    </w:p>
    <w:p w14:paraId="63BC9873">
      <w:pPr>
        <w:spacing w:line="52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授权委托书</w:t>
      </w:r>
    </w:p>
    <w:p w14:paraId="5AB15BAC">
      <w:pPr>
        <w:spacing w:line="52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32"/>
          <w:szCs w:val="32"/>
          <w:highlight w:val="none"/>
        </w:rPr>
        <w:t>（如有委托时）</w:t>
      </w:r>
    </w:p>
    <w:p w14:paraId="53125370">
      <w:pPr>
        <w:spacing w:line="520" w:lineRule="exact"/>
        <w:rPr>
          <w:rFonts w:hint="eastAsia" w:ascii="仿宋" w:hAnsi="仿宋" w:eastAsia="仿宋" w:cs="仿宋"/>
          <w:color w:val="auto"/>
          <w:sz w:val="32"/>
          <w:szCs w:val="32"/>
          <w:highlight w:val="none"/>
        </w:rPr>
      </w:pPr>
    </w:p>
    <w:p w14:paraId="5416F8E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（采购人名称）</w:t>
      </w:r>
      <w:r>
        <w:rPr>
          <w:rFonts w:hint="eastAsia" w:ascii="仿宋" w:hAnsi="仿宋" w:eastAsia="仿宋" w:cs="仿宋"/>
          <w:color w:val="auto"/>
          <w:sz w:val="24"/>
          <w:highlight w:val="none"/>
        </w:rPr>
        <w:t>：</w:t>
      </w:r>
    </w:p>
    <w:p w14:paraId="2C62FF2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（供应商名称）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sym w:font="Wingdings 2" w:char="00A3"/>
      </w:r>
      <w:r>
        <w:rPr>
          <w:rFonts w:hint="eastAsia" w:ascii="仿宋" w:hAnsi="仿宋" w:eastAsia="仿宋" w:cs="仿宋"/>
          <w:color w:val="auto"/>
          <w:sz w:val="24"/>
          <w:highlight w:val="none"/>
          <w:u w:val="single"/>
        </w:rPr>
        <w:t>法定代表人/□负责人□自然人本人</w:t>
      </w:r>
      <w:r>
        <w:rPr>
          <w:rFonts w:hint="eastAsia" w:ascii="仿宋" w:hAnsi="仿宋" w:eastAsia="仿宋" w:cs="仿宋"/>
          <w:color w:val="auto"/>
          <w:sz w:val="24"/>
          <w:highlight w:val="none"/>
        </w:rPr>
        <w:t>），现授权</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项目的竞标活动，并代表我方全权办理针对上述项目的所有采购程序和环节的具体事务和签署相关文件。</w:t>
      </w:r>
    </w:p>
    <w:p w14:paraId="77E1A5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我方对委托代理人的签字或者电子签名事项负全部责任。</w:t>
      </w:r>
    </w:p>
    <w:p w14:paraId="408AD80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本授权书自签署之日起生效，在撤销授权的书面通知以前，本授权书一直有效。委托代理人在授权书有效期内签署的所有文件不因授权的撤销而失效。</w:t>
      </w:r>
    </w:p>
    <w:p w14:paraId="61E3A7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7F81D580">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附：法定代表人身份证明书及委托代理人有效身份证正反面复印件</w:t>
      </w:r>
      <w:r>
        <w:rPr>
          <w:rFonts w:hint="eastAsia" w:ascii="仿宋" w:hAnsi="仿宋" w:eastAsia="仿宋" w:cs="仿宋"/>
          <w:color w:val="auto"/>
          <w:sz w:val="24"/>
          <w:highlight w:val="none"/>
          <w:lang w:eastAsia="zh-CN"/>
        </w:rPr>
        <w:t>或扫描件</w:t>
      </w:r>
    </w:p>
    <w:p w14:paraId="7AF9E13D">
      <w:pPr>
        <w:spacing w:line="360" w:lineRule="auto"/>
        <w:rPr>
          <w:rFonts w:hint="eastAsia" w:ascii="仿宋" w:hAnsi="仿宋" w:eastAsia="仿宋" w:cs="仿宋"/>
          <w:color w:val="auto"/>
          <w:sz w:val="24"/>
          <w:highlight w:val="none"/>
        </w:rPr>
      </w:pPr>
    </w:p>
    <w:p w14:paraId="1CFCA310">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委托代理人（签字或者电子签名）：     法定代表人（签字或者盖章或者电子签名）：                    </w:t>
      </w:r>
    </w:p>
    <w:p w14:paraId="14213880">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委托代理人身份证号码：                              </w:t>
      </w:r>
    </w:p>
    <w:p w14:paraId="2A15BA92">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45B6D53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供应商（电子签章）：                      </w:t>
      </w:r>
    </w:p>
    <w:p w14:paraId="6432E7C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45D003B5">
      <w:pPr>
        <w:spacing w:line="360" w:lineRule="auto"/>
        <w:rPr>
          <w:rFonts w:hint="eastAsia" w:ascii="仿宋" w:hAnsi="仿宋" w:eastAsia="仿宋" w:cs="仿宋"/>
          <w:color w:val="auto"/>
          <w:sz w:val="24"/>
          <w:highlight w:val="none"/>
        </w:rPr>
      </w:pPr>
    </w:p>
    <w:p w14:paraId="13083E9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 法定代表人必须在授权委托书上签字或者盖章或者电子签名，委托代理人必须在授权委托书上签字或者电子签名，</w:t>
      </w:r>
      <w:r>
        <w:rPr>
          <w:rFonts w:hint="eastAsia" w:ascii="仿宋" w:hAnsi="仿宋" w:eastAsia="仿宋" w:cs="仿宋"/>
          <w:b/>
          <w:color w:val="auto"/>
          <w:sz w:val="24"/>
          <w:highlight w:val="none"/>
        </w:rPr>
        <w:t>否则其响应文件按无效响应处理。</w:t>
      </w:r>
    </w:p>
    <w:p w14:paraId="59AC117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2.法人、其他组织竞标时“我方”是指“我单位”。</w:t>
      </w:r>
    </w:p>
    <w:p w14:paraId="46DA4C25">
      <w:pPr>
        <w:spacing w:line="360" w:lineRule="auto"/>
        <w:ind w:firstLine="420" w:firstLineChars="200"/>
        <w:jc w:val="left"/>
        <w:rPr>
          <w:rFonts w:hint="eastAsia" w:ascii="仿宋" w:hAnsi="仿宋" w:eastAsia="仿宋" w:cs="仿宋"/>
          <w:color w:val="auto"/>
          <w:szCs w:val="21"/>
          <w:highlight w:val="none"/>
        </w:rPr>
      </w:pPr>
    </w:p>
    <w:p w14:paraId="46D3AB1C">
      <w:pPr>
        <w:spacing w:line="500" w:lineRule="exact"/>
        <w:jc w:val="center"/>
        <w:rPr>
          <w:rFonts w:hint="eastAsia" w:ascii="仿宋" w:hAnsi="仿宋" w:eastAsia="仿宋" w:cs="仿宋"/>
          <w:bCs/>
          <w:color w:val="auto"/>
          <w:sz w:val="44"/>
          <w:szCs w:val="44"/>
          <w:highlight w:val="none"/>
        </w:rPr>
      </w:pPr>
      <w:r>
        <w:rPr>
          <w:rFonts w:hint="eastAsia" w:ascii="仿宋" w:hAnsi="仿宋" w:eastAsia="仿宋" w:cs="仿宋"/>
          <w:color w:val="auto"/>
          <w:szCs w:val="21"/>
          <w:highlight w:val="none"/>
        </w:rPr>
        <w:br w:type="page"/>
      </w:r>
      <w:r>
        <w:rPr>
          <w:rFonts w:hint="eastAsia" w:ascii="仿宋" w:hAnsi="仿宋" w:eastAsia="仿宋" w:cs="仿宋"/>
          <w:bCs/>
          <w:color w:val="auto"/>
          <w:sz w:val="44"/>
          <w:szCs w:val="44"/>
          <w:highlight w:val="none"/>
        </w:rPr>
        <w:t>商务要求偏离表</w:t>
      </w:r>
    </w:p>
    <w:p w14:paraId="78BACEC2">
      <w:pPr>
        <w:spacing w:line="360" w:lineRule="auto"/>
        <w:contextualSpacing/>
        <w:rPr>
          <w:rFonts w:hint="eastAsia" w:ascii="仿宋" w:hAnsi="仿宋" w:eastAsia="仿宋" w:cs="仿宋"/>
          <w:color w:val="auto"/>
          <w:sz w:val="24"/>
          <w:highlight w:val="none"/>
        </w:rPr>
      </w:pPr>
    </w:p>
    <w:p w14:paraId="7F590CC2">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p>
    <w:p w14:paraId="3EF9D1D6">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7A9B4B4C">
      <w:pPr>
        <w:spacing w:line="360" w:lineRule="auto"/>
        <w:contextualSpacing/>
        <w:rPr>
          <w:rFonts w:hint="eastAsia" w:ascii="仿宋" w:hAnsi="仿宋" w:eastAsia="仿宋" w:cs="仿宋"/>
          <w:color w:val="auto"/>
          <w:sz w:val="24"/>
          <w:highlight w:val="none"/>
          <w:u w:val="single"/>
        </w:rPr>
      </w:pPr>
    </w:p>
    <w:tbl>
      <w:tblPr>
        <w:tblStyle w:val="1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0F826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510" w:type="dxa"/>
            <w:tcBorders>
              <w:top w:val="single" w:color="auto" w:sz="4" w:space="0"/>
              <w:left w:val="single" w:color="auto" w:sz="4" w:space="0"/>
              <w:bottom w:val="single" w:color="auto" w:sz="4" w:space="0"/>
              <w:right w:val="single" w:color="auto" w:sz="4" w:space="0"/>
            </w:tcBorders>
            <w:noWrap/>
            <w:vAlign w:val="top"/>
          </w:tcPr>
          <w:p w14:paraId="13F3169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ign w:val="top"/>
          </w:tcPr>
          <w:p w14:paraId="6FDFB3B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竞争性磋商文件商务要求</w:t>
            </w:r>
          </w:p>
        </w:tc>
        <w:tc>
          <w:tcPr>
            <w:tcW w:w="1760" w:type="dxa"/>
            <w:tcBorders>
              <w:top w:val="single" w:color="auto" w:sz="4" w:space="0"/>
              <w:left w:val="single" w:color="auto" w:sz="4" w:space="0"/>
              <w:bottom w:val="single" w:color="auto" w:sz="4" w:space="0"/>
              <w:right w:val="single" w:color="auto" w:sz="4" w:space="0"/>
            </w:tcBorders>
            <w:noWrap/>
            <w:vAlign w:val="top"/>
          </w:tcPr>
          <w:p w14:paraId="196D5C2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供应商的承诺</w:t>
            </w:r>
          </w:p>
        </w:tc>
        <w:tc>
          <w:tcPr>
            <w:tcW w:w="2035" w:type="dxa"/>
            <w:tcBorders>
              <w:top w:val="single" w:color="auto" w:sz="4" w:space="0"/>
              <w:left w:val="single" w:color="auto" w:sz="4" w:space="0"/>
              <w:bottom w:val="single" w:color="auto" w:sz="4" w:space="0"/>
              <w:right w:val="single" w:color="auto" w:sz="4" w:space="0"/>
            </w:tcBorders>
            <w:noWrap/>
            <w:vAlign w:val="top"/>
          </w:tcPr>
          <w:p w14:paraId="208757B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偏离说明</w:t>
            </w:r>
          </w:p>
        </w:tc>
      </w:tr>
      <w:tr w14:paraId="31B08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510" w:type="dxa"/>
            <w:tcBorders>
              <w:top w:val="single" w:color="auto" w:sz="4" w:space="0"/>
              <w:left w:val="single" w:color="auto" w:sz="4" w:space="0"/>
              <w:bottom w:val="single" w:color="auto" w:sz="4" w:space="0"/>
              <w:right w:val="single" w:color="auto" w:sz="4" w:space="0"/>
            </w:tcBorders>
            <w:noWrap/>
            <w:vAlign w:val="center"/>
          </w:tcPr>
          <w:p w14:paraId="047F280F">
            <w:pPr>
              <w:tabs>
                <w:tab w:val="left" w:pos="180"/>
                <w:tab w:val="left" w:pos="1620"/>
              </w:tabs>
              <w:spacing w:line="440" w:lineRule="exact"/>
              <w:jc w:val="center"/>
              <w:rPr>
                <w:rFonts w:hint="eastAsia" w:ascii="仿宋" w:hAnsi="仿宋" w:eastAsia="仿宋" w:cs="仿宋"/>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791770C5">
            <w:pPr>
              <w:jc w:val="left"/>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0D0CF5E1">
            <w:pPr>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4260A58F">
            <w:pPr>
              <w:jc w:val="center"/>
              <w:rPr>
                <w:rFonts w:hint="eastAsia" w:ascii="仿宋" w:hAnsi="仿宋" w:eastAsia="仿宋" w:cs="仿宋"/>
                <w:color w:val="auto"/>
                <w:sz w:val="24"/>
                <w:highlight w:val="none"/>
              </w:rPr>
            </w:pPr>
          </w:p>
        </w:tc>
      </w:tr>
      <w:tr w14:paraId="1B21F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ign w:val="center"/>
          </w:tcPr>
          <w:p w14:paraId="1F0BF522">
            <w:pPr>
              <w:tabs>
                <w:tab w:val="left" w:pos="180"/>
                <w:tab w:val="left" w:pos="1620"/>
              </w:tabs>
              <w:spacing w:line="440" w:lineRule="exact"/>
              <w:jc w:val="center"/>
              <w:rPr>
                <w:rFonts w:hint="eastAsia" w:ascii="仿宋" w:hAnsi="仿宋" w:eastAsia="仿宋" w:cs="仿宋"/>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F4C0165">
            <w:pPr>
              <w:jc w:val="left"/>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22E6C67C">
            <w:pPr>
              <w:ind w:left="43"/>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1CEF5EB0">
            <w:pPr>
              <w:ind w:left="43"/>
              <w:jc w:val="center"/>
              <w:rPr>
                <w:rFonts w:hint="eastAsia" w:ascii="仿宋" w:hAnsi="仿宋" w:eastAsia="仿宋" w:cs="仿宋"/>
                <w:color w:val="auto"/>
                <w:sz w:val="24"/>
                <w:highlight w:val="none"/>
              </w:rPr>
            </w:pPr>
          </w:p>
        </w:tc>
      </w:tr>
      <w:tr w14:paraId="24CA6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ign w:val="center"/>
          </w:tcPr>
          <w:p w14:paraId="79AE894F">
            <w:pPr>
              <w:tabs>
                <w:tab w:val="left" w:pos="180"/>
                <w:tab w:val="left" w:pos="1620"/>
              </w:tabs>
              <w:spacing w:line="440" w:lineRule="exact"/>
              <w:jc w:val="center"/>
              <w:rPr>
                <w:rFonts w:hint="eastAsia" w:ascii="仿宋" w:hAnsi="仿宋" w:eastAsia="仿宋" w:cs="仿宋"/>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EE740C2">
            <w:pPr>
              <w:jc w:val="left"/>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5EC69E43">
            <w:pPr>
              <w:ind w:left="43"/>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64E3A471">
            <w:pPr>
              <w:ind w:left="43"/>
              <w:jc w:val="center"/>
              <w:rPr>
                <w:rFonts w:hint="eastAsia" w:ascii="仿宋" w:hAnsi="仿宋" w:eastAsia="仿宋" w:cs="仿宋"/>
                <w:color w:val="auto"/>
                <w:sz w:val="24"/>
                <w:highlight w:val="none"/>
              </w:rPr>
            </w:pPr>
          </w:p>
        </w:tc>
      </w:tr>
      <w:tr w14:paraId="28785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ign w:val="center"/>
          </w:tcPr>
          <w:p w14:paraId="2DF920AB">
            <w:pPr>
              <w:tabs>
                <w:tab w:val="left" w:pos="180"/>
                <w:tab w:val="left" w:pos="1620"/>
              </w:tabs>
              <w:spacing w:line="440" w:lineRule="exact"/>
              <w:jc w:val="center"/>
              <w:rPr>
                <w:rFonts w:hint="eastAsia" w:ascii="仿宋" w:hAnsi="仿宋" w:eastAsia="仿宋" w:cs="仿宋"/>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AD5DE0F">
            <w:pPr>
              <w:jc w:val="left"/>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4612031B">
            <w:pPr>
              <w:ind w:left="43"/>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7401E6E9">
            <w:pPr>
              <w:ind w:left="43"/>
              <w:jc w:val="center"/>
              <w:rPr>
                <w:rFonts w:hint="eastAsia" w:ascii="仿宋" w:hAnsi="仿宋" w:eastAsia="仿宋" w:cs="仿宋"/>
                <w:color w:val="auto"/>
                <w:sz w:val="24"/>
                <w:highlight w:val="none"/>
              </w:rPr>
            </w:pPr>
          </w:p>
        </w:tc>
      </w:tr>
      <w:tr w14:paraId="521C9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ign w:val="center"/>
          </w:tcPr>
          <w:p w14:paraId="2456BACD">
            <w:pPr>
              <w:tabs>
                <w:tab w:val="left" w:pos="180"/>
                <w:tab w:val="left" w:pos="1620"/>
              </w:tabs>
              <w:spacing w:line="440" w:lineRule="exact"/>
              <w:jc w:val="center"/>
              <w:rPr>
                <w:rFonts w:hint="eastAsia" w:ascii="仿宋" w:hAnsi="仿宋" w:eastAsia="仿宋" w:cs="仿宋"/>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D2EE81C">
            <w:pPr>
              <w:jc w:val="left"/>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5EACF942">
            <w:pPr>
              <w:ind w:left="43"/>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28DB5CE1">
            <w:pPr>
              <w:ind w:left="43"/>
              <w:jc w:val="center"/>
              <w:rPr>
                <w:rFonts w:hint="eastAsia" w:ascii="仿宋" w:hAnsi="仿宋" w:eastAsia="仿宋" w:cs="仿宋"/>
                <w:color w:val="auto"/>
                <w:sz w:val="24"/>
                <w:highlight w:val="none"/>
              </w:rPr>
            </w:pPr>
          </w:p>
        </w:tc>
      </w:tr>
      <w:tr w14:paraId="59FD4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ign w:val="center"/>
          </w:tcPr>
          <w:p w14:paraId="1BFF39D1">
            <w:pPr>
              <w:tabs>
                <w:tab w:val="left" w:pos="180"/>
                <w:tab w:val="left" w:pos="1620"/>
              </w:tabs>
              <w:spacing w:line="440" w:lineRule="exact"/>
              <w:jc w:val="center"/>
              <w:rPr>
                <w:rFonts w:hint="eastAsia" w:ascii="仿宋" w:hAnsi="仿宋" w:eastAsia="仿宋" w:cs="仿宋"/>
                <w:color w:val="auto"/>
                <w:szCs w:val="21"/>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C2093B4">
            <w:pPr>
              <w:jc w:val="left"/>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0412C8AB">
            <w:pPr>
              <w:ind w:left="43"/>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3A16F665">
            <w:pPr>
              <w:ind w:left="43"/>
              <w:jc w:val="center"/>
              <w:rPr>
                <w:rFonts w:hint="eastAsia" w:ascii="仿宋" w:hAnsi="仿宋" w:eastAsia="仿宋" w:cs="仿宋"/>
                <w:color w:val="auto"/>
                <w:sz w:val="24"/>
                <w:highlight w:val="none"/>
              </w:rPr>
            </w:pPr>
          </w:p>
        </w:tc>
      </w:tr>
      <w:tr w14:paraId="58950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10" w:type="dxa"/>
            <w:tcBorders>
              <w:top w:val="single" w:color="auto" w:sz="4" w:space="0"/>
              <w:left w:val="single" w:color="auto" w:sz="4" w:space="0"/>
              <w:bottom w:val="single" w:color="auto" w:sz="4" w:space="0"/>
              <w:right w:val="single" w:color="auto" w:sz="4" w:space="0"/>
            </w:tcBorders>
            <w:noWrap/>
            <w:vAlign w:val="top"/>
          </w:tcPr>
          <w:p w14:paraId="1A99091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vAlign w:val="top"/>
          </w:tcPr>
          <w:p w14:paraId="0012F4F6">
            <w:pPr>
              <w:jc w:val="center"/>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ign w:val="top"/>
          </w:tcPr>
          <w:p w14:paraId="71AB2E34">
            <w:pPr>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ign w:val="top"/>
          </w:tcPr>
          <w:p w14:paraId="1FD76928">
            <w:pPr>
              <w:jc w:val="center"/>
              <w:rPr>
                <w:rFonts w:hint="eastAsia" w:ascii="仿宋" w:hAnsi="仿宋" w:eastAsia="仿宋" w:cs="仿宋"/>
                <w:color w:val="auto"/>
                <w:sz w:val="24"/>
                <w:highlight w:val="none"/>
              </w:rPr>
            </w:pPr>
          </w:p>
        </w:tc>
      </w:tr>
    </w:tbl>
    <w:p w14:paraId="77A0FD40">
      <w:pPr>
        <w:spacing w:line="360" w:lineRule="auto"/>
        <w:contextualSpacing/>
        <w:rPr>
          <w:rFonts w:hint="eastAsia" w:ascii="仿宋" w:hAnsi="仿宋" w:eastAsia="仿宋" w:cs="仿宋"/>
          <w:color w:val="auto"/>
          <w:sz w:val="24"/>
          <w:highlight w:val="none"/>
        </w:rPr>
      </w:pPr>
    </w:p>
    <w:p w14:paraId="10D62365">
      <w:pPr>
        <w:pStyle w:val="37"/>
        <w:spacing w:line="360" w:lineRule="auto"/>
        <w:ind w:firstLine="0" w:firstLineChars="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2E6976BC">
      <w:pPr>
        <w:pStyle w:val="37"/>
        <w:spacing w:line="360" w:lineRule="auto"/>
        <w:ind w:firstLine="0" w:firstLineChars="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说明：应对照磋商文件“第三章 采购需求”中的商务要求逐条作出明确响应，并作出偏离说明。</w:t>
      </w:r>
    </w:p>
    <w:p w14:paraId="340B86FC">
      <w:pPr>
        <w:pStyle w:val="37"/>
        <w:spacing w:line="360" w:lineRule="auto"/>
        <w:ind w:firstLine="0" w:firstLineChars="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2.供应商应根据自身的承诺，对照磋商文件要求，在“偏离说明”中注明“正偏离”、“负偏离”或者“无偏离”。既不属于“正偏离”也不属于“负偏离”即为“无偏离”。</w:t>
      </w:r>
    </w:p>
    <w:p w14:paraId="65FE580C">
      <w:pPr>
        <w:spacing w:line="360" w:lineRule="auto"/>
        <w:ind w:right="-817" w:rightChars="-389"/>
        <w:contextualSpacing/>
        <w:rPr>
          <w:rFonts w:hint="eastAsia" w:ascii="仿宋" w:hAnsi="仿宋" w:eastAsia="仿宋" w:cs="仿宋"/>
          <w:color w:val="auto"/>
          <w:sz w:val="24"/>
          <w:highlight w:val="none"/>
        </w:rPr>
      </w:pPr>
    </w:p>
    <w:p w14:paraId="504C9690">
      <w:pPr>
        <w:spacing w:line="360" w:lineRule="auto"/>
        <w:ind w:right="-817" w:rightChars="-389"/>
        <w:contextualSpacing/>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法定代表人或者委托代理人（签字或者电子签名）：</w:t>
      </w:r>
    </w:p>
    <w:p w14:paraId="28E22156">
      <w:pPr>
        <w:spacing w:line="360" w:lineRule="auto"/>
        <w:ind w:right="-817" w:rightChars="-389" w:firstLine="2640" w:firstLineChars="11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供应商（电子签章）：      </w:t>
      </w:r>
    </w:p>
    <w:p w14:paraId="6CA86DE3">
      <w:pPr>
        <w:spacing w:line="360" w:lineRule="auto"/>
        <w:ind w:right="-817" w:rightChars="-389" w:firstLine="4080" w:firstLineChars="17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D4C707B">
      <w:pPr>
        <w:spacing w:after="50"/>
        <w:ind w:left="142"/>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sz w:val="24"/>
          <w:highlight w:val="none"/>
        </w:rPr>
        <w:t>项目实施人员一览表格式</w:t>
      </w:r>
    </w:p>
    <w:p w14:paraId="6FB60CAA">
      <w:pPr>
        <w:spacing w:after="50"/>
        <w:ind w:left="142"/>
        <w:jc w:val="left"/>
        <w:rPr>
          <w:rFonts w:hint="eastAsia" w:ascii="仿宋" w:hAnsi="仿宋" w:eastAsia="仿宋" w:cs="仿宋"/>
          <w:b/>
          <w:color w:val="auto"/>
          <w:sz w:val="24"/>
          <w:highlight w:val="none"/>
        </w:rPr>
      </w:pPr>
    </w:p>
    <w:p w14:paraId="194AB1A3">
      <w:pPr>
        <w:spacing w:line="360" w:lineRule="auto"/>
        <w:ind w:left="142"/>
        <w:contextualSpacing/>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项目实施人员一览表</w:t>
      </w:r>
    </w:p>
    <w:p w14:paraId="3ABCB7B6">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p>
    <w:p w14:paraId="226429CA">
      <w:pPr>
        <w:pStyle w:val="40"/>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409F3757">
      <w:pPr>
        <w:pStyle w:val="40"/>
        <w:spacing w:line="360" w:lineRule="auto"/>
        <w:contextualSpacing/>
        <w:rPr>
          <w:rFonts w:hint="eastAsia" w:ascii="仿宋" w:hAnsi="仿宋" w:eastAsia="仿宋" w:cs="仿宋"/>
          <w:color w:val="auto"/>
          <w:sz w:val="24"/>
          <w:szCs w:val="24"/>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17"/>
        <w:gridCol w:w="709"/>
        <w:gridCol w:w="1701"/>
        <w:gridCol w:w="1420"/>
        <w:gridCol w:w="1698"/>
        <w:gridCol w:w="1843"/>
      </w:tblGrid>
      <w:tr w14:paraId="1B69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7F574AF9">
            <w:pPr>
              <w:spacing w:line="360" w:lineRule="auto"/>
              <w:contextualSpacing/>
              <w:jc w:val="center"/>
              <w:rPr>
                <w:rFonts w:hint="eastAsia" w:ascii="仿宋" w:hAnsi="仿宋" w:eastAsia="仿宋" w:cs="仿宋"/>
                <w:color w:val="auto"/>
                <w:sz w:val="24"/>
                <w:szCs w:val="20"/>
                <w:highlight w:val="none"/>
                <w:lang w:val="en-US" w:eastAsia="zh-CN"/>
              </w:rPr>
            </w:pPr>
            <w:r>
              <w:rPr>
                <w:rFonts w:hint="eastAsia" w:ascii="仿宋" w:hAnsi="仿宋" w:eastAsia="仿宋" w:cs="仿宋"/>
                <w:color w:val="auto"/>
                <w:sz w:val="24"/>
                <w:szCs w:val="20"/>
                <w:highlight w:val="none"/>
                <w:lang w:val="en-US" w:eastAsia="zh-CN"/>
              </w:rPr>
              <w:t>序号</w:t>
            </w:r>
          </w:p>
        </w:tc>
        <w:tc>
          <w:tcPr>
            <w:tcW w:w="817" w:type="dxa"/>
            <w:tcBorders>
              <w:top w:val="single" w:color="auto" w:sz="4" w:space="0"/>
              <w:left w:val="single" w:color="auto" w:sz="4" w:space="0"/>
              <w:bottom w:val="single" w:color="auto" w:sz="4" w:space="0"/>
              <w:right w:val="single" w:color="auto" w:sz="4" w:space="0"/>
            </w:tcBorders>
            <w:noWrap/>
            <w:vAlign w:val="center"/>
          </w:tcPr>
          <w:p w14:paraId="4D6DB69A">
            <w:pPr>
              <w:spacing w:line="360" w:lineRule="auto"/>
              <w:contextualSpacing/>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ign w:val="center"/>
          </w:tcPr>
          <w:p w14:paraId="00110192">
            <w:pPr>
              <w:spacing w:line="360" w:lineRule="auto"/>
              <w:contextualSpacing/>
              <w:jc w:val="center"/>
              <w:rPr>
                <w:rFonts w:hint="default" w:ascii="仿宋" w:hAnsi="仿宋" w:eastAsia="仿宋" w:cs="仿宋"/>
                <w:color w:val="auto"/>
                <w:sz w:val="24"/>
                <w:szCs w:val="20"/>
                <w:highlight w:val="none"/>
                <w:lang w:val="en-US" w:eastAsia="zh-CN"/>
              </w:rPr>
            </w:pPr>
            <w:r>
              <w:rPr>
                <w:rFonts w:hint="eastAsia" w:ascii="仿宋" w:hAnsi="仿宋" w:eastAsia="仿宋" w:cs="仿宋"/>
                <w:color w:val="auto"/>
                <w:sz w:val="24"/>
                <w:szCs w:val="20"/>
                <w:highlight w:val="none"/>
                <w:lang w:val="en-US" w:eastAsia="zh-CN"/>
              </w:rPr>
              <w:t>参与本项目</w:t>
            </w:r>
            <w:r>
              <w:rPr>
                <w:rFonts w:hint="eastAsia" w:ascii="仿宋" w:hAnsi="仿宋" w:eastAsia="仿宋" w:cs="仿宋"/>
                <w:color w:val="auto"/>
                <w:sz w:val="24"/>
                <w:szCs w:val="20"/>
                <w:highlight w:val="none"/>
              </w:rPr>
              <w:t>职务</w:t>
            </w:r>
            <w:r>
              <w:rPr>
                <w:rFonts w:hint="eastAsia" w:ascii="仿宋" w:hAnsi="仿宋" w:eastAsia="仿宋" w:cs="仿宋"/>
                <w:color w:val="auto"/>
                <w:sz w:val="24"/>
                <w:szCs w:val="20"/>
                <w:highlight w:val="none"/>
                <w:lang w:val="en-US" w:eastAsia="zh-CN"/>
              </w:rPr>
              <w:t>/岗位</w:t>
            </w:r>
          </w:p>
        </w:tc>
        <w:tc>
          <w:tcPr>
            <w:tcW w:w="1701" w:type="dxa"/>
            <w:tcBorders>
              <w:top w:val="single" w:color="auto" w:sz="4" w:space="0"/>
              <w:left w:val="single" w:color="auto" w:sz="4" w:space="0"/>
              <w:bottom w:val="single" w:color="auto" w:sz="4" w:space="0"/>
              <w:right w:val="single" w:color="auto" w:sz="4" w:space="0"/>
            </w:tcBorders>
            <w:noWrap/>
            <w:vAlign w:val="center"/>
          </w:tcPr>
          <w:p w14:paraId="44A8E05D">
            <w:pPr>
              <w:spacing w:line="360" w:lineRule="auto"/>
              <w:contextualSpacing/>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ign w:val="center"/>
          </w:tcPr>
          <w:p w14:paraId="2F3A8F6B">
            <w:pPr>
              <w:spacing w:line="360" w:lineRule="auto"/>
              <w:contextualSpacing/>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ign w:val="center"/>
          </w:tcPr>
          <w:p w14:paraId="6138D676">
            <w:pPr>
              <w:spacing w:line="360" w:lineRule="auto"/>
              <w:contextualSpacing/>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参加本单位</w:t>
            </w:r>
          </w:p>
          <w:p w14:paraId="1FE6454D">
            <w:pPr>
              <w:spacing w:line="360" w:lineRule="auto"/>
              <w:contextualSpacing/>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ign w:val="center"/>
          </w:tcPr>
          <w:p w14:paraId="7AC57326">
            <w:pPr>
              <w:spacing w:line="360" w:lineRule="auto"/>
              <w:contextualSpacing/>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劳动合同编号</w:t>
            </w:r>
          </w:p>
        </w:tc>
      </w:tr>
      <w:tr w14:paraId="05EE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150C5211">
            <w:pPr>
              <w:spacing w:line="360" w:lineRule="auto"/>
              <w:contextualSpacing/>
              <w:jc w:val="center"/>
              <w:rPr>
                <w:rFonts w:hint="eastAsia" w:ascii="仿宋" w:hAnsi="仿宋" w:eastAsia="仿宋" w:cs="仿宋"/>
                <w:color w:val="auto"/>
                <w:sz w:val="24"/>
                <w:szCs w:val="20"/>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14:paraId="13D1D003">
            <w:pPr>
              <w:spacing w:line="360" w:lineRule="auto"/>
              <w:contextualSpacing/>
              <w:jc w:val="center"/>
              <w:rPr>
                <w:rFonts w:hint="eastAsia" w:ascii="仿宋" w:hAnsi="仿宋" w:eastAsia="仿宋" w:cs="仿宋"/>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ign w:val="center"/>
          </w:tcPr>
          <w:p w14:paraId="60508A5C">
            <w:pPr>
              <w:spacing w:line="360" w:lineRule="auto"/>
              <w:contextualSpacing/>
              <w:jc w:val="center"/>
              <w:rPr>
                <w:rFonts w:hint="eastAsia" w:ascii="仿宋" w:hAnsi="仿宋" w:eastAsia="仿宋" w:cs="仿宋"/>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236A8EDB">
            <w:pPr>
              <w:spacing w:line="360" w:lineRule="auto"/>
              <w:contextualSpacing/>
              <w:jc w:val="center"/>
              <w:rPr>
                <w:rFonts w:hint="eastAsia" w:ascii="仿宋" w:hAnsi="仿宋" w:eastAsia="仿宋" w:cs="仿宋"/>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ign w:val="center"/>
          </w:tcPr>
          <w:p w14:paraId="032EE45A">
            <w:pPr>
              <w:spacing w:line="360" w:lineRule="auto"/>
              <w:contextualSpacing/>
              <w:jc w:val="center"/>
              <w:rPr>
                <w:rFonts w:hint="eastAsia" w:ascii="仿宋" w:hAnsi="仿宋" w:eastAsia="仿宋" w:cs="仿宋"/>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ign w:val="center"/>
          </w:tcPr>
          <w:p w14:paraId="29A74ACC">
            <w:pPr>
              <w:spacing w:line="360" w:lineRule="auto"/>
              <w:contextualSpacing/>
              <w:jc w:val="center"/>
              <w:rPr>
                <w:rFonts w:hint="eastAsia" w:ascii="仿宋" w:hAnsi="仿宋" w:eastAsia="仿宋" w:cs="仿宋"/>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1F75FC6D">
            <w:pPr>
              <w:spacing w:line="360" w:lineRule="auto"/>
              <w:contextualSpacing/>
              <w:jc w:val="center"/>
              <w:rPr>
                <w:rFonts w:hint="eastAsia" w:ascii="仿宋" w:hAnsi="仿宋" w:eastAsia="仿宋" w:cs="仿宋"/>
                <w:color w:val="auto"/>
                <w:sz w:val="24"/>
                <w:szCs w:val="20"/>
                <w:highlight w:val="none"/>
              </w:rPr>
            </w:pPr>
          </w:p>
        </w:tc>
      </w:tr>
      <w:tr w14:paraId="2FD3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44E35284">
            <w:pPr>
              <w:spacing w:line="360" w:lineRule="auto"/>
              <w:contextualSpacing/>
              <w:jc w:val="center"/>
              <w:rPr>
                <w:rFonts w:hint="eastAsia" w:ascii="仿宋" w:hAnsi="仿宋" w:eastAsia="仿宋" w:cs="仿宋"/>
                <w:color w:val="auto"/>
                <w:sz w:val="24"/>
                <w:szCs w:val="20"/>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14:paraId="0F4017F6">
            <w:pPr>
              <w:spacing w:line="360" w:lineRule="auto"/>
              <w:contextualSpacing/>
              <w:jc w:val="center"/>
              <w:rPr>
                <w:rFonts w:hint="eastAsia" w:ascii="仿宋" w:hAnsi="仿宋" w:eastAsia="仿宋" w:cs="仿宋"/>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ign w:val="center"/>
          </w:tcPr>
          <w:p w14:paraId="56D9CED1">
            <w:pPr>
              <w:spacing w:line="360" w:lineRule="auto"/>
              <w:contextualSpacing/>
              <w:jc w:val="center"/>
              <w:rPr>
                <w:rFonts w:hint="eastAsia" w:ascii="仿宋" w:hAnsi="仿宋" w:eastAsia="仿宋" w:cs="仿宋"/>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09938CA9">
            <w:pPr>
              <w:spacing w:line="360" w:lineRule="auto"/>
              <w:contextualSpacing/>
              <w:jc w:val="center"/>
              <w:rPr>
                <w:rFonts w:hint="eastAsia" w:ascii="仿宋" w:hAnsi="仿宋" w:eastAsia="仿宋" w:cs="仿宋"/>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ign w:val="center"/>
          </w:tcPr>
          <w:p w14:paraId="3C4AC894">
            <w:pPr>
              <w:spacing w:line="360" w:lineRule="auto"/>
              <w:contextualSpacing/>
              <w:jc w:val="center"/>
              <w:rPr>
                <w:rFonts w:hint="eastAsia" w:ascii="仿宋" w:hAnsi="仿宋" w:eastAsia="仿宋" w:cs="仿宋"/>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ign w:val="center"/>
          </w:tcPr>
          <w:p w14:paraId="2BECD24C">
            <w:pPr>
              <w:spacing w:line="360" w:lineRule="auto"/>
              <w:contextualSpacing/>
              <w:jc w:val="center"/>
              <w:rPr>
                <w:rFonts w:hint="eastAsia" w:ascii="仿宋" w:hAnsi="仿宋" w:eastAsia="仿宋" w:cs="仿宋"/>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52D091B7">
            <w:pPr>
              <w:spacing w:line="360" w:lineRule="auto"/>
              <w:contextualSpacing/>
              <w:jc w:val="center"/>
              <w:rPr>
                <w:rFonts w:hint="eastAsia" w:ascii="仿宋" w:hAnsi="仿宋" w:eastAsia="仿宋" w:cs="仿宋"/>
                <w:color w:val="auto"/>
                <w:sz w:val="24"/>
                <w:szCs w:val="20"/>
                <w:highlight w:val="none"/>
              </w:rPr>
            </w:pPr>
          </w:p>
        </w:tc>
      </w:tr>
      <w:tr w14:paraId="3C2B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10EB2EBD">
            <w:pPr>
              <w:spacing w:line="360" w:lineRule="auto"/>
              <w:contextualSpacing/>
              <w:jc w:val="center"/>
              <w:rPr>
                <w:rFonts w:hint="eastAsia" w:ascii="仿宋" w:hAnsi="仿宋" w:eastAsia="仿宋" w:cs="仿宋"/>
                <w:color w:val="auto"/>
                <w:sz w:val="24"/>
                <w:szCs w:val="20"/>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14:paraId="40E5F4A0">
            <w:pPr>
              <w:spacing w:line="360" w:lineRule="auto"/>
              <w:contextualSpacing/>
              <w:jc w:val="center"/>
              <w:rPr>
                <w:rFonts w:hint="eastAsia" w:ascii="仿宋" w:hAnsi="仿宋" w:eastAsia="仿宋" w:cs="仿宋"/>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ign w:val="center"/>
          </w:tcPr>
          <w:p w14:paraId="3D555A7A">
            <w:pPr>
              <w:spacing w:line="360" w:lineRule="auto"/>
              <w:contextualSpacing/>
              <w:jc w:val="center"/>
              <w:rPr>
                <w:rFonts w:hint="eastAsia" w:ascii="仿宋" w:hAnsi="仿宋" w:eastAsia="仿宋" w:cs="仿宋"/>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069C161B">
            <w:pPr>
              <w:spacing w:line="360" w:lineRule="auto"/>
              <w:contextualSpacing/>
              <w:jc w:val="center"/>
              <w:rPr>
                <w:rFonts w:hint="eastAsia" w:ascii="仿宋" w:hAnsi="仿宋" w:eastAsia="仿宋" w:cs="仿宋"/>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ign w:val="center"/>
          </w:tcPr>
          <w:p w14:paraId="2D8541F3">
            <w:pPr>
              <w:spacing w:line="360" w:lineRule="auto"/>
              <w:contextualSpacing/>
              <w:jc w:val="center"/>
              <w:rPr>
                <w:rFonts w:hint="eastAsia" w:ascii="仿宋" w:hAnsi="仿宋" w:eastAsia="仿宋" w:cs="仿宋"/>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ign w:val="center"/>
          </w:tcPr>
          <w:p w14:paraId="32AFF70D">
            <w:pPr>
              <w:spacing w:line="360" w:lineRule="auto"/>
              <w:contextualSpacing/>
              <w:jc w:val="center"/>
              <w:rPr>
                <w:rFonts w:hint="eastAsia" w:ascii="仿宋" w:hAnsi="仿宋" w:eastAsia="仿宋" w:cs="仿宋"/>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5C28EC0A">
            <w:pPr>
              <w:spacing w:line="360" w:lineRule="auto"/>
              <w:contextualSpacing/>
              <w:jc w:val="center"/>
              <w:rPr>
                <w:rFonts w:hint="eastAsia" w:ascii="仿宋" w:hAnsi="仿宋" w:eastAsia="仿宋" w:cs="仿宋"/>
                <w:color w:val="auto"/>
                <w:sz w:val="24"/>
                <w:szCs w:val="20"/>
                <w:highlight w:val="none"/>
              </w:rPr>
            </w:pPr>
          </w:p>
        </w:tc>
      </w:tr>
    </w:tbl>
    <w:p w14:paraId="62D39631">
      <w:pPr>
        <w:spacing w:line="360" w:lineRule="auto"/>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471C3B57">
      <w:pPr>
        <w:spacing w:line="360" w:lineRule="auto"/>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1.在填写时，如本表格不适合供应商的实际情况，可根据本表格式自行制表填写。</w:t>
      </w:r>
    </w:p>
    <w:p w14:paraId="24A61F6D">
      <w:pPr>
        <w:spacing w:line="360" w:lineRule="auto"/>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2.供应商应当附本表所列证书的复印件</w:t>
      </w:r>
      <w:r>
        <w:rPr>
          <w:rFonts w:hint="eastAsia" w:ascii="仿宋" w:hAnsi="仿宋" w:eastAsia="仿宋" w:cs="仿宋"/>
          <w:color w:val="auto"/>
          <w:sz w:val="24"/>
          <w:szCs w:val="20"/>
          <w:highlight w:val="none"/>
          <w:lang w:eastAsia="zh-CN"/>
        </w:rPr>
        <w:t>或扫描件</w:t>
      </w:r>
      <w:r>
        <w:rPr>
          <w:rFonts w:hint="eastAsia" w:ascii="仿宋" w:hAnsi="仿宋" w:eastAsia="仿宋" w:cs="仿宋"/>
          <w:color w:val="auto"/>
          <w:sz w:val="24"/>
          <w:szCs w:val="20"/>
          <w:highlight w:val="none"/>
        </w:rPr>
        <w:t>并加盖供应商电子签章。</w:t>
      </w:r>
    </w:p>
    <w:p w14:paraId="47AA8C8D">
      <w:pPr>
        <w:spacing w:line="360" w:lineRule="auto"/>
        <w:contextualSpacing/>
        <w:rPr>
          <w:rFonts w:hint="eastAsia" w:ascii="仿宋" w:hAnsi="仿宋" w:eastAsia="仿宋" w:cs="仿宋"/>
          <w:color w:val="auto"/>
          <w:sz w:val="24"/>
          <w:highlight w:val="none"/>
        </w:rPr>
      </w:pPr>
    </w:p>
    <w:p w14:paraId="42FBFA2B">
      <w:pPr>
        <w:spacing w:line="360" w:lineRule="auto"/>
        <w:ind w:left="0" w:leftChars="0" w:firstLine="1260" w:firstLineChars="525"/>
        <w:contextualSpacing/>
        <w:rPr>
          <w:rFonts w:hint="eastAsia" w:ascii="仿宋" w:hAnsi="仿宋" w:eastAsia="仿宋" w:cs="仿宋"/>
          <w:color w:val="auto"/>
          <w:spacing w:val="20"/>
          <w:sz w:val="24"/>
          <w:szCs w:val="20"/>
          <w:highlight w:val="none"/>
          <w:u w:val="single"/>
        </w:rPr>
      </w:pPr>
      <w:r>
        <w:rPr>
          <w:rFonts w:hint="eastAsia" w:ascii="仿宋" w:hAnsi="仿宋" w:eastAsia="仿宋" w:cs="仿宋"/>
          <w:color w:val="auto"/>
          <w:sz w:val="24"/>
          <w:highlight w:val="none"/>
        </w:rPr>
        <w:t>法定代表人或者委托代理人</w:t>
      </w:r>
      <w:r>
        <w:rPr>
          <w:rFonts w:hint="eastAsia" w:ascii="仿宋" w:hAnsi="仿宋" w:eastAsia="仿宋" w:cs="仿宋"/>
          <w:color w:val="auto"/>
          <w:spacing w:val="20"/>
          <w:sz w:val="24"/>
          <w:highlight w:val="none"/>
        </w:rPr>
        <w:t>签字或电子签名：</w:t>
      </w:r>
      <w:r>
        <w:rPr>
          <w:rFonts w:hint="eastAsia" w:ascii="仿宋" w:hAnsi="仿宋" w:eastAsia="仿宋" w:cs="仿宋"/>
          <w:color w:val="auto"/>
          <w:spacing w:val="20"/>
          <w:sz w:val="24"/>
          <w:highlight w:val="none"/>
          <w:u w:val="single"/>
        </w:rPr>
        <w:t xml:space="preserve">        </w:t>
      </w:r>
    </w:p>
    <w:p w14:paraId="5735128B">
      <w:pPr>
        <w:spacing w:line="360" w:lineRule="auto"/>
        <w:ind w:left="0" w:leftChars="0" w:firstLine="1470" w:firstLineChars="525"/>
        <w:contextualSpacing/>
        <w:jc w:val="left"/>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供应商（电子签章）：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w:t>
      </w:r>
    </w:p>
    <w:p w14:paraId="6DCD5AB3">
      <w:pPr>
        <w:spacing w:line="360" w:lineRule="auto"/>
        <w:ind w:left="0" w:leftChars="0" w:firstLine="1470" w:firstLineChars="525"/>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pacing w:val="20"/>
          <w:sz w:val="24"/>
          <w:highlight w:val="none"/>
        </w:rPr>
        <w:t>日 期：</w:t>
      </w:r>
      <w:r>
        <w:rPr>
          <w:rFonts w:hint="eastAsia" w:ascii="仿宋" w:hAnsi="仿宋" w:eastAsia="仿宋" w:cs="仿宋"/>
          <w:color w:val="auto"/>
          <w:spacing w:val="20"/>
          <w:sz w:val="24"/>
          <w:highlight w:val="none"/>
          <w:u w:val="single"/>
        </w:rPr>
        <w:t xml:space="preserve">         </w:t>
      </w:r>
    </w:p>
    <w:p w14:paraId="0B8D0F37">
      <w:pPr>
        <w:spacing w:before="50"/>
        <w:jc w:val="left"/>
        <w:rPr>
          <w:rFonts w:hint="eastAsia" w:ascii="仿宋" w:hAnsi="仿宋" w:eastAsia="仿宋" w:cs="仿宋"/>
          <w:color w:val="auto"/>
          <w:sz w:val="24"/>
          <w:szCs w:val="20"/>
          <w:highlight w:val="none"/>
        </w:rPr>
      </w:pPr>
    </w:p>
    <w:p w14:paraId="5F03EF48">
      <w:pPr>
        <w:spacing w:before="50" w:after="50" w:line="360" w:lineRule="auto"/>
        <w:ind w:right="-817" w:rightChars="-389" w:firstLine="5461" w:firstLineChars="1700"/>
        <w:rPr>
          <w:rFonts w:hint="eastAsia" w:ascii="仿宋" w:hAnsi="仿宋" w:eastAsia="仿宋" w:cs="仿宋"/>
          <w:b/>
          <w:color w:val="auto"/>
          <w:sz w:val="32"/>
          <w:szCs w:val="32"/>
          <w:highlight w:val="none"/>
        </w:rPr>
      </w:pPr>
    </w:p>
    <w:p w14:paraId="29AFF909">
      <w:pPr>
        <w:spacing w:after="5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br w:type="page"/>
      </w:r>
      <w:r>
        <w:rPr>
          <w:rFonts w:hint="eastAsia" w:ascii="仿宋" w:hAnsi="仿宋" w:eastAsia="仿宋" w:cs="仿宋"/>
          <w:bCs/>
          <w:color w:val="auto"/>
          <w:szCs w:val="21"/>
          <w:highlight w:val="none"/>
        </w:rPr>
        <w:t>代理服务费承诺书</w:t>
      </w:r>
    </w:p>
    <w:p w14:paraId="3BB68D02">
      <w:pPr>
        <w:spacing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代理服务费承诺书</w:t>
      </w:r>
    </w:p>
    <w:p w14:paraId="614F129C">
      <w:pPr>
        <w:spacing w:after="50"/>
        <w:jc w:val="center"/>
        <w:rPr>
          <w:rFonts w:hint="eastAsia" w:ascii="仿宋" w:hAnsi="仿宋" w:eastAsia="仿宋" w:cs="仿宋"/>
          <w:b/>
          <w:color w:val="auto"/>
          <w:sz w:val="24"/>
          <w:highlight w:val="none"/>
        </w:rPr>
      </w:pPr>
    </w:p>
    <w:p w14:paraId="6F4178FE">
      <w:pPr>
        <w:spacing w:line="360" w:lineRule="auto"/>
        <w:rPr>
          <w:rFonts w:hint="eastAsia" w:ascii="仿宋" w:hAnsi="仿宋" w:eastAsia="仿宋" w:cs="仿宋"/>
          <w:b/>
          <w:bCs/>
          <w:color w:val="auto"/>
          <w:sz w:val="24"/>
          <w:highlight w:val="none"/>
        </w:rPr>
      </w:pPr>
      <w:r>
        <w:rPr>
          <w:rFonts w:hint="eastAsia" w:ascii="仿宋" w:hAnsi="仿宋" w:eastAsia="仿宋" w:cs="仿宋"/>
          <w:bCs/>
          <w:color w:val="auto"/>
          <w:sz w:val="24"/>
          <w:highlight w:val="none"/>
        </w:rPr>
        <w:t>致：</w:t>
      </w:r>
      <w:r>
        <w:rPr>
          <w:rFonts w:hint="eastAsia" w:ascii="仿宋" w:hAnsi="仿宋" w:eastAsia="仿宋" w:cs="仿宋"/>
          <w:color w:val="auto"/>
          <w:sz w:val="24"/>
          <w:highlight w:val="none"/>
          <w:u w:val="single"/>
        </w:rPr>
        <w:t>采购代理机构名称</w:t>
      </w:r>
      <w:r>
        <w:rPr>
          <w:rFonts w:hint="eastAsia" w:ascii="仿宋" w:hAnsi="仿宋" w:eastAsia="仿宋" w:cs="仿宋"/>
          <w:color w:val="auto"/>
          <w:sz w:val="24"/>
          <w:highlight w:val="none"/>
        </w:rPr>
        <w:t>：</w:t>
      </w:r>
    </w:p>
    <w:p w14:paraId="322C253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本单位参加了贵方组织的</w:t>
      </w:r>
      <w:r>
        <w:rPr>
          <w:rFonts w:hint="eastAsia" w:ascii="仿宋" w:hAnsi="仿宋" w:eastAsia="仿宋" w:cs="仿宋"/>
          <w:color w:val="auto"/>
          <w:sz w:val="24"/>
          <w:highlight w:val="none"/>
          <w:u w:val="single"/>
        </w:rPr>
        <w:t xml:space="preserve">  项目名称（项目编号）  </w:t>
      </w:r>
      <w:r>
        <w:rPr>
          <w:rFonts w:hint="eastAsia" w:ascii="仿宋" w:hAnsi="仿宋" w:eastAsia="仿宋" w:cs="仿宋"/>
          <w:color w:val="auto"/>
          <w:sz w:val="24"/>
          <w:highlight w:val="none"/>
        </w:rPr>
        <w:t>项目， 在此说明如下：</w:t>
      </w:r>
    </w:p>
    <w:p w14:paraId="3830D97B">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1.我方承诺，若本单位成交，保证在发出成交通知书之日起25日内，按本项目磋商文件的规定标准向贵单位一次性足额支付代理服务费, 在领取成交通知书后，由于被质疑、投诉或者其他原因而导致成交结果改变，我方将放弃对已缴纳的成交服务费追还的一切权利。</w:t>
      </w:r>
    </w:p>
    <w:p w14:paraId="25EB4D23">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2.本单位选择第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种方式作为代理服务费开票类型：</w:t>
      </w:r>
    </w:p>
    <w:p w14:paraId="6C19224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第一种方式：开具增值税普通发票。开票信息如下：</w:t>
      </w:r>
    </w:p>
    <w:p w14:paraId="24B89F43">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（1）公司名称</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295D6FB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（2）纳税人识别号</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66E70635">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第二种方式：开具增值税发票，开票信息如下：</w:t>
      </w:r>
    </w:p>
    <w:p w14:paraId="5D102D1F">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（1）公司名称</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25BB1016">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（2）纳税人识别号</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7FBE3FA5">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（3）在</w:t>
      </w:r>
      <w:r>
        <w:rPr>
          <w:rFonts w:hint="eastAsia" w:ascii="仿宋" w:hAnsi="仿宋" w:eastAsia="仿宋" w:cs="仿宋"/>
          <w:color w:val="auto"/>
          <w:sz w:val="24"/>
          <w:highlight w:val="none"/>
          <w:lang w:eastAsia="zh-CN"/>
        </w:rPr>
        <w:t>税务局</w:t>
      </w:r>
      <w:r>
        <w:rPr>
          <w:rFonts w:hint="eastAsia" w:ascii="仿宋" w:hAnsi="仿宋" w:eastAsia="仿宋" w:cs="仿宋"/>
          <w:color w:val="auto"/>
          <w:sz w:val="24"/>
          <w:highlight w:val="none"/>
        </w:rPr>
        <w:t>登记的地址</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52582DBD">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（4）在</w:t>
      </w:r>
      <w:r>
        <w:rPr>
          <w:rFonts w:hint="eastAsia" w:ascii="仿宋" w:hAnsi="仿宋" w:eastAsia="仿宋" w:cs="仿宋"/>
          <w:color w:val="auto"/>
          <w:sz w:val="24"/>
          <w:highlight w:val="none"/>
          <w:lang w:eastAsia="zh-CN"/>
        </w:rPr>
        <w:t>税务局</w:t>
      </w:r>
      <w:r>
        <w:rPr>
          <w:rFonts w:hint="eastAsia" w:ascii="仿宋" w:hAnsi="仿宋" w:eastAsia="仿宋" w:cs="仿宋"/>
          <w:color w:val="auto"/>
          <w:sz w:val="24"/>
          <w:highlight w:val="none"/>
        </w:rPr>
        <w:t>登记的电话</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5CE63318">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（5）开户银行</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4EA67ABE">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（6）银行账户</w:t>
      </w:r>
      <w:r>
        <w:rPr>
          <w:rFonts w:hint="eastAsia" w:ascii="仿宋" w:hAnsi="仿宋" w:eastAsia="仿宋" w:cs="仿宋"/>
          <w:color w:val="auto"/>
          <w:sz w:val="24"/>
          <w:highlight w:val="none"/>
          <w:u w:val="single"/>
        </w:rPr>
        <w:t xml:space="preserve">_                           </w:t>
      </w:r>
      <w:r>
        <w:rPr>
          <w:rFonts w:hint="eastAsia" w:ascii="仿宋" w:hAnsi="仿宋" w:eastAsia="仿宋" w:cs="仿宋"/>
          <w:color w:val="auto"/>
          <w:sz w:val="24"/>
          <w:highlight w:val="none"/>
        </w:rPr>
        <w:t>。</w:t>
      </w:r>
    </w:p>
    <w:p w14:paraId="4C324B34">
      <w:pPr>
        <w:spacing w:line="440" w:lineRule="exact"/>
        <w:rPr>
          <w:rFonts w:hint="eastAsia" w:ascii="仿宋" w:hAnsi="仿宋" w:eastAsia="仿宋" w:cs="仿宋"/>
          <w:color w:val="auto"/>
          <w:sz w:val="24"/>
          <w:highlight w:val="none"/>
        </w:rPr>
      </w:pPr>
    </w:p>
    <w:p w14:paraId="0599BA37">
      <w:pPr>
        <w:spacing w:line="440" w:lineRule="exact"/>
        <w:rPr>
          <w:rFonts w:hint="eastAsia" w:ascii="仿宋" w:hAnsi="仿宋" w:eastAsia="仿宋" w:cs="仿宋"/>
          <w:color w:val="auto"/>
          <w:sz w:val="24"/>
          <w:highlight w:val="none"/>
        </w:rPr>
      </w:pPr>
    </w:p>
    <w:p w14:paraId="29D9A7B3">
      <w:pPr>
        <w:spacing w:line="440" w:lineRule="exact"/>
        <w:rPr>
          <w:rFonts w:hint="eastAsia" w:ascii="仿宋" w:hAnsi="仿宋" w:eastAsia="仿宋" w:cs="仿宋"/>
          <w:color w:val="auto"/>
          <w:sz w:val="24"/>
          <w:highlight w:val="none"/>
        </w:rPr>
      </w:pPr>
    </w:p>
    <w:p w14:paraId="717426C2">
      <w:pPr>
        <w:spacing w:line="360" w:lineRule="auto"/>
        <w:ind w:left="-3" w:leftChars="-15" w:right="-817" w:rightChars="-389" w:hanging="28" w:hangingChars="12"/>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供应商公章（电子签章）：</w:t>
      </w:r>
    </w:p>
    <w:p w14:paraId="10CA2913">
      <w:pPr>
        <w:spacing w:line="360" w:lineRule="auto"/>
        <w:ind w:right="480" w:firstLine="240" w:firstLineChars="100"/>
        <w:jc w:val="left"/>
        <w:rPr>
          <w:rFonts w:hint="eastAsia" w:ascii="仿宋" w:hAnsi="仿宋" w:eastAsia="仿宋" w:cs="仿宋"/>
          <w:color w:val="auto"/>
          <w:szCs w:val="21"/>
          <w:highlight w:val="none"/>
        </w:rPr>
      </w:pPr>
      <w:r>
        <w:rPr>
          <w:rFonts w:hint="eastAsia" w:ascii="仿宋" w:hAnsi="仿宋" w:eastAsia="仿宋" w:cs="仿宋"/>
          <w:color w:val="auto"/>
          <w:sz w:val="24"/>
          <w:highlight w:val="none"/>
        </w:rPr>
        <w:t xml:space="preserve">                                    日期：    年   月   日</w:t>
      </w:r>
    </w:p>
    <w:p w14:paraId="711654EC">
      <w:pPr>
        <w:widowControl/>
        <w:spacing w:line="360" w:lineRule="auto"/>
        <w:jc w:val="left"/>
        <w:rPr>
          <w:rFonts w:hint="eastAsia" w:ascii="仿宋" w:hAnsi="仿宋" w:eastAsia="仿宋" w:cs="仿宋"/>
          <w:color w:val="auto"/>
          <w:szCs w:val="21"/>
          <w:highlight w:val="none"/>
        </w:rPr>
        <w:sectPr>
          <w:pgSz w:w="11906" w:h="16838"/>
          <w:pgMar w:top="1440" w:right="1287" w:bottom="1440" w:left="1797" w:header="851" w:footer="992" w:gutter="0"/>
          <w:pgNumType w:fmt="decimal"/>
          <w:cols w:space="0" w:num="1"/>
          <w:rtlGutter w:val="0"/>
          <w:docGrid w:linePitch="0" w:charSpace="0"/>
        </w:sectPr>
      </w:pPr>
    </w:p>
    <w:p w14:paraId="55611273">
      <w:pPr>
        <w:spacing w:after="50"/>
        <w:ind w:left="142"/>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技术要求偏离表</w:t>
      </w:r>
    </w:p>
    <w:p w14:paraId="3483D19E">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p>
    <w:p w14:paraId="65899C83">
      <w:pPr>
        <w:spacing w:after="50"/>
        <w:jc w:val="both"/>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7CAFECEC">
      <w:pPr>
        <w:spacing w:after="50"/>
        <w:jc w:val="both"/>
        <w:rPr>
          <w:rFonts w:hint="eastAsia" w:ascii="仿宋" w:hAnsi="仿宋" w:eastAsia="仿宋" w:cs="仿宋"/>
          <w:color w:val="auto"/>
          <w:sz w:val="24"/>
          <w:highlight w:val="none"/>
          <w:u w:val="single"/>
        </w:rPr>
      </w:pPr>
    </w:p>
    <w:tbl>
      <w:tblPr>
        <w:tblStyle w:val="13"/>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2"/>
        <w:gridCol w:w="1833"/>
        <w:gridCol w:w="2180"/>
        <w:gridCol w:w="1933"/>
      </w:tblGrid>
      <w:tr w14:paraId="7E51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14:paraId="3EAC3F76">
            <w:pPr>
              <w:pStyle w:val="40"/>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项号</w:t>
            </w:r>
          </w:p>
        </w:tc>
        <w:tc>
          <w:tcPr>
            <w:tcW w:w="2143" w:type="dxa"/>
            <w:tcBorders>
              <w:top w:val="single" w:color="auto" w:sz="4" w:space="0"/>
              <w:left w:val="single" w:color="auto" w:sz="4" w:space="0"/>
              <w:bottom w:val="single" w:color="auto" w:sz="4" w:space="0"/>
              <w:right w:val="single" w:color="auto" w:sz="4" w:space="0"/>
            </w:tcBorders>
            <w:noWrap/>
            <w:vAlign w:val="center"/>
          </w:tcPr>
          <w:p w14:paraId="23021125">
            <w:pPr>
              <w:pStyle w:val="40"/>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标的的名称</w:t>
            </w:r>
          </w:p>
        </w:tc>
        <w:tc>
          <w:tcPr>
            <w:tcW w:w="1834" w:type="dxa"/>
            <w:tcBorders>
              <w:top w:val="single" w:color="auto" w:sz="4" w:space="0"/>
              <w:left w:val="single" w:color="auto" w:sz="4" w:space="0"/>
              <w:bottom w:val="single" w:color="auto" w:sz="4" w:space="0"/>
              <w:right w:val="single" w:color="auto" w:sz="4" w:space="0"/>
            </w:tcBorders>
            <w:noWrap/>
            <w:vAlign w:val="center"/>
          </w:tcPr>
          <w:p w14:paraId="78A3E525">
            <w:pPr>
              <w:pStyle w:val="40"/>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技术要求</w:t>
            </w:r>
          </w:p>
        </w:tc>
        <w:tc>
          <w:tcPr>
            <w:tcW w:w="2181" w:type="dxa"/>
            <w:tcBorders>
              <w:top w:val="single" w:color="auto" w:sz="4" w:space="0"/>
              <w:left w:val="single" w:color="auto" w:sz="4" w:space="0"/>
              <w:bottom w:val="single" w:color="auto" w:sz="4" w:space="0"/>
              <w:right w:val="single" w:color="auto" w:sz="4" w:space="0"/>
            </w:tcBorders>
            <w:noWrap/>
            <w:vAlign w:val="center"/>
          </w:tcPr>
          <w:p w14:paraId="4C64D4B5">
            <w:pPr>
              <w:pStyle w:val="40"/>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竞标响应</w:t>
            </w:r>
          </w:p>
        </w:tc>
        <w:tc>
          <w:tcPr>
            <w:tcW w:w="1934" w:type="dxa"/>
            <w:tcBorders>
              <w:top w:val="single" w:color="auto" w:sz="4" w:space="0"/>
              <w:left w:val="single" w:color="auto" w:sz="4" w:space="0"/>
              <w:bottom w:val="single" w:color="auto" w:sz="4" w:space="0"/>
              <w:right w:val="single" w:color="auto" w:sz="4" w:space="0"/>
            </w:tcBorders>
            <w:noWrap/>
            <w:vAlign w:val="center"/>
          </w:tcPr>
          <w:p w14:paraId="566AA320">
            <w:pPr>
              <w:pStyle w:val="40"/>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偏离说明</w:t>
            </w:r>
          </w:p>
        </w:tc>
      </w:tr>
      <w:tr w14:paraId="08A4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541625BB">
            <w:pPr>
              <w:pStyle w:val="40"/>
              <w:spacing w:line="600" w:lineRule="exact"/>
              <w:jc w:val="center"/>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center"/>
          </w:tcPr>
          <w:p w14:paraId="370E179B">
            <w:pPr>
              <w:pStyle w:val="40"/>
              <w:spacing w:line="600" w:lineRule="exact"/>
              <w:jc w:val="center"/>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center"/>
          </w:tcPr>
          <w:p w14:paraId="6CDFD55E">
            <w:pPr>
              <w:pStyle w:val="40"/>
              <w:spacing w:line="600" w:lineRule="exact"/>
              <w:jc w:val="center"/>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center"/>
          </w:tcPr>
          <w:p w14:paraId="2206984D">
            <w:pPr>
              <w:pStyle w:val="40"/>
              <w:spacing w:line="600" w:lineRule="exact"/>
              <w:jc w:val="center"/>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center"/>
          </w:tcPr>
          <w:p w14:paraId="61BB26F8">
            <w:pPr>
              <w:pStyle w:val="40"/>
              <w:spacing w:line="600" w:lineRule="exact"/>
              <w:jc w:val="center"/>
              <w:rPr>
                <w:rFonts w:hint="eastAsia" w:ascii="仿宋" w:hAnsi="仿宋" w:eastAsia="仿宋" w:cs="仿宋"/>
                <w:color w:val="auto"/>
                <w:kern w:val="2"/>
                <w:sz w:val="24"/>
                <w:szCs w:val="24"/>
                <w:highlight w:val="none"/>
              </w:rPr>
            </w:pPr>
          </w:p>
        </w:tc>
      </w:tr>
      <w:tr w14:paraId="2C4F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04ED009D">
            <w:pPr>
              <w:pStyle w:val="40"/>
              <w:spacing w:line="600" w:lineRule="exact"/>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top"/>
          </w:tcPr>
          <w:p w14:paraId="307AA66D">
            <w:pPr>
              <w:pStyle w:val="40"/>
              <w:spacing w:line="600" w:lineRule="exact"/>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top"/>
          </w:tcPr>
          <w:p w14:paraId="58AC6327">
            <w:pPr>
              <w:pStyle w:val="40"/>
              <w:spacing w:line="600" w:lineRule="exact"/>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top"/>
          </w:tcPr>
          <w:p w14:paraId="706C0232">
            <w:pPr>
              <w:pStyle w:val="40"/>
              <w:spacing w:line="600" w:lineRule="exact"/>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top"/>
          </w:tcPr>
          <w:p w14:paraId="7D5912A4">
            <w:pPr>
              <w:pStyle w:val="40"/>
              <w:spacing w:line="600" w:lineRule="exact"/>
              <w:rPr>
                <w:rFonts w:hint="eastAsia" w:ascii="仿宋" w:hAnsi="仿宋" w:eastAsia="仿宋" w:cs="仿宋"/>
                <w:color w:val="auto"/>
                <w:kern w:val="2"/>
                <w:sz w:val="24"/>
                <w:szCs w:val="24"/>
                <w:highlight w:val="none"/>
              </w:rPr>
            </w:pPr>
          </w:p>
        </w:tc>
      </w:tr>
      <w:tr w14:paraId="26CA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46DAE892">
            <w:pPr>
              <w:pStyle w:val="40"/>
              <w:spacing w:line="600" w:lineRule="exact"/>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top"/>
          </w:tcPr>
          <w:p w14:paraId="2B0EC157">
            <w:pPr>
              <w:pStyle w:val="40"/>
              <w:spacing w:line="600" w:lineRule="exact"/>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top"/>
          </w:tcPr>
          <w:p w14:paraId="2C7AFD0D">
            <w:pPr>
              <w:pStyle w:val="40"/>
              <w:spacing w:line="600" w:lineRule="exact"/>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top"/>
          </w:tcPr>
          <w:p w14:paraId="3CA2648F">
            <w:pPr>
              <w:pStyle w:val="40"/>
              <w:spacing w:line="600" w:lineRule="exact"/>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top"/>
          </w:tcPr>
          <w:p w14:paraId="0F2CFEFA">
            <w:pPr>
              <w:pStyle w:val="40"/>
              <w:spacing w:line="600" w:lineRule="exact"/>
              <w:rPr>
                <w:rFonts w:hint="eastAsia" w:ascii="仿宋" w:hAnsi="仿宋" w:eastAsia="仿宋" w:cs="仿宋"/>
                <w:color w:val="auto"/>
                <w:kern w:val="2"/>
                <w:sz w:val="24"/>
                <w:szCs w:val="24"/>
                <w:highlight w:val="none"/>
              </w:rPr>
            </w:pPr>
          </w:p>
        </w:tc>
      </w:tr>
      <w:tr w14:paraId="37B3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3491B3AD">
            <w:pPr>
              <w:pStyle w:val="40"/>
              <w:spacing w:line="600" w:lineRule="exact"/>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top"/>
          </w:tcPr>
          <w:p w14:paraId="40EF358C">
            <w:pPr>
              <w:pStyle w:val="40"/>
              <w:spacing w:line="600" w:lineRule="exact"/>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top"/>
          </w:tcPr>
          <w:p w14:paraId="63962262">
            <w:pPr>
              <w:pStyle w:val="40"/>
              <w:spacing w:line="600" w:lineRule="exact"/>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top"/>
          </w:tcPr>
          <w:p w14:paraId="7518EDAF">
            <w:pPr>
              <w:pStyle w:val="40"/>
              <w:spacing w:line="600" w:lineRule="exact"/>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top"/>
          </w:tcPr>
          <w:p w14:paraId="242C65B3">
            <w:pPr>
              <w:pStyle w:val="40"/>
              <w:spacing w:line="600" w:lineRule="exact"/>
              <w:rPr>
                <w:rFonts w:hint="eastAsia" w:ascii="仿宋" w:hAnsi="仿宋" w:eastAsia="仿宋" w:cs="仿宋"/>
                <w:color w:val="auto"/>
                <w:kern w:val="2"/>
                <w:sz w:val="24"/>
                <w:szCs w:val="24"/>
                <w:highlight w:val="none"/>
              </w:rPr>
            </w:pPr>
          </w:p>
        </w:tc>
      </w:tr>
      <w:tr w14:paraId="0D5F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1E7B4933">
            <w:pPr>
              <w:pStyle w:val="40"/>
              <w:spacing w:line="600" w:lineRule="exact"/>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top"/>
          </w:tcPr>
          <w:p w14:paraId="5B87DAE9">
            <w:pPr>
              <w:pStyle w:val="40"/>
              <w:spacing w:line="600" w:lineRule="exact"/>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top"/>
          </w:tcPr>
          <w:p w14:paraId="01D1D45D">
            <w:pPr>
              <w:pStyle w:val="40"/>
              <w:spacing w:line="600" w:lineRule="exact"/>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top"/>
          </w:tcPr>
          <w:p w14:paraId="7EE57529">
            <w:pPr>
              <w:pStyle w:val="40"/>
              <w:spacing w:line="600" w:lineRule="exact"/>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top"/>
          </w:tcPr>
          <w:p w14:paraId="3E97B87F">
            <w:pPr>
              <w:pStyle w:val="40"/>
              <w:spacing w:line="600" w:lineRule="exact"/>
              <w:rPr>
                <w:rFonts w:hint="eastAsia" w:ascii="仿宋" w:hAnsi="仿宋" w:eastAsia="仿宋" w:cs="仿宋"/>
                <w:color w:val="auto"/>
                <w:kern w:val="2"/>
                <w:sz w:val="24"/>
                <w:szCs w:val="24"/>
                <w:highlight w:val="none"/>
              </w:rPr>
            </w:pPr>
          </w:p>
        </w:tc>
      </w:tr>
      <w:tr w14:paraId="41C2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36614FCF">
            <w:pPr>
              <w:pStyle w:val="40"/>
              <w:spacing w:line="600" w:lineRule="exact"/>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top"/>
          </w:tcPr>
          <w:p w14:paraId="48D4E77B">
            <w:pPr>
              <w:pStyle w:val="40"/>
              <w:spacing w:line="600" w:lineRule="exact"/>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top"/>
          </w:tcPr>
          <w:p w14:paraId="37865C32">
            <w:pPr>
              <w:pStyle w:val="40"/>
              <w:spacing w:line="600" w:lineRule="exact"/>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top"/>
          </w:tcPr>
          <w:p w14:paraId="56FEDD4B">
            <w:pPr>
              <w:pStyle w:val="40"/>
              <w:spacing w:line="600" w:lineRule="exact"/>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top"/>
          </w:tcPr>
          <w:p w14:paraId="02579412">
            <w:pPr>
              <w:pStyle w:val="40"/>
              <w:spacing w:line="600" w:lineRule="exact"/>
              <w:rPr>
                <w:rFonts w:hint="eastAsia" w:ascii="仿宋" w:hAnsi="仿宋" w:eastAsia="仿宋" w:cs="仿宋"/>
                <w:color w:val="auto"/>
                <w:kern w:val="2"/>
                <w:sz w:val="24"/>
                <w:szCs w:val="24"/>
                <w:highlight w:val="none"/>
              </w:rPr>
            </w:pPr>
          </w:p>
        </w:tc>
      </w:tr>
      <w:tr w14:paraId="08BC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ign w:val="top"/>
          </w:tcPr>
          <w:p w14:paraId="648E0C32">
            <w:pPr>
              <w:pStyle w:val="40"/>
              <w:spacing w:line="600" w:lineRule="exact"/>
              <w:rPr>
                <w:rFonts w:hint="eastAsia" w:ascii="仿宋" w:hAnsi="仿宋" w:eastAsia="仿宋" w:cs="仿宋"/>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noWrap/>
            <w:vAlign w:val="top"/>
          </w:tcPr>
          <w:p w14:paraId="6F6A7D13">
            <w:pPr>
              <w:pStyle w:val="40"/>
              <w:spacing w:line="600" w:lineRule="exact"/>
              <w:rPr>
                <w:rFonts w:hint="eastAsia" w:ascii="仿宋" w:hAnsi="仿宋" w:eastAsia="仿宋" w:cs="仿宋"/>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noWrap/>
            <w:vAlign w:val="top"/>
          </w:tcPr>
          <w:p w14:paraId="0168B2DD">
            <w:pPr>
              <w:pStyle w:val="40"/>
              <w:spacing w:line="600" w:lineRule="exact"/>
              <w:rPr>
                <w:rFonts w:hint="eastAsia" w:ascii="仿宋" w:hAnsi="仿宋" w:eastAsia="仿宋" w:cs="仿宋"/>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noWrap/>
            <w:vAlign w:val="top"/>
          </w:tcPr>
          <w:p w14:paraId="5FD0EA36">
            <w:pPr>
              <w:pStyle w:val="40"/>
              <w:spacing w:line="600" w:lineRule="exact"/>
              <w:rPr>
                <w:rFonts w:hint="eastAsia" w:ascii="仿宋" w:hAnsi="仿宋" w:eastAsia="仿宋" w:cs="仿宋"/>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noWrap/>
            <w:vAlign w:val="top"/>
          </w:tcPr>
          <w:p w14:paraId="71EB277F">
            <w:pPr>
              <w:pStyle w:val="40"/>
              <w:spacing w:line="600" w:lineRule="exact"/>
              <w:rPr>
                <w:rFonts w:hint="eastAsia" w:ascii="仿宋" w:hAnsi="仿宋" w:eastAsia="仿宋" w:cs="仿宋"/>
                <w:color w:val="auto"/>
                <w:kern w:val="2"/>
                <w:sz w:val="24"/>
                <w:szCs w:val="24"/>
                <w:highlight w:val="none"/>
              </w:rPr>
            </w:pPr>
          </w:p>
        </w:tc>
      </w:tr>
    </w:tbl>
    <w:p w14:paraId="20D6C85B">
      <w:pPr>
        <w:pStyle w:val="33"/>
        <w:spacing w:line="360" w:lineRule="auto"/>
        <w:rPr>
          <w:rFonts w:hint="eastAsia" w:ascii="仿宋" w:hAnsi="仿宋" w:eastAsia="仿宋" w:cs="仿宋"/>
          <w:b/>
          <w:color w:val="auto"/>
          <w:kern w:val="0"/>
          <w:sz w:val="24"/>
          <w:szCs w:val="24"/>
          <w:highlight w:val="none"/>
        </w:rPr>
      </w:pPr>
      <w:r>
        <w:rPr>
          <w:rFonts w:hint="eastAsia" w:ascii="仿宋" w:hAnsi="仿宋" w:eastAsia="仿宋" w:cs="仿宋"/>
          <w:color w:val="auto"/>
          <w:highlight w:val="none"/>
        </w:rPr>
        <w:t>注：</w:t>
      </w:r>
    </w:p>
    <w:p w14:paraId="52953162">
      <w:pPr>
        <w:pStyle w:val="37"/>
        <w:spacing w:line="360" w:lineRule="auto"/>
        <w:ind w:firstLine="0" w:firstLineChars="0"/>
        <w:rPr>
          <w:rFonts w:hint="eastAsia" w:ascii="仿宋" w:hAnsi="仿宋" w:eastAsia="仿宋" w:cs="仿宋"/>
          <w:color w:val="auto"/>
          <w:szCs w:val="32"/>
          <w:highlight w:val="none"/>
        </w:rPr>
      </w:pPr>
      <w:r>
        <w:rPr>
          <w:rFonts w:hint="eastAsia" w:ascii="仿宋" w:hAnsi="仿宋" w:eastAsia="仿宋" w:cs="仿宋"/>
          <w:color w:val="auto"/>
          <w:sz w:val="24"/>
          <w:szCs w:val="24"/>
          <w:highlight w:val="none"/>
        </w:rPr>
        <w:t>1. 说明：应对照磋商文件“第</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章 采购需求”中的技术要求逐条作明确的竞标响应，并作出偏离说明。</w:t>
      </w:r>
    </w:p>
    <w:p w14:paraId="01D2461B">
      <w:pPr>
        <w:pStyle w:val="33"/>
        <w:spacing w:line="360" w:lineRule="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2.供应商应根据自身的承诺，对照竞争性磋商文件要求，在“偏离说明”中注明“</w:t>
      </w:r>
      <w:r>
        <w:rPr>
          <w:rFonts w:hint="eastAsia" w:ascii="仿宋" w:hAnsi="仿宋" w:eastAsia="仿宋" w:cs="仿宋"/>
          <w:color w:val="auto"/>
          <w:sz w:val="24"/>
          <w:szCs w:val="24"/>
          <w:highlight w:val="none"/>
        </w:rPr>
        <w:t>正偏离</w:t>
      </w:r>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highlight w:val="none"/>
        </w:rPr>
        <w:t>负偏离</w:t>
      </w:r>
      <w:r>
        <w:rPr>
          <w:rFonts w:hint="eastAsia" w:ascii="仿宋" w:hAnsi="仿宋" w:eastAsia="仿宋" w:cs="仿宋"/>
          <w:b/>
          <w:bCs/>
          <w:color w:val="auto"/>
          <w:sz w:val="24"/>
          <w:szCs w:val="24"/>
          <w:highlight w:val="none"/>
        </w:rPr>
        <w:t>”或者“</w:t>
      </w:r>
      <w:r>
        <w:rPr>
          <w:rFonts w:hint="eastAsia" w:ascii="仿宋" w:hAnsi="仿宋" w:eastAsia="仿宋" w:cs="仿宋"/>
          <w:color w:val="auto"/>
          <w:sz w:val="24"/>
          <w:szCs w:val="24"/>
          <w:highlight w:val="none"/>
        </w:rPr>
        <w:t>无偏离</w:t>
      </w:r>
      <w:r>
        <w:rPr>
          <w:rFonts w:hint="eastAsia" w:ascii="仿宋" w:hAnsi="仿宋" w:eastAsia="仿宋" w:cs="仿宋"/>
          <w:b/>
          <w:bCs/>
          <w:color w:val="auto"/>
          <w:sz w:val="24"/>
          <w:szCs w:val="24"/>
          <w:highlight w:val="none"/>
        </w:rPr>
        <w:t>”。既不属于“</w:t>
      </w:r>
      <w:r>
        <w:rPr>
          <w:rFonts w:hint="eastAsia" w:ascii="仿宋" w:hAnsi="仿宋" w:eastAsia="仿宋" w:cs="仿宋"/>
          <w:color w:val="auto"/>
          <w:sz w:val="24"/>
          <w:szCs w:val="24"/>
          <w:highlight w:val="none"/>
        </w:rPr>
        <w:t>正偏离</w:t>
      </w:r>
      <w:r>
        <w:rPr>
          <w:rFonts w:hint="eastAsia" w:ascii="仿宋" w:hAnsi="仿宋" w:eastAsia="仿宋" w:cs="仿宋"/>
          <w:b/>
          <w:bCs/>
          <w:color w:val="auto"/>
          <w:sz w:val="24"/>
          <w:szCs w:val="24"/>
          <w:highlight w:val="none"/>
        </w:rPr>
        <w:t>”也不属于“</w:t>
      </w:r>
      <w:r>
        <w:rPr>
          <w:rFonts w:hint="eastAsia" w:ascii="仿宋" w:hAnsi="仿宋" w:eastAsia="仿宋" w:cs="仿宋"/>
          <w:color w:val="auto"/>
          <w:sz w:val="24"/>
          <w:szCs w:val="24"/>
          <w:highlight w:val="none"/>
        </w:rPr>
        <w:t>负偏离</w:t>
      </w:r>
      <w:r>
        <w:rPr>
          <w:rFonts w:hint="eastAsia" w:ascii="仿宋" w:hAnsi="仿宋" w:eastAsia="仿宋" w:cs="仿宋"/>
          <w:b/>
          <w:bCs/>
          <w:color w:val="auto"/>
          <w:sz w:val="24"/>
          <w:szCs w:val="24"/>
          <w:highlight w:val="none"/>
        </w:rPr>
        <w:t>”即为“</w:t>
      </w:r>
      <w:r>
        <w:rPr>
          <w:rFonts w:hint="eastAsia" w:ascii="仿宋" w:hAnsi="仿宋" w:eastAsia="仿宋" w:cs="仿宋"/>
          <w:color w:val="auto"/>
          <w:sz w:val="24"/>
          <w:szCs w:val="24"/>
          <w:highlight w:val="none"/>
        </w:rPr>
        <w:t>无偏离</w:t>
      </w:r>
      <w:r>
        <w:rPr>
          <w:rFonts w:hint="eastAsia" w:ascii="仿宋" w:hAnsi="仿宋" w:eastAsia="仿宋" w:cs="仿宋"/>
          <w:b/>
          <w:bCs/>
          <w:color w:val="auto"/>
          <w:sz w:val="24"/>
          <w:szCs w:val="24"/>
          <w:highlight w:val="none"/>
        </w:rPr>
        <w:t>”。</w:t>
      </w:r>
    </w:p>
    <w:p w14:paraId="512D4DDB">
      <w:pPr>
        <w:pStyle w:val="33"/>
        <w:spacing w:line="360" w:lineRule="auto"/>
        <w:rPr>
          <w:rFonts w:hint="eastAsia" w:ascii="仿宋" w:hAnsi="仿宋" w:eastAsia="仿宋" w:cs="仿宋"/>
          <w:color w:val="auto"/>
          <w:spacing w:val="20"/>
          <w:highlight w:val="none"/>
        </w:rPr>
      </w:pPr>
    </w:p>
    <w:p w14:paraId="09BE8B1B">
      <w:pPr>
        <w:spacing w:line="360" w:lineRule="auto"/>
        <w:rPr>
          <w:rFonts w:hint="eastAsia" w:ascii="仿宋" w:hAnsi="仿宋" w:eastAsia="仿宋" w:cs="仿宋"/>
          <w:color w:val="auto"/>
          <w:spacing w:val="20"/>
          <w:sz w:val="24"/>
          <w:highlight w:val="none"/>
          <w:u w:val="single"/>
        </w:rPr>
      </w:pPr>
      <w:r>
        <w:rPr>
          <w:rFonts w:hint="eastAsia" w:ascii="仿宋" w:hAnsi="仿宋" w:eastAsia="仿宋" w:cs="仿宋"/>
          <w:color w:val="auto"/>
          <w:sz w:val="24"/>
          <w:highlight w:val="none"/>
        </w:rPr>
        <w:t>法定代表人或者委托代理人</w:t>
      </w:r>
      <w:r>
        <w:rPr>
          <w:rFonts w:hint="eastAsia" w:ascii="仿宋" w:hAnsi="仿宋" w:eastAsia="仿宋" w:cs="仿宋"/>
          <w:color w:val="auto"/>
          <w:spacing w:val="20"/>
          <w:sz w:val="24"/>
          <w:highlight w:val="none"/>
        </w:rPr>
        <w:t>（签字或者电子签名）：</w:t>
      </w:r>
      <w:r>
        <w:rPr>
          <w:rFonts w:hint="eastAsia" w:ascii="仿宋" w:hAnsi="仿宋" w:eastAsia="仿宋" w:cs="仿宋"/>
          <w:color w:val="auto"/>
          <w:spacing w:val="20"/>
          <w:sz w:val="24"/>
          <w:highlight w:val="none"/>
          <w:u w:val="single"/>
        </w:rPr>
        <w:t xml:space="preserve">        </w:t>
      </w:r>
    </w:p>
    <w:p w14:paraId="01FACF08">
      <w:pPr>
        <w:spacing w:line="360" w:lineRule="auto"/>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lang w:eastAsia="zh-CN"/>
        </w:rPr>
        <w:t>供应商</w:t>
      </w:r>
      <w:r>
        <w:rPr>
          <w:rFonts w:hint="eastAsia" w:ascii="仿宋" w:hAnsi="仿宋" w:eastAsia="仿宋" w:cs="仿宋"/>
          <w:color w:val="auto"/>
          <w:spacing w:val="20"/>
          <w:sz w:val="24"/>
          <w:highlight w:val="none"/>
        </w:rPr>
        <w:t>名称（电子签章）：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w:t>
      </w:r>
    </w:p>
    <w:p w14:paraId="211C500E">
      <w:pPr>
        <w:spacing w:line="360" w:lineRule="auto"/>
        <w:rPr>
          <w:rFonts w:hint="eastAsia" w:ascii="仿宋" w:hAnsi="仿宋" w:eastAsia="仿宋" w:cs="仿宋"/>
          <w:color w:val="auto"/>
          <w:sz w:val="24"/>
          <w:szCs w:val="20"/>
          <w:highlight w:val="none"/>
        </w:rPr>
      </w:pPr>
      <w:r>
        <w:rPr>
          <w:rFonts w:hint="eastAsia" w:ascii="仿宋" w:hAnsi="仿宋" w:eastAsia="仿宋" w:cs="仿宋"/>
          <w:color w:val="auto"/>
          <w:spacing w:val="20"/>
          <w:sz w:val="24"/>
          <w:highlight w:val="none"/>
        </w:rPr>
        <w:t>日  期：</w:t>
      </w:r>
      <w:r>
        <w:rPr>
          <w:rFonts w:hint="eastAsia" w:ascii="仿宋" w:hAnsi="仿宋" w:eastAsia="仿宋" w:cs="仿宋"/>
          <w:color w:val="auto"/>
          <w:spacing w:val="20"/>
          <w:sz w:val="24"/>
          <w:highlight w:val="none"/>
          <w:u w:val="single"/>
        </w:rPr>
        <w:t xml:space="preserve">          </w:t>
      </w:r>
    </w:p>
    <w:p w14:paraId="7440999F">
      <w:pPr>
        <w:spacing w:line="300" w:lineRule="auto"/>
        <w:rPr>
          <w:rFonts w:hint="eastAsia" w:ascii="仿宋" w:hAnsi="仿宋" w:eastAsia="仿宋" w:cs="仿宋"/>
          <w:b/>
          <w:bCs/>
          <w:color w:val="auto"/>
          <w:sz w:val="24"/>
          <w:highlight w:val="none"/>
        </w:rPr>
      </w:pPr>
    </w:p>
    <w:p w14:paraId="1B620728">
      <w:pPr>
        <w:pStyle w:val="22"/>
        <w:rPr>
          <w:rFonts w:hint="eastAsia" w:ascii="仿宋" w:hAnsi="仿宋" w:eastAsia="仿宋" w:cs="仿宋"/>
          <w:color w:val="auto"/>
          <w:highlight w:val="none"/>
        </w:rPr>
      </w:pPr>
    </w:p>
    <w:p w14:paraId="454AAE3E">
      <w:pPr>
        <w:pStyle w:val="22"/>
        <w:rPr>
          <w:rFonts w:hint="eastAsia" w:ascii="仿宋" w:hAnsi="仿宋" w:eastAsia="仿宋" w:cs="仿宋"/>
          <w:color w:val="auto"/>
          <w:highlight w:val="none"/>
        </w:rPr>
      </w:pPr>
    </w:p>
    <w:p w14:paraId="527DC76B">
      <w:pPr>
        <w:pStyle w:val="22"/>
        <w:rPr>
          <w:rFonts w:hint="eastAsia" w:ascii="仿宋" w:hAnsi="仿宋" w:eastAsia="仿宋" w:cs="仿宋"/>
          <w:color w:val="auto"/>
          <w:highlight w:val="none"/>
        </w:rPr>
      </w:pPr>
    </w:p>
    <w:p w14:paraId="34B8E1B0">
      <w:pPr>
        <w:pStyle w:val="22"/>
        <w:rPr>
          <w:rFonts w:hint="eastAsia" w:ascii="仿宋" w:hAnsi="仿宋" w:eastAsia="仿宋" w:cs="仿宋"/>
          <w:color w:val="auto"/>
          <w:highlight w:val="none"/>
        </w:rPr>
      </w:pPr>
    </w:p>
    <w:p w14:paraId="02B0DBBA">
      <w:pPr>
        <w:pStyle w:val="22"/>
        <w:rPr>
          <w:rFonts w:hint="eastAsia" w:ascii="仿宋" w:hAnsi="仿宋" w:eastAsia="仿宋" w:cs="仿宋"/>
          <w:color w:val="auto"/>
          <w:highlight w:val="none"/>
        </w:rPr>
      </w:pPr>
    </w:p>
    <w:p w14:paraId="14EDEFCA">
      <w:pPr>
        <w:pStyle w:val="22"/>
        <w:rPr>
          <w:rFonts w:hint="eastAsia" w:ascii="仿宋" w:hAnsi="仿宋" w:eastAsia="仿宋" w:cs="仿宋"/>
          <w:color w:val="auto"/>
          <w:highlight w:val="none"/>
        </w:rPr>
      </w:pPr>
    </w:p>
    <w:p w14:paraId="51043E30">
      <w:pPr>
        <w:pStyle w:val="22"/>
        <w:rPr>
          <w:rFonts w:hint="eastAsia" w:ascii="仿宋" w:hAnsi="仿宋" w:eastAsia="仿宋" w:cs="仿宋"/>
          <w:color w:val="auto"/>
          <w:highlight w:val="none"/>
        </w:rPr>
      </w:pPr>
    </w:p>
    <w:p w14:paraId="30B9451E">
      <w:pPr>
        <w:pStyle w:val="22"/>
        <w:rPr>
          <w:rFonts w:hint="eastAsia" w:ascii="仿宋" w:hAnsi="仿宋" w:eastAsia="仿宋" w:cs="仿宋"/>
          <w:color w:val="auto"/>
          <w:highlight w:val="none"/>
        </w:rPr>
      </w:pPr>
    </w:p>
    <w:p w14:paraId="296F5EE4">
      <w:pPr>
        <w:pStyle w:val="22"/>
        <w:rPr>
          <w:rFonts w:hint="eastAsia" w:ascii="仿宋" w:hAnsi="仿宋" w:eastAsia="仿宋" w:cs="仿宋"/>
          <w:color w:val="auto"/>
          <w:highlight w:val="none"/>
        </w:rPr>
      </w:pPr>
    </w:p>
    <w:p w14:paraId="3DCF8FD3">
      <w:pPr>
        <w:pStyle w:val="22"/>
        <w:rPr>
          <w:rFonts w:hint="eastAsia" w:ascii="仿宋" w:hAnsi="仿宋" w:eastAsia="仿宋" w:cs="仿宋"/>
          <w:color w:val="auto"/>
          <w:highlight w:val="none"/>
        </w:rPr>
      </w:pPr>
    </w:p>
    <w:p w14:paraId="660D4E36">
      <w:pPr>
        <w:spacing w:line="300" w:lineRule="auto"/>
        <w:rPr>
          <w:rFonts w:hint="eastAsia" w:ascii="仿宋" w:hAnsi="仿宋" w:eastAsia="仿宋" w:cs="仿宋"/>
          <w:color w:val="auto"/>
          <w:szCs w:val="21"/>
          <w:highlight w:val="none"/>
        </w:rPr>
      </w:pPr>
      <w:r>
        <w:rPr>
          <w:rFonts w:hint="eastAsia" w:ascii="仿宋" w:hAnsi="仿宋" w:eastAsia="仿宋" w:cs="仿宋"/>
          <w:b/>
          <w:bCs/>
          <w:color w:val="auto"/>
          <w:sz w:val="24"/>
          <w:highlight w:val="none"/>
        </w:rPr>
        <w:t>其他文书、文件格式</w:t>
      </w:r>
    </w:p>
    <w:p w14:paraId="03FA3AD9">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color w:val="auto"/>
          <w:sz w:val="44"/>
          <w:szCs w:val="44"/>
          <w:highlight w:val="none"/>
        </w:rPr>
        <w:t>质疑函（格式）</w:t>
      </w:r>
    </w:p>
    <w:p w14:paraId="101638B0">
      <w:pPr>
        <w:pStyle w:val="40"/>
        <w:spacing w:line="360" w:lineRule="auto"/>
        <w:ind w:firstLine="482" w:firstLineChars="200"/>
        <w:contextualSpacing/>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一、质疑供应商基本信息：</w:t>
      </w:r>
    </w:p>
    <w:p w14:paraId="575BDE27">
      <w:pPr>
        <w:pStyle w:val="40"/>
        <w:spacing w:line="360" w:lineRule="auto"/>
        <w:ind w:firstLine="480" w:firstLineChars="200"/>
        <w:contextualSpacing/>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质疑供应商：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493129FB">
      <w:pPr>
        <w:pStyle w:val="40"/>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6BBB49A">
      <w:pPr>
        <w:pStyle w:val="40"/>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69656539">
      <w:pPr>
        <w:pStyle w:val="40"/>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p>
    <w:p w14:paraId="4CD6077B">
      <w:pPr>
        <w:pStyle w:val="40"/>
        <w:spacing w:line="360" w:lineRule="auto"/>
        <w:ind w:firstLine="480" w:firstLineChars="200"/>
        <w:contextualSpacing/>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3E1CBC2C">
      <w:pPr>
        <w:pStyle w:val="40"/>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3CE888F9">
      <w:pPr>
        <w:pStyle w:val="40"/>
        <w:spacing w:line="360" w:lineRule="auto"/>
        <w:ind w:firstLine="482" w:firstLineChars="200"/>
        <w:contextualSpacing/>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二、质疑项目基本情况：</w:t>
      </w:r>
    </w:p>
    <w:p w14:paraId="26F613E9">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p>
    <w:p w14:paraId="0E5DFF69">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p>
    <w:p w14:paraId="0B84F5E7">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p>
    <w:p w14:paraId="558967B0">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w:t>
      </w:r>
    </w:p>
    <w:p w14:paraId="3DC41464">
      <w:pPr>
        <w:pStyle w:val="40"/>
        <w:spacing w:line="360" w:lineRule="auto"/>
        <w:ind w:left="25"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□采购文件   采购文件获取日期：</w:t>
      </w:r>
      <w:r>
        <w:rPr>
          <w:rFonts w:hint="eastAsia" w:ascii="仿宋" w:hAnsi="仿宋" w:eastAsia="仿宋" w:cs="仿宋"/>
          <w:bCs/>
          <w:color w:val="auto"/>
          <w:sz w:val="24"/>
          <w:szCs w:val="24"/>
          <w:highlight w:val="none"/>
          <w:u w:val="single"/>
        </w:rPr>
        <w:t xml:space="preserve">                                   </w:t>
      </w:r>
    </w:p>
    <w:p w14:paraId="5F022DE5">
      <w:pPr>
        <w:pStyle w:val="40"/>
        <w:spacing w:line="360" w:lineRule="auto"/>
        <w:ind w:left="25"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□采购过程   </w:t>
      </w:r>
    </w:p>
    <w:p w14:paraId="4479E1F3">
      <w:pPr>
        <w:pStyle w:val="40"/>
        <w:spacing w:line="360" w:lineRule="auto"/>
        <w:ind w:left="25" w:leftChars="12" w:firstLine="352" w:firstLineChars="147"/>
        <w:contextualSpacing/>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□成交结果   </w:t>
      </w:r>
    </w:p>
    <w:p w14:paraId="13B3ADCC">
      <w:pPr>
        <w:pStyle w:val="40"/>
        <w:spacing w:line="360" w:lineRule="auto"/>
        <w:ind w:left="25" w:leftChars="12" w:firstLine="472" w:firstLineChars="196"/>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三、质疑事项具体内容</w:t>
      </w:r>
    </w:p>
    <w:p w14:paraId="165828C3">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质疑事项1：</w:t>
      </w:r>
      <w:r>
        <w:rPr>
          <w:rFonts w:hint="eastAsia" w:ascii="仿宋" w:hAnsi="仿宋" w:eastAsia="仿宋" w:cs="仿宋"/>
          <w:bCs/>
          <w:color w:val="auto"/>
          <w:sz w:val="24"/>
          <w:szCs w:val="24"/>
          <w:highlight w:val="none"/>
          <w:u w:val="single"/>
        </w:rPr>
        <w:t xml:space="preserve">                                                                    </w:t>
      </w:r>
    </w:p>
    <w:p w14:paraId="46D2E2C8">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r>
        <w:rPr>
          <w:rFonts w:hint="eastAsia" w:ascii="仿宋" w:hAnsi="仿宋" w:eastAsia="仿宋" w:cs="仿宋"/>
          <w:bCs/>
          <w:color w:val="auto"/>
          <w:sz w:val="24"/>
          <w:szCs w:val="24"/>
          <w:highlight w:val="none"/>
          <w:u w:val="single"/>
        </w:rPr>
        <w:t xml:space="preserve">                                                                      </w:t>
      </w:r>
    </w:p>
    <w:p w14:paraId="12912724">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法律依据：</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5E945CA7">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质疑事项2</w:t>
      </w:r>
    </w:p>
    <w:p w14:paraId="7F698326">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32DDE8FE">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四、与质疑事项相关的质疑请求：</w:t>
      </w:r>
    </w:p>
    <w:p w14:paraId="290BB5CD">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3B65CDDA">
      <w:pPr>
        <w:pStyle w:val="40"/>
        <w:spacing w:line="360" w:lineRule="auto"/>
        <w:ind w:left="25" w:leftChars="12" w:firstLine="352" w:firstLineChars="147"/>
        <w:contextualSpacing/>
        <w:rPr>
          <w:rFonts w:hint="eastAsia" w:ascii="仿宋" w:hAnsi="仿宋" w:eastAsia="仿宋" w:cs="仿宋"/>
          <w:color w:val="auto"/>
          <w:sz w:val="24"/>
          <w:szCs w:val="24"/>
          <w:highlight w:val="none"/>
        </w:rPr>
      </w:pPr>
    </w:p>
    <w:p w14:paraId="38301209">
      <w:pPr>
        <w:pStyle w:val="40"/>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684655C1">
      <w:pPr>
        <w:pStyle w:val="40"/>
        <w:spacing w:line="360" w:lineRule="auto"/>
        <w:ind w:firstLine="480" w:firstLineChars="200"/>
        <w:contextualSpacing/>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日期：</w:t>
      </w:r>
    </w:p>
    <w:p w14:paraId="64EAA542">
      <w:pPr>
        <w:pStyle w:val="40"/>
        <w:spacing w:line="360" w:lineRule="auto"/>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31C1298A">
      <w:pPr>
        <w:pStyle w:val="40"/>
        <w:spacing w:line="360" w:lineRule="auto"/>
        <w:ind w:left="25" w:leftChars="12" w:firstLine="354" w:firstLineChars="147"/>
        <w:contextualSpacing/>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1.供应商提出质疑时，应提交质疑函和必要的证明材料</w:t>
      </w:r>
      <w:r>
        <w:rPr>
          <w:rFonts w:hint="eastAsia" w:ascii="仿宋" w:hAnsi="仿宋" w:eastAsia="仿宋" w:cs="仿宋"/>
          <w:b/>
          <w:bCs/>
          <w:color w:val="auto"/>
          <w:sz w:val="24"/>
          <w:szCs w:val="24"/>
          <w:highlight w:val="none"/>
        </w:rPr>
        <w:t>。</w:t>
      </w:r>
    </w:p>
    <w:p w14:paraId="5DB0CD2E">
      <w:pPr>
        <w:pStyle w:val="40"/>
        <w:spacing w:line="360" w:lineRule="auto"/>
        <w:ind w:left="25"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FFFB36E">
      <w:pPr>
        <w:pStyle w:val="40"/>
        <w:spacing w:line="360" w:lineRule="auto"/>
        <w:ind w:left="25"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3.质疑函的质疑事项应具体、明确，并有必要的事实依据和法律依据。</w:t>
      </w:r>
    </w:p>
    <w:p w14:paraId="7486F69C">
      <w:pPr>
        <w:pStyle w:val="40"/>
        <w:spacing w:line="360" w:lineRule="auto"/>
        <w:ind w:left="25"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4.质疑函的质疑请求应与质疑事项相关。</w:t>
      </w:r>
    </w:p>
    <w:p w14:paraId="00236884">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5.质疑供应商为法人或者其他组织的，质疑函应由法定代表人、主要负责人，或者其授权代表签字或者盖章，并加盖公章。</w:t>
      </w:r>
    </w:p>
    <w:p w14:paraId="12DA3252">
      <w:pP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p>
    <w:p w14:paraId="2A4879EF">
      <w:pPr>
        <w:spacing w:line="360" w:lineRule="auto"/>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投诉书（格式）</w:t>
      </w:r>
    </w:p>
    <w:p w14:paraId="00D7D845">
      <w:pPr>
        <w:pStyle w:val="4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一、投诉相关主体基本情况：</w:t>
      </w:r>
    </w:p>
    <w:p w14:paraId="7292C6D8">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0179E68B">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65357BBF">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法定代表人/主要负责人：</w:t>
      </w:r>
      <w:r>
        <w:rPr>
          <w:rFonts w:hint="eastAsia" w:ascii="仿宋" w:hAnsi="仿宋" w:eastAsia="仿宋" w:cs="仿宋"/>
          <w:bCs/>
          <w:color w:val="auto"/>
          <w:sz w:val="24"/>
          <w:szCs w:val="24"/>
          <w:highlight w:val="none"/>
          <w:u w:val="single"/>
        </w:rPr>
        <w:t xml:space="preserve">                                                         </w:t>
      </w:r>
    </w:p>
    <w:p w14:paraId="115B0BFE">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1596007">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29399A03">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16A33A72">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78585FF">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被投诉人1：</w:t>
      </w:r>
    </w:p>
    <w:p w14:paraId="1237008D">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63F6393D">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48783835">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301AE22C">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被投诉人2：</w:t>
      </w:r>
    </w:p>
    <w:p w14:paraId="07147245">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1627CEFC">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相关供应商：</w:t>
      </w:r>
      <w:r>
        <w:rPr>
          <w:rFonts w:hint="eastAsia" w:ascii="仿宋" w:hAnsi="仿宋" w:eastAsia="仿宋" w:cs="仿宋"/>
          <w:bCs/>
          <w:color w:val="auto"/>
          <w:sz w:val="24"/>
          <w:szCs w:val="24"/>
          <w:highlight w:val="none"/>
          <w:u w:val="single"/>
        </w:rPr>
        <w:t xml:space="preserve">                                                                       </w:t>
      </w:r>
    </w:p>
    <w:p w14:paraId="0B7B4878">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p>
    <w:p w14:paraId="7F568DB5">
      <w:pPr>
        <w:pStyle w:val="4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4606E601">
      <w:pPr>
        <w:pStyle w:val="4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二、投诉项目基本情况：</w:t>
      </w:r>
    </w:p>
    <w:p w14:paraId="2BA474EC">
      <w:pPr>
        <w:pStyle w:val="40"/>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p>
    <w:p w14:paraId="5BBA889A">
      <w:pPr>
        <w:pStyle w:val="40"/>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p>
    <w:p w14:paraId="2A956185">
      <w:pPr>
        <w:pStyle w:val="40"/>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p>
    <w:p w14:paraId="3EB3B55C">
      <w:pPr>
        <w:pStyle w:val="40"/>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代理机构名称：</w:t>
      </w:r>
      <w:r>
        <w:rPr>
          <w:rFonts w:hint="eastAsia" w:ascii="仿宋" w:hAnsi="仿宋" w:eastAsia="仿宋" w:cs="仿宋"/>
          <w:bCs/>
          <w:color w:val="auto"/>
          <w:sz w:val="24"/>
          <w:szCs w:val="24"/>
          <w:highlight w:val="none"/>
          <w:u w:val="single"/>
        </w:rPr>
        <w:t xml:space="preserve">                                                                      </w:t>
      </w:r>
    </w:p>
    <w:p w14:paraId="1051B2B0">
      <w:pPr>
        <w:pStyle w:val="40"/>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采购文件公告：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2F28F11B">
      <w:pPr>
        <w:pStyle w:val="40"/>
        <w:spacing w:line="360" w:lineRule="auto"/>
        <w:ind w:left="25"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采购结果公告：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2192C1D6">
      <w:pPr>
        <w:pStyle w:val="40"/>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三、质疑基本情况</w:t>
      </w:r>
    </w:p>
    <w:p w14:paraId="53402DFC">
      <w:pPr>
        <w:pStyle w:val="4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投诉人于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提出质疑，质疑事项为：</w:t>
      </w:r>
    </w:p>
    <w:p w14:paraId="26070D0D">
      <w:pPr>
        <w:pStyle w:val="40"/>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441D6AF3">
      <w:pPr>
        <w:pStyle w:val="40"/>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28E44360">
      <w:pPr>
        <w:pStyle w:val="4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采购人/代理机构</w:t>
      </w:r>
      <w:r>
        <w:rPr>
          <w:rFonts w:hint="eastAsia" w:ascii="仿宋" w:hAnsi="仿宋" w:eastAsia="仿宋" w:cs="仿宋"/>
          <w:bCs/>
          <w:color w:val="auto"/>
          <w:sz w:val="24"/>
          <w:szCs w:val="24"/>
          <w:highlight w:val="none"/>
        </w:rPr>
        <w:t>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bCs/>
          <w:color w:val="auto"/>
          <w:sz w:val="24"/>
          <w:szCs w:val="24"/>
          <w:highlight w:val="none"/>
        </w:rPr>
        <w:t xml:space="preserve">就质疑事项作出了答复/没有在法定期限内作出答复。                                                                                             </w:t>
      </w:r>
    </w:p>
    <w:p w14:paraId="52113E17">
      <w:pPr>
        <w:pStyle w:val="40"/>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四、投诉事项具体内容</w:t>
      </w:r>
    </w:p>
    <w:p w14:paraId="3F63D5D2">
      <w:pPr>
        <w:pStyle w:val="40"/>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投诉事项1：</w:t>
      </w:r>
      <w:r>
        <w:rPr>
          <w:rFonts w:hint="eastAsia" w:ascii="仿宋" w:hAnsi="仿宋" w:eastAsia="仿宋" w:cs="仿宋"/>
          <w:bCs/>
          <w:color w:val="auto"/>
          <w:sz w:val="24"/>
          <w:szCs w:val="24"/>
          <w:highlight w:val="none"/>
          <w:u w:val="single"/>
        </w:rPr>
        <w:t xml:space="preserve">                                                                           </w:t>
      </w:r>
    </w:p>
    <w:p w14:paraId="7A9F727E">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事实依据：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631A223F">
      <w:pPr>
        <w:pStyle w:val="40"/>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 xml:space="preserve">                                                                                        </w:t>
      </w:r>
    </w:p>
    <w:p w14:paraId="3AFE5E87">
      <w:pPr>
        <w:pStyle w:val="4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法律依据：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06069F4B">
      <w:pPr>
        <w:pStyle w:val="40"/>
        <w:spacing w:line="360" w:lineRule="auto"/>
        <w:ind w:left="25" w:leftChars="12" w:firstLine="352" w:firstLineChars="14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5E92942F">
      <w:pPr>
        <w:pStyle w:val="40"/>
        <w:spacing w:line="360" w:lineRule="auto"/>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投诉事项2  </w:t>
      </w:r>
      <w:r>
        <w:rPr>
          <w:rFonts w:hint="eastAsia" w:ascii="仿宋" w:hAnsi="仿宋" w:eastAsia="仿宋" w:cs="仿宋"/>
          <w:bCs/>
          <w:color w:val="auto"/>
          <w:sz w:val="24"/>
          <w:szCs w:val="24"/>
          <w:highlight w:val="none"/>
        </w:rPr>
        <w:t xml:space="preserve">   </w:t>
      </w:r>
    </w:p>
    <w:p w14:paraId="5359AF43">
      <w:pPr>
        <w:pStyle w:val="40"/>
        <w:spacing w:line="360" w:lineRule="auto"/>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63E0D894">
      <w:pPr>
        <w:pStyle w:val="40"/>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五、与投诉事项相关的投诉请求：</w:t>
      </w:r>
    </w:p>
    <w:p w14:paraId="13574DC4">
      <w:pPr>
        <w:pStyle w:val="40"/>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2E5315F2">
      <w:pPr>
        <w:pStyle w:val="40"/>
        <w:spacing w:line="360" w:lineRule="auto"/>
        <w:ind w:left="25" w:leftChars="12" w:firstLine="352" w:firstLineChars="147"/>
        <w:rPr>
          <w:rFonts w:hint="eastAsia" w:ascii="仿宋" w:hAnsi="仿宋" w:eastAsia="仿宋" w:cs="仿宋"/>
          <w:color w:val="auto"/>
          <w:sz w:val="24"/>
          <w:szCs w:val="24"/>
          <w:highlight w:val="none"/>
        </w:rPr>
      </w:pPr>
    </w:p>
    <w:p w14:paraId="6F873D0D">
      <w:pPr>
        <w:pStyle w:val="40"/>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727622E4">
      <w:pPr>
        <w:pStyle w:val="40"/>
        <w:spacing w:line="360" w:lineRule="auto"/>
        <w:ind w:left="25" w:leftChars="12" w:firstLine="352" w:firstLineChars="147"/>
        <w:rPr>
          <w:rFonts w:hint="eastAsia" w:ascii="仿宋" w:hAnsi="仿宋" w:eastAsia="仿宋" w:cs="仿宋"/>
          <w:color w:val="auto"/>
          <w:sz w:val="24"/>
          <w:szCs w:val="24"/>
          <w:highlight w:val="none"/>
        </w:rPr>
      </w:pPr>
    </w:p>
    <w:p w14:paraId="10B775A4">
      <w:pPr>
        <w:pStyle w:val="40"/>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52A8FA39">
      <w:pPr>
        <w:pStyle w:val="4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73185398">
      <w:pPr>
        <w:pStyle w:val="40"/>
        <w:spacing w:line="360" w:lineRule="auto"/>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1.投诉人提起投诉时，应当提交投诉书和必要的证明材料，并按照被投诉人和与投诉事项有关的供应商数量提供投诉书副本</w:t>
      </w:r>
      <w:r>
        <w:rPr>
          <w:rFonts w:hint="eastAsia" w:ascii="仿宋" w:hAnsi="仿宋" w:eastAsia="仿宋" w:cs="仿宋"/>
          <w:b/>
          <w:bCs/>
          <w:color w:val="auto"/>
          <w:sz w:val="24"/>
          <w:szCs w:val="24"/>
          <w:highlight w:val="none"/>
        </w:rPr>
        <w:t>。</w:t>
      </w:r>
    </w:p>
    <w:p w14:paraId="4433CB22">
      <w:pPr>
        <w:pStyle w:val="40"/>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B16014">
      <w:pPr>
        <w:pStyle w:val="40"/>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3.投诉书应简要列明质疑事项，质疑函、质疑答复等作为附件材料提供。</w:t>
      </w:r>
    </w:p>
    <w:p w14:paraId="3C7EF8A4">
      <w:pPr>
        <w:pStyle w:val="40"/>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4.投诉书的投诉事项应具体、明确，并有必要的事实依据和法律依据。</w:t>
      </w:r>
    </w:p>
    <w:p w14:paraId="10C43274">
      <w:pPr>
        <w:pStyle w:val="40"/>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5.投诉书的投诉请求应与投诉事项相关。</w:t>
      </w:r>
    </w:p>
    <w:p w14:paraId="3E70AE92">
      <w:pPr>
        <w:pStyle w:val="40"/>
        <w:spacing w:line="360" w:lineRule="auto"/>
        <w:ind w:left="25" w:leftChars="12" w:firstLine="354" w:firstLineChars="147"/>
        <w:rPr>
          <w:rFonts w:hint="eastAsia" w:ascii="仿宋" w:hAnsi="仿宋" w:eastAsia="仿宋" w:cs="仿宋"/>
          <w:b/>
          <w:color w:val="auto"/>
          <w:highlight w:val="none"/>
        </w:rPr>
      </w:pPr>
      <w:r>
        <w:rPr>
          <w:rFonts w:hint="eastAsia" w:ascii="仿宋" w:hAnsi="仿宋" w:eastAsia="仿宋" w:cs="仿宋"/>
          <w:b/>
          <w:color w:val="auto"/>
          <w:sz w:val="24"/>
          <w:szCs w:val="24"/>
          <w:highlight w:val="none"/>
        </w:rPr>
        <w:t>6.投诉人为法人或者其他组织的，投诉书应由法定代表人、主要负责人，或者其授权代表签字或者盖章，并加盖公章。</w:t>
      </w:r>
    </w:p>
    <w:p w14:paraId="4BD5EE43">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635A116A">
      <w:pPr>
        <w:pStyle w:val="18"/>
        <w:jc w:val="center"/>
        <w:rPr>
          <w:rFonts w:hint="eastAsia" w:ascii="仿宋" w:hAnsi="仿宋" w:eastAsia="仿宋" w:cs="仿宋"/>
          <w:color w:val="auto"/>
          <w:highlight w:val="none"/>
        </w:rPr>
      </w:pPr>
      <w:r>
        <w:rPr>
          <w:rFonts w:hint="eastAsia" w:ascii="仿宋" w:hAnsi="仿宋" w:eastAsia="仿宋" w:cs="仿宋"/>
          <w:color w:val="auto"/>
          <w:highlight w:val="none"/>
        </w:rPr>
        <w:t>第六章 合同文本</w:t>
      </w:r>
    </w:p>
    <w:p w14:paraId="31695908">
      <w:pPr>
        <w:snapToGrid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政府采购合同</w:t>
      </w:r>
    </w:p>
    <w:p w14:paraId="38486B95">
      <w:pPr>
        <w:snapToGrid w:val="0"/>
        <w:spacing w:line="360" w:lineRule="auto"/>
        <w:ind w:right="480" w:firstLine="5250" w:firstLineChars="25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合同编号：</w:t>
      </w:r>
    </w:p>
    <w:p w14:paraId="0BBA6A81">
      <w:pPr>
        <w:snapToGrid w:val="0"/>
        <w:spacing w:line="360" w:lineRule="auto"/>
        <w:rPr>
          <w:rFonts w:hint="eastAsia" w:ascii="仿宋" w:hAnsi="仿宋" w:eastAsia="仿宋" w:cs="仿宋"/>
          <w:color w:val="auto"/>
          <w:szCs w:val="21"/>
          <w:highlight w:val="none"/>
        </w:rPr>
      </w:pPr>
    </w:p>
    <w:p w14:paraId="0666DE72">
      <w:pPr>
        <w:snapToGrid w:val="0"/>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采购人（甲方）：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47506147">
      <w:pPr>
        <w:snapToGrid w:val="0"/>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供应商（乙方）：</w:t>
      </w:r>
      <w:r>
        <w:rPr>
          <w:rFonts w:hint="eastAsia" w:ascii="仿宋" w:hAnsi="仿宋" w:eastAsia="仿宋" w:cs="仿宋"/>
          <w:color w:val="auto"/>
          <w:szCs w:val="21"/>
          <w:highlight w:val="none"/>
          <w:u w:val="single"/>
        </w:rPr>
        <w:t xml:space="preserve">                          </w:t>
      </w:r>
    </w:p>
    <w:p w14:paraId="67F2AA68">
      <w:pPr>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pacing w:val="-20"/>
          <w:szCs w:val="21"/>
          <w:highlight w:val="none"/>
        </w:rPr>
        <w:t>采 购 计 划 号：</w:t>
      </w:r>
      <w:r>
        <w:rPr>
          <w:rFonts w:hint="eastAsia" w:ascii="仿宋" w:hAnsi="仿宋" w:eastAsia="仿宋" w:cs="仿宋"/>
          <w:color w:val="auto"/>
          <w:szCs w:val="21"/>
          <w:highlight w:val="none"/>
          <w:u w:val="single"/>
        </w:rPr>
        <w:t xml:space="preserve">                         </w:t>
      </w:r>
    </w:p>
    <w:p w14:paraId="4A0652A7">
      <w:pPr>
        <w:snapToGrid w:val="0"/>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项目编号：</w:t>
      </w:r>
      <w:r>
        <w:rPr>
          <w:rFonts w:hint="eastAsia" w:ascii="仿宋" w:hAnsi="仿宋" w:eastAsia="仿宋" w:cs="仿宋"/>
          <w:color w:val="auto"/>
          <w:szCs w:val="21"/>
          <w:highlight w:val="none"/>
          <w:u w:val="single"/>
        </w:rPr>
        <w:t xml:space="preserve">                       </w:t>
      </w:r>
    </w:p>
    <w:p w14:paraId="611D40D4">
      <w:pPr>
        <w:snapToGrid w:val="0"/>
        <w:spacing w:line="360" w:lineRule="auto"/>
        <w:rPr>
          <w:rFonts w:hint="eastAsia" w:ascii="仿宋" w:hAnsi="仿宋" w:eastAsia="仿宋" w:cs="仿宋"/>
          <w:color w:val="auto"/>
          <w:highlight w:val="none"/>
        </w:rPr>
      </w:pPr>
      <w:r>
        <w:rPr>
          <w:rFonts w:hint="eastAsia" w:ascii="仿宋" w:hAnsi="仿宋" w:eastAsia="仿宋" w:cs="仿宋"/>
          <w:color w:val="auto"/>
          <w:szCs w:val="21"/>
          <w:highlight w:val="none"/>
        </w:rPr>
        <w:t>合同</w:t>
      </w:r>
      <w:r>
        <w:rPr>
          <w:rFonts w:hint="eastAsia" w:ascii="仿宋" w:hAnsi="仿宋" w:eastAsia="仿宋" w:cs="仿宋"/>
          <w:color w:val="auto"/>
          <w:highlight w:val="none"/>
        </w:rPr>
        <w:t>类型：</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合同</w:t>
      </w:r>
    </w:p>
    <w:p w14:paraId="2046655D">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本合同为中小企业预留合同：</w:t>
      </w:r>
      <w:r>
        <w:rPr>
          <w:rFonts w:hint="eastAsia" w:ascii="仿宋" w:hAnsi="仿宋" w:eastAsia="仿宋" w:cs="仿宋"/>
          <w:i/>
          <w:color w:val="auto"/>
          <w:szCs w:val="21"/>
          <w:highlight w:val="none"/>
          <w:u w:val="single"/>
        </w:rPr>
        <w:t>（是/否）</w:t>
      </w:r>
      <w:r>
        <w:rPr>
          <w:rFonts w:hint="eastAsia" w:ascii="仿宋" w:hAnsi="仿宋" w:eastAsia="仿宋" w:cs="仿宋"/>
          <w:color w:val="auto"/>
          <w:szCs w:val="21"/>
          <w:highlight w:val="none"/>
        </w:rPr>
        <w:t>。</w:t>
      </w:r>
    </w:p>
    <w:p w14:paraId="3EAD825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根据《中华人民共和国政府采购法》《中华人民共和国民法典》等法律、法规规定，按照磋商文件规定条款和乙方响应文件及其承诺，甲乙双方签订本合同。</w:t>
      </w:r>
    </w:p>
    <w:p w14:paraId="7BE11C4B">
      <w:pPr>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第一条　合同标的</w:t>
      </w:r>
    </w:p>
    <w:tbl>
      <w:tblPr>
        <w:tblStyle w:val="1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1"/>
        <w:gridCol w:w="731"/>
        <w:gridCol w:w="555"/>
        <w:gridCol w:w="505"/>
        <w:gridCol w:w="835"/>
        <w:gridCol w:w="3710"/>
        <w:gridCol w:w="1085"/>
        <w:gridCol w:w="1085"/>
      </w:tblGrid>
      <w:tr w14:paraId="0D4E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shd w:val="clear" w:color="auto" w:fill="auto"/>
            <w:vAlign w:val="center"/>
          </w:tcPr>
          <w:p w14:paraId="7CAD448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序号</w:t>
            </w:r>
          </w:p>
        </w:tc>
        <w:tc>
          <w:tcPr>
            <w:tcW w:w="731" w:type="dxa"/>
            <w:shd w:val="clear" w:color="auto" w:fill="auto"/>
            <w:vAlign w:val="center"/>
          </w:tcPr>
          <w:p w14:paraId="34AAB23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名称</w:t>
            </w:r>
          </w:p>
        </w:tc>
        <w:tc>
          <w:tcPr>
            <w:tcW w:w="555" w:type="dxa"/>
            <w:shd w:val="clear" w:color="auto" w:fill="auto"/>
            <w:vAlign w:val="center"/>
          </w:tcPr>
          <w:p w14:paraId="67E39C9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数量</w:t>
            </w:r>
          </w:p>
        </w:tc>
        <w:tc>
          <w:tcPr>
            <w:tcW w:w="505" w:type="dxa"/>
            <w:shd w:val="clear" w:color="auto" w:fill="auto"/>
            <w:vAlign w:val="center"/>
          </w:tcPr>
          <w:p w14:paraId="5D93E19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单位</w:t>
            </w:r>
          </w:p>
        </w:tc>
        <w:tc>
          <w:tcPr>
            <w:tcW w:w="4545" w:type="dxa"/>
            <w:gridSpan w:val="2"/>
            <w:shd w:val="clear" w:color="auto" w:fill="auto"/>
            <w:vAlign w:val="center"/>
          </w:tcPr>
          <w:p w14:paraId="31461E7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参数</w:t>
            </w:r>
          </w:p>
        </w:tc>
        <w:tc>
          <w:tcPr>
            <w:tcW w:w="1085" w:type="dxa"/>
            <w:shd w:val="clear" w:color="auto" w:fill="auto"/>
            <w:vAlign w:val="center"/>
          </w:tcPr>
          <w:p w14:paraId="6AA1BD7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单价（元）</w:t>
            </w:r>
          </w:p>
        </w:tc>
        <w:tc>
          <w:tcPr>
            <w:tcW w:w="1085" w:type="dxa"/>
            <w:shd w:val="clear" w:color="auto" w:fill="auto"/>
            <w:vAlign w:val="center"/>
          </w:tcPr>
          <w:p w14:paraId="43E15C33">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Cs/>
                <w:iCs/>
                <w:color w:val="auto"/>
                <w:szCs w:val="21"/>
                <w:highlight w:val="none"/>
                <w:lang w:val="en-US" w:eastAsia="zh-CN"/>
              </w:rPr>
            </w:pPr>
            <w:r>
              <w:rPr>
                <w:rFonts w:hint="eastAsia" w:ascii="仿宋" w:hAnsi="仿宋" w:eastAsia="仿宋" w:cs="仿宋"/>
                <w:bCs/>
                <w:iCs/>
                <w:color w:val="auto"/>
                <w:szCs w:val="21"/>
                <w:highlight w:val="none"/>
                <w:lang w:val="en-US" w:eastAsia="zh-CN"/>
              </w:rPr>
              <w:t>单项合计（元）</w:t>
            </w:r>
          </w:p>
        </w:tc>
      </w:tr>
      <w:tr w14:paraId="4C88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7" w:type="dxa"/>
            <w:gridSpan w:val="8"/>
            <w:shd w:val="clear" w:color="auto" w:fill="auto"/>
            <w:vAlign w:val="center"/>
          </w:tcPr>
          <w:p w14:paraId="48A2BF4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一、定制文稿服务</w:t>
            </w:r>
          </w:p>
        </w:tc>
      </w:tr>
      <w:tr w14:paraId="2BDF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51" w:type="dxa"/>
            <w:shd w:val="clear" w:color="auto" w:fill="auto"/>
            <w:noWrap/>
            <w:vAlign w:val="center"/>
          </w:tcPr>
          <w:p w14:paraId="516B713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731" w:type="dxa"/>
            <w:shd w:val="clear" w:color="auto" w:fill="auto"/>
            <w:vAlign w:val="center"/>
          </w:tcPr>
          <w:p w14:paraId="3F85826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图文内容创作、编制服务</w:t>
            </w:r>
          </w:p>
        </w:tc>
        <w:tc>
          <w:tcPr>
            <w:tcW w:w="555" w:type="dxa"/>
            <w:shd w:val="clear" w:color="auto" w:fill="auto"/>
            <w:vAlign w:val="center"/>
          </w:tcPr>
          <w:p w14:paraId="65F6354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505" w:type="dxa"/>
            <w:shd w:val="clear" w:color="auto" w:fill="auto"/>
            <w:vAlign w:val="center"/>
          </w:tcPr>
          <w:p w14:paraId="79EA1D6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项</w:t>
            </w:r>
          </w:p>
        </w:tc>
        <w:tc>
          <w:tcPr>
            <w:tcW w:w="4545" w:type="dxa"/>
            <w:gridSpan w:val="2"/>
            <w:shd w:val="clear" w:color="auto" w:fill="auto"/>
            <w:vAlign w:val="center"/>
          </w:tcPr>
          <w:p w14:paraId="41F7AEDA">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一、内容创作框架：展厅面积约328平米，展出内容需包含中国共产党党史、中国共产党广西党史以及防城港地方建设与发展</w:t>
            </w:r>
            <w:r>
              <w:rPr>
                <w:rFonts w:hint="eastAsia" w:ascii="仿宋" w:hAnsi="仿宋" w:eastAsia="仿宋" w:cs="仿宋"/>
                <w:bCs/>
                <w:color w:val="auto"/>
                <w:kern w:val="2"/>
                <w:sz w:val="21"/>
                <w:szCs w:val="21"/>
                <w:highlight w:val="none"/>
                <w:lang w:val="en-US" w:eastAsia="zh-CN" w:bidi="ar-SA"/>
              </w:rPr>
              <w:t>建设成果展示</w:t>
            </w:r>
            <w:r>
              <w:rPr>
                <w:rFonts w:hint="eastAsia" w:ascii="仿宋" w:hAnsi="仿宋" w:eastAsia="仿宋" w:cs="仿宋"/>
                <w:bCs/>
                <w:color w:val="auto"/>
                <w:kern w:val="2"/>
                <w:sz w:val="21"/>
                <w:szCs w:val="21"/>
                <w:highlight w:val="none"/>
                <w:lang w:val="en-US" w:eastAsia="zh-CN" w:bidi="ar-SA"/>
              </w:rPr>
              <w:t>。展出内容中所包含历史照片、图片全部为该时期历史真实图像照片，且满足后期喷绘制作要求。</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（一）中国共产党党史：</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1.中国共产党党史展出内容共包含四部分内容，全面展现中国共产党团结带领中国人民铸就百年辉煌的不懈奋斗、不怕牺牲、理论探索、为民造福、自身建设的壮阔历程。</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2.展出内容所包含的照片图片全部为该时期历史真实图像照片，且满足后期喷绘制作要求，喷绘出来的图片显示清晰。</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3.第一部分为中国共产党的创建与夺取新民主主义革命伟大胜利，包含4个单元：</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 xml:space="preserve">第一单元：中国共产党的创建和投身大革命的洪流 ；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第二单元：掀起土地革命的风暴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第三单元：全民族抗日战争的中流砥柱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第四单元：夺取新民主主义革命的全国性胜利 ；</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4.第二部分为完成社会主义革命和推进社会主义建设，包含2个单元内容：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第一单元：中华人民共和国的成立和社会主义制度的建立</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第二单元：社会主义建设的探索和曲折发展</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5.第三部分为进行改革开放和社会主义现代化建设，包含3个单元内容：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第一单元：伟大历史转折和中国特色社会主义的开创</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第二单元：推进改革开放  成功把中国特色社会主义全面推向21世纪</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第三单元：加快改革开放  成功在新的形势下坚持和发展中国特色社会主义</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6.第四部分为开创中国特色社会主义新时代。</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（二）中国共产党广西党史：</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1.中国共产党广西党史展出内容共包含四部分内容：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第一部分：新民主主义革命时期；</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第二部分：社会主义革命和建设时期；</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第三部分：改革开放和社会主义现代化建设新时期；</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第四部分：中国特色社会主义新时代；</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（三）防城港地方建设与发展</w:t>
            </w:r>
          </w:p>
          <w:p w14:paraId="73200DFA">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第一部分：防城港革命斗争历史</w:t>
            </w:r>
          </w:p>
          <w:p w14:paraId="50395DE6">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第二部分：现代化临港工业城市发展历程</w:t>
            </w:r>
          </w:p>
          <w:p w14:paraId="1BDF4EC5">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第三部分：防城港职业技术学院党的建设和学校发展建设成果展示。</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
                <w:bCs w:val="0"/>
                <w:color w:val="auto"/>
                <w:kern w:val="2"/>
                <w:sz w:val="21"/>
                <w:szCs w:val="21"/>
                <w:highlight w:val="none"/>
                <w:lang w:val="en-US" w:eastAsia="zh-CN" w:bidi="ar-SA"/>
              </w:rPr>
              <w:t>二、图文内容创作、编制要求</w:t>
            </w:r>
          </w:p>
          <w:p w14:paraId="04160BB2">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1. 图文素材数量及质量要求：</w:t>
            </w:r>
          </w:p>
          <w:p w14:paraId="2BE15648">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本次展厅内容分为中国共产党党史、中国共产党广西党史、防城港地方革命史三大展示板块，所有配套展示图片均为历史实拍图。整体配套图片总数量不少于250张，其中党史配图占比不低于总图片量的50%、广西党史配图占比不低于总图片量的40%、防城港地方革命史配图占比不低于总图片量的10%，确保各板块内容均衡充实。所有图片画面清晰、画质完好，分辨率及成像效果满足展厅喷绘、上墙展示的标准。</w:t>
            </w:r>
          </w:p>
          <w:p w14:paraId="1825ED39">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2. 文案内容编制要求：</w:t>
            </w:r>
          </w:p>
          <w:p w14:paraId="42F927B3">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落实一图一文配套要求，平均每张图片对应配文字数不少于50字。文案内容必须史实精准、有据可查，无史实偏差、虚假内容；整体逻辑层级清晰、语言凝练精准、重点突出，紧密贴合党史展厅红色教育、历史展示的核心主题。所有文案需经过多轮校对审核，确保无错别字、漏字、语病及史实遗漏等问题。</w:t>
            </w:r>
          </w:p>
          <w:p w14:paraId="7FF6A95A">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3. 整体验收标准要求：</w:t>
            </w:r>
          </w:p>
          <w:p w14:paraId="1BE2A6A8">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所有图文排版需适配展厅实际展示场景。项目全过程实行审核确认制，所有图文内容、版式设计及调整修改内容均需经采购人审核，审核确认完全达标后方可完成验收。</w:t>
            </w:r>
          </w:p>
          <w:p w14:paraId="79178A08">
            <w:pPr>
              <w:pStyle w:val="7"/>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
                <w:bCs w:val="0"/>
                <w:color w:val="auto"/>
                <w:kern w:val="2"/>
                <w:sz w:val="21"/>
                <w:szCs w:val="21"/>
                <w:highlight w:val="none"/>
                <w:lang w:val="en-US" w:eastAsia="zh-CN" w:bidi="ar-SA"/>
              </w:rPr>
              <w:t>三、其他服务</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1.展板图文内容创作</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供应商对策展编辑图文底稿进行创作；</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2.图片深化</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供应商对图文进行编辑，对内容中所需展示图片进行深化，保证展示效果；</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3.校稿</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Cs/>
                <w:color w:val="auto"/>
                <w:kern w:val="2"/>
                <w:sz w:val="21"/>
                <w:szCs w:val="21"/>
                <w:highlight w:val="none"/>
                <w:lang w:val="en-US" w:eastAsia="zh-CN" w:bidi="ar-SA"/>
              </w:rPr>
              <w:t>供应商对内容展板全部内容审、校、改。</w:t>
            </w:r>
            <w:r>
              <w:rPr>
                <w:rFonts w:hint="eastAsia" w:ascii="仿宋" w:hAnsi="仿宋" w:eastAsia="仿宋" w:cs="仿宋"/>
                <w:bCs/>
                <w:color w:val="auto"/>
                <w:kern w:val="2"/>
                <w:sz w:val="21"/>
                <w:szCs w:val="21"/>
                <w:highlight w:val="none"/>
                <w:lang w:val="en-US" w:eastAsia="zh-CN" w:bidi="ar-SA"/>
              </w:rPr>
              <w:br w:type="textWrapping"/>
            </w:r>
            <w:r>
              <w:rPr>
                <w:rFonts w:hint="eastAsia" w:ascii="仿宋" w:hAnsi="仿宋" w:eastAsia="仿宋" w:cs="仿宋"/>
                <w:b/>
                <w:bCs w:val="0"/>
                <w:color w:val="auto"/>
                <w:kern w:val="2"/>
                <w:sz w:val="21"/>
                <w:szCs w:val="21"/>
                <w:highlight w:val="none"/>
                <w:lang w:val="en-US" w:eastAsia="zh-CN" w:bidi="ar-SA"/>
              </w:rPr>
              <w:t>四、展厅墙面内容版面设计以及打版：</w:t>
            </w:r>
          </w:p>
          <w:p w14:paraId="480C910B">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1.墙面二次更换画面情况：原有墙体定制UV高清黑底加厚车贴画面、立体字、展板保护性拆除存放，撕掉定制UV画面，底板打磨补缝处理；重新喷印定制UV高清黑底加厚车贴画面，厚度1.2-1.5mm左右，约180g/㎡，定位拼装张贴后，重新雕刻等比例KT板字模结合玻璃胶安装立体字和定位安装展板；</w:t>
            </w:r>
          </w:p>
          <w:p w14:paraId="15F5EBE8">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2.墙面一个板块内容上样，安装现场主体1:1比例做定制UV画面、立体字、展板上墙展示；</w:t>
            </w:r>
          </w:p>
          <w:p w14:paraId="04743553">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3.展厅全部墙面内容排版设计：按照展厅墙面效果结合采购人提供的图文内容进行画面内容的排版设计，进行多次排版、修改、对稿、调整最终定稿制作成成品画面等。</w:t>
            </w:r>
          </w:p>
        </w:tc>
        <w:tc>
          <w:tcPr>
            <w:tcW w:w="1085" w:type="dxa"/>
            <w:shd w:val="clear" w:color="auto" w:fill="auto"/>
            <w:vAlign w:val="center"/>
          </w:tcPr>
          <w:p w14:paraId="5B74031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0F37653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033B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57" w:type="dxa"/>
            <w:gridSpan w:val="8"/>
            <w:shd w:val="clear" w:color="auto" w:fill="auto"/>
            <w:vAlign w:val="center"/>
          </w:tcPr>
          <w:p w14:paraId="3E93C60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二、文化服务与布展服务</w:t>
            </w:r>
          </w:p>
        </w:tc>
      </w:tr>
      <w:tr w14:paraId="35B0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restart"/>
            <w:shd w:val="clear" w:color="auto" w:fill="auto"/>
            <w:noWrap/>
            <w:vAlign w:val="center"/>
          </w:tcPr>
          <w:p w14:paraId="43C5A86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1</w:t>
            </w:r>
          </w:p>
        </w:tc>
        <w:tc>
          <w:tcPr>
            <w:tcW w:w="731" w:type="dxa"/>
            <w:vMerge w:val="restart"/>
            <w:shd w:val="clear" w:color="auto" w:fill="auto"/>
            <w:vAlign w:val="center"/>
          </w:tcPr>
          <w:p w14:paraId="6ABC97E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序厅</w:t>
            </w:r>
          </w:p>
        </w:tc>
        <w:tc>
          <w:tcPr>
            <w:tcW w:w="555" w:type="dxa"/>
            <w:shd w:val="clear" w:color="auto" w:fill="auto"/>
            <w:vAlign w:val="center"/>
          </w:tcPr>
          <w:p w14:paraId="460994E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39A9617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6DB4567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3710" w:type="dxa"/>
            <w:shd w:val="clear" w:color="auto" w:fill="auto"/>
            <w:vAlign w:val="center"/>
          </w:tcPr>
          <w:p w14:paraId="1FE1787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定制文化展示艺术框架：根据展厅文字内容定制艺术框架，部分造型使用镀锌框架。基本结构封阻燃板激光雕刻，表面结构上石膏板，找平方便后期贴文化内容。</w:t>
            </w:r>
          </w:p>
        </w:tc>
        <w:tc>
          <w:tcPr>
            <w:tcW w:w="1085" w:type="dxa"/>
            <w:shd w:val="clear" w:color="auto" w:fill="auto"/>
            <w:vAlign w:val="center"/>
          </w:tcPr>
          <w:p w14:paraId="4065356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0611CA3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54B0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23F236F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594621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3612605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06EB8AC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09502A6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3710" w:type="dxa"/>
            <w:shd w:val="clear" w:color="auto" w:fill="auto"/>
            <w:vAlign w:val="center"/>
          </w:tcPr>
          <w:p w14:paraId="4546453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刀刮布：内容文化版面贴刀刮布，画面平板UV卷材印刷，底部环保糯米胶粘贴。</w:t>
            </w:r>
          </w:p>
        </w:tc>
        <w:tc>
          <w:tcPr>
            <w:tcW w:w="1085" w:type="dxa"/>
            <w:shd w:val="clear" w:color="auto" w:fill="auto"/>
            <w:vAlign w:val="center"/>
          </w:tcPr>
          <w:p w14:paraId="55A42D0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23F9D0A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E3C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1DBEA7E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723F028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46BC23C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25CD6DD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2E91242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3710" w:type="dxa"/>
            <w:shd w:val="clear" w:color="auto" w:fill="auto"/>
            <w:vAlign w:val="center"/>
          </w:tcPr>
          <w:p w14:paraId="54897A7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展示画框画面：18mm结皮PVC板雕刻造型；正面展示内容上UV及喷印效果，固定上墙。</w:t>
            </w:r>
          </w:p>
        </w:tc>
        <w:tc>
          <w:tcPr>
            <w:tcW w:w="1085" w:type="dxa"/>
            <w:shd w:val="clear" w:color="auto" w:fill="auto"/>
            <w:vAlign w:val="center"/>
          </w:tcPr>
          <w:p w14:paraId="74CAECE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034016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7553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282A183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3A0B479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3A3FB73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3E3E699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381FDCD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成品红色铝方通</w:t>
            </w:r>
          </w:p>
        </w:tc>
        <w:tc>
          <w:tcPr>
            <w:tcW w:w="3710" w:type="dxa"/>
            <w:shd w:val="clear" w:color="auto" w:fill="auto"/>
            <w:vAlign w:val="center"/>
          </w:tcPr>
          <w:p w14:paraId="375AE54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成品红色铝方通(规格：50*50*1.0mm)</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环保铝材：工艺三滚三涂、覆膜、喷涂，要求防水防腐、防火阻燃、环保0甲醛、不褪色</w:t>
            </w:r>
          </w:p>
        </w:tc>
        <w:tc>
          <w:tcPr>
            <w:tcW w:w="1085" w:type="dxa"/>
            <w:shd w:val="clear" w:color="auto" w:fill="auto"/>
            <w:vAlign w:val="center"/>
          </w:tcPr>
          <w:p w14:paraId="055738A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1F24948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3C0B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48B0D6B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49B1FCF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29AA124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65F9B27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53F5424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3710" w:type="dxa"/>
            <w:shd w:val="clear" w:color="auto" w:fill="auto"/>
            <w:vAlign w:val="center"/>
          </w:tcPr>
          <w:p w14:paraId="2912AC9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定做水晶立体烤漆字：10毫米透明亚克力底面贴有色面板激光雕刻立体字，雕刻等比例KT板字模玻璃胶固定于墙面。</w:t>
            </w:r>
          </w:p>
        </w:tc>
        <w:tc>
          <w:tcPr>
            <w:tcW w:w="1085" w:type="dxa"/>
            <w:shd w:val="clear" w:color="auto" w:fill="auto"/>
            <w:vAlign w:val="center"/>
          </w:tcPr>
          <w:p w14:paraId="55C66C7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50DA957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B0B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3B5D60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4D68C5C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4120829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7FD002E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5CA68D0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3710" w:type="dxa"/>
            <w:shd w:val="clear" w:color="auto" w:fill="auto"/>
            <w:vAlign w:val="center"/>
          </w:tcPr>
          <w:p w14:paraId="5560AE6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c>
          <w:tcPr>
            <w:tcW w:w="1085" w:type="dxa"/>
            <w:shd w:val="clear" w:color="auto" w:fill="auto"/>
            <w:vAlign w:val="center"/>
          </w:tcPr>
          <w:p w14:paraId="15BF5DC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1096F31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6AAD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27DE8E3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56E5C4C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60E6136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7719B71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4F3AB64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3710" w:type="dxa"/>
            <w:shd w:val="clear" w:color="auto" w:fill="auto"/>
            <w:vAlign w:val="center"/>
          </w:tcPr>
          <w:p w14:paraId="42F8CBA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双头斗胆灯</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个；</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文化墙定制柔光射灯</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个，提高氛围立体引用专用灯，舒适柔和10瓦左右，高亮LED芯，防火级布线，连接安装于天面;(轨道射灯：灯10w悬挂式天花灯加轨道式三线轨道安装；电压: 111V~240V（含），大角度照束光线明亮宽广，安装间距15米，无可视频闪，光线细腻 舒适自然)。</w:t>
            </w:r>
          </w:p>
        </w:tc>
        <w:tc>
          <w:tcPr>
            <w:tcW w:w="1085" w:type="dxa"/>
            <w:shd w:val="clear" w:color="auto" w:fill="auto"/>
            <w:vAlign w:val="center"/>
          </w:tcPr>
          <w:p w14:paraId="267105F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168E064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264A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5A67831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6E5E78F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2E887A5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49CF45B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835" w:type="dxa"/>
            <w:shd w:val="clear" w:color="auto" w:fill="auto"/>
            <w:vAlign w:val="center"/>
          </w:tcPr>
          <w:p w14:paraId="423B1AB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3710" w:type="dxa"/>
            <w:shd w:val="clear" w:color="auto" w:fill="auto"/>
            <w:vAlign w:val="center"/>
          </w:tcPr>
          <w:p w14:paraId="099DBF5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踢脚线：成品铝型材踢脚线，高60mm，金属材料材质，阳极氧化工艺，耐磨防刮，防水防潮耐腐蚀，抗压强度高，表面覆膜处理，隐藏走线槽，美观不留痕。</w:t>
            </w:r>
          </w:p>
        </w:tc>
        <w:tc>
          <w:tcPr>
            <w:tcW w:w="1085" w:type="dxa"/>
            <w:shd w:val="clear" w:color="auto" w:fill="auto"/>
            <w:vAlign w:val="center"/>
          </w:tcPr>
          <w:p w14:paraId="02D4C82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0F98DCC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7400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restart"/>
            <w:shd w:val="clear" w:color="auto" w:fill="auto"/>
            <w:noWrap/>
            <w:vAlign w:val="center"/>
          </w:tcPr>
          <w:p w14:paraId="11C958C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2</w:t>
            </w:r>
          </w:p>
        </w:tc>
        <w:tc>
          <w:tcPr>
            <w:tcW w:w="731" w:type="dxa"/>
            <w:vMerge w:val="restart"/>
            <w:shd w:val="clear" w:color="auto" w:fill="auto"/>
            <w:vAlign w:val="center"/>
          </w:tcPr>
          <w:p w14:paraId="72155CE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第一部分：中国共产党党史部分</w:t>
            </w:r>
          </w:p>
        </w:tc>
        <w:tc>
          <w:tcPr>
            <w:tcW w:w="555" w:type="dxa"/>
            <w:shd w:val="clear" w:color="auto" w:fill="auto"/>
            <w:vAlign w:val="center"/>
          </w:tcPr>
          <w:p w14:paraId="479D960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627C48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1425AC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3710" w:type="dxa"/>
            <w:shd w:val="clear" w:color="auto" w:fill="auto"/>
            <w:vAlign w:val="center"/>
          </w:tcPr>
          <w:p w14:paraId="40112A0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定制文化展示艺术框架：根据展厅文字内容定制艺术框架，部分造型使用镀锌框架。基本结构封阻燃板激光雕刻，表面结构上石膏板，找平方便后期贴文化内容。</w:t>
            </w:r>
          </w:p>
        </w:tc>
        <w:tc>
          <w:tcPr>
            <w:tcW w:w="1085" w:type="dxa"/>
            <w:shd w:val="clear" w:color="auto" w:fill="auto"/>
            <w:vAlign w:val="center"/>
          </w:tcPr>
          <w:p w14:paraId="7719371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273540A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6AA4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748DD22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79C5DAE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0CADBA0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6A6600B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7428F02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3710" w:type="dxa"/>
            <w:shd w:val="clear" w:color="auto" w:fill="auto"/>
            <w:vAlign w:val="center"/>
          </w:tcPr>
          <w:p w14:paraId="68DB213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刀刮布：内容文化版面贴刀刮布，画面平板UV卷材印刷，底部环保糯米胶粘贴。</w:t>
            </w:r>
          </w:p>
        </w:tc>
        <w:tc>
          <w:tcPr>
            <w:tcW w:w="1085" w:type="dxa"/>
            <w:shd w:val="clear" w:color="auto" w:fill="auto"/>
            <w:vAlign w:val="center"/>
          </w:tcPr>
          <w:p w14:paraId="4350E18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62638E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D47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30C5E34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7247A67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00BB26E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5311A53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649903F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3710" w:type="dxa"/>
            <w:shd w:val="clear" w:color="auto" w:fill="auto"/>
            <w:vAlign w:val="center"/>
          </w:tcPr>
          <w:p w14:paraId="1120037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展示画框画面：18mm结皮PVC板雕刻造型；正面展示内容上UV及喷印效果，固定上墙。</w:t>
            </w:r>
          </w:p>
        </w:tc>
        <w:tc>
          <w:tcPr>
            <w:tcW w:w="1085" w:type="dxa"/>
            <w:shd w:val="clear" w:color="auto" w:fill="auto"/>
            <w:vAlign w:val="center"/>
          </w:tcPr>
          <w:p w14:paraId="714DC0A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644C5D5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059D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0981052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3978E3F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4EC0FFA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1783FC0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55BE8DA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3710" w:type="dxa"/>
            <w:shd w:val="clear" w:color="auto" w:fill="auto"/>
            <w:vAlign w:val="center"/>
          </w:tcPr>
          <w:p w14:paraId="54C16E8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定做水晶立体烤漆字：10毫米透明亚克力，底面贴有色面板激光雕刻立体字，雕刻等比例KT板字模玻璃胶固定于墙面。</w:t>
            </w:r>
          </w:p>
        </w:tc>
        <w:tc>
          <w:tcPr>
            <w:tcW w:w="1085" w:type="dxa"/>
            <w:shd w:val="clear" w:color="auto" w:fill="auto"/>
            <w:vAlign w:val="center"/>
          </w:tcPr>
          <w:p w14:paraId="4223AFC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6844604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156B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35BE8AB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7F901AA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6453EF4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0FCDA3B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5CE5830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成品木纹铝方通</w:t>
            </w:r>
          </w:p>
        </w:tc>
        <w:tc>
          <w:tcPr>
            <w:tcW w:w="3710" w:type="dxa"/>
            <w:shd w:val="clear" w:color="auto" w:fill="auto"/>
            <w:vAlign w:val="center"/>
          </w:tcPr>
          <w:p w14:paraId="34D1F19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成品木纹铝方通(规格：50*50*1.0mm)</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天面打膨胀螺丝装8mm合金吊杆，装烤漆龙骨锁扣，装U型铝合金方通，环保铝材：工艺三滚三涂、覆膜、喷涂，要求防水防腐、防火阻燃、环保0甲醛，不褪色。</w:t>
            </w:r>
          </w:p>
        </w:tc>
        <w:tc>
          <w:tcPr>
            <w:tcW w:w="1085" w:type="dxa"/>
            <w:shd w:val="clear" w:color="auto" w:fill="auto"/>
            <w:vAlign w:val="center"/>
          </w:tcPr>
          <w:p w14:paraId="4009F45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2CCFF0F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6B56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4A84639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080E2CA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5334251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17C1A28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145384D7">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3710" w:type="dxa"/>
            <w:shd w:val="clear" w:color="auto" w:fill="auto"/>
            <w:vAlign w:val="center"/>
          </w:tcPr>
          <w:p w14:paraId="0102053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双头斗胆灯</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个；</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文化墙定制柔光射灯</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个，提高氛围立体引用专用灯，舒适柔和10瓦左右，高亮LED芯，防火级布线连接安装于天面;(轨道射灯：灯10w悬挂式天花灯加轨道式三线轨道安装；电压: 111V~240V（含），大角度照束光线明亮宽广，安装间距15米，无可视频闪，光线细腻 舒适自然)。</w:t>
            </w:r>
          </w:p>
        </w:tc>
        <w:tc>
          <w:tcPr>
            <w:tcW w:w="1085" w:type="dxa"/>
            <w:shd w:val="clear" w:color="auto" w:fill="auto"/>
            <w:vAlign w:val="center"/>
          </w:tcPr>
          <w:p w14:paraId="1644F8C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629CD6C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r>
      <w:tr w14:paraId="411F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02EA0F2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7131C41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3A114D9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0A542B6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68DC12A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3710" w:type="dxa"/>
            <w:shd w:val="clear" w:color="auto" w:fill="auto"/>
            <w:vAlign w:val="center"/>
          </w:tcPr>
          <w:p w14:paraId="60F129C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c>
          <w:tcPr>
            <w:tcW w:w="1085" w:type="dxa"/>
            <w:shd w:val="clear" w:color="auto" w:fill="auto"/>
            <w:vAlign w:val="center"/>
          </w:tcPr>
          <w:p w14:paraId="0480451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7F5DFB9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B8D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1759CE1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19C83FD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6C25152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430FE73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835" w:type="dxa"/>
            <w:shd w:val="clear" w:color="auto" w:fill="auto"/>
            <w:vAlign w:val="center"/>
          </w:tcPr>
          <w:p w14:paraId="76E7C89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3710" w:type="dxa"/>
            <w:shd w:val="clear" w:color="auto" w:fill="auto"/>
            <w:vAlign w:val="center"/>
          </w:tcPr>
          <w:p w14:paraId="6796F35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踢脚线：成品铝型材踢脚线，高60mm，金属材料材质，阳极氧化工艺，耐磨防刮，防水防潮耐腐蚀，抗压强度高，表面覆膜处理，隐藏走线槽，美观不留痕</w:t>
            </w:r>
          </w:p>
        </w:tc>
        <w:tc>
          <w:tcPr>
            <w:tcW w:w="1085" w:type="dxa"/>
            <w:shd w:val="clear" w:color="auto" w:fill="auto"/>
            <w:vAlign w:val="center"/>
          </w:tcPr>
          <w:p w14:paraId="44FA6097">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6C521E3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4EF8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restart"/>
            <w:shd w:val="clear" w:color="auto" w:fill="auto"/>
            <w:noWrap/>
            <w:vAlign w:val="center"/>
          </w:tcPr>
          <w:p w14:paraId="4300BA2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3</w:t>
            </w:r>
          </w:p>
        </w:tc>
        <w:tc>
          <w:tcPr>
            <w:tcW w:w="731" w:type="dxa"/>
            <w:vMerge w:val="restart"/>
            <w:shd w:val="clear" w:color="auto" w:fill="auto"/>
            <w:vAlign w:val="center"/>
          </w:tcPr>
          <w:p w14:paraId="5D2D0C7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第二部分：中国共产党广西历史</w:t>
            </w:r>
          </w:p>
        </w:tc>
        <w:tc>
          <w:tcPr>
            <w:tcW w:w="555" w:type="dxa"/>
            <w:shd w:val="clear" w:color="auto" w:fill="auto"/>
            <w:noWrap/>
            <w:vAlign w:val="center"/>
          </w:tcPr>
          <w:p w14:paraId="18EE943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235B4E4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459FC33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3710" w:type="dxa"/>
            <w:shd w:val="clear" w:color="auto" w:fill="auto"/>
            <w:vAlign w:val="center"/>
          </w:tcPr>
          <w:p w14:paraId="3B79FFD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定制文化展示艺术框架：根据展厅文字内容定制艺术框架，部分造型使用镀锌框架。基本结构封阻燃板激光雕刻，表面结构上石膏板，找平方便后期贴文化内容。</w:t>
            </w:r>
          </w:p>
        </w:tc>
        <w:tc>
          <w:tcPr>
            <w:tcW w:w="1085" w:type="dxa"/>
            <w:shd w:val="clear" w:color="auto" w:fill="auto"/>
            <w:vAlign w:val="center"/>
          </w:tcPr>
          <w:p w14:paraId="20FC8BC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2878B69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7FDE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0388131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0D8482D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0F8591A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6075317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7ED2F8B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3710" w:type="dxa"/>
            <w:shd w:val="clear" w:color="auto" w:fill="auto"/>
            <w:vAlign w:val="center"/>
          </w:tcPr>
          <w:p w14:paraId="17F1958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刀刮布：内容文化版面贴刀刮布，画面平板UV卷材印刷，底部环保糯米胶粘贴。</w:t>
            </w:r>
          </w:p>
        </w:tc>
        <w:tc>
          <w:tcPr>
            <w:tcW w:w="1085" w:type="dxa"/>
            <w:shd w:val="clear" w:color="auto" w:fill="auto"/>
            <w:vAlign w:val="center"/>
          </w:tcPr>
          <w:p w14:paraId="64195C7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780F69C2">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284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3D88D50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4D3F159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652C071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2F09701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5DD6C54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3710" w:type="dxa"/>
            <w:shd w:val="clear" w:color="auto" w:fill="auto"/>
            <w:vAlign w:val="center"/>
          </w:tcPr>
          <w:p w14:paraId="48FD090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展示画框画面：18mm结皮PVC板雕刻造型；正面展示内容上UV及喷印效果，固定上墙。</w:t>
            </w:r>
          </w:p>
        </w:tc>
        <w:tc>
          <w:tcPr>
            <w:tcW w:w="1085" w:type="dxa"/>
            <w:shd w:val="clear" w:color="auto" w:fill="auto"/>
            <w:vAlign w:val="center"/>
          </w:tcPr>
          <w:p w14:paraId="2A6804F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74B68AA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2F6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51" w:type="dxa"/>
            <w:vMerge w:val="continue"/>
            <w:shd w:val="clear" w:color="auto" w:fill="auto"/>
            <w:noWrap/>
            <w:vAlign w:val="center"/>
          </w:tcPr>
          <w:p w14:paraId="07ED279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56A57D8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45B384F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7622FEC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1A84359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3710" w:type="dxa"/>
            <w:shd w:val="clear" w:color="auto" w:fill="auto"/>
            <w:vAlign w:val="center"/>
          </w:tcPr>
          <w:p w14:paraId="1F7D68F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定做水晶立体烤漆字：10毫米透明亚克力，底面贴有色面板激光雕刻立体字，雕刻等比例KT板字模玻璃胶固定于墙面。</w:t>
            </w:r>
          </w:p>
        </w:tc>
        <w:tc>
          <w:tcPr>
            <w:tcW w:w="1085" w:type="dxa"/>
            <w:shd w:val="clear" w:color="auto" w:fill="auto"/>
            <w:vAlign w:val="center"/>
          </w:tcPr>
          <w:p w14:paraId="1E8CE36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5EF5148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B4B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0EDE3B9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51976C7B">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71EFD0B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0FB3507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7DCFE62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竹炭纤维格栅板</w:t>
            </w:r>
          </w:p>
        </w:tc>
        <w:tc>
          <w:tcPr>
            <w:tcW w:w="3710" w:type="dxa"/>
            <w:shd w:val="clear" w:color="auto" w:fill="auto"/>
            <w:vAlign w:val="center"/>
          </w:tcPr>
          <w:p w14:paraId="473ABF1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竹炭纤维格栅板（由竹炭纤维和树脂复合而成），防潮、防腐、耐火，同时具备良好的抗弯强度和弹性模量，吸附力强，能够吸附空气中的有害物质，如甲醛等，具有净化空气、抗菌防霉、防臭等多种功效，在潮湿环境下也能保持良好的使用状态。</w:t>
            </w:r>
          </w:p>
        </w:tc>
        <w:tc>
          <w:tcPr>
            <w:tcW w:w="1085" w:type="dxa"/>
            <w:shd w:val="clear" w:color="auto" w:fill="auto"/>
            <w:vAlign w:val="center"/>
          </w:tcPr>
          <w:p w14:paraId="1D770EA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434B590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0798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757CB36D">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56856FD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7F950AE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2ACE064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55C0258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3710" w:type="dxa"/>
            <w:shd w:val="clear" w:color="auto" w:fill="auto"/>
            <w:vAlign w:val="center"/>
          </w:tcPr>
          <w:p w14:paraId="3BC83ED5">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c>
          <w:tcPr>
            <w:tcW w:w="1085" w:type="dxa"/>
            <w:shd w:val="clear" w:color="auto" w:fill="auto"/>
            <w:vAlign w:val="center"/>
          </w:tcPr>
          <w:p w14:paraId="6701450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07C352E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4F6F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188E41F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2C57251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63F8BDB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6654F3B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835" w:type="dxa"/>
            <w:shd w:val="clear" w:color="auto" w:fill="auto"/>
            <w:vAlign w:val="center"/>
          </w:tcPr>
          <w:p w14:paraId="5992BE3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3710" w:type="dxa"/>
            <w:shd w:val="clear" w:color="auto" w:fill="auto"/>
            <w:vAlign w:val="center"/>
          </w:tcPr>
          <w:p w14:paraId="28E3CF8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踢脚线：成品铝型材踢脚线，高60mm，金属材料材质，阳极氧化工艺，耐磨防刮，防水防潮耐腐蚀，抗压强度高，表面覆膜处理，隐藏走线槽，美观不留痕</w:t>
            </w:r>
          </w:p>
        </w:tc>
        <w:tc>
          <w:tcPr>
            <w:tcW w:w="1085" w:type="dxa"/>
            <w:shd w:val="clear" w:color="auto" w:fill="auto"/>
            <w:vAlign w:val="center"/>
          </w:tcPr>
          <w:p w14:paraId="0475319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7FD0E62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DCF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restart"/>
            <w:shd w:val="clear" w:color="auto" w:fill="auto"/>
            <w:noWrap/>
            <w:vAlign w:val="center"/>
          </w:tcPr>
          <w:p w14:paraId="7F453FE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4</w:t>
            </w:r>
          </w:p>
        </w:tc>
        <w:tc>
          <w:tcPr>
            <w:tcW w:w="731" w:type="dxa"/>
            <w:vMerge w:val="restart"/>
            <w:shd w:val="clear" w:color="auto" w:fill="auto"/>
            <w:vAlign w:val="center"/>
          </w:tcPr>
          <w:p w14:paraId="0AF0FCD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r>
              <w:rPr>
                <w:rFonts w:hint="eastAsia" w:ascii="仿宋" w:hAnsi="仿宋" w:eastAsia="仿宋" w:cs="仿宋"/>
                <w:bCs/>
                <w:iCs/>
                <w:color w:val="auto"/>
                <w:szCs w:val="21"/>
                <w:highlight w:val="none"/>
                <w:lang w:val="en-US" w:eastAsia="zh-CN"/>
              </w:rPr>
              <w:t>第三部分：防城港地方建设与发展内容+结语</w:t>
            </w:r>
          </w:p>
        </w:tc>
        <w:tc>
          <w:tcPr>
            <w:tcW w:w="555" w:type="dxa"/>
            <w:shd w:val="clear" w:color="auto" w:fill="auto"/>
            <w:noWrap/>
            <w:vAlign w:val="center"/>
          </w:tcPr>
          <w:p w14:paraId="3F71BDA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2833326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3100970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定制文化展示艺术框架</w:t>
            </w:r>
          </w:p>
        </w:tc>
        <w:tc>
          <w:tcPr>
            <w:tcW w:w="3710" w:type="dxa"/>
            <w:shd w:val="clear" w:color="auto" w:fill="auto"/>
            <w:vAlign w:val="center"/>
          </w:tcPr>
          <w:p w14:paraId="2BE14A1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定制文化展示艺术框架：根据展厅文字内容定制艺术框架，部分造型使用镀锌框架。基本结构封阻燃板激光雕刻，表面结构上石膏板，找平方便后期贴文化内容。</w:t>
            </w:r>
          </w:p>
        </w:tc>
        <w:tc>
          <w:tcPr>
            <w:tcW w:w="1085" w:type="dxa"/>
            <w:shd w:val="clear" w:color="auto" w:fill="auto"/>
            <w:vAlign w:val="center"/>
          </w:tcPr>
          <w:p w14:paraId="49FE0BC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6D8A63F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2327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5A613E8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7620454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32BF3A4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7CC4A9F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647B654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刀刮布</w:t>
            </w:r>
          </w:p>
        </w:tc>
        <w:tc>
          <w:tcPr>
            <w:tcW w:w="3710" w:type="dxa"/>
            <w:shd w:val="clear" w:color="auto" w:fill="auto"/>
            <w:vAlign w:val="center"/>
          </w:tcPr>
          <w:p w14:paraId="343D4AA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刀刮布：内容文化版面贴刀刮布，画面平板UV卷材印刷，底部环保糯米胶粘贴。</w:t>
            </w:r>
          </w:p>
        </w:tc>
        <w:tc>
          <w:tcPr>
            <w:tcW w:w="1085" w:type="dxa"/>
            <w:shd w:val="clear" w:color="auto" w:fill="auto"/>
            <w:vAlign w:val="center"/>
          </w:tcPr>
          <w:p w14:paraId="54F0E883">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1C7D81D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B93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35D7B7E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5CE9D99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008803C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2584CCF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16BDA934">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展示画框画面</w:t>
            </w:r>
          </w:p>
        </w:tc>
        <w:tc>
          <w:tcPr>
            <w:tcW w:w="3710" w:type="dxa"/>
            <w:shd w:val="clear" w:color="auto" w:fill="auto"/>
            <w:vAlign w:val="center"/>
          </w:tcPr>
          <w:p w14:paraId="7CC4C219">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展示画框画面：18mm结皮PVC板雕刻造型；正面展示内容上UV及喷印效果，固定上墙。</w:t>
            </w:r>
          </w:p>
        </w:tc>
        <w:tc>
          <w:tcPr>
            <w:tcW w:w="1085" w:type="dxa"/>
            <w:shd w:val="clear" w:color="auto" w:fill="auto"/>
            <w:vAlign w:val="center"/>
          </w:tcPr>
          <w:p w14:paraId="1E97F18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11643FF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77DE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44A1630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3F1D8BC3">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41D64B8C">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3209FF6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4F9036B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定做水晶立体烤漆字</w:t>
            </w:r>
          </w:p>
        </w:tc>
        <w:tc>
          <w:tcPr>
            <w:tcW w:w="3710" w:type="dxa"/>
            <w:shd w:val="clear" w:color="auto" w:fill="auto"/>
            <w:vAlign w:val="center"/>
          </w:tcPr>
          <w:p w14:paraId="5D4F8FF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定做水晶立体烤漆字：10毫米透明亚克力，底面贴有色面板激光雕刻立体字，雕刻等比例KT板字模玻璃胶固定于墙面。</w:t>
            </w:r>
          </w:p>
        </w:tc>
        <w:tc>
          <w:tcPr>
            <w:tcW w:w="1085" w:type="dxa"/>
            <w:shd w:val="clear" w:color="auto" w:fill="auto"/>
            <w:vAlign w:val="center"/>
          </w:tcPr>
          <w:p w14:paraId="738C394E">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4C16611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0F6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180902A7">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12CE25A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033F88B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4D4489F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5345F1B1">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成品木纹铝方通</w:t>
            </w:r>
          </w:p>
        </w:tc>
        <w:tc>
          <w:tcPr>
            <w:tcW w:w="3710" w:type="dxa"/>
            <w:shd w:val="clear" w:color="auto" w:fill="auto"/>
            <w:vAlign w:val="center"/>
          </w:tcPr>
          <w:p w14:paraId="01F9FCED">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成品木纹铝方通(规格：50*50*1.0mm)</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天面打膨胀螺丝装8mm合金吊杆，装烤漆龙骨锁扣，装U型铝合金方通，环保铝材：工艺三滚三涂、覆膜、喷涂，要求防水防腐、防火阻燃、环保0甲醛,不褪色</w:t>
            </w:r>
          </w:p>
        </w:tc>
        <w:tc>
          <w:tcPr>
            <w:tcW w:w="1085" w:type="dxa"/>
            <w:shd w:val="clear" w:color="auto" w:fill="auto"/>
            <w:vAlign w:val="center"/>
          </w:tcPr>
          <w:p w14:paraId="646B415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506FA18F">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32D1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66C8EF2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19DFE4E5">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vAlign w:val="center"/>
          </w:tcPr>
          <w:p w14:paraId="3550AB52">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vAlign w:val="center"/>
          </w:tcPr>
          <w:p w14:paraId="41688506">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个</w:t>
            </w:r>
          </w:p>
        </w:tc>
        <w:tc>
          <w:tcPr>
            <w:tcW w:w="835" w:type="dxa"/>
            <w:shd w:val="clear" w:color="auto" w:fill="auto"/>
            <w:vAlign w:val="center"/>
          </w:tcPr>
          <w:p w14:paraId="40EE1B93">
            <w:pPr>
              <w:pStyle w:val="7"/>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灯具</w:t>
            </w:r>
          </w:p>
        </w:tc>
        <w:tc>
          <w:tcPr>
            <w:tcW w:w="3710" w:type="dxa"/>
            <w:shd w:val="clear" w:color="auto" w:fill="auto"/>
            <w:vAlign w:val="center"/>
          </w:tcPr>
          <w:p w14:paraId="02AF7B56">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双头斗胆灯</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个；</w:t>
            </w:r>
            <w:r>
              <w:rPr>
                <w:rFonts w:hint="eastAsia" w:ascii="仿宋" w:hAnsi="仿宋" w:eastAsia="仿宋" w:cs="仿宋"/>
                <w:bCs/>
                <w:iCs/>
                <w:color w:val="auto"/>
                <w:szCs w:val="21"/>
                <w:highlight w:val="none"/>
                <w:lang w:val="en-US" w:eastAsia="zh-CN"/>
              </w:rPr>
              <w:br w:type="textWrapping"/>
            </w:r>
            <w:r>
              <w:rPr>
                <w:rFonts w:hint="eastAsia" w:ascii="仿宋" w:hAnsi="仿宋" w:eastAsia="仿宋" w:cs="仿宋"/>
                <w:bCs/>
                <w:iCs/>
                <w:color w:val="auto"/>
                <w:szCs w:val="21"/>
                <w:highlight w:val="none"/>
                <w:lang w:val="en-US" w:eastAsia="zh-CN"/>
              </w:rPr>
              <w:t xml:space="preserve">文化墙定制柔光射灯 </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个，提高氛围立体引用专用灯，舒适柔和10瓦左右,高亮LED芯,防火级布线连接安装于天面;(轨道射灯：灯10w悬挂式天花灯加轨道式三线轨道安装；电压: 111V~240V（含），大角度照束光线明亮宽广，安装间距15米，无可视频闪，光线细腻 舒适自然)。</w:t>
            </w:r>
          </w:p>
        </w:tc>
        <w:tc>
          <w:tcPr>
            <w:tcW w:w="1085" w:type="dxa"/>
            <w:shd w:val="clear" w:color="auto" w:fill="auto"/>
            <w:vAlign w:val="center"/>
          </w:tcPr>
          <w:p w14:paraId="342882D8">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5A0AFCA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1D64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1F15CA2A">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1CA80F8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7698808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09C995A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w:t>
            </w:r>
          </w:p>
        </w:tc>
        <w:tc>
          <w:tcPr>
            <w:tcW w:w="835" w:type="dxa"/>
            <w:shd w:val="clear" w:color="auto" w:fill="auto"/>
            <w:vAlign w:val="center"/>
          </w:tcPr>
          <w:p w14:paraId="02E0430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乳胶漆抗碱底漆</w:t>
            </w:r>
          </w:p>
        </w:tc>
        <w:tc>
          <w:tcPr>
            <w:tcW w:w="3710" w:type="dxa"/>
            <w:shd w:val="clear" w:color="auto" w:fill="auto"/>
            <w:vAlign w:val="center"/>
          </w:tcPr>
          <w:p w14:paraId="63E9A0C4">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乳胶漆抗碱底漆</w:t>
            </w:r>
          </w:p>
        </w:tc>
        <w:tc>
          <w:tcPr>
            <w:tcW w:w="1085" w:type="dxa"/>
            <w:shd w:val="clear" w:color="auto" w:fill="auto"/>
            <w:vAlign w:val="center"/>
          </w:tcPr>
          <w:p w14:paraId="4EDA666C">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3AFDBE1B">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6783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dxa"/>
            <w:vMerge w:val="continue"/>
            <w:shd w:val="clear" w:color="auto" w:fill="auto"/>
            <w:noWrap/>
            <w:vAlign w:val="center"/>
          </w:tcPr>
          <w:p w14:paraId="11EDB529">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731" w:type="dxa"/>
            <w:vMerge w:val="continue"/>
            <w:shd w:val="clear" w:color="auto" w:fill="auto"/>
            <w:vAlign w:val="center"/>
          </w:tcPr>
          <w:p w14:paraId="6A36293E">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55" w:type="dxa"/>
            <w:shd w:val="clear" w:color="auto" w:fill="auto"/>
            <w:noWrap/>
            <w:vAlign w:val="center"/>
          </w:tcPr>
          <w:p w14:paraId="0C42C5FF">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szCs w:val="21"/>
                <w:highlight w:val="none"/>
              </w:rPr>
            </w:pPr>
          </w:p>
        </w:tc>
        <w:tc>
          <w:tcPr>
            <w:tcW w:w="505" w:type="dxa"/>
            <w:shd w:val="clear" w:color="auto" w:fill="auto"/>
            <w:noWrap/>
            <w:vAlign w:val="center"/>
          </w:tcPr>
          <w:p w14:paraId="14C8D740">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m</w:t>
            </w:r>
          </w:p>
        </w:tc>
        <w:tc>
          <w:tcPr>
            <w:tcW w:w="835" w:type="dxa"/>
            <w:shd w:val="clear" w:color="auto" w:fill="auto"/>
            <w:vAlign w:val="center"/>
          </w:tcPr>
          <w:p w14:paraId="7A9427E8">
            <w:pPr>
              <w:pStyle w:val="7"/>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val="0"/>
                <w:iCs/>
                <w:color w:val="auto"/>
                <w:kern w:val="2"/>
                <w:sz w:val="21"/>
                <w:szCs w:val="21"/>
                <w:highlight w:val="none"/>
                <w:lang w:val="en-US" w:eastAsia="zh-CN" w:bidi="ar-SA"/>
              </w:rPr>
            </w:pPr>
            <w:r>
              <w:rPr>
                <w:rFonts w:hint="eastAsia" w:ascii="仿宋" w:hAnsi="仿宋" w:eastAsia="仿宋" w:cs="仿宋"/>
                <w:b w:val="0"/>
                <w:bCs w:val="0"/>
                <w:iCs/>
                <w:color w:val="auto"/>
                <w:szCs w:val="21"/>
                <w:highlight w:val="none"/>
                <w:lang w:val="en-US" w:eastAsia="zh-CN"/>
              </w:rPr>
              <w:t>踢脚线</w:t>
            </w:r>
          </w:p>
        </w:tc>
        <w:tc>
          <w:tcPr>
            <w:tcW w:w="3710" w:type="dxa"/>
            <w:shd w:val="clear" w:color="auto" w:fill="auto"/>
            <w:vAlign w:val="center"/>
          </w:tcPr>
          <w:p w14:paraId="71BFC841">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kern w:val="2"/>
                <w:sz w:val="21"/>
                <w:szCs w:val="21"/>
                <w:highlight w:val="none"/>
                <w:lang w:val="en-US" w:eastAsia="zh-CN" w:bidi="ar-SA"/>
              </w:rPr>
            </w:pPr>
            <w:r>
              <w:rPr>
                <w:rFonts w:hint="eastAsia" w:ascii="仿宋" w:hAnsi="仿宋" w:eastAsia="仿宋" w:cs="仿宋"/>
                <w:bCs/>
                <w:iCs/>
                <w:color w:val="auto"/>
                <w:szCs w:val="21"/>
                <w:highlight w:val="none"/>
                <w:lang w:val="en-US" w:eastAsia="zh-CN"/>
              </w:rPr>
              <w:t>踢脚线：成品铝型材踢脚线，高60mm，金属材料材质，阳极氧化工艺，耐磨防刮，防水防潮耐腐蚀，抗压强度高，表面覆膜处理，隐藏走线槽，美观不留痕</w:t>
            </w:r>
          </w:p>
        </w:tc>
        <w:tc>
          <w:tcPr>
            <w:tcW w:w="1085" w:type="dxa"/>
            <w:shd w:val="clear" w:color="auto" w:fill="auto"/>
            <w:vAlign w:val="center"/>
          </w:tcPr>
          <w:p w14:paraId="31F84AC0">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c>
          <w:tcPr>
            <w:tcW w:w="1085" w:type="dxa"/>
            <w:shd w:val="clear" w:color="auto" w:fill="auto"/>
            <w:vAlign w:val="center"/>
          </w:tcPr>
          <w:p w14:paraId="26274C0A">
            <w:pPr>
              <w:pStyle w:val="7"/>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Cs/>
                <w:iCs/>
                <w:color w:val="auto"/>
                <w:szCs w:val="21"/>
                <w:highlight w:val="none"/>
              </w:rPr>
            </w:pPr>
          </w:p>
        </w:tc>
      </w:tr>
      <w:tr w14:paraId="5678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7" w:type="dxa"/>
            <w:gridSpan w:val="8"/>
            <w:shd w:val="clear" w:color="auto" w:fill="auto"/>
            <w:noWrap/>
            <w:vAlign w:val="center"/>
          </w:tcPr>
          <w:p w14:paraId="1D9690EF">
            <w:pPr>
              <w:pStyle w:val="7"/>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bCs/>
                <w:iCs/>
                <w:color w:val="auto"/>
                <w:szCs w:val="21"/>
                <w:highlight w:val="none"/>
                <w:lang w:val="en-US" w:eastAsia="zh-CN"/>
              </w:rPr>
            </w:pPr>
            <w:r>
              <w:rPr>
                <w:rFonts w:hint="eastAsia" w:ascii="仿宋" w:hAnsi="仿宋" w:eastAsia="仿宋" w:cs="仿宋"/>
                <w:bCs/>
                <w:iCs/>
                <w:color w:val="auto"/>
                <w:szCs w:val="21"/>
                <w:highlight w:val="none"/>
                <w:lang w:val="en-US" w:eastAsia="zh-CN"/>
              </w:rPr>
              <w:t>金额合计（人民币，含税）：大写</w:t>
            </w:r>
            <w:r>
              <w:rPr>
                <w:rFonts w:hint="eastAsia" w:ascii="仿宋" w:hAnsi="仿宋" w:eastAsia="仿宋" w:cs="仿宋"/>
                <w:bCs/>
                <w:iCs/>
                <w:color w:val="auto"/>
                <w:szCs w:val="21"/>
                <w:highlight w:val="none"/>
                <w:u w:val="single"/>
                <w:lang w:val="en-US" w:eastAsia="zh-CN"/>
              </w:rPr>
              <w:t xml:space="preserve">                  </w:t>
            </w:r>
            <w:r>
              <w:rPr>
                <w:rFonts w:hint="eastAsia" w:ascii="仿宋" w:hAnsi="仿宋" w:eastAsia="仿宋" w:cs="仿宋"/>
                <w:bCs/>
                <w:iCs/>
                <w:color w:val="auto"/>
                <w:szCs w:val="21"/>
                <w:highlight w:val="none"/>
                <w:lang w:val="en-US" w:eastAsia="zh-CN"/>
              </w:rPr>
              <w:t xml:space="preserve"> 小写¥ </w:t>
            </w:r>
            <w:r>
              <w:rPr>
                <w:rFonts w:hint="eastAsia" w:ascii="仿宋" w:hAnsi="仿宋" w:eastAsia="仿宋" w:cs="仿宋"/>
                <w:bCs/>
                <w:iCs/>
                <w:color w:val="auto"/>
                <w:szCs w:val="21"/>
                <w:highlight w:val="none"/>
                <w:u w:val="single"/>
                <w:lang w:val="en-US" w:eastAsia="zh-CN"/>
              </w:rPr>
              <w:t xml:space="preserve">           </w:t>
            </w:r>
          </w:p>
        </w:tc>
      </w:tr>
    </w:tbl>
    <w:p w14:paraId="107E12CF">
      <w:pPr>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第二条　质量保证</w:t>
      </w:r>
    </w:p>
    <w:p w14:paraId="14FD0541">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所提供的服务及服务内容必须与响应承诺相一致，且满足项目实施要求，有国家强制性标准的，还必须符合国家强制性标准的规定，没有国家强制性标准但有其他强制性标准的，必须符合其他强制性标准的规定。</w:t>
      </w:r>
    </w:p>
    <w:p w14:paraId="2D6F4574">
      <w:pPr>
        <w:snapToGrid w:val="0"/>
        <w:spacing w:line="360" w:lineRule="auto"/>
        <w:ind w:firstLine="422" w:firstLineChars="200"/>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 xml:space="preserve">第三条  </w:t>
      </w:r>
      <w:r>
        <w:rPr>
          <w:rFonts w:hint="eastAsia" w:ascii="仿宋" w:hAnsi="仿宋" w:eastAsia="仿宋" w:cs="仿宋"/>
          <w:b/>
          <w:color w:val="auto"/>
          <w:szCs w:val="21"/>
          <w:highlight w:val="none"/>
          <w:lang w:val="en-US" w:eastAsia="zh-CN"/>
        </w:rPr>
        <w:t>服务</w:t>
      </w:r>
      <w:r>
        <w:rPr>
          <w:rFonts w:hint="eastAsia" w:ascii="仿宋" w:hAnsi="仿宋" w:eastAsia="仿宋" w:cs="仿宋"/>
          <w:b/>
          <w:color w:val="auto"/>
          <w:szCs w:val="21"/>
          <w:highlight w:val="none"/>
        </w:rPr>
        <w:t>时间（期限）、地点</w:t>
      </w:r>
    </w:p>
    <w:p w14:paraId="1DE1576F">
      <w:pPr>
        <w:snapToGrid w:val="0"/>
        <w:spacing w:line="360" w:lineRule="auto"/>
        <w:ind w:firstLine="420" w:firstLineChars="200"/>
        <w:rPr>
          <w:rFonts w:hint="eastAsia" w:ascii="仿宋" w:hAnsi="仿宋" w:eastAsia="仿宋" w:cs="仿宋"/>
          <w:i/>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服务</w:t>
      </w:r>
      <w:r>
        <w:rPr>
          <w:rFonts w:hint="eastAsia" w:ascii="仿宋" w:hAnsi="仿宋" w:eastAsia="仿宋" w:cs="仿宋"/>
          <w:color w:val="auto"/>
          <w:szCs w:val="21"/>
          <w:highlight w:val="none"/>
        </w:rPr>
        <w:t>时间（期限）：</w:t>
      </w:r>
      <w:r>
        <w:rPr>
          <w:rFonts w:hint="eastAsia" w:ascii="仿宋" w:hAnsi="仿宋" w:eastAsia="仿宋" w:cs="仿宋"/>
          <w:color w:val="auto"/>
          <w:szCs w:val="21"/>
          <w:highlight w:val="none"/>
          <w:u w:val="single"/>
          <w:lang w:val="en-US" w:eastAsia="zh-CN"/>
        </w:rPr>
        <w:t>自合同签订之日起90日内，完成全部设计、制作、施工、安装调试工作，并通过甲方验收合格交付使用</w:t>
      </w:r>
      <w:r>
        <w:rPr>
          <w:rFonts w:hint="eastAsia" w:ascii="仿宋" w:hAnsi="仿宋" w:eastAsia="仿宋" w:cs="仿宋"/>
          <w:color w:val="auto"/>
          <w:szCs w:val="21"/>
          <w:highlight w:val="none"/>
          <w:lang w:val="en-US" w:eastAsia="zh-CN"/>
        </w:rPr>
        <w:t>。</w:t>
      </w:r>
    </w:p>
    <w:p w14:paraId="1AE57B4D">
      <w:pPr>
        <w:snapToGrid w:val="0"/>
        <w:spacing w:line="360" w:lineRule="auto"/>
        <w:ind w:firstLine="420" w:firstLineChars="200"/>
        <w:rPr>
          <w:rFonts w:hint="eastAsia" w:ascii="仿宋" w:hAnsi="仿宋" w:eastAsia="仿宋" w:cs="仿宋"/>
          <w:b w:val="0"/>
          <w:bCs/>
          <w:color w:val="auto"/>
          <w:szCs w:val="21"/>
          <w:highlight w:val="none"/>
          <w:lang w:val="en-US"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服务</w:t>
      </w:r>
      <w:r>
        <w:rPr>
          <w:rFonts w:hint="eastAsia" w:ascii="仿宋" w:hAnsi="仿宋" w:eastAsia="仿宋" w:cs="仿宋"/>
          <w:b w:val="0"/>
          <w:bCs/>
          <w:color w:val="auto"/>
          <w:szCs w:val="21"/>
          <w:highlight w:val="none"/>
          <w:lang w:val="en-US" w:eastAsia="zh-CN"/>
        </w:rPr>
        <w:t>地点：</w:t>
      </w:r>
      <w:r>
        <w:rPr>
          <w:rFonts w:hint="eastAsia" w:ascii="仿宋" w:hAnsi="仿宋" w:eastAsia="仿宋" w:cs="仿宋"/>
          <w:b w:val="0"/>
          <w:bCs/>
          <w:color w:val="auto"/>
          <w:szCs w:val="21"/>
          <w:highlight w:val="none"/>
          <w:u w:val="single"/>
          <w:lang w:val="en-US" w:eastAsia="zh-CN"/>
        </w:rPr>
        <w:t>防城港职业技术学院内指定地点</w:t>
      </w:r>
      <w:r>
        <w:rPr>
          <w:rFonts w:hint="eastAsia" w:ascii="仿宋" w:hAnsi="仿宋" w:eastAsia="仿宋" w:cs="仿宋"/>
          <w:b w:val="0"/>
          <w:bCs/>
          <w:color w:val="auto"/>
          <w:szCs w:val="21"/>
          <w:highlight w:val="none"/>
          <w:lang w:val="en-US" w:eastAsia="zh-CN"/>
        </w:rPr>
        <w:t>。</w:t>
      </w:r>
    </w:p>
    <w:p w14:paraId="466582D8">
      <w:pPr>
        <w:snapToGrid w:val="0"/>
        <w:spacing w:line="360" w:lineRule="auto"/>
        <w:ind w:firstLine="422" w:firstLineChars="200"/>
        <w:rPr>
          <w:rFonts w:hint="default" w:ascii="仿宋" w:hAnsi="仿宋" w:eastAsia="仿宋" w:cs="仿宋"/>
          <w:color w:val="auto"/>
          <w:szCs w:val="21"/>
          <w:highlight w:val="none"/>
          <w:lang w:val="en-US" w:eastAsia="zh-CN"/>
        </w:rPr>
      </w:pPr>
      <w:r>
        <w:rPr>
          <w:rFonts w:hint="eastAsia" w:ascii="仿宋" w:hAnsi="仿宋" w:eastAsia="仿宋" w:cs="仿宋"/>
          <w:b/>
          <w:color w:val="auto"/>
          <w:szCs w:val="21"/>
          <w:highlight w:val="none"/>
        </w:rPr>
        <w:t>第</w:t>
      </w:r>
      <w:r>
        <w:rPr>
          <w:rFonts w:hint="eastAsia" w:ascii="仿宋" w:hAnsi="仿宋" w:eastAsia="仿宋" w:cs="仿宋"/>
          <w:b/>
          <w:color w:val="auto"/>
          <w:szCs w:val="21"/>
          <w:highlight w:val="none"/>
          <w:lang w:eastAsia="zh-CN"/>
        </w:rPr>
        <w:t>四</w:t>
      </w:r>
      <w:r>
        <w:rPr>
          <w:rFonts w:hint="eastAsia" w:ascii="仿宋" w:hAnsi="仿宋" w:eastAsia="仿宋" w:cs="仿宋"/>
          <w:b/>
          <w:color w:val="auto"/>
          <w:szCs w:val="21"/>
          <w:highlight w:val="none"/>
        </w:rPr>
        <w:t>条　</w:t>
      </w:r>
      <w:r>
        <w:rPr>
          <w:rFonts w:hint="eastAsia" w:ascii="仿宋" w:hAnsi="仿宋" w:eastAsia="仿宋" w:cs="仿宋"/>
          <w:b/>
          <w:color w:val="auto"/>
          <w:szCs w:val="21"/>
          <w:highlight w:val="none"/>
          <w:lang w:val="en-US" w:eastAsia="zh-CN"/>
        </w:rPr>
        <w:t>服务要求</w:t>
      </w:r>
    </w:p>
    <w:p w14:paraId="19E96647">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乙方应按</w:t>
      </w:r>
      <w:r>
        <w:rPr>
          <w:rFonts w:hint="eastAsia" w:ascii="仿宋" w:hAnsi="仿宋" w:eastAsia="仿宋" w:cs="仿宋"/>
          <w:color w:val="auto"/>
          <w:szCs w:val="21"/>
          <w:highlight w:val="none"/>
          <w:lang w:val="en-US" w:eastAsia="zh-CN"/>
        </w:rPr>
        <w:t>合同及其附件</w:t>
      </w:r>
      <w:r>
        <w:rPr>
          <w:rFonts w:hint="eastAsia" w:ascii="仿宋" w:hAnsi="仿宋" w:eastAsia="仿宋" w:cs="仿宋"/>
          <w:color w:val="auto"/>
          <w:szCs w:val="21"/>
          <w:highlight w:val="none"/>
          <w:lang w:eastAsia="zh-CN"/>
        </w:rPr>
        <w:t>的</w:t>
      </w:r>
      <w:r>
        <w:rPr>
          <w:rFonts w:hint="eastAsia" w:ascii="仿宋" w:hAnsi="仿宋" w:eastAsia="仿宋" w:cs="仿宋"/>
          <w:color w:val="auto"/>
          <w:szCs w:val="21"/>
          <w:highlight w:val="none"/>
          <w:lang w:val="en-US" w:eastAsia="zh-CN"/>
        </w:rPr>
        <w:t>要求</w:t>
      </w:r>
      <w:r>
        <w:rPr>
          <w:rFonts w:hint="eastAsia" w:ascii="仿宋" w:hAnsi="仿宋" w:eastAsia="仿宋" w:cs="仿宋"/>
          <w:color w:val="auto"/>
          <w:szCs w:val="21"/>
          <w:highlight w:val="none"/>
        </w:rPr>
        <w:t>向甲方提供相应的服务，并提供所服务内容的相关技术资料，乙方提供不符合响应文件和本合同规定的服务成果，甲方有权拒绝接受。</w:t>
      </w:r>
    </w:p>
    <w:p w14:paraId="2E1284A9">
      <w:pPr>
        <w:snapToGrid w:val="0"/>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w:t>
      </w:r>
      <w:r>
        <w:rPr>
          <w:rFonts w:hint="eastAsia" w:ascii="仿宋" w:hAnsi="仿宋" w:eastAsia="仿宋" w:cs="仿宋"/>
          <w:b/>
          <w:color w:val="auto"/>
          <w:szCs w:val="21"/>
          <w:highlight w:val="none"/>
          <w:lang w:eastAsia="zh-CN"/>
        </w:rPr>
        <w:t>五</w:t>
      </w:r>
      <w:r>
        <w:rPr>
          <w:rFonts w:hint="eastAsia" w:ascii="仿宋" w:hAnsi="仿宋" w:eastAsia="仿宋" w:cs="仿宋"/>
          <w:b/>
          <w:color w:val="auto"/>
          <w:szCs w:val="21"/>
          <w:highlight w:val="none"/>
        </w:rPr>
        <w:t>条　合同价款及支付</w:t>
      </w:r>
    </w:p>
    <w:p w14:paraId="67C228DA">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1.本合同以人民币付款。</w:t>
      </w:r>
    </w:p>
    <w:p w14:paraId="0BE09645">
      <w:pPr>
        <w:pStyle w:val="9"/>
        <w:snapToGrid w:val="0"/>
        <w:spacing w:line="360" w:lineRule="auto"/>
        <w:ind w:firstLine="420" w:firstLineChars="200"/>
        <w:rPr>
          <w:rFonts w:hint="eastAsia" w:ascii="仿宋" w:hAnsi="仿宋" w:eastAsia="仿宋" w:cs="仿宋"/>
          <w:color w:val="auto"/>
          <w:highlight w:val="none"/>
          <w:u w:val="singl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付款方式</w:t>
      </w:r>
      <w:r>
        <w:rPr>
          <w:rFonts w:hint="eastAsia" w:ascii="仿宋" w:hAnsi="仿宋" w:eastAsia="仿宋" w:cs="仿宋"/>
          <w:color w:val="auto"/>
          <w:sz w:val="21"/>
          <w:highlight w:val="none"/>
        </w:rPr>
        <w:t>：</w:t>
      </w:r>
      <w:r>
        <w:rPr>
          <w:rFonts w:hint="eastAsia" w:ascii="仿宋" w:hAnsi="仿宋" w:eastAsia="仿宋" w:cs="仿宋"/>
          <w:color w:val="auto"/>
          <w:sz w:val="21"/>
          <w:highlight w:val="none"/>
          <w:u w:val="single"/>
        </w:rPr>
        <w:t>合同生效后，供应商向采购人开具等额合法有效发票，采购人收到发票后10个工作日内支付合同总金额30%作为预付款；项目全部履约、结算完毕并经采购人验收合格，采购人按结算总金额支付尚未支付的部分。支付前供应商提供等额合法有效发票后，采购人于收到发票10个工作日内一次性付清。</w:t>
      </w:r>
    </w:p>
    <w:p w14:paraId="50C9A054">
      <w:pPr>
        <w:pStyle w:val="9"/>
        <w:snapToGrid w:val="0"/>
        <w:spacing w:line="360" w:lineRule="auto"/>
        <w:ind w:firstLine="400" w:firstLineChars="200"/>
        <w:rPr>
          <w:rFonts w:hint="eastAsia" w:ascii="仿宋" w:hAnsi="仿宋" w:eastAsia="仿宋" w:cs="仿宋"/>
          <w:b w:val="0"/>
          <w:bCs/>
          <w:color w:val="auto"/>
          <w:szCs w:val="21"/>
          <w:highlight w:val="none"/>
          <w:lang w:val="en-US" w:eastAsia="zh-CN"/>
        </w:rPr>
      </w:pPr>
      <w:r>
        <w:rPr>
          <w:rFonts w:hint="eastAsia" w:ascii="仿宋" w:hAnsi="仿宋" w:eastAsia="仿宋" w:cs="仿宋"/>
          <w:color w:val="auto"/>
          <w:szCs w:val="21"/>
          <w:highlight w:val="none"/>
        </w:rPr>
        <w:t>3.合同价款包括</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lang w:val="en-US" w:eastAsia="zh-CN"/>
        </w:rPr>
        <w:t>乙方完成项目采购需求范围内所需一切费用，包含服务及涉及的全部物资的价款、运输、存储、管理、人工等成本费用，以及保险、税金、利润及其他所有费用的总和，均已包含在合同价款中</w:t>
      </w:r>
      <w:r>
        <w:rPr>
          <w:rFonts w:hint="eastAsia" w:ascii="仿宋" w:hAnsi="仿宋" w:eastAsia="仿宋" w:cs="仿宋"/>
          <w:bCs/>
          <w:color w:val="auto"/>
          <w:sz w:val="21"/>
          <w:highlight w:val="none"/>
          <w:lang w:val="en-US" w:eastAsia="zh-CN"/>
        </w:rPr>
        <w:t>。</w:t>
      </w:r>
    </w:p>
    <w:p w14:paraId="3A29FAFB">
      <w:pPr>
        <w:snapToGrid w:val="0"/>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w:t>
      </w:r>
      <w:r>
        <w:rPr>
          <w:rFonts w:hint="eastAsia" w:ascii="仿宋" w:hAnsi="仿宋" w:eastAsia="仿宋" w:cs="仿宋"/>
          <w:b/>
          <w:color w:val="auto"/>
          <w:szCs w:val="21"/>
          <w:highlight w:val="none"/>
          <w:lang w:eastAsia="zh-CN"/>
        </w:rPr>
        <w:t>六</w:t>
      </w:r>
      <w:r>
        <w:rPr>
          <w:rFonts w:hint="eastAsia" w:ascii="仿宋" w:hAnsi="仿宋" w:eastAsia="仿宋" w:cs="仿宋"/>
          <w:b/>
          <w:color w:val="auto"/>
          <w:szCs w:val="21"/>
          <w:highlight w:val="none"/>
        </w:rPr>
        <w:t>条　验收、交付标准和方法</w:t>
      </w:r>
    </w:p>
    <w:p w14:paraId="5C410882">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1.验收标准和方法</w:t>
      </w:r>
    </w:p>
    <w:p w14:paraId="6EFE2163">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（1）采购人对乙方提交的服务依据合同和国家有关质量标准进行验收。</w:t>
      </w:r>
    </w:p>
    <w:p w14:paraId="174931AA">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乙方交付服务前应对服务作出全面检查和对验收文件进行整理，并列出清单，作为甲方验收和使用的技术条件依据，检验的结果应随服务交甲方。乙方不能完整交付服务及本款规定的单证和材料的，必须负责补齐，否则视为未按合同约定交付服务。</w:t>
      </w:r>
    </w:p>
    <w:p w14:paraId="5803BB4B">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（3）甲方组织验收，乙方必须到场配合。验收合格后甲乙双方签署验收合格凭证。</w:t>
      </w:r>
    </w:p>
    <w:p w14:paraId="671A5602">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56EE3233">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（5）验收产生的费用由乙方负责。</w:t>
      </w:r>
    </w:p>
    <w:p w14:paraId="52C3908F">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验收程序及方法：</w:t>
      </w:r>
    </w:p>
    <w:p w14:paraId="395448F5">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1）乙方完成服务实施和培训后，向甲方提交验收书面申请。</w:t>
      </w:r>
    </w:p>
    <w:p w14:paraId="52295604">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2）甲方收到乙方验收申请之日起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个工作日内组织开展履约验收。甲方委托第三方机构组织项目验收的，其验收时间以该项目验收方案确定的验收时间为准。</w:t>
      </w:r>
    </w:p>
    <w:p w14:paraId="301B55B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）本项目验收由验收小组按照采购合同约定对每一项技术和商务要求的履约情况进行确认。</w:t>
      </w:r>
    </w:p>
    <w:p w14:paraId="49491B2B">
      <w:pPr>
        <w:spacing w:line="360" w:lineRule="auto"/>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0F982A7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）验收书一式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份，甲乙双方各执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份、受托第三方机构一份（如有）。 </w:t>
      </w:r>
    </w:p>
    <w:p w14:paraId="21754CE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）验收结论不合格的，乙方应自收到验收书后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日内及时予以解决。经乙方对验收结论不合格的货物进行整改后，仍然达不到要求的，经双方协商，可按以下办法处理：</w:t>
      </w:r>
    </w:p>
    <w:p w14:paraId="756C6FE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①更换：由乙方承担所发生的全部费用。</w:t>
      </w:r>
    </w:p>
    <w:p w14:paraId="0106177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②贬值处理：由甲乙双方合议定价。</w:t>
      </w:r>
    </w:p>
    <w:p w14:paraId="0B314A0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.交付标准和方法</w:t>
      </w:r>
    </w:p>
    <w:p w14:paraId="441FF7F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（1）除售后服务验收外，</w:t>
      </w:r>
      <w:r>
        <w:rPr>
          <w:rFonts w:hint="eastAsia" w:ascii="仿宋" w:hAnsi="仿宋" w:eastAsia="仿宋" w:cs="仿宋"/>
          <w:color w:val="auto"/>
          <w:szCs w:val="21"/>
          <w:highlight w:val="none"/>
        </w:rPr>
        <w:t>验收结论合格的，乙方应自收到验收书/报告后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日内向甲方交付使用。</w:t>
      </w:r>
    </w:p>
    <w:p w14:paraId="24461253">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（2）甲方在初步验收或者最终验收过程中如发现乙方提供的服务成果不满足响应文件及本合同规定的，暂停向乙方付款，直到乙方及时完善并提交相应的服务成果且经甲方验收合格后，方可办理付款。</w:t>
      </w:r>
    </w:p>
    <w:p w14:paraId="1503CC3F">
      <w:pPr>
        <w:snapToGrid w:val="0"/>
        <w:spacing w:line="360" w:lineRule="auto"/>
        <w:ind w:firstLine="420" w:firstLineChars="200"/>
        <w:rPr>
          <w:rFonts w:hint="eastAsia" w:ascii="仿宋" w:hAnsi="仿宋" w:eastAsia="仿宋" w:cs="仿宋"/>
          <w:b/>
          <w:color w:val="auto"/>
          <w:szCs w:val="21"/>
          <w:highlight w:val="none"/>
        </w:rPr>
      </w:pPr>
      <w:r>
        <w:rPr>
          <w:rFonts w:hint="eastAsia" w:ascii="仿宋" w:hAnsi="仿宋" w:eastAsia="仿宋" w:cs="仿宋"/>
          <w:color w:val="auto"/>
          <w:highlight w:val="none"/>
        </w:rPr>
        <w:t>（3）伴随货物的，其所有权和风险自交付时起由乙方转移至甲方，货物交付给甲方之前所有风险均由乙方承担。</w:t>
      </w:r>
    </w:p>
    <w:p w14:paraId="1F1759FF">
      <w:pPr>
        <w:snapToGrid w:val="0"/>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w:t>
      </w:r>
      <w:r>
        <w:rPr>
          <w:rFonts w:hint="eastAsia" w:ascii="仿宋" w:hAnsi="仿宋" w:eastAsia="仿宋" w:cs="仿宋"/>
          <w:b/>
          <w:color w:val="auto"/>
          <w:szCs w:val="21"/>
          <w:highlight w:val="none"/>
          <w:lang w:eastAsia="zh-CN"/>
        </w:rPr>
        <w:t>七</w:t>
      </w:r>
      <w:r>
        <w:rPr>
          <w:rFonts w:hint="eastAsia" w:ascii="仿宋" w:hAnsi="仿宋" w:eastAsia="仿宋" w:cs="仿宋"/>
          <w:b/>
          <w:color w:val="auto"/>
          <w:szCs w:val="21"/>
          <w:highlight w:val="none"/>
        </w:rPr>
        <w:t>条  售后服务</w:t>
      </w:r>
    </w:p>
    <w:p w14:paraId="3EA95B9A">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Cs w:val="21"/>
          <w:highlight w:val="none"/>
        </w:rPr>
        <w:t>乙方应按照国家有关法律法规规定以及响应文件承诺，为甲方提供售后服务。</w:t>
      </w:r>
    </w:p>
    <w:p w14:paraId="0F40653E">
      <w:pPr>
        <w:snapToGrid w:val="0"/>
        <w:spacing w:line="360" w:lineRule="auto"/>
        <w:ind w:firstLine="420" w:firstLineChars="200"/>
        <w:rPr>
          <w:rFonts w:hint="default" w:ascii="仿宋" w:hAnsi="仿宋" w:eastAsia="仿宋" w:cs="仿宋"/>
          <w:color w:val="auto"/>
          <w:szCs w:val="21"/>
          <w:highlight w:val="none"/>
          <w:u w:val="single"/>
          <w:lang w:val="en-US" w:eastAsia="zh-CN"/>
        </w:rPr>
      </w:pPr>
      <w:r>
        <w:rPr>
          <w:rFonts w:hint="eastAsia" w:ascii="仿宋" w:hAnsi="仿宋" w:eastAsia="仿宋" w:cs="仿宋"/>
          <w:color w:val="auto"/>
          <w:szCs w:val="21"/>
          <w:highlight w:val="none"/>
          <w:lang w:val="en-US" w:eastAsia="zh-CN"/>
        </w:rPr>
        <w:t>2.售后服务要求：</w:t>
      </w:r>
      <w:r>
        <w:rPr>
          <w:rFonts w:hint="eastAsia" w:ascii="仿宋" w:hAnsi="仿宋" w:eastAsia="仿宋" w:cs="仿宋"/>
          <w:color w:val="auto"/>
          <w:szCs w:val="21"/>
          <w:highlight w:val="none"/>
          <w:u w:val="single"/>
          <w:lang w:val="en-US" w:eastAsia="zh-CN"/>
        </w:rPr>
        <w:t xml:space="preserve">   </w:t>
      </w:r>
    </w:p>
    <w:p w14:paraId="4659B582">
      <w:pPr>
        <w:snapToGrid w:val="0"/>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w:t>
      </w:r>
      <w:r>
        <w:rPr>
          <w:rFonts w:hint="eastAsia" w:ascii="仿宋" w:hAnsi="仿宋" w:eastAsia="仿宋" w:cs="仿宋"/>
          <w:b/>
          <w:color w:val="auto"/>
          <w:szCs w:val="21"/>
          <w:highlight w:val="none"/>
          <w:lang w:eastAsia="zh-CN"/>
        </w:rPr>
        <w:t>八</w:t>
      </w:r>
      <w:r>
        <w:rPr>
          <w:rFonts w:hint="eastAsia" w:ascii="仿宋" w:hAnsi="仿宋" w:eastAsia="仿宋" w:cs="仿宋"/>
          <w:b/>
          <w:color w:val="auto"/>
          <w:szCs w:val="21"/>
          <w:highlight w:val="none"/>
        </w:rPr>
        <w:t>条　违约责任</w:t>
      </w:r>
    </w:p>
    <w:p w14:paraId="4EE331C4">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1.合同一方不履行合同义务、履行合同义务不符合约定或者违反合同项下所作保证的， 应向对方承担继续履行、采取修理、更换、退货等补救措施或者赔偿损失等违约责任。</w:t>
      </w:r>
    </w:p>
    <w:p w14:paraId="11799D68">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2.乙方未按期限提交服务内容的（特殊情况经甲方同意延期除外），乙方每天应向甲方支付合同总金额2‰的违约金，逾期交付超过15天的，视为乙方商严重违约，甲方有权依法解除合同并要求乙方支付合同总金额10%的违约金，同时赔偿给甲方造成的经济损失。</w:t>
      </w:r>
    </w:p>
    <w:p w14:paraId="34C2941B">
      <w:pPr>
        <w:pStyle w:val="12"/>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仿宋" w:hAnsi="仿宋" w:eastAsia="仿宋" w:cs="仿宋"/>
          <w:color w:val="auto"/>
          <w:kern w:val="0"/>
          <w:sz w:val="21"/>
          <w:szCs w:val="21"/>
          <w:highlight w:val="none"/>
        </w:rPr>
      </w:pPr>
      <w:r>
        <w:rPr>
          <w:rFonts w:hint="eastAsia" w:ascii="仿宋" w:hAnsi="仿宋" w:eastAsia="仿宋" w:cs="仿宋"/>
          <w:color w:val="auto"/>
          <w:sz w:val="21"/>
          <w:highlight w:val="none"/>
        </w:rPr>
        <w:t>3.</w:t>
      </w:r>
      <w:r>
        <w:rPr>
          <w:rFonts w:hint="eastAsia" w:ascii="仿宋" w:hAnsi="仿宋" w:eastAsia="仿宋" w:cs="仿宋"/>
          <w:color w:val="auto"/>
          <w:kern w:val="0"/>
          <w:sz w:val="21"/>
          <w:szCs w:val="21"/>
          <w:highlight w:val="none"/>
          <w:lang w:val="en-US" w:eastAsia="zh-CN" w:bidi="ar"/>
        </w:rPr>
        <w:t>甲方未能按合同约定支付合同价款的，如因甲方原因导致逾期，应按全国银行间同业拆借中心公布的同期一年期贷款市场报价利率向乙方支付迟延付款违约金。甲方因财政审批、资金拨付流程等客观原因迟延付款的，不视为违约。迟延付款违约金总额不得超过迟延付款金额的5%。</w:t>
      </w:r>
    </w:p>
    <w:p w14:paraId="261B4FF2">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4.乙方未按本合同和</w:t>
      </w:r>
      <w:r>
        <w:rPr>
          <w:rFonts w:hint="eastAsia" w:ascii="仿宋" w:hAnsi="仿宋" w:eastAsia="仿宋" w:cs="仿宋"/>
          <w:color w:val="auto"/>
          <w:sz w:val="21"/>
          <w:highlight w:val="none"/>
          <w:lang w:eastAsia="zh-CN"/>
        </w:rPr>
        <w:t>响应文件</w:t>
      </w:r>
      <w:r>
        <w:rPr>
          <w:rFonts w:hint="eastAsia" w:ascii="仿宋" w:hAnsi="仿宋" w:eastAsia="仿宋" w:cs="仿宋"/>
          <w:color w:val="auto"/>
          <w:sz w:val="21"/>
          <w:highlight w:val="none"/>
        </w:rPr>
        <w:t>承诺提供售后服务的，乙方应按</w:t>
      </w:r>
      <w:r>
        <w:rPr>
          <w:rFonts w:hint="eastAsia" w:ascii="仿宋" w:hAnsi="仿宋" w:eastAsia="仿宋" w:cs="仿宋"/>
          <w:color w:val="auto"/>
          <w:sz w:val="21"/>
          <w:highlight w:val="none"/>
          <w:lang w:val="en-US" w:eastAsia="zh-CN"/>
        </w:rPr>
        <w:t>本条第2款逾期履约情形</w:t>
      </w:r>
      <w:r>
        <w:rPr>
          <w:rFonts w:hint="eastAsia" w:ascii="仿宋" w:hAnsi="仿宋" w:eastAsia="仿宋" w:cs="仿宋"/>
          <w:color w:val="auto"/>
          <w:sz w:val="21"/>
          <w:highlight w:val="none"/>
        </w:rPr>
        <w:t>向甲方支付违约金</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lang w:val="en-US" w:eastAsia="zh-CN"/>
        </w:rPr>
        <w:t>同时应当负担甲方委托第三方代为履行的全部支出</w:t>
      </w:r>
      <w:r>
        <w:rPr>
          <w:rFonts w:hint="eastAsia" w:ascii="仿宋" w:hAnsi="仿宋" w:eastAsia="仿宋" w:cs="仿宋"/>
          <w:color w:val="auto"/>
          <w:sz w:val="21"/>
          <w:highlight w:val="none"/>
        </w:rPr>
        <w:t>。</w:t>
      </w:r>
    </w:p>
    <w:p w14:paraId="7059DBBA">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5.因某一方原因导致变更、中止或者终止政府采购合同的，该方应当对另一方受到的损失予以赔偿或者补偿。</w:t>
      </w:r>
    </w:p>
    <w:p w14:paraId="2FBD4919">
      <w:pPr>
        <w:pStyle w:val="9"/>
        <w:tabs>
          <w:tab w:val="left" w:pos="5954"/>
        </w:tabs>
        <w:snapToGrid w:val="0"/>
        <w:spacing w:line="360" w:lineRule="auto"/>
        <w:ind w:firstLine="420" w:firstLineChars="200"/>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rPr>
        <w:t>6.上述条款所称损失、违约责任除明确约定以外，还包括但不限于：守约方因维权支出的诉讼仲裁费、保全费、保全担保的保函费用、差旅费、律师费，前述律师费可仅凭《委托代理合同》结合律师服务收费管理实施办法确定的收费标准向违约方主张。</w:t>
      </w:r>
    </w:p>
    <w:p w14:paraId="40A6C6CE">
      <w:pPr>
        <w:pStyle w:val="9"/>
        <w:snapToGrid w:val="0"/>
        <w:spacing w:line="360" w:lineRule="auto"/>
        <w:ind w:firstLine="413" w:firstLineChars="196"/>
        <w:rPr>
          <w:rFonts w:hint="eastAsia" w:ascii="仿宋" w:hAnsi="仿宋" w:eastAsia="仿宋" w:cs="仿宋"/>
          <w:b/>
          <w:color w:val="auto"/>
          <w:sz w:val="21"/>
          <w:highlight w:val="none"/>
        </w:rPr>
      </w:pPr>
      <w:r>
        <w:rPr>
          <w:rFonts w:hint="eastAsia" w:ascii="仿宋" w:hAnsi="仿宋" w:eastAsia="仿宋" w:cs="仿宋"/>
          <w:b/>
          <w:color w:val="auto"/>
          <w:sz w:val="21"/>
          <w:highlight w:val="none"/>
        </w:rPr>
        <w:t>第</w:t>
      </w:r>
      <w:r>
        <w:rPr>
          <w:rFonts w:hint="eastAsia" w:ascii="仿宋" w:hAnsi="仿宋" w:eastAsia="仿宋" w:cs="仿宋"/>
          <w:b/>
          <w:color w:val="auto"/>
          <w:sz w:val="21"/>
          <w:highlight w:val="none"/>
          <w:lang w:eastAsia="zh-CN"/>
        </w:rPr>
        <w:t>九</w:t>
      </w:r>
      <w:r>
        <w:rPr>
          <w:rFonts w:hint="eastAsia" w:ascii="仿宋" w:hAnsi="仿宋" w:eastAsia="仿宋" w:cs="仿宋"/>
          <w:b/>
          <w:color w:val="auto"/>
          <w:sz w:val="21"/>
          <w:highlight w:val="none"/>
        </w:rPr>
        <w:t>条  不可抗力事件处理</w:t>
      </w:r>
    </w:p>
    <w:p w14:paraId="6DA85DCB">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1.在合同有效期内，任何一方因不可抗力事件导致不能履行合同，则合同履行期可延长，其延长期与不可抗力影响期相同。</w:t>
      </w:r>
    </w:p>
    <w:p w14:paraId="3BBDFCF2">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2.不可抗力事件发生后，应立即通知对方，并寄送有关权威机构出具的证明。</w:t>
      </w:r>
    </w:p>
    <w:p w14:paraId="1C21477D">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3.不可抗力事件延续一百二十天以上，双方应通过友好协商，确定是否继续履行合同。</w:t>
      </w:r>
    </w:p>
    <w:p w14:paraId="7836ECA3">
      <w:pPr>
        <w:snapToGrid w:val="0"/>
        <w:spacing w:line="360" w:lineRule="auto"/>
        <w:ind w:firstLine="422" w:firstLineChars="200"/>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第十条  合同争议解决</w:t>
      </w:r>
    </w:p>
    <w:p w14:paraId="30303ADE">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1.因服务质量问题发生争议的，应邀请国家认可的质量检测机构或专家组进行鉴定。服务符合标准的，鉴定费由甲方承担；服务不符合标准的，鉴定费由乙方承担。</w:t>
      </w:r>
    </w:p>
    <w:p w14:paraId="0767B7B8">
      <w:pPr>
        <w:autoSpaceDE w:val="0"/>
        <w:autoSpaceDN w:val="0"/>
        <w:adjustRightInd w:val="0"/>
        <w:spacing w:line="360" w:lineRule="auto"/>
        <w:ind w:left="100" w:right="42"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2.因履行本合同引起的或者与本合同有关的争议，甲乙双方应首先通过友好协商解决，如果协商不能解决，按下列</w:t>
      </w:r>
      <w:r>
        <w:rPr>
          <w:rFonts w:hint="eastAsia" w:ascii="仿宋" w:hAnsi="仿宋" w:eastAsia="仿宋" w:cs="仿宋"/>
          <w:color w:val="auto"/>
          <w:szCs w:val="21"/>
          <w:highlight w:val="none"/>
          <w:lang w:val="en-US" w:eastAsia="zh-CN"/>
        </w:rPr>
        <w:t>第</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2</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方式解决：</w:t>
      </w:r>
    </w:p>
    <w:p w14:paraId="288A03FF">
      <w:pPr>
        <w:autoSpaceDE w:val="0"/>
        <w:autoSpaceDN w:val="0"/>
        <w:adjustRightInd w:val="0"/>
        <w:spacing w:line="360" w:lineRule="auto"/>
        <w:ind w:right="40"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（1）向</w:t>
      </w:r>
      <w:r>
        <w:rPr>
          <w:rFonts w:hint="eastAsia" w:ascii="仿宋" w:hAnsi="仿宋" w:eastAsia="仿宋" w:cs="仿宋"/>
          <w:color w:val="auto"/>
          <w:szCs w:val="21"/>
          <w:highlight w:val="none"/>
          <w:lang w:eastAsia="zh-CN"/>
        </w:rPr>
        <w:t>防城港市</w:t>
      </w:r>
      <w:r>
        <w:rPr>
          <w:rFonts w:hint="eastAsia" w:ascii="仿宋" w:hAnsi="仿宋" w:eastAsia="仿宋" w:cs="仿宋"/>
          <w:color w:val="auto"/>
          <w:szCs w:val="21"/>
          <w:highlight w:val="none"/>
        </w:rPr>
        <w:t>仲裁委员会申请仲裁；</w:t>
      </w:r>
    </w:p>
    <w:p w14:paraId="5BB90622">
      <w:pPr>
        <w:autoSpaceDE w:val="0"/>
        <w:autoSpaceDN w:val="0"/>
        <w:adjustRightInd w:val="0"/>
        <w:spacing w:line="360" w:lineRule="auto"/>
        <w:ind w:right="40" w:firstLine="42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）向甲方所在地人民法院提起诉讼。</w:t>
      </w:r>
    </w:p>
    <w:p w14:paraId="56A9502F">
      <w:pPr>
        <w:snapToGrid w:val="0"/>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第十</w:t>
      </w:r>
      <w:r>
        <w:rPr>
          <w:rFonts w:hint="eastAsia" w:ascii="仿宋" w:hAnsi="仿宋" w:eastAsia="仿宋" w:cs="仿宋"/>
          <w:b/>
          <w:color w:val="auto"/>
          <w:szCs w:val="21"/>
          <w:highlight w:val="none"/>
          <w:lang w:eastAsia="zh-CN"/>
        </w:rPr>
        <w:t>一</w:t>
      </w:r>
      <w:r>
        <w:rPr>
          <w:rFonts w:hint="eastAsia" w:ascii="仿宋" w:hAnsi="仿宋" w:eastAsia="仿宋" w:cs="仿宋"/>
          <w:b/>
          <w:color w:val="auto"/>
          <w:szCs w:val="21"/>
          <w:highlight w:val="none"/>
        </w:rPr>
        <w:t>条　合同的变更、中止或者终止</w:t>
      </w:r>
    </w:p>
    <w:p w14:paraId="42F5980F">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 除《中华人民共和国政府采购法》第五十条规定的情形外，本合同一经签订，甲乙双方不得擅自变更、中止或者终止合同。</w:t>
      </w:r>
    </w:p>
    <w:p w14:paraId="027E2450">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2.采购合同继续履行将损害国家利益和社会公共利益的，双方当事人应当变更、中止或者终止合同。有过错的一方应当承担赔偿责任，双方都有过错的，各自承担相应的责任。</w:t>
      </w:r>
    </w:p>
    <w:p w14:paraId="30C983AB">
      <w:pPr>
        <w:snapToGrid w:val="0"/>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第十</w:t>
      </w:r>
      <w:r>
        <w:rPr>
          <w:rFonts w:hint="eastAsia" w:ascii="仿宋" w:hAnsi="仿宋" w:eastAsia="仿宋" w:cs="仿宋"/>
          <w:b/>
          <w:color w:val="auto"/>
          <w:szCs w:val="21"/>
          <w:highlight w:val="none"/>
          <w:lang w:eastAsia="zh-CN"/>
        </w:rPr>
        <w:t>二</w:t>
      </w:r>
      <w:r>
        <w:rPr>
          <w:rFonts w:hint="eastAsia" w:ascii="仿宋" w:hAnsi="仿宋" w:eastAsia="仿宋" w:cs="仿宋"/>
          <w:b/>
          <w:color w:val="auto"/>
          <w:szCs w:val="21"/>
          <w:highlight w:val="none"/>
        </w:rPr>
        <w:t>条　</w:t>
      </w:r>
      <w:r>
        <w:rPr>
          <w:rFonts w:hint="eastAsia" w:ascii="仿宋" w:hAnsi="仿宋" w:eastAsia="仿宋" w:cs="仿宋"/>
          <w:b/>
          <w:color w:val="auto"/>
          <w:kern w:val="0"/>
          <w:szCs w:val="21"/>
          <w:highlight w:val="none"/>
        </w:rPr>
        <w:t>合</w:t>
      </w:r>
      <w:r>
        <w:rPr>
          <w:rFonts w:hint="eastAsia" w:ascii="仿宋" w:hAnsi="仿宋" w:eastAsia="仿宋" w:cs="仿宋"/>
          <w:b/>
          <w:color w:val="auto"/>
          <w:spacing w:val="-2"/>
          <w:kern w:val="0"/>
          <w:szCs w:val="21"/>
          <w:highlight w:val="none"/>
        </w:rPr>
        <w:t>同</w:t>
      </w:r>
      <w:r>
        <w:rPr>
          <w:rFonts w:hint="eastAsia" w:ascii="仿宋" w:hAnsi="仿宋" w:eastAsia="仿宋" w:cs="仿宋"/>
          <w:b/>
          <w:color w:val="auto"/>
          <w:kern w:val="0"/>
          <w:szCs w:val="21"/>
          <w:highlight w:val="none"/>
        </w:rPr>
        <w:t>文</w:t>
      </w:r>
      <w:r>
        <w:rPr>
          <w:rFonts w:hint="eastAsia" w:ascii="仿宋" w:hAnsi="仿宋" w:eastAsia="仿宋" w:cs="仿宋"/>
          <w:b/>
          <w:color w:val="auto"/>
          <w:spacing w:val="-2"/>
          <w:kern w:val="0"/>
          <w:szCs w:val="21"/>
          <w:highlight w:val="none"/>
        </w:rPr>
        <w:t>件构成</w:t>
      </w:r>
    </w:p>
    <w:p w14:paraId="5FE0EC7E">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1.政府采购合同</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lang w:val="en-US" w:eastAsia="zh-CN"/>
        </w:rPr>
        <w:t>磋商文件；</w:t>
      </w:r>
    </w:p>
    <w:p w14:paraId="3E367588">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2.成交通知书；</w:t>
      </w:r>
    </w:p>
    <w:p w14:paraId="4A008066">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r>
        <w:rPr>
          <w:rFonts w:hint="eastAsia" w:ascii="仿宋" w:hAnsi="仿宋" w:eastAsia="仿宋" w:cs="仿宋"/>
          <w:color w:val="auto"/>
          <w:sz w:val="21"/>
          <w:highlight w:val="none"/>
          <w:lang w:val="en-US" w:eastAsia="zh-CN"/>
        </w:rPr>
        <w:t>采购需求</w:t>
      </w:r>
      <w:r>
        <w:rPr>
          <w:rFonts w:hint="eastAsia" w:ascii="仿宋" w:hAnsi="仿宋" w:eastAsia="仿宋" w:cs="仿宋"/>
          <w:color w:val="auto"/>
          <w:sz w:val="21"/>
          <w:highlight w:val="none"/>
        </w:rPr>
        <w:t>；</w:t>
      </w:r>
    </w:p>
    <w:p w14:paraId="65BF90F2">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4.竞标声明</w:t>
      </w:r>
      <w:r>
        <w:rPr>
          <w:rFonts w:hint="eastAsia" w:ascii="仿宋" w:hAnsi="仿宋" w:eastAsia="仿宋" w:cs="仿宋"/>
          <w:color w:val="auto"/>
          <w:sz w:val="21"/>
          <w:highlight w:val="none"/>
          <w:lang w:val="en-US" w:eastAsia="zh-CN"/>
        </w:rPr>
        <w:t>与响应报价表</w:t>
      </w:r>
      <w:r>
        <w:rPr>
          <w:rFonts w:hint="eastAsia" w:ascii="仿宋" w:hAnsi="仿宋" w:eastAsia="仿宋" w:cs="仿宋"/>
          <w:color w:val="auto"/>
          <w:sz w:val="21"/>
          <w:highlight w:val="none"/>
        </w:rPr>
        <w:t>；</w:t>
      </w:r>
    </w:p>
    <w:p w14:paraId="5D8EBB45">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5.</w:t>
      </w:r>
      <w:r>
        <w:rPr>
          <w:rFonts w:hint="eastAsia" w:ascii="仿宋" w:hAnsi="仿宋" w:eastAsia="仿宋" w:cs="仿宋"/>
          <w:color w:val="auto"/>
          <w:sz w:val="21"/>
          <w:highlight w:val="none"/>
          <w:lang w:val="en-US" w:eastAsia="zh-CN"/>
        </w:rPr>
        <w:t>商务要求偏离表和技术要求偏离表</w:t>
      </w:r>
      <w:r>
        <w:rPr>
          <w:rFonts w:hint="eastAsia" w:ascii="仿宋" w:hAnsi="仿宋" w:eastAsia="仿宋" w:cs="仿宋"/>
          <w:color w:val="auto"/>
          <w:sz w:val="21"/>
          <w:highlight w:val="none"/>
        </w:rPr>
        <w:t>；</w:t>
      </w:r>
    </w:p>
    <w:p w14:paraId="174B9BEF">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6.双方约定的其他合同文件。</w:t>
      </w:r>
    </w:p>
    <w:p w14:paraId="545B54E9">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上述合同文件互相补充和解释。如果合同文件之间存在矛盾或者不一致之处，以上述文件的排列顺序在先者为准。</w:t>
      </w:r>
    </w:p>
    <w:p w14:paraId="4934A94F">
      <w:pPr>
        <w:snapToGrid w:val="0"/>
        <w:spacing w:line="360" w:lineRule="auto"/>
        <w:ind w:firstLine="422" w:firstLineChars="200"/>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第</w:t>
      </w:r>
      <w:r>
        <w:rPr>
          <w:rFonts w:hint="eastAsia" w:ascii="仿宋" w:hAnsi="仿宋" w:eastAsia="仿宋" w:cs="仿宋"/>
          <w:b/>
          <w:color w:val="auto"/>
          <w:highlight w:val="none"/>
        </w:rPr>
        <w:t>十</w:t>
      </w:r>
      <w:r>
        <w:rPr>
          <w:rFonts w:hint="eastAsia" w:ascii="仿宋" w:hAnsi="仿宋" w:eastAsia="仿宋" w:cs="仿宋"/>
          <w:b/>
          <w:color w:val="auto"/>
          <w:highlight w:val="none"/>
          <w:lang w:eastAsia="zh-CN"/>
        </w:rPr>
        <w:t>三</w:t>
      </w:r>
      <w:r>
        <w:rPr>
          <w:rFonts w:hint="eastAsia" w:ascii="仿宋" w:hAnsi="仿宋" w:eastAsia="仿宋" w:cs="仿宋"/>
          <w:b/>
          <w:color w:val="auto"/>
          <w:szCs w:val="21"/>
          <w:highlight w:val="none"/>
        </w:rPr>
        <w:t>条　知识产权和保密要求</w:t>
      </w:r>
    </w:p>
    <w:p w14:paraId="6446173D">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1.甲方在履行合同过程中提供给乙方的全部图纸、文件和其他含有数据和信息的资料，其知识产权属于甲方。</w:t>
      </w:r>
    </w:p>
    <w:p w14:paraId="347FC909">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2.除采购文件采购需求另有约定外，甲方不因签署和履行合同而享有乙方在履行合同过程中提供给甲方的图纸、文件、配套软件、电子辅助程序和其他含有数据和信息的资料的知识产权。</w:t>
      </w:r>
    </w:p>
    <w:p w14:paraId="51EB1761">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应保证所提供服务及货物在使用时不会侵犯任何第三方的知识产权或者其他权利。如合同服务或货物涉及知识产权，则乙方保证甲方在使用合同服务或货物过程中免于受到第三方提出的有关知识产权侵权的主张、索赔或诉讼的伤害。</w:t>
      </w:r>
    </w:p>
    <w:p w14:paraId="372E1B47">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0A675AC3">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0EBC6762">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6.伴随货物的，乙方保证将要交付的货物的所有权完全属于乙方且无任何抵押、质押、查封等产权瑕疵。</w:t>
      </w:r>
    </w:p>
    <w:p w14:paraId="468BCF62">
      <w:pPr>
        <w:pStyle w:val="9"/>
        <w:snapToGrid w:val="0"/>
        <w:spacing w:line="360" w:lineRule="auto"/>
        <w:ind w:firstLine="413" w:firstLineChars="196"/>
        <w:rPr>
          <w:rFonts w:hint="eastAsia" w:ascii="仿宋" w:hAnsi="仿宋" w:eastAsia="仿宋" w:cs="仿宋"/>
          <w:b/>
          <w:color w:val="auto"/>
          <w:sz w:val="21"/>
          <w:highlight w:val="none"/>
        </w:rPr>
      </w:pPr>
      <w:r>
        <w:rPr>
          <w:rFonts w:hint="eastAsia" w:ascii="仿宋" w:hAnsi="仿宋" w:eastAsia="仿宋" w:cs="仿宋"/>
          <w:b/>
          <w:color w:val="auto"/>
          <w:sz w:val="21"/>
          <w:highlight w:val="none"/>
        </w:rPr>
        <w:t>第十</w:t>
      </w:r>
      <w:r>
        <w:rPr>
          <w:rFonts w:hint="eastAsia" w:ascii="仿宋" w:hAnsi="仿宋" w:eastAsia="仿宋" w:cs="仿宋"/>
          <w:b/>
          <w:color w:val="auto"/>
          <w:sz w:val="21"/>
          <w:highlight w:val="none"/>
          <w:lang w:eastAsia="zh-CN"/>
        </w:rPr>
        <w:t>四</w:t>
      </w:r>
      <w:r>
        <w:rPr>
          <w:rFonts w:hint="eastAsia" w:ascii="仿宋" w:hAnsi="仿宋" w:eastAsia="仿宋" w:cs="仿宋"/>
          <w:b/>
          <w:color w:val="auto"/>
          <w:sz w:val="21"/>
          <w:highlight w:val="none"/>
        </w:rPr>
        <w:t>条  合同生效</w:t>
      </w:r>
      <w:r>
        <w:rPr>
          <w:rFonts w:hint="eastAsia" w:ascii="仿宋" w:hAnsi="仿宋" w:eastAsia="仿宋" w:cs="仿宋"/>
          <w:b/>
          <w:color w:val="auto"/>
          <w:sz w:val="21"/>
          <w:highlight w:val="none"/>
          <w:lang w:eastAsia="zh-CN"/>
        </w:rPr>
        <w:t>及其他</w:t>
      </w:r>
    </w:p>
    <w:p w14:paraId="79854767">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1.合同经双方法定代表人或者委托代理人签字并加盖单位公章后生效（委托代理人签字的需后附授权委托书，格式自拟）。</w:t>
      </w:r>
    </w:p>
    <w:p w14:paraId="2C303B4D">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2.合同执行中涉及采购资金和采购内容修改或者补充的，并签书面补充协议报财政部门备案，方可作为主合同不可分割的一部分。</w:t>
      </w:r>
    </w:p>
    <w:p w14:paraId="4C9B2FC3">
      <w:pPr>
        <w:pStyle w:val="9"/>
        <w:snapToGrid w:val="0"/>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3.合同生效后，甲乙双方不得因姓名、名称的变更或者法定代表人、负责人、承办人的变动而不履行合同义务。</w:t>
      </w:r>
    </w:p>
    <w:p w14:paraId="2F19ABAE">
      <w:pPr>
        <w:pStyle w:val="9"/>
        <w:snapToGrid w:val="0"/>
        <w:spacing w:line="360" w:lineRule="auto"/>
        <w:ind w:left="420" w:left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4.本合同未尽事宜，遵照《中华人民共和国民法典》有关条文执行。</w:t>
      </w:r>
    </w:p>
    <w:p w14:paraId="3A99A344">
      <w:pPr>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5.本合同一式</w:t>
      </w:r>
      <w:r>
        <w:rPr>
          <w:rFonts w:hint="eastAsia" w:ascii="仿宋" w:hAnsi="仿宋" w:eastAsia="仿宋" w:cs="仿宋"/>
          <w:i/>
          <w:color w:val="auto"/>
          <w:szCs w:val="21"/>
          <w:highlight w:val="none"/>
          <w:u w:val="single"/>
        </w:rPr>
        <w:t xml:space="preserve">   </w:t>
      </w:r>
      <w:r>
        <w:rPr>
          <w:rFonts w:hint="eastAsia" w:ascii="仿宋" w:hAnsi="仿宋" w:eastAsia="仿宋" w:cs="仿宋"/>
          <w:color w:val="auto"/>
          <w:szCs w:val="21"/>
          <w:highlight w:val="none"/>
        </w:rPr>
        <w:t>份，具有同等法律效力，甲乙双方各</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rPr>
        <w:t>份</w:t>
      </w:r>
      <w:r>
        <w:rPr>
          <w:rFonts w:hint="eastAsia" w:ascii="仿宋" w:hAnsi="仿宋" w:eastAsia="仿宋" w:cs="仿宋"/>
          <w:i/>
          <w:color w:val="auto"/>
          <w:szCs w:val="21"/>
          <w:highlight w:val="none"/>
        </w:rPr>
        <w:t>（可根据需要另增加）</w:t>
      </w:r>
      <w:r>
        <w:rPr>
          <w:rFonts w:hint="eastAsia" w:ascii="仿宋" w:hAnsi="仿宋" w:eastAsia="仿宋" w:cs="仿宋"/>
          <w:i/>
          <w:color w:val="auto"/>
          <w:szCs w:val="21"/>
          <w:highlight w:val="none"/>
          <w:lang w:eastAsia="zh-CN"/>
        </w:rPr>
        <w:t>，</w:t>
      </w:r>
      <w:r>
        <w:rPr>
          <w:rFonts w:hint="eastAsia" w:ascii="仿宋" w:hAnsi="仿宋" w:eastAsia="仿宋" w:cs="仿宋"/>
          <w:color w:val="auto"/>
          <w:szCs w:val="21"/>
          <w:highlight w:val="none"/>
        </w:rPr>
        <w:t>采购代理机构各一份。</w:t>
      </w:r>
    </w:p>
    <w:p w14:paraId="443162D3">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6.送达条款：</w:t>
      </w:r>
    </w:p>
    <w:p w14:paraId="3FA685AD">
      <w:pPr>
        <w:snapToGrid w:val="0"/>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本合同内所载明的地址、联系方式、联系人及电子通信终端、双方的单位执照住所或个人户籍住址以及在履行合同过程中双方经办人互相联络所使用的微信号、手机号均为双方的有效送达方式和地址，双方据此向对方送达的，书面文件EMS寄出之日起第三日视为有效送达，电子信息发出即视为有效送达。合同任何一方变更本合同预留送达方式应当以书面形式告知对方。双方同意该送达条款效力适用于司法送达，人民法院通过该条款进行的任何送达行为均合法有效。</w:t>
      </w:r>
    </w:p>
    <w:p w14:paraId="5330632E">
      <w:pPr>
        <w:spacing w:line="360" w:lineRule="auto"/>
        <w:ind w:firstLine="422" w:firstLineChars="200"/>
        <w:rPr>
          <w:rFonts w:hint="eastAsia" w:ascii="仿宋" w:hAnsi="仿宋" w:eastAsia="仿宋" w:cs="仿宋"/>
          <w:b/>
          <w:color w:val="auto"/>
          <w:szCs w:val="21"/>
          <w:highlight w:val="none"/>
        </w:rPr>
      </w:pPr>
    </w:p>
    <w:tbl>
      <w:tblPr>
        <w:tblStyle w:val="13"/>
        <w:tblpPr w:leftFromText="180" w:rightFromText="180" w:vertAnchor="text" w:horzAnchor="page" w:tblpX="1679" w:tblpY="55"/>
        <w:tblOverlap w:val="never"/>
        <w:tblW w:w="88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96"/>
        <w:gridCol w:w="4151"/>
      </w:tblGrid>
      <w:tr w14:paraId="05CAB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86" w:hRule="atLeast"/>
        </w:trPr>
        <w:tc>
          <w:tcPr>
            <w:tcW w:w="4696" w:type="dxa"/>
            <w:noWrap w:val="0"/>
            <w:vAlign w:val="center"/>
          </w:tcPr>
          <w:p w14:paraId="5FBA177F">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 xml:space="preserve">甲方（章）           </w:t>
            </w:r>
          </w:p>
          <w:p w14:paraId="106D6CEC">
            <w:pPr>
              <w:spacing w:line="400" w:lineRule="exact"/>
              <w:jc w:val="left"/>
              <w:rPr>
                <w:rFonts w:hint="eastAsia" w:ascii="仿宋" w:hAnsi="仿宋" w:eastAsia="仿宋" w:cs="仿宋"/>
                <w:b/>
                <w:color w:val="auto"/>
                <w:highlight w:val="none"/>
              </w:rPr>
            </w:pPr>
          </w:p>
          <w:p w14:paraId="42121FD9">
            <w:pPr>
              <w:snapToGrid w:val="0"/>
              <w:spacing w:line="400" w:lineRule="exact"/>
              <w:ind w:firstLine="945" w:firstLineChars="450"/>
              <w:jc w:val="right"/>
              <w:rPr>
                <w:rFonts w:hint="eastAsia" w:ascii="仿宋" w:hAnsi="仿宋" w:eastAsia="仿宋" w:cs="仿宋"/>
                <w:color w:val="auto"/>
                <w:kern w:val="2"/>
                <w:highlight w:val="none"/>
              </w:rPr>
            </w:pPr>
            <w:r>
              <w:rPr>
                <w:rFonts w:hint="eastAsia" w:ascii="仿宋" w:hAnsi="仿宋" w:eastAsia="仿宋" w:cs="仿宋"/>
                <w:color w:val="auto"/>
                <w:kern w:val="2"/>
                <w:highlight w:val="none"/>
              </w:rPr>
              <w:t>年   月   日</w:t>
            </w:r>
          </w:p>
        </w:tc>
        <w:tc>
          <w:tcPr>
            <w:tcW w:w="4151" w:type="dxa"/>
            <w:noWrap w:val="0"/>
            <w:vAlign w:val="center"/>
          </w:tcPr>
          <w:p w14:paraId="094ABDFB">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 xml:space="preserve">乙方（章）              </w:t>
            </w:r>
          </w:p>
          <w:p w14:paraId="7AED85A5">
            <w:pPr>
              <w:snapToGrid w:val="0"/>
              <w:spacing w:line="400" w:lineRule="exact"/>
              <w:jc w:val="right"/>
              <w:rPr>
                <w:rFonts w:hint="eastAsia" w:ascii="仿宋" w:hAnsi="仿宋" w:eastAsia="仿宋" w:cs="仿宋"/>
                <w:color w:val="auto"/>
                <w:kern w:val="2"/>
                <w:highlight w:val="none"/>
              </w:rPr>
            </w:pPr>
          </w:p>
          <w:p w14:paraId="5BE37B26">
            <w:pPr>
              <w:snapToGrid w:val="0"/>
              <w:spacing w:line="400" w:lineRule="exact"/>
              <w:jc w:val="right"/>
              <w:rPr>
                <w:rFonts w:hint="eastAsia" w:ascii="仿宋" w:hAnsi="仿宋" w:eastAsia="仿宋" w:cs="仿宋"/>
                <w:color w:val="auto"/>
                <w:kern w:val="2"/>
                <w:highlight w:val="none"/>
              </w:rPr>
            </w:pPr>
            <w:r>
              <w:rPr>
                <w:rFonts w:hint="eastAsia" w:ascii="仿宋" w:hAnsi="仿宋" w:eastAsia="仿宋" w:cs="仿宋"/>
                <w:color w:val="auto"/>
                <w:kern w:val="2"/>
                <w:highlight w:val="none"/>
              </w:rPr>
              <w:t xml:space="preserve"> </w:t>
            </w:r>
          </w:p>
          <w:p w14:paraId="6A8A7962">
            <w:pPr>
              <w:snapToGrid w:val="0"/>
              <w:spacing w:line="400" w:lineRule="exact"/>
              <w:jc w:val="right"/>
              <w:rPr>
                <w:rFonts w:hint="eastAsia" w:ascii="仿宋" w:hAnsi="仿宋" w:eastAsia="仿宋" w:cs="仿宋"/>
                <w:color w:val="auto"/>
                <w:kern w:val="2"/>
                <w:highlight w:val="none"/>
              </w:rPr>
            </w:pPr>
            <w:r>
              <w:rPr>
                <w:rFonts w:hint="eastAsia" w:ascii="仿宋" w:hAnsi="仿宋" w:eastAsia="仿宋" w:cs="仿宋"/>
                <w:color w:val="auto"/>
                <w:kern w:val="2"/>
                <w:highlight w:val="none"/>
              </w:rPr>
              <w:t>年   月   日</w:t>
            </w:r>
          </w:p>
        </w:tc>
      </w:tr>
      <w:tr w14:paraId="06AF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6" w:hRule="atLeast"/>
        </w:trPr>
        <w:tc>
          <w:tcPr>
            <w:tcW w:w="4696" w:type="dxa"/>
            <w:noWrap w:val="0"/>
            <w:vAlign w:val="center"/>
          </w:tcPr>
          <w:p w14:paraId="1D40D65E">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地址：</w:t>
            </w:r>
          </w:p>
        </w:tc>
        <w:tc>
          <w:tcPr>
            <w:tcW w:w="4151" w:type="dxa"/>
            <w:noWrap w:val="0"/>
            <w:vAlign w:val="center"/>
          </w:tcPr>
          <w:p w14:paraId="12D0FA03">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地址：</w:t>
            </w:r>
          </w:p>
        </w:tc>
      </w:tr>
      <w:tr w14:paraId="7726D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5" w:hRule="exact"/>
        </w:trPr>
        <w:tc>
          <w:tcPr>
            <w:tcW w:w="4696" w:type="dxa"/>
            <w:noWrap w:val="0"/>
            <w:vAlign w:val="center"/>
          </w:tcPr>
          <w:p w14:paraId="3BD60E60">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法定代表人（负责人）：</w:t>
            </w:r>
          </w:p>
        </w:tc>
        <w:tc>
          <w:tcPr>
            <w:tcW w:w="4151" w:type="dxa"/>
            <w:noWrap w:val="0"/>
            <w:vAlign w:val="center"/>
          </w:tcPr>
          <w:p w14:paraId="7168407B">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法定代表人（负责人）：</w:t>
            </w:r>
          </w:p>
        </w:tc>
      </w:tr>
      <w:tr w14:paraId="2233F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5" w:hRule="exact"/>
        </w:trPr>
        <w:tc>
          <w:tcPr>
            <w:tcW w:w="4696" w:type="dxa"/>
            <w:noWrap w:val="0"/>
            <w:vAlign w:val="center"/>
          </w:tcPr>
          <w:p w14:paraId="6E6C1A59">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委托代理人：</w:t>
            </w:r>
          </w:p>
        </w:tc>
        <w:tc>
          <w:tcPr>
            <w:tcW w:w="4151" w:type="dxa"/>
            <w:noWrap w:val="0"/>
            <w:vAlign w:val="center"/>
          </w:tcPr>
          <w:p w14:paraId="49174AE1">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委托代理人：</w:t>
            </w:r>
          </w:p>
        </w:tc>
      </w:tr>
      <w:tr w14:paraId="1CF2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2" w:hRule="exact"/>
        </w:trPr>
        <w:tc>
          <w:tcPr>
            <w:tcW w:w="4696" w:type="dxa"/>
            <w:noWrap w:val="0"/>
            <w:vAlign w:val="center"/>
          </w:tcPr>
          <w:p w14:paraId="0B6FECDA">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电话：</w:t>
            </w:r>
          </w:p>
        </w:tc>
        <w:tc>
          <w:tcPr>
            <w:tcW w:w="4151" w:type="dxa"/>
            <w:noWrap w:val="0"/>
            <w:vAlign w:val="center"/>
          </w:tcPr>
          <w:p w14:paraId="0DBD6A32">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电话：</w:t>
            </w:r>
          </w:p>
        </w:tc>
      </w:tr>
      <w:tr w14:paraId="4FA26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2" w:hRule="exact"/>
        </w:trPr>
        <w:tc>
          <w:tcPr>
            <w:tcW w:w="4696" w:type="dxa"/>
            <w:noWrap w:val="0"/>
            <w:vAlign w:val="center"/>
          </w:tcPr>
          <w:p w14:paraId="13A0BD22">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电子邮箱：</w:t>
            </w:r>
          </w:p>
        </w:tc>
        <w:tc>
          <w:tcPr>
            <w:tcW w:w="4151" w:type="dxa"/>
            <w:noWrap w:val="0"/>
            <w:vAlign w:val="center"/>
          </w:tcPr>
          <w:p w14:paraId="0A1193D9">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电子邮箱：</w:t>
            </w:r>
          </w:p>
        </w:tc>
      </w:tr>
      <w:tr w14:paraId="35A4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2" w:hRule="exact"/>
        </w:trPr>
        <w:tc>
          <w:tcPr>
            <w:tcW w:w="4696" w:type="dxa"/>
            <w:noWrap w:val="0"/>
            <w:vAlign w:val="center"/>
          </w:tcPr>
          <w:p w14:paraId="63CC4CA5">
            <w:pPr>
              <w:snapToGrid w:val="0"/>
              <w:spacing w:line="400" w:lineRule="exact"/>
              <w:rPr>
                <w:rFonts w:hint="eastAsia" w:ascii="仿宋" w:hAnsi="仿宋" w:eastAsia="仿宋" w:cs="仿宋"/>
                <w:color w:val="auto"/>
                <w:kern w:val="2"/>
                <w:highlight w:val="none"/>
              </w:rPr>
            </w:pPr>
          </w:p>
        </w:tc>
        <w:tc>
          <w:tcPr>
            <w:tcW w:w="4151" w:type="dxa"/>
            <w:noWrap w:val="0"/>
            <w:vAlign w:val="center"/>
          </w:tcPr>
          <w:p w14:paraId="56D3A21D">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开户银行：</w:t>
            </w:r>
          </w:p>
        </w:tc>
      </w:tr>
      <w:tr w14:paraId="26333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2" w:hRule="exact"/>
        </w:trPr>
        <w:tc>
          <w:tcPr>
            <w:tcW w:w="4696" w:type="dxa"/>
            <w:noWrap w:val="0"/>
            <w:vAlign w:val="center"/>
          </w:tcPr>
          <w:p w14:paraId="370A9A35">
            <w:pPr>
              <w:snapToGrid w:val="0"/>
              <w:spacing w:line="400" w:lineRule="exact"/>
              <w:rPr>
                <w:rFonts w:hint="eastAsia" w:ascii="仿宋" w:hAnsi="仿宋" w:eastAsia="仿宋" w:cs="仿宋"/>
                <w:color w:val="auto"/>
                <w:kern w:val="2"/>
                <w:highlight w:val="none"/>
              </w:rPr>
            </w:pPr>
          </w:p>
        </w:tc>
        <w:tc>
          <w:tcPr>
            <w:tcW w:w="4151" w:type="dxa"/>
            <w:noWrap w:val="0"/>
            <w:vAlign w:val="center"/>
          </w:tcPr>
          <w:p w14:paraId="642F9E95">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账号：</w:t>
            </w:r>
          </w:p>
        </w:tc>
      </w:tr>
      <w:tr w14:paraId="267D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2" w:hRule="exact"/>
        </w:trPr>
        <w:tc>
          <w:tcPr>
            <w:tcW w:w="4696" w:type="dxa"/>
            <w:noWrap w:val="0"/>
            <w:vAlign w:val="center"/>
          </w:tcPr>
          <w:p w14:paraId="2B78FB3D">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邮政编码：</w:t>
            </w:r>
          </w:p>
        </w:tc>
        <w:tc>
          <w:tcPr>
            <w:tcW w:w="4151" w:type="dxa"/>
            <w:noWrap w:val="0"/>
            <w:vAlign w:val="center"/>
          </w:tcPr>
          <w:p w14:paraId="3AA7F886">
            <w:pPr>
              <w:snapToGrid w:val="0"/>
              <w:spacing w:line="400" w:lineRule="exact"/>
              <w:rPr>
                <w:rFonts w:hint="eastAsia" w:ascii="仿宋" w:hAnsi="仿宋" w:eastAsia="仿宋" w:cs="仿宋"/>
                <w:color w:val="auto"/>
                <w:kern w:val="2"/>
                <w:highlight w:val="none"/>
              </w:rPr>
            </w:pPr>
            <w:r>
              <w:rPr>
                <w:rFonts w:hint="eastAsia" w:ascii="仿宋" w:hAnsi="仿宋" w:eastAsia="仿宋" w:cs="仿宋"/>
                <w:color w:val="auto"/>
                <w:kern w:val="2"/>
                <w:highlight w:val="none"/>
              </w:rPr>
              <w:t>邮政编码：</w:t>
            </w:r>
          </w:p>
        </w:tc>
      </w:tr>
    </w:tbl>
    <w:p w14:paraId="1362D0F2">
      <w:pPr>
        <w:spacing w:line="520" w:lineRule="exact"/>
        <w:rPr>
          <w:rFonts w:hint="eastAsia" w:ascii="仿宋" w:hAnsi="仿宋" w:eastAsia="仿宋" w:cs="仿宋"/>
          <w:color w:val="auto"/>
          <w:sz w:val="6"/>
          <w:szCs w:val="6"/>
          <w:highlight w:val="none"/>
        </w:rPr>
      </w:pPr>
    </w:p>
    <w:sectPr>
      <w:pgSz w:w="11906" w:h="16838"/>
      <w:pgMar w:top="1440" w:right="1287" w:bottom="1440" w:left="1797"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E9E60">
    <w:pPr>
      <w:pStyle w:val="45"/>
      <w:tabs>
        <w:tab w:val="center" w:pos="4439"/>
        <w:tab w:val="clear" w:pos="4153"/>
      </w:tabs>
      <w:jc w:val="both"/>
    </w:pPr>
  </w:p>
  <w:p w14:paraId="0703B2DA">
    <w:pPr>
      <w:pStyle w:val="4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3CA5A">
    <w:pPr>
      <w:pStyle w:val="4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6BEF1">
    <w:pPr>
      <w:pStyle w:val="45"/>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FAFA9C"/>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14:paraId="58FAFA9C"/>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C07B">
    <w:pPr>
      <w:pStyle w:val="45"/>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B61D5">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2CB61D5">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15EB8FA3">
    <w:pPr>
      <w:pStyle w:val="4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90BF4">
    <w:pPr>
      <w:pStyle w:val="45"/>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9279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C292793">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0ADDDD"/>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j4ehswBAACd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DW5CSYnlBid+/v7t/OPX+edX&#10;sizKt6lFvYcKM5885sbhzg2YPvsBnUn50AaTvqiJYBwbfLo0WA6RiPRoVa5WBYYExuYL4rPn5z5A&#10;fC+dIcmoacAJ5sby4yPEMXVOSdWsu1da5ylq+5cDMZOHJe4jx2TFYTdMgnauOaGeHodfU4u7Tol+&#10;sNjbtCezEWZjNxsHH9S+Q2rLzAv87SEiicwtVRhhp8I4taxu2rC0Fn/ec9bzX7X5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ePh6GzAEAAJ0DAAAOAAAAAAAAAAEAIAAAAB4BAABkcnMvZTJv&#10;RG9jLnhtbFBLBQYAAAAABgAGAFkBAABcBQAAAAA=&#10;">
              <v:fill on="f" focussize="0,0"/>
              <v:stroke on="f"/>
              <v:imagedata o:title=""/>
              <o:lock v:ext="edit" aspectratio="f"/>
              <v:textbox inset="0mm,0mm,0mm,0mm" style="mso-fit-shape-to-text:t;">
                <w:txbxContent>
                  <w:p w14:paraId="060ADD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8CCB">
    <w:pPr>
      <w:pStyle w:val="45"/>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8D9C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048D9C5">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561F5833">
    <w:pPr>
      <w:pStyle w:val="4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76223">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46DA23">
                          <w:pPr>
                            <w:pStyle w:val="45"/>
                          </w:pPr>
                          <w:r>
                            <w:fldChar w:fldCharType="begin"/>
                          </w:r>
                          <w:r>
                            <w:instrText xml:space="preserve"> PAGE  \* MERGEFORMAT </w:instrText>
                          </w:r>
                          <w:r>
                            <w:fldChar w:fldCharType="separate"/>
                          </w:r>
                          <w:r>
                            <w:t>53</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qiBtMsBAACc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KogbTLAQAAnAMAAA4AAAAAAAAAAQAgAAAAHgEAAGRycy9lMm9E&#10;b2MueG1sUEsFBgAAAAAGAAYAWQEAAFsFAAAAAA==&#10;">
              <v:fill on="f" focussize="0,0"/>
              <v:stroke on="f"/>
              <v:imagedata o:title=""/>
              <o:lock v:ext="edit" aspectratio="f"/>
              <v:textbox inset="0mm,0mm,0mm,0mm" style="mso-fit-shape-to-text:t;">
                <w:txbxContent>
                  <w:p w14:paraId="1746DA23">
                    <w:pPr>
                      <w:pStyle w:val="4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585EC">
    <w:pPr>
      <w:pStyle w:val="4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5170">
    <w:pPr>
      <w:pStyle w:val="4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EB413">
    <w:pPr>
      <w:pStyle w:val="4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53795"/>
    <w:multiLevelType w:val="singleLevel"/>
    <w:tmpl w:val="A8653795"/>
    <w:lvl w:ilvl="0" w:tentative="0">
      <w:start w:val="1"/>
      <w:numFmt w:val="decimal"/>
      <w:lvlText w:val="%1."/>
      <w:lvlJc w:val="left"/>
      <w:pPr>
        <w:tabs>
          <w:tab w:val="left" w:pos="312"/>
        </w:tabs>
      </w:pPr>
    </w:lvl>
  </w:abstractNum>
  <w:abstractNum w:abstractNumId="1">
    <w:nsid w:val="B4E6D3E1"/>
    <w:multiLevelType w:val="singleLevel"/>
    <w:tmpl w:val="B4E6D3E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HorizontalSpacing w:val="210"/>
  <w:drawingGridVerticalSpacing w:val="99999990"/>
  <w:displayHorizontalDrawingGridEvery w:val="1"/>
  <w:displayVerticalDrawingGridEvery w:val="1"/>
  <w:noPunctuationKerning w:val="1"/>
  <w:hdrShapeDefaults>
    <o:shapelayout v:ext="edit">
      <o:idmap v:ext="edit" data="3,4"/>
    </o:shapelayout>
  </w:hdrShapeDefaults>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37181"/>
    <w:rsid w:val="002B1FC1"/>
    <w:rsid w:val="00613879"/>
    <w:rsid w:val="016A73A1"/>
    <w:rsid w:val="02B22C99"/>
    <w:rsid w:val="02E0598D"/>
    <w:rsid w:val="035B4320"/>
    <w:rsid w:val="03D462D7"/>
    <w:rsid w:val="03F45851"/>
    <w:rsid w:val="05107934"/>
    <w:rsid w:val="05351ED6"/>
    <w:rsid w:val="062E4791"/>
    <w:rsid w:val="06BA7F39"/>
    <w:rsid w:val="06F36384"/>
    <w:rsid w:val="072232F3"/>
    <w:rsid w:val="07411F39"/>
    <w:rsid w:val="08580653"/>
    <w:rsid w:val="08E64D02"/>
    <w:rsid w:val="08F35AB6"/>
    <w:rsid w:val="09340F04"/>
    <w:rsid w:val="0978441D"/>
    <w:rsid w:val="0D0904F0"/>
    <w:rsid w:val="0D0D6229"/>
    <w:rsid w:val="0E8A7F6C"/>
    <w:rsid w:val="0F524B39"/>
    <w:rsid w:val="0F5A68DD"/>
    <w:rsid w:val="0FF9736B"/>
    <w:rsid w:val="0FF97FA4"/>
    <w:rsid w:val="10B555FE"/>
    <w:rsid w:val="11965BC6"/>
    <w:rsid w:val="12CD2AA0"/>
    <w:rsid w:val="12CF75E2"/>
    <w:rsid w:val="15285CDE"/>
    <w:rsid w:val="172A4DE7"/>
    <w:rsid w:val="17E412A1"/>
    <w:rsid w:val="189F7A56"/>
    <w:rsid w:val="18E11E1D"/>
    <w:rsid w:val="19232435"/>
    <w:rsid w:val="19433307"/>
    <w:rsid w:val="1A670100"/>
    <w:rsid w:val="1A707A44"/>
    <w:rsid w:val="1AA71AC6"/>
    <w:rsid w:val="1C6434E0"/>
    <w:rsid w:val="1E7D4712"/>
    <w:rsid w:val="1F4B1385"/>
    <w:rsid w:val="1F581E4D"/>
    <w:rsid w:val="20695B39"/>
    <w:rsid w:val="20893BAC"/>
    <w:rsid w:val="22EF46E3"/>
    <w:rsid w:val="277F6EBD"/>
    <w:rsid w:val="289C089D"/>
    <w:rsid w:val="299E0B55"/>
    <w:rsid w:val="2C0A2FCF"/>
    <w:rsid w:val="2CD0422B"/>
    <w:rsid w:val="2CD52E9B"/>
    <w:rsid w:val="2D012636"/>
    <w:rsid w:val="2DEC2D98"/>
    <w:rsid w:val="2EB122C1"/>
    <w:rsid w:val="2EF523B3"/>
    <w:rsid w:val="2FDF7E31"/>
    <w:rsid w:val="302B42FD"/>
    <w:rsid w:val="32D50491"/>
    <w:rsid w:val="32F87086"/>
    <w:rsid w:val="33231A83"/>
    <w:rsid w:val="338829EA"/>
    <w:rsid w:val="33EE3E93"/>
    <w:rsid w:val="355A1355"/>
    <w:rsid w:val="35B05894"/>
    <w:rsid w:val="35FE6F21"/>
    <w:rsid w:val="368B78F1"/>
    <w:rsid w:val="37353608"/>
    <w:rsid w:val="38873A73"/>
    <w:rsid w:val="38BE57BC"/>
    <w:rsid w:val="38DD47B4"/>
    <w:rsid w:val="39736669"/>
    <w:rsid w:val="39BF47C3"/>
    <w:rsid w:val="39C01A60"/>
    <w:rsid w:val="39FC7DAF"/>
    <w:rsid w:val="3A127F2E"/>
    <w:rsid w:val="3ABD2283"/>
    <w:rsid w:val="3B721590"/>
    <w:rsid w:val="3BE13D5E"/>
    <w:rsid w:val="3C826C65"/>
    <w:rsid w:val="3CFF6F77"/>
    <w:rsid w:val="3DD516A1"/>
    <w:rsid w:val="3E344619"/>
    <w:rsid w:val="3EF054FD"/>
    <w:rsid w:val="3F9E5AC2"/>
    <w:rsid w:val="41171FD0"/>
    <w:rsid w:val="42814241"/>
    <w:rsid w:val="42DD4DF7"/>
    <w:rsid w:val="43346222"/>
    <w:rsid w:val="45BA3661"/>
    <w:rsid w:val="45C60D19"/>
    <w:rsid w:val="460674A4"/>
    <w:rsid w:val="465A0995"/>
    <w:rsid w:val="47913C32"/>
    <w:rsid w:val="47D6229B"/>
    <w:rsid w:val="47DD7AD0"/>
    <w:rsid w:val="48137378"/>
    <w:rsid w:val="49C32CF5"/>
    <w:rsid w:val="4A0F5F3A"/>
    <w:rsid w:val="4A4C47F2"/>
    <w:rsid w:val="4AAA162C"/>
    <w:rsid w:val="4ACF03B2"/>
    <w:rsid w:val="4C145881"/>
    <w:rsid w:val="4C716A99"/>
    <w:rsid w:val="4D2B49EB"/>
    <w:rsid w:val="4DAC5A55"/>
    <w:rsid w:val="4DDC75BE"/>
    <w:rsid w:val="4E1B16B1"/>
    <w:rsid w:val="4E3C3076"/>
    <w:rsid w:val="4E7F57AD"/>
    <w:rsid w:val="4E911DF7"/>
    <w:rsid w:val="4F286F1D"/>
    <w:rsid w:val="4F7A2EBB"/>
    <w:rsid w:val="508E3FB7"/>
    <w:rsid w:val="50B25872"/>
    <w:rsid w:val="52A44C7E"/>
    <w:rsid w:val="52CF4C21"/>
    <w:rsid w:val="5302377A"/>
    <w:rsid w:val="53FC38AB"/>
    <w:rsid w:val="53FE4AA5"/>
    <w:rsid w:val="54930EB8"/>
    <w:rsid w:val="55913049"/>
    <w:rsid w:val="56811F6E"/>
    <w:rsid w:val="56E878F7"/>
    <w:rsid w:val="579A3099"/>
    <w:rsid w:val="579B705F"/>
    <w:rsid w:val="57E00F16"/>
    <w:rsid w:val="59EF6005"/>
    <w:rsid w:val="5AA001B3"/>
    <w:rsid w:val="5CE26917"/>
    <w:rsid w:val="5D2B3A78"/>
    <w:rsid w:val="5DB133F7"/>
    <w:rsid w:val="5F405F28"/>
    <w:rsid w:val="5F6E7AC0"/>
    <w:rsid w:val="600102F0"/>
    <w:rsid w:val="61DF0827"/>
    <w:rsid w:val="62300C69"/>
    <w:rsid w:val="632046AC"/>
    <w:rsid w:val="637D2162"/>
    <w:rsid w:val="64E075A4"/>
    <w:rsid w:val="65282E9B"/>
    <w:rsid w:val="671F6E1E"/>
    <w:rsid w:val="69C357B9"/>
    <w:rsid w:val="6A78665E"/>
    <w:rsid w:val="6B030D4C"/>
    <w:rsid w:val="6B430FCA"/>
    <w:rsid w:val="6B914E70"/>
    <w:rsid w:val="6E15530A"/>
    <w:rsid w:val="6E386F5E"/>
    <w:rsid w:val="6EEB23E8"/>
    <w:rsid w:val="70D64FF9"/>
    <w:rsid w:val="72195443"/>
    <w:rsid w:val="725437A8"/>
    <w:rsid w:val="7284346E"/>
    <w:rsid w:val="750F712E"/>
    <w:rsid w:val="75BB4D2B"/>
    <w:rsid w:val="76E82A67"/>
    <w:rsid w:val="78184E41"/>
    <w:rsid w:val="789D13DC"/>
    <w:rsid w:val="78F543CA"/>
    <w:rsid w:val="7A6730A5"/>
    <w:rsid w:val="7C741E06"/>
    <w:rsid w:val="7CF130FA"/>
    <w:rsid w:val="7D31058C"/>
    <w:rsid w:val="7F060D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84"/>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qFormat/>
    <w:uiPriority w:val="0"/>
  </w:style>
  <w:style w:type="table" w:default="1" w:styleId="1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customStyle="1" w:styleId="2">
    <w:name w:val="表格文字"/>
    <w:basedOn w:val="1"/>
    <w:qFormat/>
    <w:uiPriority w:val="99"/>
    <w:pPr>
      <w:spacing w:before="25" w:after="25"/>
      <w:jc w:val="left"/>
    </w:pPr>
    <w:rPr>
      <w:bCs/>
      <w:spacing w:val="10"/>
      <w:kern w:val="0"/>
      <w:sz w:val="24"/>
    </w:r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unhideWhenUsed/>
    <w:qFormat/>
    <w:uiPriority w:val="0"/>
    <w:pPr>
      <w:spacing w:after="120"/>
    </w:pPr>
  </w:style>
  <w:style w:type="paragraph" w:styleId="8">
    <w:name w:val="Block Text"/>
    <w:basedOn w:val="1"/>
    <w:qFormat/>
    <w:uiPriority w:val="99"/>
    <w:pPr>
      <w:adjustRightInd w:val="0"/>
      <w:ind w:left="420" w:right="33"/>
      <w:jc w:val="left"/>
      <w:textAlignment w:val="baseline"/>
    </w:pPr>
    <w:rPr>
      <w:kern w:val="0"/>
      <w:szCs w:val="20"/>
    </w:rPr>
  </w:style>
  <w:style w:type="paragraph" w:styleId="9">
    <w:name w:val="Plain Text"/>
    <w:basedOn w:val="1"/>
    <w:next w:val="1"/>
    <w:qFormat/>
    <w:uiPriority w:val="0"/>
    <w:rPr>
      <w:rFonts w:ascii="宋体" w:hAnsi="Courier New"/>
      <w:kern w:val="0"/>
      <w:sz w:val="20"/>
      <w:szCs w:val="21"/>
    </w:rPr>
  </w:style>
  <w:style w:type="paragraph" w:styleId="10">
    <w:name w:val="footer"/>
    <w:next w:val="1"/>
    <w:qFormat/>
    <w:uiPriority w:val="0"/>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11">
    <w:name w:val="toc 1"/>
    <w:basedOn w:val="1"/>
    <w:next w:val="1"/>
    <w:unhideWhenUsed/>
    <w:qFormat/>
    <w:uiPriority w:val="39"/>
  </w:style>
  <w:style w:type="paragraph" w:styleId="12">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character" w:styleId="15">
    <w:name w:val="Hyperlink"/>
    <w:basedOn w:val="14"/>
    <w:qFormat/>
    <w:uiPriority w:val="0"/>
    <w:rPr>
      <w:color w:val="0000FF"/>
      <w:u w:val="single"/>
    </w:rPr>
  </w:style>
  <w:style w:type="paragraph" w:customStyle="1" w:styleId="16">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7">
    <w:name w:val="UserStyle_0"/>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18">
    <w:name w:val="标题 11"/>
    <w:basedOn w:val="1"/>
    <w:next w:val="1"/>
    <w:link w:val="26"/>
    <w:qFormat/>
    <w:uiPriority w:val="0"/>
    <w:pPr>
      <w:keepNext/>
      <w:keepLines/>
      <w:spacing w:before="340" w:after="330" w:line="578" w:lineRule="auto"/>
      <w:outlineLvl w:val="0"/>
    </w:pPr>
    <w:rPr>
      <w:b/>
      <w:bCs/>
      <w:kern w:val="44"/>
      <w:sz w:val="44"/>
      <w:szCs w:val="44"/>
    </w:rPr>
  </w:style>
  <w:style w:type="paragraph" w:customStyle="1" w:styleId="19">
    <w:name w:val="标题 21"/>
    <w:basedOn w:val="1"/>
    <w:next w:val="1"/>
    <w:link w:val="27"/>
    <w:qFormat/>
    <w:uiPriority w:val="0"/>
    <w:pPr>
      <w:keepNext/>
      <w:keepLines/>
      <w:spacing w:before="260" w:after="260" w:line="416" w:lineRule="auto"/>
      <w:outlineLvl w:val="1"/>
    </w:pPr>
    <w:rPr>
      <w:rFonts w:ascii="Cambria" w:hAnsi="Cambria"/>
      <w:b/>
      <w:bCs/>
      <w:sz w:val="32"/>
      <w:szCs w:val="32"/>
    </w:rPr>
  </w:style>
  <w:style w:type="paragraph" w:customStyle="1" w:styleId="20">
    <w:name w:val="标题 41"/>
    <w:basedOn w:val="1"/>
    <w:next w:val="1"/>
    <w:qFormat/>
    <w:uiPriority w:val="9"/>
    <w:pPr>
      <w:keepNext/>
      <w:keepLines/>
      <w:spacing w:line="360" w:lineRule="auto"/>
      <w:outlineLvl w:val="3"/>
    </w:pPr>
    <w:rPr>
      <w:rFonts w:ascii="Arial" w:hAnsi="Arial"/>
      <w:b/>
      <w:bCs/>
      <w:szCs w:val="28"/>
    </w:rPr>
  </w:style>
  <w:style w:type="paragraph" w:customStyle="1" w:styleId="21">
    <w:name w:val="标题 51"/>
    <w:basedOn w:val="1"/>
    <w:next w:val="22"/>
    <w:link w:val="28"/>
    <w:qFormat/>
    <w:uiPriority w:val="0"/>
    <w:pPr>
      <w:keepNext/>
      <w:keepLines/>
      <w:spacing w:before="280" w:after="290" w:line="376" w:lineRule="auto"/>
      <w:outlineLvl w:val="4"/>
    </w:pPr>
    <w:rPr>
      <w:b/>
      <w:bCs/>
      <w:sz w:val="28"/>
      <w:szCs w:val="28"/>
    </w:rPr>
  </w:style>
  <w:style w:type="paragraph" w:customStyle="1" w:styleId="22">
    <w:name w:val="正文缩进1"/>
    <w:basedOn w:val="1"/>
    <w:qFormat/>
    <w:uiPriority w:val="0"/>
    <w:pPr>
      <w:ind w:firstLine="420"/>
    </w:pPr>
    <w:rPr>
      <w:szCs w:val="20"/>
    </w:rPr>
  </w:style>
  <w:style w:type="paragraph" w:customStyle="1" w:styleId="23">
    <w:name w:val="标题 81"/>
    <w:basedOn w:val="1"/>
    <w:next w:val="1"/>
    <w:link w:val="29"/>
    <w:qFormat/>
    <w:uiPriority w:val="0"/>
    <w:pPr>
      <w:keepNext/>
      <w:keepLines/>
      <w:spacing w:before="240" w:after="64" w:line="320" w:lineRule="auto"/>
      <w:outlineLvl w:val="7"/>
    </w:pPr>
    <w:rPr>
      <w:rFonts w:ascii="等线 Light" w:hAnsi="等线 Light" w:eastAsia="等线 Light"/>
      <w:sz w:val="24"/>
    </w:rPr>
  </w:style>
  <w:style w:type="character" w:customStyle="1" w:styleId="24">
    <w:name w:val="默认段落字体1"/>
    <w:link w:val="1"/>
    <w:unhideWhenUsed/>
    <w:qFormat/>
    <w:uiPriority w:val="1"/>
  </w:style>
  <w:style w:type="table" w:customStyle="1" w:styleId="25">
    <w:name w:val="普通表格1"/>
    <w:unhideWhenUsed/>
    <w:qFormat/>
    <w:uiPriority w:val="99"/>
    <w:tblPr>
      <w:tblCellMar>
        <w:top w:w="0" w:type="dxa"/>
        <w:left w:w="108" w:type="dxa"/>
        <w:bottom w:w="0" w:type="dxa"/>
        <w:right w:w="108" w:type="dxa"/>
      </w:tblCellMar>
    </w:tblPr>
  </w:style>
  <w:style w:type="character" w:customStyle="1" w:styleId="26">
    <w:name w:val="标题 1 Char"/>
    <w:link w:val="18"/>
    <w:qFormat/>
    <w:uiPriority w:val="0"/>
    <w:rPr>
      <w:rFonts w:ascii="Times New Roman" w:hAnsi="Times New Roman" w:eastAsia="宋体" w:cs="Times New Roman"/>
      <w:b/>
      <w:bCs/>
      <w:kern w:val="44"/>
      <w:sz w:val="44"/>
      <w:szCs w:val="44"/>
    </w:rPr>
  </w:style>
  <w:style w:type="character" w:customStyle="1" w:styleId="27">
    <w:name w:val="标题 2 Char1"/>
    <w:link w:val="19"/>
    <w:qFormat/>
    <w:uiPriority w:val="0"/>
    <w:rPr>
      <w:rFonts w:ascii="Cambria" w:hAnsi="Cambria" w:eastAsia="宋体" w:cs="Times New Roman"/>
      <w:b/>
      <w:bCs/>
      <w:kern w:val="2"/>
      <w:sz w:val="32"/>
      <w:szCs w:val="32"/>
    </w:rPr>
  </w:style>
  <w:style w:type="character" w:customStyle="1" w:styleId="28">
    <w:name w:val="标题 5 Char"/>
    <w:link w:val="21"/>
    <w:qFormat/>
    <w:uiPriority w:val="0"/>
    <w:rPr>
      <w:rFonts w:ascii="Times New Roman" w:hAnsi="Times New Roman" w:eastAsia="宋体" w:cs="Times New Roman"/>
      <w:b/>
      <w:bCs/>
      <w:kern w:val="2"/>
      <w:sz w:val="28"/>
      <w:szCs w:val="28"/>
    </w:rPr>
  </w:style>
  <w:style w:type="character" w:customStyle="1" w:styleId="29">
    <w:name w:val="标题 8 Char1"/>
    <w:link w:val="23"/>
    <w:qFormat/>
    <w:uiPriority w:val="0"/>
    <w:rPr>
      <w:rFonts w:ascii="等线 Light" w:hAnsi="等线 Light" w:eastAsia="等线 Light" w:cs="Times New Roman"/>
      <w:kern w:val="2"/>
      <w:sz w:val="24"/>
      <w:szCs w:val="24"/>
    </w:rPr>
  </w:style>
  <w:style w:type="paragraph" w:customStyle="1" w:styleId="30">
    <w:name w:val="列表编号1"/>
    <w:basedOn w:val="1"/>
    <w:qFormat/>
    <w:uiPriority w:val="0"/>
    <w:pPr>
      <w:widowControl/>
      <w:tabs>
        <w:tab w:val="left" w:pos="454"/>
        <w:tab w:val="left" w:pos="720"/>
        <w:tab w:val="left" w:pos="840"/>
      </w:tabs>
      <w:ind w:left="454" w:hanging="284"/>
      <w:jc w:val="left"/>
    </w:pPr>
    <w:rPr>
      <w:kern w:val="0"/>
      <w:sz w:val="24"/>
      <w:szCs w:val="20"/>
    </w:rPr>
  </w:style>
  <w:style w:type="paragraph" w:customStyle="1" w:styleId="31">
    <w:name w:val="批注文字1"/>
    <w:basedOn w:val="1"/>
    <w:link w:val="32"/>
    <w:qFormat/>
    <w:uiPriority w:val="0"/>
    <w:pPr>
      <w:jc w:val="left"/>
    </w:pPr>
  </w:style>
  <w:style w:type="character" w:customStyle="1" w:styleId="32">
    <w:name w:val="批注文字 Char1"/>
    <w:link w:val="31"/>
    <w:qFormat/>
    <w:uiPriority w:val="0"/>
    <w:rPr>
      <w:rFonts w:ascii="Times New Roman" w:hAnsi="Times New Roman" w:eastAsia="宋体" w:cs="Times New Roman"/>
      <w:kern w:val="2"/>
      <w:sz w:val="21"/>
      <w:szCs w:val="24"/>
    </w:rPr>
  </w:style>
  <w:style w:type="paragraph" w:customStyle="1" w:styleId="33">
    <w:name w:val="正文文本 31"/>
    <w:basedOn w:val="1"/>
    <w:link w:val="34"/>
    <w:qFormat/>
    <w:uiPriority w:val="0"/>
    <w:pPr>
      <w:spacing w:after="120"/>
    </w:pPr>
    <w:rPr>
      <w:sz w:val="16"/>
      <w:szCs w:val="16"/>
    </w:rPr>
  </w:style>
  <w:style w:type="character" w:customStyle="1" w:styleId="34">
    <w:name w:val="正文文本 3 Char"/>
    <w:link w:val="33"/>
    <w:qFormat/>
    <w:uiPriority w:val="0"/>
    <w:rPr>
      <w:rFonts w:ascii="Times New Roman" w:hAnsi="Times New Roman" w:eastAsia="宋体" w:cs="Times New Roman"/>
      <w:kern w:val="2"/>
      <w:sz w:val="16"/>
      <w:szCs w:val="16"/>
    </w:rPr>
  </w:style>
  <w:style w:type="paragraph" w:customStyle="1" w:styleId="35">
    <w:name w:val="正文文本1"/>
    <w:basedOn w:val="1"/>
    <w:link w:val="36"/>
    <w:qFormat/>
    <w:uiPriority w:val="0"/>
    <w:pPr>
      <w:spacing w:after="120"/>
    </w:pPr>
  </w:style>
  <w:style w:type="character" w:customStyle="1" w:styleId="36">
    <w:name w:val="正文文本 Char1"/>
    <w:link w:val="35"/>
    <w:qFormat/>
    <w:uiPriority w:val="0"/>
    <w:rPr>
      <w:rFonts w:ascii="Times New Roman" w:hAnsi="Times New Roman" w:eastAsia="宋体" w:cs="Times New Roman"/>
      <w:kern w:val="2"/>
      <w:sz w:val="21"/>
      <w:szCs w:val="24"/>
    </w:rPr>
  </w:style>
  <w:style w:type="paragraph" w:customStyle="1" w:styleId="37">
    <w:name w:val="正文文本缩进1"/>
    <w:basedOn w:val="1"/>
    <w:link w:val="38"/>
    <w:qFormat/>
    <w:uiPriority w:val="0"/>
    <w:pPr>
      <w:ind w:firstLine="830" w:firstLineChars="352"/>
    </w:pPr>
    <w:rPr>
      <w:rFonts w:ascii="仿宋_GB2312" w:eastAsia="仿宋_GB2312"/>
      <w:kern w:val="0"/>
      <w:sz w:val="32"/>
      <w:szCs w:val="20"/>
    </w:rPr>
  </w:style>
  <w:style w:type="character" w:customStyle="1" w:styleId="38">
    <w:name w:val="正文文本缩进 Char"/>
    <w:link w:val="37"/>
    <w:qFormat/>
    <w:uiPriority w:val="0"/>
    <w:rPr>
      <w:rFonts w:ascii="仿宋_GB2312" w:hAnsi="Times New Roman" w:eastAsia="仿宋_GB2312" w:cs="Times New Roman"/>
      <w:sz w:val="32"/>
      <w:szCs w:val="20"/>
    </w:rPr>
  </w:style>
  <w:style w:type="paragraph" w:customStyle="1" w:styleId="39">
    <w:name w:val="列表 21"/>
    <w:basedOn w:val="1"/>
    <w:qFormat/>
    <w:uiPriority w:val="0"/>
    <w:pPr>
      <w:ind w:left="100" w:leftChars="200" w:hanging="200" w:hangingChars="200"/>
      <w:contextualSpacing/>
    </w:pPr>
  </w:style>
  <w:style w:type="paragraph" w:customStyle="1" w:styleId="40">
    <w:name w:val="纯文本1"/>
    <w:basedOn w:val="1"/>
    <w:link w:val="41"/>
    <w:qFormat/>
    <w:uiPriority w:val="0"/>
    <w:rPr>
      <w:rFonts w:ascii="宋体" w:hAnsi="Courier New"/>
      <w:kern w:val="0"/>
      <w:sz w:val="20"/>
      <w:szCs w:val="21"/>
    </w:rPr>
  </w:style>
  <w:style w:type="character" w:customStyle="1" w:styleId="41">
    <w:name w:val="纯文本 Char1"/>
    <w:link w:val="40"/>
    <w:qFormat/>
    <w:uiPriority w:val="0"/>
    <w:rPr>
      <w:rFonts w:ascii="宋体" w:hAnsi="Courier New" w:eastAsia="宋体" w:cs="Courier New"/>
      <w:szCs w:val="21"/>
    </w:rPr>
  </w:style>
  <w:style w:type="paragraph" w:customStyle="1" w:styleId="42">
    <w:name w:val="日期1"/>
    <w:basedOn w:val="1"/>
    <w:next w:val="1"/>
    <w:link w:val="43"/>
    <w:qFormat/>
    <w:uiPriority w:val="0"/>
    <w:pPr>
      <w:ind w:left="100" w:leftChars="2500"/>
    </w:pPr>
  </w:style>
  <w:style w:type="character" w:customStyle="1" w:styleId="43">
    <w:name w:val="日期 Char"/>
    <w:link w:val="42"/>
    <w:qFormat/>
    <w:uiPriority w:val="0"/>
    <w:rPr>
      <w:rFonts w:ascii="Times New Roman" w:hAnsi="Times New Roman" w:eastAsia="宋体" w:cs="Times New Roman"/>
      <w:kern w:val="2"/>
      <w:sz w:val="21"/>
      <w:szCs w:val="24"/>
    </w:rPr>
  </w:style>
  <w:style w:type="paragraph" w:customStyle="1" w:styleId="44">
    <w:name w:val="批注框文本1"/>
    <w:basedOn w:val="1"/>
    <w:qFormat/>
    <w:uiPriority w:val="0"/>
    <w:rPr>
      <w:sz w:val="18"/>
      <w:szCs w:val="18"/>
    </w:rPr>
  </w:style>
  <w:style w:type="paragraph" w:customStyle="1" w:styleId="45">
    <w:name w:val="页脚1"/>
    <w:basedOn w:val="1"/>
    <w:link w:val="46"/>
    <w:qFormat/>
    <w:uiPriority w:val="0"/>
    <w:pPr>
      <w:tabs>
        <w:tab w:val="center" w:pos="4153"/>
        <w:tab w:val="right" w:pos="8306"/>
      </w:tabs>
      <w:jc w:val="left"/>
    </w:pPr>
    <w:rPr>
      <w:kern w:val="0"/>
      <w:sz w:val="18"/>
      <w:szCs w:val="18"/>
    </w:rPr>
  </w:style>
  <w:style w:type="character" w:customStyle="1" w:styleId="46">
    <w:name w:val="页脚 Char"/>
    <w:link w:val="45"/>
    <w:qFormat/>
    <w:uiPriority w:val="0"/>
    <w:rPr>
      <w:rFonts w:ascii="Times New Roman" w:hAnsi="Times New Roman" w:eastAsia="宋体" w:cs="Times New Roman"/>
      <w:sz w:val="18"/>
      <w:szCs w:val="18"/>
    </w:rPr>
  </w:style>
  <w:style w:type="paragraph" w:customStyle="1" w:styleId="47">
    <w:name w:val="页眉1"/>
    <w:basedOn w:val="1"/>
    <w:link w:val="48"/>
    <w:qFormat/>
    <w:uiPriority w:val="0"/>
    <w:pPr>
      <w:pBdr>
        <w:bottom w:val="single" w:color="auto" w:sz="6" w:space="1"/>
      </w:pBdr>
      <w:tabs>
        <w:tab w:val="center" w:pos="4153"/>
        <w:tab w:val="right" w:pos="8306"/>
      </w:tabs>
      <w:jc w:val="center"/>
    </w:pPr>
    <w:rPr>
      <w:kern w:val="0"/>
      <w:sz w:val="18"/>
      <w:szCs w:val="18"/>
    </w:rPr>
  </w:style>
  <w:style w:type="character" w:customStyle="1" w:styleId="48">
    <w:name w:val="页眉 Char"/>
    <w:link w:val="47"/>
    <w:qFormat/>
    <w:uiPriority w:val="0"/>
    <w:rPr>
      <w:rFonts w:ascii="Times New Roman" w:hAnsi="Times New Roman" w:eastAsia="宋体" w:cs="Times New Roman"/>
      <w:sz w:val="18"/>
      <w:szCs w:val="18"/>
    </w:rPr>
  </w:style>
  <w:style w:type="paragraph" w:customStyle="1" w:styleId="49">
    <w:name w:val="目录 11"/>
    <w:basedOn w:val="1"/>
    <w:next w:val="1"/>
    <w:qFormat/>
    <w:uiPriority w:val="0"/>
  </w:style>
  <w:style w:type="paragraph" w:customStyle="1" w:styleId="50">
    <w:name w:val="目录 21"/>
    <w:basedOn w:val="1"/>
    <w:next w:val="1"/>
    <w:qFormat/>
    <w:uiPriority w:val="0"/>
    <w:pPr>
      <w:tabs>
        <w:tab w:val="right" w:leader="dot" w:pos="8296"/>
      </w:tabs>
      <w:ind w:left="420" w:leftChars="200"/>
    </w:pPr>
  </w:style>
  <w:style w:type="paragraph" w:customStyle="1" w:styleId="51">
    <w:name w:val="HTML 预设格式1"/>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customStyle="1" w:styleId="52">
    <w:name w:val="普通(网站)1"/>
    <w:basedOn w:val="1"/>
    <w:qFormat/>
    <w:uiPriority w:val="0"/>
    <w:rPr>
      <w:rFonts w:ascii="Calibri" w:hAnsi="Calibri"/>
      <w:kern w:val="0"/>
      <w:sz w:val="24"/>
    </w:rPr>
  </w:style>
  <w:style w:type="paragraph" w:customStyle="1" w:styleId="53">
    <w:name w:val="标题1"/>
    <w:basedOn w:val="1"/>
    <w:next w:val="1"/>
    <w:qFormat/>
    <w:uiPriority w:val="0"/>
    <w:pPr>
      <w:suppressAutoHyphens/>
      <w:spacing w:before="240" w:after="60"/>
      <w:jc w:val="center"/>
      <w:outlineLvl w:val="0"/>
    </w:pPr>
    <w:rPr>
      <w:rFonts w:ascii="Arial" w:hAnsi="Arial" w:cs="宋体"/>
      <w:b/>
      <w:sz w:val="32"/>
    </w:rPr>
  </w:style>
  <w:style w:type="paragraph" w:customStyle="1" w:styleId="54">
    <w:name w:val="批注主题1"/>
    <w:basedOn w:val="31"/>
    <w:next w:val="31"/>
    <w:link w:val="55"/>
    <w:qFormat/>
    <w:uiPriority w:val="0"/>
    <w:rPr>
      <w:b/>
      <w:bCs/>
    </w:rPr>
  </w:style>
  <w:style w:type="character" w:customStyle="1" w:styleId="55">
    <w:name w:val="批注主题 Char"/>
    <w:link w:val="54"/>
    <w:qFormat/>
    <w:uiPriority w:val="0"/>
    <w:rPr>
      <w:rFonts w:ascii="Times New Roman" w:hAnsi="Times New Roman" w:eastAsia="宋体" w:cs="Times New Roman"/>
      <w:b/>
      <w:bCs/>
      <w:kern w:val="2"/>
      <w:sz w:val="21"/>
      <w:szCs w:val="24"/>
    </w:rPr>
  </w:style>
  <w:style w:type="table" w:customStyle="1" w:styleId="56">
    <w:name w:val="网格型1"/>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要点1"/>
    <w:basedOn w:val="24"/>
    <w:link w:val="1"/>
    <w:qFormat/>
    <w:uiPriority w:val="0"/>
    <w:rPr>
      <w:b/>
    </w:rPr>
  </w:style>
  <w:style w:type="character" w:customStyle="1" w:styleId="58">
    <w:name w:val="尾注引用1"/>
    <w:link w:val="1"/>
    <w:qFormat/>
    <w:uiPriority w:val="0"/>
    <w:rPr>
      <w:rFonts w:ascii="Times New Roman" w:hAnsi="Times New Roman" w:eastAsia="宋体" w:cs="Times New Roman"/>
      <w:vertAlign w:val="superscript"/>
    </w:rPr>
  </w:style>
  <w:style w:type="character" w:customStyle="1" w:styleId="59">
    <w:name w:val="超链接1"/>
    <w:link w:val="1"/>
    <w:qFormat/>
    <w:uiPriority w:val="0"/>
    <w:rPr>
      <w:rFonts w:ascii="Times New Roman" w:hAnsi="Times New Roman" w:eastAsia="宋体" w:cs="Times New Roman"/>
      <w:color w:val="0000FF"/>
      <w:u w:val="single"/>
    </w:rPr>
  </w:style>
  <w:style w:type="character" w:customStyle="1" w:styleId="60">
    <w:name w:val="批注引用1"/>
    <w:link w:val="1"/>
    <w:qFormat/>
    <w:uiPriority w:val="0"/>
    <w:rPr>
      <w:rFonts w:ascii="Times New Roman" w:hAnsi="Times New Roman" w:eastAsia="宋体" w:cs="Times New Roman"/>
      <w:sz w:val="21"/>
      <w:szCs w:val="21"/>
    </w:rPr>
  </w:style>
  <w:style w:type="character" w:customStyle="1" w:styleId="61">
    <w:name w:val="HTML 样本1"/>
    <w:basedOn w:val="24"/>
    <w:link w:val="1"/>
    <w:unhideWhenUsed/>
    <w:qFormat/>
    <w:uiPriority w:val="99"/>
    <w:rPr>
      <w:rFonts w:ascii="Courier New" w:hAnsi="Courier New"/>
    </w:rPr>
  </w:style>
  <w:style w:type="character" w:customStyle="1" w:styleId="62">
    <w:name w:val="NormalCharacter1"/>
    <w:link w:val="1"/>
    <w:qFormat/>
    <w:uiPriority w:val="0"/>
    <w:rPr>
      <w:rFonts w:ascii="Times New Roman" w:hAnsi="Times New Roman" w:eastAsia="宋体" w:cs="Times New Roman"/>
    </w:rPr>
  </w:style>
  <w:style w:type="character" w:customStyle="1" w:styleId="63">
    <w:name w:val="正文2 Char Char"/>
    <w:link w:val="64"/>
    <w:qFormat/>
    <w:uiPriority w:val="0"/>
    <w:rPr>
      <w:rFonts w:ascii="Times New Roman" w:hAnsi="Times New Roman" w:eastAsia="宋体" w:cs="Times New Roman"/>
      <w:kern w:val="2"/>
      <w:sz w:val="24"/>
    </w:rPr>
  </w:style>
  <w:style w:type="paragraph" w:customStyle="1" w:styleId="64">
    <w:name w:val="正文2"/>
    <w:basedOn w:val="1"/>
    <w:link w:val="63"/>
    <w:qFormat/>
    <w:uiPriority w:val="0"/>
    <w:pPr>
      <w:spacing w:before="156" w:line="360" w:lineRule="auto"/>
      <w:ind w:firstLine="510" w:firstLineChars="200"/>
    </w:pPr>
    <w:rPr>
      <w:sz w:val="24"/>
      <w:szCs w:val="20"/>
    </w:rPr>
  </w:style>
  <w:style w:type="character" w:customStyle="1" w:styleId="65">
    <w:name w:val="标题 1 字符1"/>
    <w:link w:val="1"/>
    <w:qFormat/>
    <w:uiPriority w:val="0"/>
    <w:rPr>
      <w:rFonts w:ascii="Times New Roman" w:hAnsi="Times New Roman" w:eastAsia="宋体" w:cs="Times New Roman"/>
      <w:b/>
      <w:bCs/>
      <w:kern w:val="44"/>
      <w:sz w:val="44"/>
      <w:szCs w:val="44"/>
    </w:rPr>
  </w:style>
  <w:style w:type="character" w:customStyle="1" w:styleId="66">
    <w:name w:val="textcontents"/>
    <w:link w:val="1"/>
    <w:qFormat/>
    <w:uiPriority w:val="0"/>
    <w:rPr>
      <w:rFonts w:ascii="Times New Roman" w:hAnsi="Times New Roman" w:eastAsia="宋体" w:cs="Times New Roman"/>
    </w:rPr>
  </w:style>
  <w:style w:type="character" w:customStyle="1" w:styleId="67">
    <w:name w:val="批注文字 Char"/>
    <w:link w:val="1"/>
    <w:qFormat/>
    <w:uiPriority w:val="0"/>
    <w:rPr>
      <w:rFonts w:ascii="Times New Roman" w:hAnsi="Times New Roman" w:eastAsia="宋体" w:cs="Times New Roman"/>
      <w:kern w:val="2"/>
      <w:sz w:val="21"/>
      <w:szCs w:val="24"/>
    </w:rPr>
  </w:style>
  <w:style w:type="character" w:customStyle="1" w:styleId="68">
    <w:name w:val="纯文本 字符"/>
    <w:link w:val="1"/>
    <w:qFormat/>
    <w:uiPriority w:val="0"/>
    <w:rPr>
      <w:rFonts w:ascii="宋体" w:hAnsi="Courier New" w:eastAsia="宋体" w:cs="Courier New"/>
      <w:szCs w:val="21"/>
    </w:rPr>
  </w:style>
  <w:style w:type="character" w:customStyle="1" w:styleId="69">
    <w:name w:val="纯文本 Char"/>
    <w:link w:val="1"/>
    <w:qFormat/>
    <w:uiPriority w:val="0"/>
    <w:rPr>
      <w:rFonts w:ascii="宋体" w:hAnsi="Courier New" w:eastAsia="宋体" w:cs="Courier New"/>
      <w:szCs w:val="21"/>
    </w:rPr>
  </w:style>
  <w:style w:type="character" w:customStyle="1" w:styleId="70">
    <w:name w:val="纯文本 字符2"/>
    <w:link w:val="1"/>
    <w:qFormat/>
    <w:uiPriority w:val="0"/>
    <w:rPr>
      <w:rFonts w:ascii="宋体" w:hAnsi="Courier New" w:eastAsia="宋体" w:cs="Courier New"/>
      <w:szCs w:val="21"/>
    </w:rPr>
  </w:style>
  <w:style w:type="character" w:customStyle="1" w:styleId="71">
    <w:name w:val="批注文字 字符1"/>
    <w:link w:val="1"/>
    <w:qFormat/>
    <w:uiPriority w:val="0"/>
    <w:rPr>
      <w:rFonts w:ascii="Times New Roman" w:hAnsi="Times New Roman" w:eastAsia="宋体" w:cs="Times New Roman"/>
      <w:kern w:val="2"/>
      <w:sz w:val="21"/>
      <w:szCs w:val="24"/>
    </w:rPr>
  </w:style>
  <w:style w:type="character" w:customStyle="1" w:styleId="72">
    <w:name w:val="正文文本 (26) + 间距 0 pt"/>
    <w:link w:val="1"/>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3">
    <w:name w:val="纯文本 字符1"/>
    <w:link w:val="1"/>
    <w:qFormat/>
    <w:uiPriority w:val="0"/>
    <w:rPr>
      <w:rFonts w:ascii="宋体" w:hAnsi="Courier New" w:eastAsia="宋体" w:cs="Times New Roman"/>
    </w:rPr>
  </w:style>
  <w:style w:type="character" w:customStyle="1" w:styleId="74">
    <w:name w:val="正文文本 Char"/>
    <w:link w:val="1"/>
    <w:qFormat/>
    <w:uiPriority w:val="0"/>
    <w:rPr>
      <w:rFonts w:ascii="Times New Roman" w:hAnsi="Times New Roman" w:eastAsia="宋体" w:cs="Times New Roman"/>
      <w:kern w:val="2"/>
      <w:sz w:val="21"/>
      <w:szCs w:val="24"/>
    </w:rPr>
  </w:style>
  <w:style w:type="character" w:customStyle="1" w:styleId="75">
    <w:name w:val="批注文字 字符"/>
    <w:link w:val="1"/>
    <w:qFormat/>
    <w:uiPriority w:val="0"/>
    <w:rPr>
      <w:rFonts w:ascii="Times New Roman" w:hAnsi="Times New Roman" w:eastAsia="宋体" w:cs="Times New Roman"/>
      <w:kern w:val="2"/>
      <w:sz w:val="21"/>
      <w:szCs w:val="24"/>
    </w:rPr>
  </w:style>
  <w:style w:type="character" w:customStyle="1" w:styleId="76">
    <w:name w:val="标题 2 Char"/>
    <w:link w:val="1"/>
    <w:qFormat/>
    <w:uiPriority w:val="0"/>
    <w:rPr>
      <w:rFonts w:ascii="Cambria" w:hAnsi="Cambria" w:eastAsia="宋体" w:cs="Times New Roman"/>
      <w:b/>
      <w:bCs/>
      <w:kern w:val="2"/>
      <w:sz w:val="32"/>
      <w:szCs w:val="32"/>
    </w:rPr>
  </w:style>
  <w:style w:type="character" w:customStyle="1" w:styleId="77">
    <w:name w:val="标题 8 Char"/>
    <w:link w:val="1"/>
    <w:qFormat/>
    <w:uiPriority w:val="0"/>
    <w:rPr>
      <w:rFonts w:ascii="Arial" w:hAnsi="Arial" w:eastAsia="黑体" w:cs="Times New Roman"/>
      <w:kern w:val="2"/>
      <w:sz w:val="24"/>
      <w:szCs w:val="24"/>
    </w:rPr>
  </w:style>
  <w:style w:type="character" w:customStyle="1" w:styleId="78">
    <w:name w:val="apple-style-span"/>
    <w:link w:val="1"/>
    <w:qFormat/>
    <w:uiPriority w:val="0"/>
    <w:rPr>
      <w:rFonts w:ascii="Times New Roman" w:hAnsi="Times New Roman" w:eastAsia="宋体" w:cs="Times New Roman"/>
    </w:rPr>
  </w:style>
  <w:style w:type="paragraph" w:customStyle="1" w:styleId="79">
    <w:name w:val="默认段落字体 Para Char Char Char Char Char Char Char Char Char1 Char Char Char Char"/>
    <w:basedOn w:val="1"/>
    <w:qFormat/>
    <w:uiPriority w:val="0"/>
    <w:rPr>
      <w:rFonts w:ascii="Tahoma" w:hAnsi="Tahoma"/>
      <w:sz w:val="24"/>
      <w:szCs w:val="20"/>
    </w:rPr>
  </w:style>
  <w:style w:type="paragraph" w:customStyle="1" w:styleId="80">
    <w:name w:val="表内文字"/>
    <w:basedOn w:val="1"/>
    <w:qFormat/>
    <w:uiPriority w:val="0"/>
    <w:pPr>
      <w:spacing w:before="50" w:after="50"/>
      <w:jc w:val="center"/>
    </w:pPr>
    <w:rPr>
      <w:rFonts w:ascii="仿宋_GB2312" w:hAnsi="宋体" w:eastAsia="仿宋_GB2312"/>
      <w:b/>
      <w:color w:val="000000"/>
      <w:sz w:val="32"/>
      <w:szCs w:val="32"/>
    </w:rPr>
  </w:style>
  <w:style w:type="paragraph" w:styleId="81">
    <w:name w:val="List Paragraph"/>
    <w:basedOn w:val="1"/>
    <w:qFormat/>
    <w:uiPriority w:val="0"/>
    <w:pPr>
      <w:ind w:firstLine="420" w:firstLineChars="200"/>
    </w:pPr>
  </w:style>
  <w:style w:type="paragraph" w:customStyle="1" w:styleId="82">
    <w:name w:val="Table Paragraph"/>
    <w:basedOn w:val="1"/>
    <w:qFormat/>
    <w:uiPriority w:val="0"/>
    <w:pPr>
      <w:jc w:val="left"/>
    </w:pPr>
    <w:rPr>
      <w:rFonts w:ascii="Calibri" w:hAnsi="Calibri"/>
      <w:kern w:val="0"/>
      <w:sz w:val="22"/>
      <w:szCs w:val="22"/>
      <w:lang w:eastAsia="en-US"/>
    </w:rPr>
  </w:style>
  <w:style w:type="character" w:customStyle="1" w:styleId="83">
    <w:name w:val="正文文本 字符"/>
    <w:link w:val="1"/>
    <w:qFormat/>
    <w:uiPriority w:val="0"/>
    <w:rPr>
      <w:rFonts w:ascii="Times New Roman" w:hAnsi="Times New Roman" w:eastAsia="宋体" w:cs="Times New Roman"/>
      <w:kern w:val="2"/>
      <w:sz w:val="21"/>
      <w:szCs w:val="24"/>
    </w:rPr>
  </w:style>
  <w:style w:type="character" w:customStyle="1" w:styleId="84">
    <w:name w:val="批注文字 Char2"/>
    <w:link w:val="1"/>
    <w:qFormat/>
    <w:uiPriority w:val="0"/>
    <w:rPr>
      <w:rFonts w:ascii="Times New Roman" w:hAnsi="Times New Roman" w:eastAsia="宋体" w:cs="Times New Roman"/>
      <w:kern w:val="2"/>
      <w:sz w:val="21"/>
      <w:szCs w:val="24"/>
    </w:rPr>
  </w:style>
  <w:style w:type="table" w:customStyle="1" w:styleId="85">
    <w:name w:val="网格型2"/>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6">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https://www.gov.cn/zhengce/content/202509/W020250930645245947614.png" TargetMode="External"/><Relationship Id="rId16" Type="http://schemas.openxmlformats.org/officeDocument/2006/relationships/image" Target="media/image3.pn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c3580698-eb4b-4060-b1df-b0dd19b561e7</errorID>
      <errorWord>/）</errorWord>
      <group>L1_Punc</group>
      <groupName>标点问题</groupName>
      <ability>L2_Punc</ability>
      <abilityName>标点符号检查</abilityName>
      <candidateList>
        <item>）</item>
      </candidateList>
      <explain/>
      <paraID> 545063A</paraID>
      <start>68</start>
      <end>70</end>
      <status>unmodified</status>
      <modifiedWord/>
      <trackRevisions>false</trackRevisions>
    </reviewItem>
    <reviewItem>
      <errorID>16d1c357-cc88-42d7-97ed-456c63e5e13c</errorID>
      <errorWord>/）</errorWord>
      <group>L1_Punc</group>
      <groupName>标点问题</groupName>
      <ability>L2_Punc</ability>
      <abilityName>标点符号检查</abilityName>
      <candidateList>
        <item>）</item>
      </candidateList>
      <explain/>
      <paraID>65814E0C</paraID>
      <start>45</start>
      <end>47</end>
      <status>unmodified</status>
      <modifiedWord/>
      <trackRevisions>false</trackRevisions>
    </reviewItem>
    <reviewItem>
      <errorID>32049ba2-b4d2-4a18-8d01-d2264edfbba7</errorID>
      <errorWord>/）</errorWord>
      <group>L1_Punc</group>
      <groupName>标点问题</groupName>
      <ability>L2_Punc</ability>
      <abilityName>标点符号检查</abilityName>
      <candidateList>
        <item>）</item>
      </candidateList>
      <explain/>
      <paraID>5B239F43</paraID>
      <start>68</start>
      <end>70</end>
      <status>unmodified</status>
      <modifiedWord/>
      <trackRevisions>false</trackRevisions>
    </reviewItem>
    <reviewItem>
      <errorID>cbfaf9c4-474f-405a-a18b-971d0c93465f</errorID>
      <errorWord>-</errorWord>
      <group>L1_Format</group>
      <groupName>格式问题</groupName>
      <ability>L2_HalfPunc</ability>
      <abilityName>全半角检查</abilityName>
      <candidateList>
        <item>－</item>
      </candidateList>
      <explain>文本全半角错误。</explain>
      <paraID>5B239F43</paraID>
      <start>70</start>
      <end>71</end>
      <status>unmodified</status>
      <modifiedWord/>
      <trackRevisions>false</trackRevisions>
    </reviewItem>
    <reviewItem>
      <errorID>28a3e16c-a253-4e1b-94d9-9fd3a78802b2</errorID>
      <errorWord>/）</errorWord>
      <group>L1_Punc</group>
      <groupName>标点问题</groupName>
      <ability>L2_Punc</ability>
      <abilityName>标点符号检查</abilityName>
      <candidateList>
        <item>）</item>
      </candidateList>
      <explain/>
      <paraID>2085FB68</paraID>
      <start>45</start>
      <end>47</end>
      <status>unmodified</status>
      <modifiedWord/>
      <trackRevisions>false</trackRevisions>
    </reviewItem>
    <reviewItem>
      <errorID>f6329c4c-362f-4b1f-980c-f3a880d4f345</errorID>
      <errorWord>/）</errorWord>
      <group>L1_Punc</group>
      <groupName>标点问题</groupName>
      <ability>L2_Punc</ability>
      <abilityName>标点符号检查</abilityName>
      <candidateList>
        <item>）</item>
      </candidateList>
      <explain/>
      <paraID>6602BA81</paraID>
      <start>39</start>
      <end>41</end>
      <status>unmodified</status>
      <modifiedWord/>
      <trackRevisions>false</trackRevisions>
    </reviewItem>
    <reviewItem>
      <errorID>ca44a905-cddd-4f30-be92-9d8dda726b7b</errorID>
      <errorWord>/）</errorWord>
      <group>L1_Punc</group>
      <groupName>标点问题</groupName>
      <ability>L2_Punc</ability>
      <abilityName>标点符号检查</abilityName>
      <candidateList>
        <item>）</item>
      </candidateList>
      <explain/>
      <paraID>6602BA81</paraID>
      <start>85</start>
      <end>87</end>
      <status>unmodified</status>
      <modifiedWord/>
      <trackRevisions>false</trackRevisions>
    </reviewItem>
    <reviewItem>
      <errorID>ad0c07ca-a890-459f-85c5-1af781140a5e</errorID>
      <errorWord>(</errorWord>
      <group>L1_Format</group>
      <groupName>格式问题</groupName>
      <ability>L2_HalfPunc</ability>
      <abilityName>全半角检查</abilityName>
      <candidateList>
        <item>（</item>
      </candidateList>
      <explain>文本全半角错误。</explain>
      <paraID>6602BA81</paraID>
      <start>98</start>
      <end>99</end>
      <status>unmodified</status>
      <modifiedWord/>
      <trackRevisions>false</trackRevisions>
    </reviewItem>
    <reviewItem>
      <errorID>90b41a1a-bbc8-4199-911d-8e8f39e31f80</errorID>
      <errorWord>)</errorWord>
      <group>L1_Format</group>
      <groupName>格式问题</groupName>
      <ability>L2_HalfPunc</ability>
      <abilityName>全半角检查</abilityName>
      <candidateList>
        <item>）</item>
      </candidateList>
      <explain>文本全半角错误。</explain>
      <paraID>6602BA81</paraID>
      <start>105</start>
      <end>106</end>
      <status>unmodified</status>
      <modifiedWord/>
      <trackRevisions>false</trackRevisions>
    </reviewItem>
    <reviewItem>
      <errorID>f216c853-2838-4989-a8b6-1d9c854448be</errorID>
      <errorWord>/）</errorWord>
      <group>L1_Punc</group>
      <groupName>标点问题</groupName>
      <ability>L2_Punc</ability>
      <abilityName>标点符号检查</abilityName>
      <candidateList>
        <item>）</item>
      </candidateList>
      <explain/>
      <paraID>6602BA81</paraID>
      <start>144</start>
      <end>146</end>
      <status>unmodified</status>
      <modifiedWord/>
      <trackRevisions>false</trackRevisions>
    </reviewItem>
    <reviewItem>
      <errorID>df9f21d4-6fae-4b7c-b882-f9827f512546</errorID>
      <errorWord>/）</errorWord>
      <group>L1_Punc</group>
      <groupName>标点问题</groupName>
      <ability>L2_Punc</ability>
      <abilityName>标点符号检查</abilityName>
      <candidateList>
        <item>）</item>
      </candidateList>
      <explain/>
      <paraID>333967A4</paraID>
      <start>62</start>
      <end>64</end>
      <status>unmodified</status>
      <modifiedWord/>
      <trackRevisions>false</trackRevisions>
    </reviewItem>
    <reviewItem>
      <errorID>a07b073c-1049-4f30-937a-580f491f95d2</errorID>
      <errorWord>-</errorWord>
      <group>L1_Format</group>
      <groupName>格式问题</groupName>
      <ability>L2_HalfPunc</ability>
      <abilityName>全半角检查</abilityName>
      <candidateList>
        <item>－</item>
      </candidateList>
      <explain>文本全半角错误。</explain>
      <paraID>333967A4</paraID>
      <start>229</start>
      <end>230</end>
      <status>unmodified</status>
      <modifiedWord/>
      <trackRevisions>false</trackRevisions>
    </reviewItem>
    <reviewItem>
      <errorID>6f8e4eee-c539-4f7d-9090-589a982c15c8</errorID>
      <errorWord>-</errorWord>
      <group>L1_Format</group>
      <groupName>格式问题</groupName>
      <ability>L2_HalfPunc</ability>
      <abilityName>全半角检查</abilityName>
      <candidateList>
        <item>－</item>
      </candidateList>
      <explain>文本全半角错误。</explain>
      <paraID>333967A4</paraID>
      <start>234</start>
      <end>235</end>
      <status>unmodified</status>
      <modifiedWord/>
      <trackRevisions>false</trackRevisions>
    </reviewItem>
    <reviewItem>
      <errorID>aa2881c5-69b4-440e-a253-594aeef1dfe2</errorID>
      <errorWord>-</errorWord>
      <group>L1_Format</group>
      <groupName>格式问题</groupName>
      <ability>L2_HalfPunc</ability>
      <abilityName>全半角检查</abilityName>
      <candidateList>
        <item>－</item>
      </candidateList>
      <explain>文本全半角错误。</explain>
      <paraID>333967A4</paraID>
      <start>239</start>
      <end>240</end>
      <status>unmodified</status>
      <modifiedWord/>
      <trackRevisions>false</trackRevisions>
    </reviewItem>
    <reviewItem>
      <errorID>ebc2def3-6c79-41ce-9c00-4d863f1eb7ae</errorID>
      <errorWord>-</errorWord>
      <group>L1_Format</group>
      <groupName>格式问题</groupName>
      <ability>L2_HalfPunc</ability>
      <abilityName>全半角检查</abilityName>
      <candidateList>
        <item>－</item>
      </candidateList>
      <explain>文本全半角错误。</explain>
      <paraID>333967A4</paraID>
      <start>245</start>
      <end>246</end>
      <status>unmodified</status>
      <modifiedWord/>
      <trackRevisions>false</trackRevisions>
    </reviewItem>
    <reviewItem>
      <errorID>8a982d57-5869-4262-8c3f-90a04499db2e</errorID>
      <errorWord>-</errorWord>
      <group>L1_Format</group>
      <groupName>格式问题</groupName>
      <ability>L2_HalfPunc</ability>
      <abilityName>全半角检查</abilityName>
      <candidateList>
        <item>－</item>
      </candidateList>
      <explain>文本全半角错误。</explain>
      <paraID>333967A4</paraID>
      <start>262</start>
      <end>263</end>
      <status>unmodified</status>
      <modifiedWord/>
      <trackRevisions>false</trackRevisions>
    </reviewItem>
    <reviewItem>
      <errorID>d21bc640-d357-4b7d-934c-ef48ef553b4e</errorID>
      <errorWord>-</errorWord>
      <group>L1_Format</group>
      <groupName>格式问题</groupName>
      <ability>L2_HalfPunc</ability>
      <abilityName>全半角检查</abilityName>
      <candidateList>
        <item>－</item>
      </candidateList>
      <explain>文本全半角错误。</explain>
      <paraID>19064D30</paraID>
      <start>114</start>
      <end>115</end>
      <status>unmodified</status>
      <modifiedWord/>
      <trackRevisions>false</trackRevisions>
    </reviewItem>
    <reviewItem>
      <errorID>141b5caa-e7ae-4f53-af1a-9250cedc8fe3</errorID>
      <errorWord>-</errorWord>
      <group>L1_Format</group>
      <groupName>格式问题</groupName>
      <ability>L2_HalfPunc</ability>
      <abilityName>全半角检查</abilityName>
      <candidateList>
        <item>－</item>
      </candidateList>
      <explain>文本全半角错误。</explain>
      <paraID>19064D30</paraID>
      <start>143</start>
      <end>144</end>
      <status>unmodified</status>
      <modifiedWord/>
      <trackRevisions>false</trackRevisions>
    </reviewItem>
    <reviewItem>
      <errorID>5e86b40a-86c1-4739-90be-a7352ab06174</errorID>
      <errorWord>操作合</errorWord>
      <group>L1_Word</group>
      <groupName>字词问题</groupName>
      <ability>L2_Typo</ability>
      <abilityName>字词错误</abilityName>
      <candidateList>
        <item>操作台</item>
      </candidateList>
      <explain/>
      <paraID>4848ADAF</paraID>
      <start>9</start>
      <end>12</end>
      <status>unmodified</status>
      <modifiedWord/>
      <trackRevisions>false</trackRevisions>
    </reviewItem>
    <reviewItem>
      <errorID>47c0ade2-a3ee-44d8-acbc-ceddfadb3e41</errorID>
      <errorWord>，</errorWord>
      <group>L1_Word</group>
      <groupName>字词问题</groupName>
      <ability>L2_Typo</ability>
      <abilityName>字词错误</abilityName>
      <candidateList>
        <item>，在</item>
      </candidateList>
      <explain/>
      <paraID>4848ADAF</paraID>
      <start>119</start>
      <end>120</end>
      <status>unmodified</status>
      <modifiedWord/>
      <trackRevisions>false</trackRevisions>
    </reviewItem>
    <reviewItem>
      <errorID>ad7647f4-6322-4f01-8b4c-7aa6882362cc</errorID>
      <errorWord>间</errorWord>
      <group>L1_Word</group>
      <groupName>字词问题</groupName>
      <ability>L2_Typo</ability>
      <abilityName>字词错误</abilityName>
      <candidateList>
        <item>间之</item>
      </candidateList>
      <explain/>
      <paraID>4848ADAF</paraID>
      <start>194</start>
      <end>195</end>
      <status>unmodified</status>
      <modifiedWord/>
      <trackRevisions>false</trackRevisions>
    </reviewItem>
    <reviewItem>
      <errorID>9ead971d-000b-46c2-93a0-7db11544ddce</errorID>
      <errorWord>(</errorWord>
      <group>L1_Format</group>
      <groupName>格式问题</groupName>
      <ability>L2_HalfPunc</ability>
      <abilityName>全半角检查</abilityName>
      <candidateList>
        <item>（</item>
      </candidateList>
      <explain>文本全半角错误。</explain>
      <paraID> A7C17EE</paraID>
      <start>15</start>
      <end>16</end>
      <status>unmodified</status>
      <modifiedWord/>
      <trackRevisions>false</trackRevisions>
    </reviewItem>
    <reviewItem>
      <errorID>84359126-e934-4e48-910d-e3359b67c40e</errorID>
      <errorWord>)</errorWord>
      <group>L1_Format</group>
      <groupName>格式问题</groupName>
      <ability>L2_HalfPunc</ability>
      <abilityName>全半角检查</abilityName>
      <candidateList>
        <item>）</item>
      </candidateList>
      <explain>文本全半角错误。</explain>
      <paraID> A7C17EE</paraID>
      <start>27</start>
      <end>28</end>
      <status>unmodified</status>
      <modifiedWord/>
      <trackRevisions>false</trackRevisions>
    </reviewItem>
    <reviewItem>
      <errorID>2a754939-71a0-4158-9eef-47fdafd9dacf</errorID>
      <errorWord>(</errorWord>
      <group>L1_Format</group>
      <groupName>格式问题</groupName>
      <ability>L2_HalfPunc</ability>
      <abilityName>全半角检查</abilityName>
      <candidateList>
        <item>（</item>
      </candidateList>
      <explain>文本全半角错误。</explain>
      <paraID>4B73163E</paraID>
      <start>18</start>
      <end>19</end>
      <status>unmodified</status>
      <modifiedWord/>
      <trackRevisions>false</trackRevisions>
    </reviewItem>
    <reviewItem>
      <errorID>d2b02077-8bea-49aa-8698-9cc20c8993d8</errorID>
      <errorWord>)</errorWord>
      <group>L1_Format</group>
      <groupName>格式问题</groupName>
      <ability>L2_HalfPunc</ability>
      <abilityName>全半角检查</abilityName>
      <candidateList>
        <item>）</item>
      </candidateList>
      <explain>文本全半角错误。</explain>
      <paraID>4B73163E</paraID>
      <start>28</start>
      <end>29</end>
      <status>unmodified</status>
      <modifiedWord/>
      <trackRevisions>false</trackRevisions>
    </reviewItem>
    <reviewItem>
      <errorID>7dd67f88-3c33-41ac-b330-91bbb977b1bb</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 B7210AC</paraID>
      <start>50</start>
      <end>51</end>
      <status>unmodified</status>
      <modifiedWord/>
      <trackRevisions>false</trackRevisions>
    </reviewItem>
    <reviewItem>
      <errorID>9b73a6dc-54be-4028-9541-110175bba76e</errorID>
      <errorWord>，</errorWord>
      <group>L1_Word</group>
      <groupName>字词问题</groupName>
      <ability>L2_Typo</ability>
      <abilityName>字词错误</abilityName>
      <candidateList>
        <item>，使</item>
      </candidateList>
      <explain/>
      <paraID> 3058C7E</paraID>
      <start>32</start>
      <end>33</end>
      <status>unmodified</status>
      <modifiedWord/>
      <trackRevisions>false</trackRevisions>
    </reviewItem>
    <reviewItem>
      <errorID>a0ac4233-d9c2-4d09-82f5-da4e393715a7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240EA54D</paraID>
      <start>15</start>
      <end>18</end>
      <status>unmodified</status>
      <modifiedWord/>
      <trackRevisions>false</trackRevisions>
    </reviewItem>
    <reviewItem>
      <errorID>61918885-400f-46ca-91f6-b8ffc5168e78</errorID>
      <errorWord>法律、法规</errorWord>
      <group>L1_Word</group>
      <groupName>字词问题</groupName>
      <ability>L2_Typo</ability>
      <abilityName>字词错误</abilityName>
      <candidateList>
        <item>法律法规</item>
      </candidateList>
      <explain/>
      <paraID>559EABAF</paraID>
      <start>38</start>
      <end>43</end>
      <status>unmodified</status>
      <modifiedWord/>
      <trackRevisions>false</trackRevisions>
    </reviewItem>
    <reviewItem>
      <errorID>2bad72d6-0dd0-464d-b710-7680c93e6a8d</errorID>
      <errorWord>操作合</errorWord>
      <group>L1_Word</group>
      <groupName>字词问题</groupName>
      <ability>L2_Typo</ability>
      <abilityName>字词错误</abilityName>
      <candidateList>
        <item>操作台</item>
      </candidateList>
      <explain/>
      <paraID>4443BCB0</paraID>
      <start>9</start>
      <end>12</end>
      <status>unmodified</status>
      <modifiedWord/>
      <trackRevisions>false</trackRevisions>
    </reviewItem>
    <reviewItem>
      <errorID>f3e5da04-727b-4ff2-aa80-c9e99ac25d21</errorID>
      <errorWord>，</errorWord>
      <group>L1_Word</group>
      <groupName>字词问题</groupName>
      <ability>L2_Typo</ability>
      <abilityName>字词错误</abilityName>
      <candidateList>
        <item>，在</item>
      </candidateList>
      <explain/>
      <paraID>4163B8F8</paraID>
      <start>36</start>
      <end>37</end>
      <status>unmodified</status>
      <modifiedWord/>
      <trackRevisions>false</trackRevisions>
    </reviewItem>
    <reviewItem>
      <errorID>5ad85785-a0e9-42e4-902a-b3ffc60da862</errorID>
      <errorWord>间</errorWord>
      <group>L1_Word</group>
      <groupName>字词问题</groupName>
      <ability>L2_Typo</ability>
      <abilityName>字词错误</abilityName>
      <candidateList>
        <item>间之</item>
      </candidateList>
      <explain/>
      <paraID> D5BBB61</paraID>
      <start>14</start>
      <end>15</end>
      <status>unmodified</status>
      <modifiedWord/>
      <trackRevisions>false</trackRevisions>
    </reviewItem>
    <reviewItem>
      <errorID>7d63cda5-a6a4-4183-87b1-3ca4a967257e</errorID>
      <errorWord>做出</errorWord>
      <group>L1_Word</group>
      <groupName>字词问题</groupName>
      <ability>L2_Typo</ability>
      <abilityName>字词错误</abilityName>
      <candidateList>
        <item>作出</item>
      </candidateList>
      <explain/>
      <paraID>353A9A5C</paraID>
      <start>64</start>
      <end>66</end>
      <status>unmodified</status>
      <modifiedWord/>
      <trackRevisions>false</trackRevisions>
    </reviewItem>
    <reviewItem>
      <errorID>d11829e7-f51e-4262-a376-6c0d973cf602</errorID>
      <errorWord>)</errorWord>
      <group>L1_Format</group>
      <groupName>格式问题</groupName>
      <ability>L2_HalfPunc</ability>
      <abilityName>全半角检查</abilityName>
      <candidateList>
        <item>）</item>
      </candidateList>
      <explain>文本全半角错误。</explain>
      <paraID> 9B8B7A3</paraID>
      <start>103</start>
      <end>104</end>
      <status>unmodified</status>
      <modifiedWord/>
      <trackRevisions>false</trackRevisions>
    </reviewItem>
    <reviewItem>
      <errorID>33b3da07-6d21-48f7-a02e-cfed55bc5c69</errorID>
      <errorWord>费</errorWord>
      <group>L1_Word</group>
      <groupName>字词问题</groupName>
      <ability>L2_Typo</ability>
      <abilityName>字词错误</abilityName>
      <candidateList>
        <item>费用</item>
      </candidateList>
      <explain/>
      <paraID> CBC44B8</paraID>
      <start>54</start>
      <end>55</end>
      <status>unmodified</status>
      <modifiedWord/>
      <trackRevisions>false</trackRevisions>
    </reviewItem>
    <reviewItem>
      <errorID>a45bffae-a8e8-4139-a21b-2bec9ae1828e</errorID>
      <errorWord>能效</errorWord>
      <group>L1_Word</group>
      <groupName>字词问题</groupName>
      <ability>L2_Typo</ability>
      <abilityName>字词错误</abilityName>
      <candidateList>
        <item>效能</item>
      </candidateList>
      <explain/>
      <paraID> CBC44B8</paraID>
      <start>102</start>
      <end>104</end>
      <status>unmodified</status>
      <modifiedWord/>
      <trackRevisions>false</trackRevisions>
    </reviewItem>
    <reviewItem>
      <errorID>2735c8c8-b75a-4063-9137-1150e2db20ca</errorID>
      <errorWord>(</errorWord>
      <group>L1_Format</group>
      <groupName>格式问题</groupName>
      <ability>L2_HalfPunc</ability>
      <abilityName>全半角检查</abilityName>
      <candidateList>
        <item>（</item>
      </candidateList>
      <explain>文本全半角错误。</explain>
      <paraID>2FAB1E39</paraID>
      <start>15</start>
      <end>16</end>
      <status>unmodified</status>
      <modifiedWord/>
      <trackRevisions>false</trackRevisions>
    </reviewItem>
    <reviewItem>
      <errorID>6535ee09-a3e6-44ec-ab24-3ac89fd4db09</errorID>
      <errorWord>)</errorWord>
      <group>L1_Format</group>
      <groupName>格式问题</groupName>
      <ability>L2_HalfPunc</ability>
      <abilityName>全半角检查</abilityName>
      <candidateList>
        <item>）</item>
      </candidateList>
      <explain>文本全半角错误。</explain>
      <paraID>2FAB1E39</paraID>
      <start>38</start>
      <end>39</end>
      <status>unmodified</status>
      <modifiedWord/>
      <trackRevisions>false</trackRevisions>
    </reviewItem>
    <reviewItem>
      <errorID>86eb848b-b8eb-49d9-bba9-18e76fbce023</errorID>
      <errorWord>;</errorWord>
      <group>L1_Format</group>
      <groupName>格式问题</groupName>
      <ability>L2_HalfPunc</ability>
      <abilityName>全半角检查</abilityName>
      <candidateList>
        <item>；</item>
      </candidateList>
      <explain>文本全半角错误。</explain>
      <paraID>6D2C4339</paraID>
      <start>72</start>
      <end>73</end>
      <status>unmodified</status>
      <modifiedWord/>
      <trackRevisions>false</trackRevisions>
    </reviewItem>
    <reviewItem>
      <errorID>acf87ce4-d925-49c6-bfd9-add1e129ade0</errorID>
      <errorWord>人</errorWord>
      <group>L1_Word</group>
      <groupName>字词问题</groupName>
      <ability>L2_Typo</ability>
      <abilityName>字词错误</abilityName>
      <candidateList>
        <item>人员</item>
      </candidateList>
      <explain>〈名〉担任某种职务的人：机关工作～｜值班～｜～配备。</explain>
      <paraID>41792D4D</paraID>
      <start>25</start>
      <end>26</end>
      <status>unmodified</status>
      <modifiedWord/>
      <trackRevisions>false</trackRevisions>
    </reviewItem>
    <reviewItem>
      <errorID>e15aee29-b410-411f-8b48-8036f584118b</errorID>
      <errorWord>束</errorWord>
      <group>L1_Word</group>
      <groupName>字词问题</groupName>
      <ability>L2_Typo</ability>
      <abilityName>字词错误</abilityName>
      <candidateList>
        <item>束后</item>
      </candidateList>
      <explain/>
      <paraID>77832EC3</paraID>
      <start>50</start>
      <end>51</end>
      <status>unmodified</status>
      <modifiedWord/>
      <trackRevisions>false</trackRevisions>
    </reviewItem>
    <reviewItem>
      <errorID>48df7e2d-ff1f-40af-a563-d290c84657fb</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141B0226</paraID>
      <start>51</start>
      <end>52</end>
      <status>unmodified</status>
      <modifiedWord/>
      <trackRevisions>false</trackRevisions>
    </reviewItem>
    <reviewItem>
      <errorID>cab9c693-c454-4989-b43d-a578ca6a4dd2</errorID>
      <errorWord>作出</errorWord>
      <group>L1_Word</group>
      <groupName>字词问题</groupName>
      <ability>L2_Typo</ability>
      <abilityName>字词错误</abilityName>
      <candidateList>
        <item>做出</item>
      </candidateList>
      <explain/>
      <paraID>42F209EF</paraID>
      <start>16</start>
      <end>18</end>
      <status>unmodified</status>
      <modifiedWord/>
      <trackRevisions>false</trackRevisions>
    </reviewItem>
    <reviewItem>
      <errorID>de47f98e-30f5-4125-bb79-ed3b256f7568</errorID>
      <errorWord>(</errorWord>
      <group>L1_Format</group>
      <groupName>格式问题</groupName>
      <ability>L2_HalfPunc</ability>
      <abilityName>全半角检查</abilityName>
      <candidateList>
        <item>（</item>
      </candidateList>
      <explain>文本全半角错误。</explain>
      <paraID>71D985A9</paraID>
      <start>46</start>
      <end>47</end>
      <status>unmodified</status>
      <modifiedWord/>
      <trackRevisions>false</trackRevisions>
    </reviewItem>
    <reviewItem>
      <errorID>47dafdcd-3aa1-4290-a1fe-2a5df1a5451a</errorID>
      <errorWord>)</errorWord>
      <group>L1_Format</group>
      <groupName>格式问题</groupName>
      <ability>L2_HalfPunc</ability>
      <abilityName>全半角检查</abilityName>
      <candidateList>
        <item>）</item>
      </candidateList>
      <explain>文本全半角错误。</explain>
      <paraID>71D985A9</paraID>
      <start>58</start>
      <end>59</end>
      <status>unmodified</status>
      <modifiedWord/>
      <trackRevisions>false</trackRevisions>
    </reviewItem>
    <reviewItem>
      <errorID>0175c177-2974-4e35-8d53-30d63683133d</errorID>
      <errorWord>(</errorWord>
      <group>L1_Format</group>
      <groupName>格式问题</groupName>
      <ability>L2_HalfPunc</ability>
      <abilityName>全半角检查</abilityName>
      <candidateList>
        <item>（</item>
      </candidateList>
      <explain>文本全半角错误。</explain>
      <paraID>4A7F6F99</paraID>
      <start>25</start>
      <end>26</end>
      <status>unmodified</status>
      <modifiedWord/>
      <trackRevisions>false</trackRevisions>
    </reviewItem>
    <reviewItem>
      <errorID>f539b100-d80b-4b44-a82b-292c70afe406</errorID>
      <errorWord>)</errorWord>
      <group>L1_Format</group>
      <groupName>格式问题</groupName>
      <ability>L2_HalfPunc</ability>
      <abilityName>全半角检查</abilityName>
      <candidateList>
        <item>）</item>
      </candidateList>
      <explain>文本全半角错误。</explain>
      <paraID>4A7F6F99</paraID>
      <start>48</start>
      <end>49</end>
      <status>unmodified</status>
      <modifiedWord/>
      <trackRevisions>false</trackRevisions>
    </reviewItem>
    <reviewItem>
      <errorID>952728dd-e4be-46b1-95cf-3d6915e88fb2</errorID>
      <errorWord>(</errorWord>
      <group>L1_Format</group>
      <groupName>格式问题</groupName>
      <ability>L2_HalfPunc</ability>
      <abilityName>全半角检查</abilityName>
      <candidateList>
        <item>（</item>
      </candidateList>
      <explain>文本全半角错误。</explain>
      <paraID>4A7F6F99</paraID>
      <start>57</start>
      <end>58</end>
      <status>unmodified</status>
      <modifiedWord/>
      <trackRevisions>false</trackRevisions>
    </reviewItem>
    <reviewItem>
      <errorID>4dea3b90-5622-478e-91ca-9912d1804790</errorID>
      <errorWord>)</errorWord>
      <group>L1_Format</group>
      <groupName>格式问题</groupName>
      <ability>L2_HalfPunc</ability>
      <abilityName>全半角检查</abilityName>
      <candidateList>
        <item>）</item>
      </candidateList>
      <explain>文本全半角错误。</explain>
      <paraID>4A7F6F99</paraID>
      <start>73</start>
      <end>74</end>
      <status>unmodified</status>
      <modifiedWord/>
      <trackRevisions>false</trackRevisions>
    </reviewItem>
    <reviewItem>
      <errorID>35a9895e-209d-4b4f-9e01-89b91df17889</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316E54A8</paraID>
      <start>19</start>
      <end>21</end>
      <status>unmodified</status>
      <modifiedWord/>
      <trackRevisions>false</trackRevisions>
    </reviewItem>
    <reviewItem>
      <errorID>b37dc1cd-f385-4da1-a05e-3fedf4414c0e</errorID>
      <errorWord>-</errorWord>
      <group>L1_Format</group>
      <groupName>格式问题</groupName>
      <ability>L2_HalfPunc</ability>
      <abilityName>全半角检查</abilityName>
      <candidateList>
        <item>－</item>
      </candidateList>
      <explain>文本全半角错误。</explain>
      <paraID>44BDEBDE</paraID>
      <start>20</start>
      <end>21</end>
      <status>unmodified</status>
      <modifiedWord/>
      <trackRevisions>false</trackRevisions>
    </reviewItem>
    <reviewItem>
      <errorID>187f42e6-1b12-41f3-9615-2b069e218c06</errorID>
      <errorWord>法律、法规</errorWord>
      <group>L1_Word</group>
      <groupName>字词问题</groupName>
      <ability>L2_Typo</ability>
      <abilityName>字词错误</abilityName>
      <candidateList>
        <item>法律法规</item>
      </candidateList>
      <explain/>
      <paraID>3479ABC0</paraID>
      <start>3</start>
      <end>8</end>
      <status>unmodified</status>
      <modifiedWord/>
      <trackRevisions>false</trackRevisions>
    </reviewItem>
    <reviewItem>
      <errorID>c96ca87b-06b8-462c-9ad2-901df3d2e3eb</errorID>
      <errorWord>试试</errorWord>
      <group>L1_Word</group>
      <groupName>字词问题</groupName>
      <ability>L2_Typo</ability>
      <abilityName>字词错误</abilityName>
      <candidateList>
        <item>试</item>
      </candidateList>
      <explain/>
      <paraID>25E07482</paraID>
      <start>72</start>
      <end>74</end>
      <status>unmodified</status>
      <modifiedWord/>
      <trackRevisions>false</trackRevisions>
    </reviewItem>
    <reviewItem>
      <errorID>2762ad8b-3c4a-4ae5-abb1-dc96dc88517c</errorID>
      <errorWord>提</errorWord>
      <group>L1_Word</group>
      <groupName>字词问题</groupName>
      <ability>L2_Typo</ability>
      <abilityName>字词错误</abilityName>
      <candidateList>
        <item>提供</item>
      </candidateList>
      <explain/>
      <paraID>5AB4AE8D</paraID>
      <start>13</start>
      <end>14</end>
      <status>unmodified</status>
      <modifiedWord/>
      <trackRevisions>false</trackRevisions>
    </reviewItem>
    <reviewItem>
      <errorID>df0b0ab3-0619-45b7-9b96-75e57bf1dbeb</errorID>
      <errorWord>件</errorWord>
      <group>L1_Word</group>
      <groupName>字词问题</groupName>
      <ability>L2_Typo</ability>
      <abilityName>字词错误</abilityName>
      <candidateList>
        <item>件中</item>
      </candidateList>
      <explain/>
      <paraID>6C56BA4A</paraID>
      <start>10</start>
      <end>11</end>
      <status>unmodified</status>
      <modifiedWord/>
      <trackRevisions>false</trackRevisions>
    </reviewItem>
    <reviewItem>
      <errorID>45c67e3d-5e0b-4ae5-a364-f20b34a1bf5a</errorID>
      <errorWord>(</errorWord>
      <group>L1_Format</group>
      <groupName>格式问题</groupName>
      <ability>L2_HalfPunc</ability>
      <abilityName>全半角检查</abilityName>
      <candidateList>
        <item>（</item>
      </candidateList>
      <explain>文本全半角错误。</explain>
      <paraID> 1386C92</paraID>
      <start>10</start>
      <end>11</end>
      <status>unmodified</status>
      <modifiedWord/>
      <trackRevisions>false</trackRevisions>
    </reviewItem>
    <reviewItem>
      <errorID>ffae4782-71ff-4b1c-bcd3-9de23eb36e0e</errorID>
      <errorWord>)</errorWord>
      <group>L1_Format</group>
      <groupName>格式问题</groupName>
      <ability>L2_HalfPunc</ability>
      <abilityName>全半角检查</abilityName>
      <candidateList>
        <item>）</item>
      </candidateList>
      <explain>文本全半角错误。</explain>
      <paraID> 1386C92</paraID>
      <start>19</start>
      <end>20</end>
      <status>unmodified</status>
      <modifiedWord/>
      <trackRevisions>false</trackRevisions>
    </reviewItem>
    <reviewItem>
      <errorID>bfdf84e1-02b9-4198-a87f-6823dc532fb4</errorID>
      <errorWord>股东大会</errorWord>
      <group>L1_Word</group>
      <groupName>字词问题</groupName>
      <ability>L2_Typo</ability>
      <abilityName>字词错误</abilityName>
      <candidateList>
        <item>股东会</item>
      </candidateList>
      <explain/>
      <paraID>5946CD7D</paraID>
      <start>113</start>
      <end>117</end>
      <status>unmodified</status>
      <modifiedWord/>
      <trackRevisions>false</trackRevisions>
    </reviewItem>
    <reviewItem>
      <errorID>6d2430b6-2867-4e63-8294-3006e84b488c</errorID>
      <errorWord>:</errorWord>
      <group>L1_Format</group>
      <groupName>格式问题</groupName>
      <ability>L2_HalfPunc</ability>
      <abilityName>全半角检查</abilityName>
      <candidateList>
        <item>：</item>
      </candidateList>
      <explain>文本全半角错误。</explain>
      <paraID>4071E55B</paraID>
      <start>1</start>
      <end>2</end>
      <status>unmodified</status>
      <modifiedWord/>
      <trackRevisions>false</trackRevisions>
    </reviewItem>
    <reviewItem>
      <errorID>f53601b8-3c25-4e53-9a27-b29e0c4a9d21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340B86FC</paraID>
      <start>37</start>
      <end>40</end>
      <status>unmodified</status>
      <modifiedWord/>
      <trackRevisions>false</trackRevisions>
    </reviewItem>
    <reviewItem>
      <errorID>800ae73d-5b4b-4338-b2ac-23f96af40e64</errorID>
      <errorWord>,</errorWord>
      <group>L1_Format</group>
      <groupName>格式问题</groupName>
      <ability>L2_HalfPunc</ability>
      <abilityName>全半角检查</abilityName>
      <candidateList>
        <item>，</item>
      </candidateList>
      <explain>文本全半角错误。</explain>
      <paraID>3830D97B</paraID>
      <start>61</start>
      <end>62</end>
      <status>unmodified</status>
      <modifiedWord/>
      <trackRevisions>false</trackRevisions>
    </reviewItem>
    <reviewItem>
      <errorID>e14be887-d7c1-483d-bb34-e38b6e16e274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1D2461B</paraID>
      <start>40</start>
      <end>43</end>
      <status>unmodified</status>
      <modifiedWord/>
      <trackRevisions>false</trackRevisions>
    </reviewItem>
    <reviewItem>
      <errorID>e6efccf3-2ec8-4244-8077-d7b5fc2ddb1e</errorID>
      <errorWord>提出质疑</errorWord>
      <group>L1_Grammar</group>
      <groupName>语法问题</groupName>
      <ability>L2_Grammar</ability>
      <abilityName>语法错误</abilityName>
      <candidateList>
        <item>质疑</item>
      </candidateList>
      <explain>〈动〉提出疑问：～问难。</explain>
      <paraID>53402DFC</paraID>
      <start>53</start>
      <end>57</end>
      <status>unmodified</status>
      <modifiedWord/>
      <trackRevisions>false</trackRevisions>
    </reviewItem>
    <reviewItem>
      <errorID>685296e7-2954-4956-94b5-f0aba89c9934</errorID>
      <errorWord>法律、法规</errorWord>
      <group>L1_Word</group>
      <groupName>字词问题</groupName>
      <ability>L2_Typo</ability>
      <abilityName>字词错误</abilityName>
      <candidateList>
        <item>法律法规</item>
      </candidateList>
      <explain/>
      <paraID>3EAD8254</paraID>
      <start>29</start>
      <end>34</end>
      <status>unmodified</status>
      <modifiedWord/>
      <trackRevisions>false</trackRevisions>
    </reviewItem>
    <reviewItem>
      <errorID>507ad85f-30be-41a1-bd10-321d4d6d3f45</errorID>
      <errorWord>进行实施</errorWord>
      <group>L1_Word</group>
      <groupName>字词问题</groupName>
      <ability>L2_Typo</ability>
      <abilityName>字词错误</abilityName>
      <candidateList>
        <item>实施</item>
      </candidateList>
      <explain>〈动〉实行（法令、政策等）：付诸～｜～细则｜～新的办法。</explain>
      <paraID>77339B1F</paraID>
      <start>27</start>
      <end>31</end>
      <status>unmodified</status>
      <modifiedWord/>
      <trackRevisions>false</trackRevisions>
    </reviewItem>
    <reviewItem>
      <errorID>1cc336cb-1d74-4159-8977-40c009dab971</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6ACA02F4</paraID>
      <start>48</start>
      <end>49</end>
      <status>unmodified</status>
      <modifiedWord/>
      <trackRevisions>false</trackRevisions>
    </reviewItem>
    <reviewItem>
      <errorID>19e1b381-a870-4acd-a092-d9b2c810771a</errorID>
      <errorWord>签</errorWord>
      <group>L1_Word</group>
      <groupName>字词问题</groupName>
      <ability>L2_Typo</ability>
      <abilityName>字词错误</abilityName>
      <candidateList>
        <item>签订</item>
      </candidateList>
      <explain>〈动〉订立条约或合同并签字：两国～了贸易议定书和支付协定。</explain>
      <paraID>2C303B4D</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8f6c9-afda-435c-9537-56e07dec0bbc}">
  <ds:schemaRefs/>
</ds:datastoreItem>
</file>

<file path=docProps/app.xml><?xml version="1.0" encoding="utf-8"?>
<Properties xmlns="http://schemas.openxmlformats.org/officeDocument/2006/extended-properties" xmlns:vt="http://schemas.openxmlformats.org/officeDocument/2006/docPropsVTypes">
  <Template>Nor</Template>
  <Company>Sky12</Company>
  <Pages>81</Pages>
  <Words>44144</Words>
  <Characters>46413</Characters>
  <Lines>74</Lines>
  <Paragraphs>81</Paragraphs>
  <TotalTime>26</TotalTime>
  <ScaleCrop>false</ScaleCrop>
  <LinksUpToDate>false</LinksUpToDate>
  <CharactersWithSpaces>51933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2025-07-17T23:31:00Z</dcterms:created>
  <dc:creator>唐</dc:creator>
  <cp:lastModifiedBy>米可琪</cp:lastModifiedBy>
  <cp:lastPrinted>2026-06-29T03:33:00Z</cp:lastPrinted>
  <dcterms:modified xsi:type="dcterms:W3CDTF">2026-08-04T02:25:42Z</dcterms:modified>
  <dc:title>竞争性谈判</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eyJoZGlkIjoiYTk5OWZmMjlhYzhlNmM0ZTE4YmY5ZTRmNjc2Njc3MDYiLCJ1c2VySWQiOiIzNDk5NTAzNjgifQ==</vt:lpwstr>
  </property>
  <property fmtid="{D5CDD505-2E9C-101B-9397-08002B2CF9AE}" pid="3" name="KSOProductBuildVer">
    <vt:lpwstr>2052-12.1.0.26895</vt:lpwstr>
  </property>
  <property fmtid="{D5CDD505-2E9C-101B-9397-08002B2CF9AE}" pid="4" name="ICV">
    <vt:lpwstr>EE8F23DFBD1A4DF19C53C456F1CAA3C4_13</vt:lpwstr>
  </property>
</Properties>
</file>