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ascii="仿宋_GB2312" w:eastAsia="仿宋_GB2312"/>
          <w:b/>
          <w:sz w:val="72"/>
          <w:szCs w:val="72"/>
          <w:highlight w:val="none"/>
        </w:rPr>
      </w:pPr>
    </w:p>
    <w:p>
      <w:pPr>
        <w:spacing w:beforeLines="50"/>
        <w:jc w:val="center"/>
        <w:rPr>
          <w:rFonts w:ascii="仿宋_GB2312" w:eastAsia="仿宋_GB2312"/>
          <w:sz w:val="72"/>
          <w:szCs w:val="72"/>
          <w:highlight w:val="none"/>
        </w:rPr>
      </w:pPr>
      <w:r>
        <w:rPr>
          <w:rFonts w:hint="eastAsia" w:ascii="仿宋_GB2312" w:eastAsia="仿宋_GB2312"/>
          <w:sz w:val="72"/>
          <w:szCs w:val="72"/>
          <w:highlight w:val="none"/>
        </w:rPr>
        <w:t>公开招标采购文件</w:t>
      </w:r>
    </w:p>
    <w:p>
      <w:pPr>
        <w:snapToGrid w:val="0"/>
        <w:jc w:val="center"/>
        <w:rPr>
          <w:rFonts w:ascii="仿宋_GB2312" w:eastAsia="仿宋_GB2312"/>
          <w:sz w:val="48"/>
          <w:szCs w:val="48"/>
          <w:highlight w:val="none"/>
        </w:rPr>
      </w:pPr>
    </w:p>
    <w:p>
      <w:pPr>
        <w:snapToGrid w:val="0"/>
        <w:jc w:val="center"/>
        <w:rPr>
          <w:rFonts w:ascii="仿宋_GB2312" w:eastAsia="仿宋_GB2312"/>
          <w:sz w:val="48"/>
          <w:szCs w:val="48"/>
          <w:highlight w:val="none"/>
        </w:rPr>
      </w:pPr>
    </w:p>
    <w:p>
      <w:pPr>
        <w:snapToGrid w:val="0"/>
        <w:jc w:val="center"/>
        <w:rPr>
          <w:rFonts w:ascii="仿宋_GB2312" w:eastAsia="仿宋_GB2312"/>
          <w:sz w:val="48"/>
          <w:szCs w:val="48"/>
          <w:highlight w:val="none"/>
        </w:rPr>
      </w:pPr>
    </w:p>
    <w:p>
      <w:pPr>
        <w:snapToGrid w:val="0"/>
        <w:jc w:val="center"/>
        <w:rPr>
          <w:rFonts w:ascii="仿宋_GB2312" w:eastAsia="仿宋_GB2312"/>
          <w:sz w:val="48"/>
          <w:szCs w:val="48"/>
          <w:highlight w:val="none"/>
        </w:rPr>
      </w:pPr>
    </w:p>
    <w:p>
      <w:pPr>
        <w:snapToGrid w:val="0"/>
        <w:ind w:firstLine="1484" w:firstLineChars="493"/>
        <w:rPr>
          <w:rFonts w:hint="eastAsia" w:ascii="仿宋_GB2312" w:eastAsia="仿宋_GB2312"/>
          <w:b/>
          <w:bCs/>
          <w:sz w:val="30"/>
          <w:szCs w:val="30"/>
          <w:highlight w:val="none"/>
          <w:lang w:eastAsia="zh-CN"/>
        </w:rPr>
      </w:pPr>
      <w:r>
        <w:rPr>
          <w:rFonts w:hint="eastAsia" w:ascii="仿宋_GB2312" w:eastAsia="仿宋_GB2312"/>
          <w:b/>
          <w:bCs/>
          <w:sz w:val="30"/>
          <w:szCs w:val="30"/>
          <w:highlight w:val="none"/>
        </w:rPr>
        <w:t>项目编号：</w:t>
      </w:r>
      <w:r>
        <w:rPr>
          <w:rFonts w:hint="eastAsia" w:ascii="仿宋_GB2312" w:eastAsia="仿宋_GB2312"/>
          <w:b/>
          <w:bCs/>
          <w:sz w:val="30"/>
          <w:szCs w:val="30"/>
          <w:highlight w:val="none"/>
          <w:lang w:eastAsia="zh-CN"/>
        </w:rPr>
        <w:t>GXZC2026-G3-002446-CGZX</w:t>
      </w:r>
    </w:p>
    <w:p>
      <w:pPr>
        <w:snapToGrid w:val="0"/>
        <w:ind w:firstLine="1843"/>
        <w:rPr>
          <w:rFonts w:ascii="仿宋_GB2312" w:eastAsia="仿宋_GB2312"/>
          <w:b/>
          <w:bCs/>
          <w:sz w:val="30"/>
          <w:szCs w:val="30"/>
          <w:highlight w:val="none"/>
        </w:rPr>
      </w:pPr>
    </w:p>
    <w:p>
      <w:pPr>
        <w:snapToGrid w:val="0"/>
        <w:ind w:left="3020" w:leftChars="710" w:hanging="1529" w:hangingChars="508"/>
        <w:jc w:val="left"/>
        <w:rPr>
          <w:rFonts w:ascii="仿宋_GB2312" w:eastAsia="仿宋_GB2312"/>
          <w:b/>
          <w:sz w:val="30"/>
          <w:szCs w:val="72"/>
          <w:highlight w:val="none"/>
        </w:rPr>
      </w:pPr>
      <w:r>
        <w:rPr>
          <w:rFonts w:hint="eastAsia" w:ascii="仿宋_GB2312" w:eastAsia="仿宋_GB2312"/>
          <w:b/>
          <w:sz w:val="30"/>
          <w:szCs w:val="72"/>
          <w:highlight w:val="none"/>
        </w:rPr>
        <w:t>项目名称：广西交通技师学院物业</w:t>
      </w:r>
      <w:r>
        <w:rPr>
          <w:rFonts w:hint="eastAsia" w:ascii="仿宋_GB2312" w:eastAsia="仿宋_GB2312"/>
          <w:b/>
          <w:sz w:val="30"/>
          <w:szCs w:val="72"/>
          <w:highlight w:val="none"/>
          <w:lang w:eastAsia="zh-CN"/>
        </w:rPr>
        <w:t>管理</w:t>
      </w:r>
      <w:r>
        <w:rPr>
          <w:rFonts w:hint="eastAsia" w:ascii="仿宋_GB2312" w:eastAsia="仿宋_GB2312"/>
          <w:b/>
          <w:sz w:val="30"/>
          <w:szCs w:val="72"/>
          <w:highlight w:val="none"/>
        </w:rPr>
        <w:t>服务采购</w:t>
      </w:r>
    </w:p>
    <w:p>
      <w:pPr>
        <w:snapToGrid w:val="0"/>
        <w:ind w:firstLine="1843" w:firstLineChars="612"/>
        <w:rPr>
          <w:rFonts w:ascii="仿宋_GB2312" w:eastAsia="仿宋_GB2312"/>
          <w:b/>
          <w:sz w:val="30"/>
          <w:szCs w:val="72"/>
          <w:highlight w:val="none"/>
        </w:rPr>
      </w:pPr>
    </w:p>
    <w:p>
      <w:pPr>
        <w:snapToGrid w:val="0"/>
        <w:ind w:firstLine="1484" w:firstLineChars="493"/>
        <w:rPr>
          <w:rFonts w:hint="eastAsia" w:ascii="仿宋_GB2312" w:eastAsia="仿宋_GB2312"/>
          <w:b/>
          <w:sz w:val="44"/>
          <w:szCs w:val="44"/>
          <w:highlight w:val="none"/>
          <w:lang w:eastAsia="zh-CN"/>
        </w:rPr>
      </w:pPr>
      <w:r>
        <w:rPr>
          <w:rFonts w:hint="eastAsia" w:ascii="仿宋_GB2312" w:eastAsia="仿宋_GB2312"/>
          <w:b/>
          <w:sz w:val="30"/>
          <w:szCs w:val="72"/>
          <w:highlight w:val="none"/>
        </w:rPr>
        <w:t>采购单位：</w:t>
      </w:r>
      <w:r>
        <w:rPr>
          <w:rFonts w:hint="eastAsia" w:ascii="仿宋_GB2312" w:eastAsia="仿宋_GB2312"/>
          <w:b/>
          <w:sz w:val="30"/>
          <w:szCs w:val="72"/>
          <w:highlight w:val="none"/>
          <w:lang w:eastAsia="zh-CN"/>
        </w:rPr>
        <w:t>广西交通技师学院</w:t>
      </w:r>
    </w:p>
    <w:p>
      <w:pPr>
        <w:snapToGrid w:val="0"/>
        <w:ind w:firstLine="2861" w:firstLineChars="950"/>
        <w:rPr>
          <w:rFonts w:ascii="仿宋_GB2312" w:eastAsia="仿宋_GB2312"/>
          <w:b/>
          <w:sz w:val="30"/>
          <w:szCs w:val="72"/>
          <w:highlight w:val="none"/>
        </w:rPr>
      </w:pPr>
    </w:p>
    <w:p>
      <w:pPr>
        <w:ind w:firstLine="2861" w:firstLineChars="950"/>
        <w:rPr>
          <w:rFonts w:ascii="仿宋_GB2312" w:eastAsia="仿宋_GB2312"/>
          <w:b/>
          <w:sz w:val="30"/>
          <w:szCs w:val="72"/>
          <w:highlight w:val="none"/>
        </w:rPr>
      </w:pPr>
    </w:p>
    <w:p>
      <w:pPr>
        <w:ind w:firstLine="2861" w:firstLineChars="950"/>
        <w:rPr>
          <w:rFonts w:ascii="仿宋_GB2312" w:eastAsia="仿宋_GB2312"/>
          <w:b/>
          <w:sz w:val="30"/>
          <w:szCs w:val="72"/>
          <w:highlight w:val="none"/>
        </w:rPr>
      </w:pPr>
    </w:p>
    <w:p>
      <w:pPr>
        <w:ind w:firstLine="2861" w:firstLineChars="950"/>
        <w:rPr>
          <w:rFonts w:ascii="仿宋_GB2312" w:eastAsia="仿宋_GB2312"/>
          <w:b/>
          <w:sz w:val="30"/>
          <w:szCs w:val="72"/>
          <w:highlight w:val="none"/>
        </w:rPr>
      </w:pPr>
    </w:p>
    <w:p>
      <w:pPr>
        <w:pStyle w:val="7"/>
        <w:rPr>
          <w:rFonts w:ascii="仿宋_GB2312" w:eastAsia="仿宋_GB2312"/>
          <w:sz w:val="30"/>
          <w:szCs w:val="72"/>
          <w:highlight w:val="none"/>
        </w:rPr>
      </w:pPr>
    </w:p>
    <w:p>
      <w:pPr>
        <w:rPr>
          <w:rFonts w:ascii="仿宋_GB2312" w:eastAsia="仿宋_GB2312"/>
          <w:b/>
          <w:sz w:val="30"/>
          <w:szCs w:val="72"/>
          <w:highlight w:val="none"/>
        </w:rPr>
      </w:pPr>
    </w:p>
    <w:p>
      <w:pPr>
        <w:snapToGrid w:val="0"/>
        <w:spacing w:beforeLines="50"/>
        <w:rPr>
          <w:rFonts w:ascii="仿宋_GB2312" w:eastAsia="仿宋_GB2312"/>
          <w:b/>
          <w:sz w:val="30"/>
          <w:szCs w:val="72"/>
          <w:highlight w:val="none"/>
        </w:rPr>
      </w:pPr>
    </w:p>
    <w:p>
      <w:pPr>
        <w:snapToGrid w:val="0"/>
        <w:spacing w:beforeLines="50"/>
        <w:jc w:val="center"/>
        <w:rPr>
          <w:rFonts w:ascii="仿宋_GB2312" w:eastAsia="仿宋_GB2312"/>
          <w:b/>
          <w:sz w:val="30"/>
          <w:szCs w:val="72"/>
          <w:highlight w:val="none"/>
        </w:rPr>
      </w:pPr>
      <w:r>
        <w:rPr>
          <w:rFonts w:hint="eastAsia" w:ascii="仿宋_GB2312" w:eastAsia="仿宋_GB2312"/>
          <w:b/>
          <w:sz w:val="30"/>
          <w:szCs w:val="72"/>
          <w:highlight w:val="none"/>
        </w:rPr>
        <w:t>采购代理机构：广西壮族自治区政府采购中心</w:t>
      </w:r>
    </w:p>
    <w:p>
      <w:pPr>
        <w:snapToGrid w:val="0"/>
        <w:spacing w:beforeLines="50"/>
        <w:rPr>
          <w:rFonts w:ascii="仿宋_GB2312" w:eastAsia="仿宋_GB2312"/>
          <w:b/>
          <w:szCs w:val="21"/>
          <w:highlight w:val="none"/>
        </w:rPr>
      </w:pPr>
    </w:p>
    <w:p>
      <w:pPr>
        <w:snapToGrid w:val="0"/>
        <w:spacing w:beforeLines="50"/>
        <w:jc w:val="center"/>
        <w:rPr>
          <w:rFonts w:ascii="仿宋_GB2312" w:eastAsia="仿宋_GB2312"/>
          <w:b/>
          <w:sz w:val="30"/>
          <w:szCs w:val="72"/>
          <w:highlight w:val="none"/>
        </w:rPr>
      </w:pPr>
      <w:r>
        <w:rPr>
          <w:rFonts w:ascii="仿宋_GB2312" w:eastAsia="仿宋_GB2312"/>
          <w:b/>
          <w:sz w:val="30"/>
          <w:szCs w:val="72"/>
          <w:highlight w:val="none"/>
        </w:rPr>
        <w:t>202</w:t>
      </w:r>
      <w:r>
        <w:rPr>
          <w:rFonts w:hint="eastAsia" w:ascii="仿宋_GB2312" w:eastAsia="仿宋_GB2312"/>
          <w:b/>
          <w:sz w:val="30"/>
          <w:szCs w:val="72"/>
          <w:highlight w:val="none"/>
        </w:rPr>
        <w:t>6</w:t>
      </w:r>
      <w:r>
        <w:rPr>
          <w:rFonts w:ascii="仿宋_GB2312" w:eastAsia="仿宋_GB2312"/>
          <w:b/>
          <w:sz w:val="30"/>
          <w:szCs w:val="72"/>
          <w:highlight w:val="none"/>
        </w:rPr>
        <w:t>年</w:t>
      </w:r>
      <w:r>
        <w:rPr>
          <w:rFonts w:hint="eastAsia" w:ascii="仿宋_GB2312" w:eastAsia="仿宋_GB2312"/>
          <w:b/>
          <w:sz w:val="30"/>
          <w:szCs w:val="72"/>
          <w:highlight w:val="none"/>
          <w:lang w:val="en-US" w:eastAsia="zh-CN"/>
        </w:rPr>
        <w:t>8</w:t>
      </w:r>
      <w:r>
        <w:rPr>
          <w:rFonts w:ascii="仿宋_GB2312" w:eastAsia="仿宋_GB2312"/>
          <w:b/>
          <w:sz w:val="30"/>
          <w:szCs w:val="72"/>
          <w:highlight w:val="none"/>
        </w:rPr>
        <w:t>月</w:t>
      </w:r>
    </w:p>
    <w:p>
      <w:pPr>
        <w:pStyle w:val="39"/>
        <w:rPr>
          <w:highlight w:val="none"/>
        </w:rPr>
      </w:pPr>
    </w:p>
    <w:p>
      <w:pPr>
        <w:pStyle w:val="31"/>
        <w:jc w:val="center"/>
        <w:rPr>
          <w:rFonts w:ascii="隶书" w:eastAsia="隶书"/>
          <w:b/>
          <w:sz w:val="44"/>
          <w:highlight w:val="none"/>
        </w:rPr>
      </w:pPr>
    </w:p>
    <w:p>
      <w:pPr>
        <w:rPr>
          <w:highlight w:val="none"/>
        </w:rPr>
        <w:sectPr>
          <w:headerReference r:id="rId3" w:type="default"/>
          <w:footerReference r:id="rId4" w:type="default"/>
          <w:pgSz w:w="11906" w:h="16838"/>
          <w:pgMar w:top="1247" w:right="1247" w:bottom="1247" w:left="1247" w:header="851" w:footer="992" w:gutter="0"/>
          <w:pgNumType w:start="0"/>
          <w:cols w:space="720" w:num="1"/>
          <w:docGrid w:type="lines" w:linePitch="312" w:charSpace="0"/>
        </w:sectPr>
      </w:pPr>
    </w:p>
    <w:p>
      <w:pPr>
        <w:rPr>
          <w:highlight w:val="none"/>
        </w:rPr>
      </w:pPr>
    </w:p>
    <w:p>
      <w:pPr>
        <w:pStyle w:val="2"/>
        <w:ind w:left="0" w:leftChars="0" w:firstLine="0" w:firstLineChars="0"/>
        <w:rPr>
          <w:highlight w:val="none"/>
        </w:rPr>
      </w:pPr>
    </w:p>
    <w:p>
      <w:pPr>
        <w:pStyle w:val="31"/>
        <w:tabs>
          <w:tab w:val="left" w:pos="4204"/>
        </w:tabs>
        <w:jc w:val="left"/>
        <w:rPr>
          <w:rFonts w:ascii="隶书" w:eastAsia="隶书"/>
          <w:b/>
          <w:sz w:val="44"/>
          <w:highlight w:val="none"/>
        </w:rPr>
      </w:pPr>
      <w:r>
        <w:rPr>
          <w:rFonts w:hint="eastAsia" w:ascii="隶书" w:eastAsia="隶书"/>
          <w:b/>
          <w:sz w:val="44"/>
          <w:highlight w:val="none"/>
        </w:rPr>
        <w:tab/>
      </w:r>
      <w:r>
        <w:rPr>
          <w:rFonts w:hint="eastAsia" w:ascii="隶书" w:eastAsia="隶书"/>
          <w:b/>
          <w:sz w:val="44"/>
          <w:highlight w:val="none"/>
        </w:rPr>
        <w:t>目   录</w:t>
      </w:r>
    </w:p>
    <w:p>
      <w:pPr>
        <w:pStyle w:val="31"/>
        <w:spacing w:before="120" w:after="120" w:line="360" w:lineRule="auto"/>
        <w:jc w:val="center"/>
        <w:rPr>
          <w:rFonts w:ascii="仿宋_GB2312" w:eastAsia="仿宋_GB2312"/>
          <w:b/>
          <w:sz w:val="44"/>
          <w:szCs w:val="44"/>
          <w:highlight w:val="none"/>
        </w:rPr>
      </w:pPr>
    </w:p>
    <w:p>
      <w:pPr>
        <w:spacing w:beforeLines="50" w:line="600" w:lineRule="auto"/>
        <w:ind w:left="360"/>
        <w:rPr>
          <w:rFonts w:ascii="仿宋_GB2312" w:eastAsia="仿宋_GB2312"/>
          <w:b/>
          <w:sz w:val="28"/>
          <w:szCs w:val="28"/>
          <w:highlight w:val="none"/>
        </w:rPr>
      </w:pPr>
      <w:r>
        <w:rPr>
          <w:rFonts w:hint="eastAsia" w:ascii="仿宋_GB2312" w:eastAsia="仿宋_GB2312"/>
          <w:b/>
          <w:sz w:val="28"/>
          <w:szCs w:val="28"/>
          <w:highlight w:val="none"/>
        </w:rPr>
        <w:t>第一章 公开招标公告……………………………………………… 2</w:t>
      </w:r>
    </w:p>
    <w:p>
      <w:pPr>
        <w:spacing w:beforeLines="50" w:line="600" w:lineRule="auto"/>
        <w:ind w:firstLine="359" w:firstLineChars="128"/>
        <w:rPr>
          <w:rFonts w:ascii="仿宋_GB2312" w:eastAsia="仿宋_GB2312"/>
          <w:b/>
          <w:sz w:val="28"/>
          <w:szCs w:val="28"/>
          <w:highlight w:val="none"/>
        </w:rPr>
      </w:pPr>
      <w:r>
        <w:rPr>
          <w:rFonts w:hint="eastAsia" w:ascii="仿宋_GB2312" w:eastAsia="仿宋_GB2312"/>
          <w:b/>
          <w:sz w:val="28"/>
          <w:szCs w:val="28"/>
          <w:highlight w:val="none"/>
        </w:rPr>
        <w:t>第二章 招标项目采购需求 …………………………………………6</w:t>
      </w:r>
    </w:p>
    <w:p>
      <w:pPr>
        <w:spacing w:beforeLines="50" w:line="600" w:lineRule="auto"/>
        <w:ind w:left="360"/>
        <w:rPr>
          <w:rFonts w:ascii="仿宋_GB2312" w:eastAsia="仿宋_GB2312"/>
          <w:b/>
          <w:sz w:val="28"/>
          <w:szCs w:val="28"/>
          <w:highlight w:val="none"/>
        </w:rPr>
      </w:pPr>
      <w:r>
        <w:rPr>
          <w:rFonts w:hint="eastAsia" w:ascii="仿宋_GB2312" w:eastAsia="仿宋_GB2312"/>
          <w:b/>
          <w:sz w:val="28"/>
          <w:szCs w:val="28"/>
          <w:highlight w:val="none"/>
        </w:rPr>
        <w:t>第三章 投标人须知………………………………………………… 32</w:t>
      </w:r>
    </w:p>
    <w:p>
      <w:pPr>
        <w:spacing w:beforeLines="50" w:line="600" w:lineRule="auto"/>
        <w:ind w:left="360"/>
        <w:rPr>
          <w:rFonts w:ascii="仿宋_GB2312" w:eastAsia="仿宋_GB2312"/>
          <w:b/>
          <w:sz w:val="28"/>
          <w:szCs w:val="28"/>
          <w:highlight w:val="none"/>
        </w:rPr>
      </w:pPr>
      <w:r>
        <w:rPr>
          <w:rFonts w:hint="eastAsia" w:ascii="仿宋_GB2312" w:eastAsia="仿宋_GB2312"/>
          <w:b/>
          <w:sz w:val="28"/>
          <w:szCs w:val="28"/>
          <w:highlight w:val="none"/>
        </w:rPr>
        <w:t>第四章 评标方法及评分标准……………………………………… 45</w:t>
      </w:r>
    </w:p>
    <w:p>
      <w:pPr>
        <w:spacing w:beforeLines="50" w:line="600" w:lineRule="auto"/>
        <w:ind w:left="360"/>
        <w:rPr>
          <w:rFonts w:ascii="仿宋_GB2312" w:eastAsia="仿宋_GB2312"/>
          <w:b/>
          <w:sz w:val="28"/>
          <w:szCs w:val="28"/>
          <w:highlight w:val="none"/>
        </w:rPr>
      </w:pPr>
      <w:r>
        <w:rPr>
          <w:rFonts w:hint="eastAsia" w:ascii="仿宋_GB2312" w:eastAsia="仿宋_GB2312"/>
          <w:b/>
          <w:sz w:val="28"/>
          <w:szCs w:val="28"/>
          <w:highlight w:val="none"/>
        </w:rPr>
        <w:t>第五章 政府采购合同主要条款…………………………………… 49</w:t>
      </w:r>
    </w:p>
    <w:p>
      <w:pPr>
        <w:spacing w:beforeLines="50" w:line="600" w:lineRule="auto"/>
        <w:ind w:left="360"/>
        <w:rPr>
          <w:rFonts w:ascii="仿宋_GB2312" w:eastAsia="仿宋_GB2312"/>
          <w:b/>
          <w:sz w:val="28"/>
          <w:szCs w:val="28"/>
          <w:highlight w:val="none"/>
        </w:rPr>
      </w:pPr>
      <w:r>
        <w:rPr>
          <w:rFonts w:hint="eastAsia" w:ascii="仿宋_GB2312" w:eastAsia="仿宋_GB2312"/>
          <w:b/>
          <w:sz w:val="28"/>
          <w:szCs w:val="28"/>
          <w:highlight w:val="none"/>
        </w:rPr>
        <w:t>第六章 投标文件格式……………………………………………… 54</w:t>
      </w: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883"/>
        <w:jc w:val="center"/>
        <w:rPr>
          <w:rFonts w:ascii="仿宋_GB2312" w:eastAsia="仿宋_GB2312"/>
          <w:b/>
          <w:sz w:val="44"/>
          <w:szCs w:val="44"/>
          <w:highlight w:val="none"/>
        </w:rPr>
      </w:pPr>
    </w:p>
    <w:p>
      <w:pPr>
        <w:pStyle w:val="228"/>
        <w:widowControl w:val="0"/>
        <w:spacing w:afterLines="0"/>
        <w:ind w:firstLine="422"/>
        <w:jc w:val="center"/>
        <w:rPr>
          <w:rFonts w:ascii="仿宋_GB2312" w:eastAsia="仿宋_GB2312"/>
          <w:b/>
          <w:sz w:val="21"/>
          <w:szCs w:val="21"/>
          <w:highlight w:val="none"/>
        </w:rPr>
      </w:pPr>
    </w:p>
    <w:p>
      <w:pPr>
        <w:pStyle w:val="228"/>
        <w:widowControl w:val="0"/>
        <w:spacing w:afterLines="0"/>
        <w:ind w:firstLine="422"/>
        <w:jc w:val="center"/>
        <w:rPr>
          <w:rFonts w:ascii="仿宋_GB2312" w:eastAsia="仿宋_GB2312"/>
          <w:b/>
          <w:sz w:val="21"/>
          <w:szCs w:val="21"/>
          <w:highlight w:val="none"/>
        </w:rPr>
      </w:pPr>
    </w:p>
    <w:p>
      <w:pPr>
        <w:pStyle w:val="228"/>
        <w:widowControl w:val="0"/>
        <w:spacing w:afterLines="0"/>
        <w:ind w:firstLine="422"/>
        <w:jc w:val="center"/>
        <w:rPr>
          <w:rFonts w:ascii="仿宋_GB2312" w:eastAsia="仿宋_GB2312"/>
          <w:b/>
          <w:sz w:val="21"/>
          <w:szCs w:val="21"/>
          <w:highlight w:val="none"/>
        </w:rPr>
      </w:pPr>
    </w:p>
    <w:p>
      <w:pPr>
        <w:pStyle w:val="228"/>
        <w:widowControl w:val="0"/>
        <w:spacing w:afterLines="0"/>
        <w:ind w:firstLine="422"/>
        <w:jc w:val="center"/>
        <w:rPr>
          <w:rFonts w:ascii="仿宋_GB2312" w:eastAsia="仿宋_GB2312"/>
          <w:b/>
          <w:sz w:val="21"/>
          <w:szCs w:val="21"/>
          <w:highlight w:val="none"/>
        </w:rPr>
      </w:pPr>
    </w:p>
    <w:p>
      <w:pPr>
        <w:pStyle w:val="228"/>
        <w:widowControl w:val="0"/>
        <w:spacing w:afterLines="0"/>
        <w:ind w:firstLine="2182" w:firstLineChars="494"/>
        <w:rPr>
          <w:rFonts w:ascii="黑体" w:eastAsia="黑体"/>
          <w:sz w:val="32"/>
          <w:szCs w:val="32"/>
          <w:highlight w:val="none"/>
        </w:rPr>
      </w:pPr>
      <w:r>
        <w:rPr>
          <w:rFonts w:hint="eastAsia" w:ascii="仿宋_GB2312" w:eastAsia="仿宋_GB2312"/>
          <w:b/>
          <w:sz w:val="44"/>
          <w:szCs w:val="44"/>
          <w:highlight w:val="none"/>
        </w:rPr>
        <w:t>第一章  公开招标公告</w:t>
      </w:r>
    </w:p>
    <w:p>
      <w:pPr>
        <w:pStyle w:val="228"/>
        <w:widowControl w:val="0"/>
        <w:spacing w:afterLines="0"/>
        <w:ind w:firstLine="3840" w:firstLineChars="1200"/>
        <w:rPr>
          <w:b/>
          <w:sz w:val="32"/>
          <w:szCs w:val="32"/>
          <w:highlight w:val="none"/>
        </w:rPr>
      </w:pPr>
      <w:r>
        <w:rPr>
          <w:rFonts w:hint="eastAsia" w:ascii="黑体" w:eastAsia="黑体"/>
          <w:sz w:val="32"/>
          <w:szCs w:val="32"/>
          <w:highlight w:val="none"/>
        </w:rPr>
        <w:br w:type="page"/>
      </w:r>
      <w:r>
        <w:rPr>
          <w:rFonts w:hint="eastAsia" w:ascii="黑体" w:eastAsia="黑体"/>
          <w:sz w:val="32"/>
          <w:szCs w:val="32"/>
          <w:highlight w:val="none"/>
        </w:rPr>
        <w:t>公开</w:t>
      </w:r>
      <w:r>
        <w:rPr>
          <w:rFonts w:hint="eastAsia"/>
          <w:b/>
          <w:sz w:val="32"/>
          <w:szCs w:val="32"/>
          <w:highlight w:val="none"/>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ascii="宋体" w:hAnsi="宋体"/>
          <w:highlight w:val="none"/>
        </w:rPr>
      </w:pPr>
      <w:r>
        <w:rPr>
          <w:rFonts w:hint="eastAsia" w:ascii="宋体" w:hAnsi="宋体"/>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ascii="宋体" w:hAnsi="宋体"/>
          <w:szCs w:val="21"/>
          <w:highlight w:val="none"/>
        </w:rPr>
      </w:pPr>
      <w:r>
        <w:rPr>
          <w:rFonts w:hint="eastAsia"/>
          <w:highlight w:val="none"/>
          <w:lang w:eastAsia="zh-CN"/>
        </w:rPr>
        <w:t>广西交通技师学院物业管理服务采购</w:t>
      </w:r>
      <w:r>
        <w:rPr>
          <w:highlight w:val="none"/>
        </w:rPr>
        <w:t>项目的潜在投标人应在广西政府采购云平台（网址：http://www.gcy.zfcg.gxzf.gov.cn）获取招标文件，并于 202</w:t>
      </w:r>
      <w:r>
        <w:rPr>
          <w:rFonts w:hint="eastAsia"/>
          <w:highlight w:val="none"/>
        </w:rPr>
        <w:t>6</w:t>
      </w:r>
      <w:r>
        <w:rPr>
          <w:highlight w:val="none"/>
        </w:rPr>
        <w:t>年</w:t>
      </w:r>
      <w:r>
        <w:rPr>
          <w:rFonts w:hint="eastAsia"/>
          <w:highlight w:val="none"/>
          <w:lang w:val="en-US" w:eastAsia="zh-CN"/>
        </w:rPr>
        <w:t>9</w:t>
      </w:r>
      <w:r>
        <w:rPr>
          <w:highlight w:val="none"/>
        </w:rPr>
        <w:t>月</w:t>
      </w:r>
      <w:r>
        <w:rPr>
          <w:rFonts w:hint="eastAsia"/>
          <w:highlight w:val="none"/>
          <w:lang w:val="en-US" w:eastAsia="zh-CN"/>
        </w:rPr>
        <w:t>1</w:t>
      </w:r>
      <w:r>
        <w:rPr>
          <w:highlight w:val="none"/>
        </w:rPr>
        <w:t>日 10:00（北京时间）前递交投标文件。</w:t>
      </w:r>
    </w:p>
    <w:p>
      <w:pPr>
        <w:adjustRightInd w:val="0"/>
        <w:snapToGrid w:val="0"/>
        <w:spacing w:line="320" w:lineRule="exact"/>
        <w:ind w:firstLine="421" w:firstLineChars="200"/>
        <w:rPr>
          <w:b/>
          <w:highlight w:val="none"/>
        </w:rPr>
      </w:pPr>
      <w:bookmarkStart w:id="0" w:name="_Toc28359009"/>
      <w:bookmarkStart w:id="1" w:name="_Toc28359086"/>
      <w:r>
        <w:rPr>
          <w:rFonts w:hint="eastAsia"/>
          <w:b/>
          <w:highlight w:val="none"/>
        </w:rPr>
        <w:t>一、项目基本情况</w:t>
      </w:r>
    </w:p>
    <w:p>
      <w:pPr>
        <w:adjustRightInd w:val="0"/>
        <w:snapToGrid w:val="0"/>
        <w:spacing w:line="320" w:lineRule="exact"/>
        <w:ind w:firstLine="420" w:firstLineChars="200"/>
        <w:rPr>
          <w:rFonts w:hint="eastAsia" w:eastAsia="宋体"/>
          <w:highlight w:val="none"/>
          <w:lang w:eastAsia="zh-CN"/>
        </w:rPr>
      </w:pPr>
      <w:r>
        <w:rPr>
          <w:rFonts w:hint="eastAsia"/>
          <w:highlight w:val="none"/>
        </w:rPr>
        <w:t>项目编号：</w:t>
      </w:r>
      <w:r>
        <w:rPr>
          <w:rFonts w:hint="eastAsia"/>
          <w:highlight w:val="none"/>
          <w:lang w:eastAsia="zh-CN"/>
        </w:rPr>
        <w:t>GXZC2026-G3-002446-CGZX</w:t>
      </w:r>
    </w:p>
    <w:p>
      <w:pPr>
        <w:adjustRightInd w:val="0"/>
        <w:snapToGrid w:val="0"/>
        <w:spacing w:line="320" w:lineRule="exact"/>
        <w:ind w:firstLine="420" w:firstLineChars="200"/>
        <w:rPr>
          <w:rFonts w:hint="eastAsia" w:eastAsia="宋体"/>
          <w:highlight w:val="none"/>
          <w:lang w:eastAsia="zh-CN"/>
        </w:rPr>
      </w:pPr>
      <w:r>
        <w:rPr>
          <w:rFonts w:hint="eastAsia"/>
          <w:highlight w:val="none"/>
        </w:rPr>
        <w:t>项目名称：</w:t>
      </w:r>
      <w:r>
        <w:rPr>
          <w:rFonts w:hint="eastAsia"/>
          <w:highlight w:val="none"/>
          <w:lang w:eastAsia="zh-CN"/>
        </w:rPr>
        <w:t>广西交通技师学院物业管理服务采购</w:t>
      </w:r>
    </w:p>
    <w:p>
      <w:pPr>
        <w:adjustRightInd w:val="0"/>
        <w:snapToGrid w:val="0"/>
        <w:spacing w:line="320" w:lineRule="exact"/>
        <w:ind w:firstLine="420" w:firstLineChars="200"/>
        <w:rPr>
          <w:rFonts w:hint="default" w:eastAsia="宋体"/>
          <w:highlight w:val="none"/>
          <w:lang w:val="en-US" w:eastAsia="zh-CN"/>
        </w:rPr>
      </w:pPr>
      <w:r>
        <w:rPr>
          <w:rFonts w:hint="eastAsia"/>
          <w:highlight w:val="none"/>
        </w:rPr>
        <w:t>预算总金额（元）：</w:t>
      </w:r>
      <w:r>
        <w:rPr>
          <w:rFonts w:hint="eastAsia"/>
          <w:highlight w:val="none"/>
          <w:lang w:val="en-US" w:eastAsia="zh-CN"/>
        </w:rPr>
        <w:t>4050000</w:t>
      </w:r>
    </w:p>
    <w:p>
      <w:pPr>
        <w:adjustRightInd w:val="0"/>
        <w:snapToGrid w:val="0"/>
        <w:spacing w:line="320" w:lineRule="exact"/>
        <w:ind w:firstLine="420" w:firstLineChars="200"/>
        <w:rPr>
          <w:highlight w:val="none"/>
        </w:rPr>
      </w:pPr>
      <w:r>
        <w:rPr>
          <w:rFonts w:hint="eastAsia"/>
          <w:highlight w:val="none"/>
        </w:rPr>
        <w:t>采购需求：</w:t>
      </w:r>
    </w:p>
    <w:p>
      <w:pPr>
        <w:adjustRightInd w:val="0"/>
        <w:snapToGrid w:val="0"/>
        <w:spacing w:line="320" w:lineRule="exact"/>
        <w:ind w:firstLine="420" w:firstLineChars="200"/>
        <w:rPr>
          <w:rFonts w:hint="eastAsia" w:eastAsia="宋体"/>
          <w:highlight w:val="none"/>
          <w:lang w:eastAsia="zh-CN"/>
        </w:rPr>
      </w:pPr>
      <w:r>
        <w:rPr>
          <w:rFonts w:hint="eastAsia"/>
          <w:highlight w:val="none"/>
        </w:rPr>
        <w:t>标项名称：</w:t>
      </w:r>
      <w:r>
        <w:rPr>
          <w:rFonts w:hint="eastAsia"/>
          <w:highlight w:val="none"/>
          <w:lang w:eastAsia="zh-CN"/>
        </w:rPr>
        <w:t>广西交通技师学院物业管理服务采购</w:t>
      </w:r>
    </w:p>
    <w:p>
      <w:pPr>
        <w:adjustRightInd w:val="0"/>
        <w:snapToGrid w:val="0"/>
        <w:spacing w:line="320" w:lineRule="exact"/>
        <w:ind w:left="420" w:leftChars="200" w:firstLine="0" w:firstLineChars="0"/>
        <w:rPr>
          <w:rFonts w:hint="default" w:eastAsia="宋体"/>
          <w:highlight w:val="none"/>
          <w:lang w:val="en-US" w:eastAsia="zh-CN"/>
        </w:rPr>
      </w:pPr>
      <w:r>
        <w:rPr>
          <w:rFonts w:hint="eastAsia"/>
          <w:highlight w:val="none"/>
        </w:rPr>
        <w:t xml:space="preserve">数量：1 </w:t>
      </w:r>
      <w:r>
        <w:rPr>
          <w:rFonts w:hint="eastAsia"/>
          <w:highlight w:val="none"/>
        </w:rPr>
        <w:br w:type="textWrapping"/>
      </w:r>
      <w:r>
        <w:rPr>
          <w:rFonts w:hint="eastAsia"/>
          <w:highlight w:val="none"/>
        </w:rPr>
        <w:t>预算金额（元）：</w:t>
      </w:r>
      <w:r>
        <w:rPr>
          <w:rFonts w:hint="eastAsia"/>
          <w:highlight w:val="none"/>
          <w:lang w:val="en-US" w:eastAsia="zh-CN"/>
        </w:rPr>
        <w:t>4050000</w:t>
      </w:r>
    </w:p>
    <w:p>
      <w:pPr>
        <w:spacing w:line="320" w:lineRule="exact"/>
        <w:ind w:firstLine="420" w:firstLineChars="200"/>
        <w:rPr>
          <w:highlight w:val="none"/>
        </w:rPr>
      </w:pPr>
      <w:r>
        <w:rPr>
          <w:rFonts w:hint="eastAsia"/>
          <w:highlight w:val="none"/>
        </w:rPr>
        <w:t>简要规格描述或项目基本概况介绍、用途：</w:t>
      </w:r>
      <w:r>
        <w:rPr>
          <w:rFonts w:hint="eastAsia"/>
          <w:highlight w:val="none"/>
          <w:lang w:eastAsia="zh-CN"/>
        </w:rPr>
        <w:t>广西交通技师学院物业管理服务采购</w:t>
      </w:r>
      <w:r>
        <w:rPr>
          <w:rFonts w:hint="eastAsia"/>
          <w:highlight w:val="none"/>
        </w:rPr>
        <w:t>1项</w:t>
      </w:r>
      <w:r>
        <w:rPr>
          <w:highlight w:val="none"/>
        </w:rPr>
        <w:t>。</w:t>
      </w:r>
      <w:r>
        <w:rPr>
          <w:rFonts w:hint="eastAsia"/>
          <w:highlight w:val="none"/>
        </w:rPr>
        <w:t>如需进一步了解详细内容，详见采购文件。</w:t>
      </w:r>
    </w:p>
    <w:p>
      <w:pPr>
        <w:adjustRightInd w:val="0"/>
        <w:snapToGrid w:val="0"/>
        <w:spacing w:line="320" w:lineRule="exact"/>
        <w:ind w:firstLine="420" w:firstLineChars="200"/>
        <w:rPr>
          <w:highlight w:val="none"/>
        </w:rPr>
      </w:pPr>
      <w:r>
        <w:rPr>
          <w:rFonts w:hint="eastAsia"/>
          <w:highlight w:val="none"/>
        </w:rPr>
        <w:t xml:space="preserve">最高限价（如有）： </w:t>
      </w:r>
      <w:r>
        <w:rPr>
          <w:highlight w:val="none"/>
        </w:rPr>
        <w:t>/</w:t>
      </w:r>
    </w:p>
    <w:p>
      <w:pPr>
        <w:adjustRightInd w:val="0"/>
        <w:snapToGrid w:val="0"/>
        <w:spacing w:line="320" w:lineRule="exact"/>
        <w:ind w:firstLine="420" w:firstLineChars="200"/>
        <w:rPr>
          <w:highlight w:val="none"/>
        </w:rPr>
      </w:pPr>
      <w:r>
        <w:rPr>
          <w:rFonts w:hint="eastAsia"/>
          <w:highlight w:val="none"/>
        </w:rPr>
        <w:t>合同履约期限：自合同签订之日起至项目履约完毕</w:t>
      </w:r>
    </w:p>
    <w:p>
      <w:pPr>
        <w:adjustRightInd w:val="0"/>
        <w:snapToGrid w:val="0"/>
        <w:spacing w:line="320" w:lineRule="exact"/>
        <w:ind w:firstLine="420" w:firstLineChars="200"/>
        <w:rPr>
          <w:highlight w:val="none"/>
        </w:rPr>
      </w:pPr>
      <w:r>
        <w:rPr>
          <w:rFonts w:hint="eastAsia"/>
          <w:highlight w:val="none"/>
        </w:rPr>
        <w:t>本项目（否）接受联合体投标</w:t>
      </w:r>
    </w:p>
    <w:p>
      <w:pPr>
        <w:adjustRightInd w:val="0"/>
        <w:snapToGrid w:val="0"/>
        <w:spacing w:line="320" w:lineRule="exact"/>
        <w:ind w:firstLine="420" w:firstLineChars="200"/>
        <w:rPr>
          <w:highlight w:val="none"/>
        </w:rPr>
      </w:pPr>
      <w:r>
        <w:rPr>
          <w:rFonts w:hint="eastAsia"/>
          <w:highlight w:val="none"/>
        </w:rPr>
        <w:t>备注：本项目各分标为线上电子招标项目，有意向参与本项目的供应商应当做好参与全流程电子招投标交易的充分准备。</w:t>
      </w:r>
    </w:p>
    <w:p>
      <w:pPr>
        <w:adjustRightInd w:val="0"/>
        <w:snapToGrid w:val="0"/>
        <w:spacing w:line="320" w:lineRule="exact"/>
        <w:ind w:firstLine="421" w:firstLineChars="200"/>
        <w:rPr>
          <w:b/>
          <w:highlight w:val="none"/>
        </w:rPr>
      </w:pPr>
      <w:r>
        <w:rPr>
          <w:rFonts w:hint="eastAsia"/>
          <w:b/>
          <w:highlight w:val="none"/>
        </w:rPr>
        <w:t>二、申请人的资格要求：</w:t>
      </w:r>
    </w:p>
    <w:p>
      <w:pPr>
        <w:adjustRightInd w:val="0"/>
        <w:snapToGrid w:val="0"/>
        <w:spacing w:line="320" w:lineRule="exact"/>
        <w:ind w:firstLine="420" w:firstLineChars="200"/>
        <w:rPr>
          <w:highlight w:val="none"/>
        </w:rPr>
      </w:pPr>
      <w:r>
        <w:rPr>
          <w:rFonts w:hint="eastAsia"/>
          <w:highlight w:val="none"/>
        </w:rPr>
        <w:t>1.满足《中华人民共和国政府采购法》第二十二条规定；</w:t>
      </w:r>
    </w:p>
    <w:p>
      <w:pPr>
        <w:adjustRightInd w:val="0"/>
        <w:snapToGrid w:val="0"/>
        <w:spacing w:line="320" w:lineRule="exact"/>
        <w:ind w:firstLine="420" w:firstLineChars="200"/>
        <w:rPr>
          <w:highlight w:val="none"/>
        </w:rPr>
      </w:pPr>
      <w:r>
        <w:rPr>
          <w:rFonts w:hint="eastAsia"/>
          <w:highlight w:val="none"/>
        </w:rPr>
        <w:t xml:space="preserve">2.落实政府采购政策需满足的资格要求：无 </w:t>
      </w:r>
    </w:p>
    <w:p>
      <w:pPr>
        <w:adjustRightInd w:val="0"/>
        <w:snapToGrid w:val="0"/>
        <w:spacing w:line="320" w:lineRule="exact"/>
        <w:ind w:firstLine="420" w:firstLineChars="200"/>
        <w:rPr>
          <w:highlight w:val="none"/>
        </w:rPr>
      </w:pPr>
      <w:r>
        <w:rPr>
          <w:rFonts w:hint="eastAsia"/>
          <w:highlight w:val="none"/>
        </w:rPr>
        <w:t xml:space="preserve">3.本项目的特定资格要求：无 </w:t>
      </w:r>
    </w:p>
    <w:p>
      <w:pPr>
        <w:adjustRightInd w:val="0"/>
        <w:snapToGrid w:val="0"/>
        <w:spacing w:line="320" w:lineRule="exact"/>
        <w:ind w:firstLine="421" w:firstLineChars="200"/>
        <w:rPr>
          <w:b/>
          <w:highlight w:val="none"/>
        </w:rPr>
      </w:pPr>
      <w:r>
        <w:rPr>
          <w:rFonts w:hint="eastAsia"/>
          <w:b/>
          <w:highlight w:val="none"/>
        </w:rPr>
        <w:t xml:space="preserve">三、获取招标文件 </w:t>
      </w:r>
    </w:p>
    <w:p>
      <w:pPr>
        <w:adjustRightInd w:val="0"/>
        <w:snapToGrid w:val="0"/>
        <w:spacing w:line="320" w:lineRule="exact"/>
        <w:ind w:firstLine="420" w:firstLineChars="200"/>
        <w:rPr>
          <w:highlight w:val="none"/>
        </w:rPr>
      </w:pPr>
      <w:r>
        <w:rPr>
          <w:rFonts w:hint="eastAsia"/>
          <w:highlight w:val="none"/>
        </w:rPr>
        <w:t>时间：</w:t>
      </w:r>
      <w:r>
        <w:rPr>
          <w:b/>
          <w:bCs/>
          <w:highlight w:val="none"/>
        </w:rPr>
        <w:t>202</w:t>
      </w:r>
      <w:r>
        <w:rPr>
          <w:rFonts w:hint="eastAsia"/>
          <w:b/>
          <w:bCs/>
          <w:highlight w:val="none"/>
        </w:rPr>
        <w:t>6</w:t>
      </w:r>
      <w:r>
        <w:rPr>
          <w:b/>
          <w:bCs/>
          <w:highlight w:val="none"/>
        </w:rPr>
        <w:t>年</w:t>
      </w:r>
      <w:r>
        <w:rPr>
          <w:rFonts w:hint="eastAsia"/>
          <w:b/>
          <w:bCs/>
          <w:highlight w:val="none"/>
          <w:lang w:val="en-US" w:eastAsia="zh-CN"/>
        </w:rPr>
        <w:t>8</w:t>
      </w:r>
      <w:r>
        <w:rPr>
          <w:b/>
          <w:bCs/>
          <w:highlight w:val="none"/>
        </w:rPr>
        <w:t>月</w:t>
      </w:r>
      <w:r>
        <w:rPr>
          <w:rFonts w:hint="eastAsia"/>
          <w:b/>
          <w:bCs/>
          <w:highlight w:val="none"/>
          <w:lang w:val="en-US" w:eastAsia="zh-CN"/>
        </w:rPr>
        <w:t>11</w:t>
      </w:r>
      <w:r>
        <w:rPr>
          <w:b/>
          <w:bCs/>
          <w:highlight w:val="none"/>
        </w:rPr>
        <w:t>日</w:t>
      </w:r>
      <w:r>
        <w:rPr>
          <w:rFonts w:hint="eastAsia"/>
          <w:b/>
          <w:bCs/>
          <w:highlight w:val="none"/>
        </w:rPr>
        <w:t>至</w:t>
      </w:r>
      <w:r>
        <w:rPr>
          <w:b/>
          <w:bCs/>
          <w:highlight w:val="none"/>
        </w:rPr>
        <w:t>202</w:t>
      </w:r>
      <w:r>
        <w:rPr>
          <w:rFonts w:hint="eastAsia"/>
          <w:b/>
          <w:bCs/>
          <w:highlight w:val="none"/>
        </w:rPr>
        <w:t>6</w:t>
      </w:r>
      <w:r>
        <w:rPr>
          <w:b/>
          <w:bCs/>
          <w:highlight w:val="none"/>
        </w:rPr>
        <w:t>年</w:t>
      </w:r>
      <w:r>
        <w:rPr>
          <w:rFonts w:hint="eastAsia"/>
          <w:b/>
          <w:bCs/>
          <w:highlight w:val="none"/>
          <w:lang w:val="en-US" w:eastAsia="zh-CN"/>
        </w:rPr>
        <w:t>8</w:t>
      </w:r>
      <w:r>
        <w:rPr>
          <w:b/>
          <w:bCs/>
          <w:highlight w:val="none"/>
        </w:rPr>
        <w:t>月</w:t>
      </w:r>
      <w:r>
        <w:rPr>
          <w:rFonts w:hint="eastAsia"/>
          <w:b/>
          <w:bCs/>
          <w:highlight w:val="none"/>
          <w:lang w:val="en-US" w:eastAsia="zh-CN"/>
        </w:rPr>
        <w:t>18</w:t>
      </w:r>
      <w:r>
        <w:rPr>
          <w:b/>
          <w:bCs/>
          <w:highlight w:val="none"/>
        </w:rPr>
        <w:t>日</w:t>
      </w:r>
      <w:r>
        <w:rPr>
          <w:rFonts w:hint="eastAsia"/>
          <w:highlight w:val="none"/>
        </w:rPr>
        <w:t xml:space="preserve"> ，每天上午00:00至12:00，下午12:00至23:59（北京时间，法定节假日除外）</w:t>
      </w:r>
    </w:p>
    <w:p>
      <w:pPr>
        <w:adjustRightInd w:val="0"/>
        <w:snapToGrid w:val="0"/>
        <w:spacing w:line="320" w:lineRule="exact"/>
        <w:ind w:firstLine="420" w:firstLineChars="200"/>
        <w:rPr>
          <w:highlight w:val="none"/>
        </w:rPr>
      </w:pPr>
      <w:r>
        <w:rPr>
          <w:rFonts w:hint="eastAsia"/>
          <w:highlight w:val="none"/>
        </w:rPr>
        <w:t>地点（网址）：</w:t>
      </w:r>
      <w:r>
        <w:rPr>
          <w:highlight w:val="none"/>
        </w:rPr>
        <w:t>广西政府采购云平台（网址：http://www.gcy.zfcg.gxzf.gov.cn）</w:t>
      </w:r>
    </w:p>
    <w:p>
      <w:pPr>
        <w:adjustRightInd w:val="0"/>
        <w:snapToGrid w:val="0"/>
        <w:spacing w:line="320" w:lineRule="exact"/>
        <w:ind w:firstLine="420" w:firstLineChars="200"/>
        <w:rPr>
          <w:highlight w:val="none"/>
        </w:rPr>
      </w:pPr>
      <w:r>
        <w:rPr>
          <w:rFonts w:hint="eastAsia"/>
          <w:highlight w:val="none"/>
        </w:rPr>
        <w:t>方式：请登录</w:t>
      </w:r>
      <w:r>
        <w:rPr>
          <w:highlight w:val="none"/>
        </w:rPr>
        <w:t>广西政府采购云平台（网址：http://www.gcy.zfcg.gxzf.gov.cn）</w:t>
      </w:r>
      <w:r>
        <w:rPr>
          <w:rFonts w:hint="eastAsia"/>
          <w:highlight w:val="none"/>
        </w:rPr>
        <w:t>进行报名并获取采购文件；未注册的供应商可在广西政府采购云平台完成注册后再行报名。如在操作过程中遇到问题或需技术支持，请致电</w:t>
      </w:r>
      <w:r>
        <w:rPr>
          <w:highlight w:val="none"/>
        </w:rPr>
        <w:t>广西政府采购云</w:t>
      </w:r>
      <w:r>
        <w:rPr>
          <w:rFonts w:hint="eastAsia"/>
          <w:highlight w:val="none"/>
        </w:rPr>
        <w:t>客服热线：95763。提示：公开招标公告附件内的招标文件仅供阅览使用；供应商只有在“</w:t>
      </w:r>
      <w:r>
        <w:rPr>
          <w:highlight w:val="none"/>
        </w:rPr>
        <w:t>广西政府采购云平台</w:t>
      </w:r>
      <w:r>
        <w:rPr>
          <w:rFonts w:hint="eastAsia"/>
          <w:highlight w:val="none"/>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320" w:lineRule="exact"/>
        <w:ind w:firstLine="420" w:firstLineChars="200"/>
        <w:rPr>
          <w:highlight w:val="none"/>
        </w:rPr>
      </w:pPr>
      <w:r>
        <w:rPr>
          <w:rFonts w:hint="eastAsia"/>
          <w:highlight w:val="none"/>
        </w:rPr>
        <w:t xml:space="preserve"> 售价（元）：0 </w:t>
      </w:r>
    </w:p>
    <w:p>
      <w:pPr>
        <w:adjustRightInd w:val="0"/>
        <w:snapToGrid w:val="0"/>
        <w:spacing w:line="320" w:lineRule="exact"/>
        <w:ind w:firstLine="421" w:firstLineChars="200"/>
        <w:rPr>
          <w:b/>
          <w:highlight w:val="none"/>
        </w:rPr>
      </w:pPr>
      <w:r>
        <w:rPr>
          <w:rFonts w:hint="eastAsia"/>
          <w:b/>
          <w:highlight w:val="none"/>
        </w:rPr>
        <w:t>四、提交投标文件截止时间、开标时间和地点</w:t>
      </w:r>
    </w:p>
    <w:p>
      <w:pPr>
        <w:adjustRightInd w:val="0"/>
        <w:snapToGrid w:val="0"/>
        <w:spacing w:line="320" w:lineRule="exact"/>
        <w:ind w:firstLine="420" w:firstLineChars="200"/>
        <w:rPr>
          <w:highlight w:val="none"/>
        </w:rPr>
      </w:pPr>
      <w:r>
        <w:rPr>
          <w:rFonts w:hint="eastAsia"/>
          <w:highlight w:val="none"/>
        </w:rPr>
        <w:t>提交投标文件截止时间：</w:t>
      </w:r>
      <w:r>
        <w:rPr>
          <w:highlight w:val="none"/>
        </w:rPr>
        <w:t>202</w:t>
      </w:r>
      <w:r>
        <w:rPr>
          <w:rFonts w:hint="eastAsia"/>
          <w:highlight w:val="none"/>
        </w:rPr>
        <w:t>6</w:t>
      </w:r>
      <w:r>
        <w:rPr>
          <w:highlight w:val="none"/>
        </w:rPr>
        <w:t>年</w:t>
      </w:r>
      <w:r>
        <w:rPr>
          <w:rFonts w:hint="eastAsia"/>
          <w:highlight w:val="none"/>
          <w:lang w:val="en-US" w:eastAsia="zh-CN"/>
        </w:rPr>
        <w:t>9</w:t>
      </w:r>
      <w:r>
        <w:rPr>
          <w:highlight w:val="none"/>
        </w:rPr>
        <w:t>月</w:t>
      </w:r>
      <w:r>
        <w:rPr>
          <w:rFonts w:hint="eastAsia"/>
          <w:highlight w:val="none"/>
          <w:lang w:val="en-US" w:eastAsia="zh-CN"/>
        </w:rPr>
        <w:t>1</w:t>
      </w:r>
      <w:r>
        <w:rPr>
          <w:highlight w:val="none"/>
        </w:rPr>
        <w:t>日</w:t>
      </w:r>
      <w:r>
        <w:rPr>
          <w:rFonts w:hint="eastAsia"/>
          <w:highlight w:val="none"/>
        </w:rPr>
        <w:t>10:00（北京时间）</w:t>
      </w:r>
    </w:p>
    <w:p>
      <w:pPr>
        <w:adjustRightInd w:val="0"/>
        <w:snapToGrid w:val="0"/>
        <w:spacing w:line="320" w:lineRule="exact"/>
        <w:ind w:firstLine="420" w:firstLineChars="200"/>
        <w:rPr>
          <w:highlight w:val="none"/>
        </w:rPr>
      </w:pPr>
      <w:r>
        <w:rPr>
          <w:rFonts w:hint="eastAsia"/>
          <w:highlight w:val="none"/>
        </w:rPr>
        <w:t>投标地点（网址）：</w:t>
      </w:r>
      <w:r>
        <w:rPr>
          <w:highlight w:val="none"/>
        </w:rPr>
        <w:t>http://www.gcy.zfcg.gxzf.gov.cn</w:t>
      </w:r>
      <w:r>
        <w:rPr>
          <w:rFonts w:hint="eastAsia"/>
          <w:highlight w:val="none"/>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320" w:lineRule="exact"/>
        <w:ind w:firstLine="420" w:firstLineChars="200"/>
        <w:rPr>
          <w:highlight w:val="none"/>
        </w:rPr>
      </w:pPr>
      <w:r>
        <w:rPr>
          <w:rFonts w:hint="eastAsia"/>
          <w:highlight w:val="none"/>
        </w:rPr>
        <w:t xml:space="preserve">开标时间： </w:t>
      </w:r>
      <w:r>
        <w:rPr>
          <w:highlight w:val="none"/>
        </w:rPr>
        <w:t>202</w:t>
      </w:r>
      <w:r>
        <w:rPr>
          <w:rFonts w:hint="eastAsia"/>
          <w:highlight w:val="none"/>
        </w:rPr>
        <w:t>6</w:t>
      </w:r>
      <w:r>
        <w:rPr>
          <w:highlight w:val="none"/>
        </w:rPr>
        <w:t>年</w:t>
      </w:r>
      <w:r>
        <w:rPr>
          <w:rFonts w:hint="eastAsia"/>
          <w:highlight w:val="none"/>
          <w:lang w:val="en-US" w:eastAsia="zh-CN"/>
        </w:rPr>
        <w:t>9</w:t>
      </w:r>
      <w:r>
        <w:rPr>
          <w:highlight w:val="none"/>
        </w:rPr>
        <w:t>月</w:t>
      </w:r>
      <w:r>
        <w:rPr>
          <w:rFonts w:hint="eastAsia"/>
          <w:highlight w:val="none"/>
          <w:lang w:val="en-US" w:eastAsia="zh-CN"/>
        </w:rPr>
        <w:t>1</w:t>
      </w:r>
      <w:r>
        <w:rPr>
          <w:highlight w:val="none"/>
        </w:rPr>
        <w:t>日</w:t>
      </w:r>
      <w:r>
        <w:rPr>
          <w:rFonts w:hint="eastAsia"/>
          <w:highlight w:val="none"/>
        </w:rPr>
        <w:t xml:space="preserve">10:00 </w:t>
      </w:r>
    </w:p>
    <w:p>
      <w:pPr>
        <w:adjustRightInd w:val="0"/>
        <w:snapToGrid w:val="0"/>
        <w:spacing w:line="320" w:lineRule="exact"/>
        <w:ind w:firstLine="420" w:firstLineChars="200"/>
        <w:rPr>
          <w:highlight w:val="none"/>
        </w:rPr>
      </w:pPr>
      <w:r>
        <w:rPr>
          <w:rFonts w:hint="eastAsia"/>
          <w:highlight w:val="none"/>
        </w:rPr>
        <w:t>开标地点：广西壮族自治区南宁市青秀区广西政府采购云平台开标大厅</w:t>
      </w:r>
    </w:p>
    <w:p>
      <w:pPr>
        <w:adjustRightInd w:val="0"/>
        <w:snapToGrid w:val="0"/>
        <w:spacing w:line="320" w:lineRule="exact"/>
        <w:ind w:firstLine="421" w:firstLineChars="200"/>
        <w:rPr>
          <w:b/>
          <w:highlight w:val="none"/>
        </w:rPr>
      </w:pPr>
      <w:r>
        <w:rPr>
          <w:rFonts w:hint="eastAsia"/>
          <w:b/>
          <w:highlight w:val="none"/>
        </w:rPr>
        <w:t xml:space="preserve">五、公告期限 </w:t>
      </w:r>
    </w:p>
    <w:p>
      <w:pPr>
        <w:adjustRightInd w:val="0"/>
        <w:snapToGrid w:val="0"/>
        <w:spacing w:line="320" w:lineRule="exact"/>
        <w:ind w:firstLine="420" w:firstLineChars="200"/>
        <w:rPr>
          <w:highlight w:val="none"/>
        </w:rPr>
      </w:pPr>
      <w:r>
        <w:rPr>
          <w:rFonts w:hint="eastAsia"/>
          <w:highlight w:val="none"/>
        </w:rPr>
        <w:t>自本公告发布之日起5个工作日。</w:t>
      </w:r>
    </w:p>
    <w:p>
      <w:pPr>
        <w:adjustRightInd w:val="0"/>
        <w:snapToGrid w:val="0"/>
        <w:spacing w:line="320" w:lineRule="exact"/>
        <w:ind w:firstLine="421" w:firstLineChars="200"/>
        <w:rPr>
          <w:b/>
          <w:highlight w:val="none"/>
        </w:rPr>
      </w:pPr>
      <w:r>
        <w:rPr>
          <w:rFonts w:hint="eastAsia"/>
          <w:b/>
          <w:highlight w:val="none"/>
        </w:rPr>
        <w:t>六、其他补充事宜</w:t>
      </w:r>
    </w:p>
    <w:p>
      <w:pPr>
        <w:adjustRightInd w:val="0"/>
        <w:snapToGrid w:val="0"/>
        <w:spacing w:line="320" w:lineRule="exact"/>
        <w:ind w:firstLine="420" w:firstLineChars="200"/>
        <w:rPr>
          <w:highlight w:val="none"/>
        </w:rPr>
      </w:pPr>
      <w:r>
        <w:rPr>
          <w:rFonts w:hint="eastAsia"/>
          <w:highlight w:val="none"/>
        </w:rPr>
        <w:t>1.投标保证金（人民币）：</w:t>
      </w:r>
      <w:r>
        <w:rPr>
          <w:rFonts w:hint="eastAsia"/>
          <w:b/>
          <w:bCs/>
          <w:highlight w:val="none"/>
          <w:lang w:val="en-US" w:eastAsia="zh-CN"/>
        </w:rPr>
        <w:t>4</w:t>
      </w:r>
      <w:r>
        <w:rPr>
          <w:rFonts w:hint="eastAsia"/>
          <w:b/>
          <w:bCs/>
          <w:highlight w:val="none"/>
        </w:rPr>
        <w:t>万元。</w:t>
      </w:r>
      <w:r>
        <w:rPr>
          <w:rFonts w:hint="eastAsia"/>
          <w:highlight w:val="none"/>
        </w:rPr>
        <w:t>(必须足额交纳)</w:t>
      </w:r>
    </w:p>
    <w:p>
      <w:pPr>
        <w:adjustRightInd w:val="0"/>
        <w:snapToGrid w:val="0"/>
        <w:spacing w:line="320" w:lineRule="exact"/>
        <w:ind w:firstLine="420" w:firstLineChars="200"/>
        <w:rPr>
          <w:highlight w:val="none"/>
        </w:rPr>
      </w:pPr>
      <w:r>
        <w:rPr>
          <w:rFonts w:hint="eastAsia"/>
          <w:highlight w:val="none"/>
        </w:rPr>
        <w:t>（1）投标保证金交纳形式：支票、汇票、本票、金融机构、担保机构出具的保函等非现金形式。</w:t>
      </w:r>
    </w:p>
    <w:p>
      <w:pPr>
        <w:adjustRightInd w:val="0"/>
        <w:snapToGrid w:val="0"/>
        <w:spacing w:line="320" w:lineRule="exact"/>
        <w:ind w:firstLine="420" w:firstLineChars="200"/>
        <w:rPr>
          <w:highlight w:val="none"/>
        </w:rPr>
      </w:pPr>
      <w:r>
        <w:rPr>
          <w:rFonts w:hint="eastAsia"/>
          <w:highlight w:val="none"/>
        </w:rPr>
        <w:t>（2）采用网上银行转账形式的，投标人应于提交投标文件截止时间前将投标保证金交至以下账户。</w:t>
      </w:r>
    </w:p>
    <w:p>
      <w:pPr>
        <w:adjustRightInd w:val="0"/>
        <w:snapToGrid w:val="0"/>
        <w:spacing w:line="320" w:lineRule="exact"/>
        <w:ind w:firstLine="421" w:firstLineChars="200"/>
        <w:rPr>
          <w:b/>
          <w:bCs/>
          <w:highlight w:val="none"/>
        </w:rPr>
      </w:pPr>
      <w:r>
        <w:rPr>
          <w:rFonts w:hint="eastAsia"/>
          <w:b/>
          <w:bCs/>
          <w:highlight w:val="none"/>
        </w:rPr>
        <w:t>开户名称：广西壮族自治区政府采购中心</w:t>
      </w:r>
    </w:p>
    <w:p>
      <w:pPr>
        <w:adjustRightInd w:val="0"/>
        <w:snapToGrid w:val="0"/>
        <w:spacing w:line="320" w:lineRule="exact"/>
        <w:ind w:firstLine="421" w:firstLineChars="200"/>
        <w:rPr>
          <w:b/>
          <w:bCs/>
          <w:highlight w:val="none"/>
        </w:rPr>
      </w:pPr>
      <w:r>
        <w:rPr>
          <w:rFonts w:hint="eastAsia"/>
          <w:b/>
          <w:bCs/>
          <w:highlight w:val="none"/>
        </w:rPr>
        <w:t>开户银行：中国农业银行股份有限公司南宁市古城支行</w:t>
      </w:r>
    </w:p>
    <w:p>
      <w:pPr>
        <w:adjustRightInd w:val="0"/>
        <w:snapToGrid w:val="0"/>
        <w:spacing w:line="320" w:lineRule="exact"/>
        <w:ind w:firstLine="421" w:firstLineChars="200"/>
        <w:rPr>
          <w:highlight w:val="none"/>
        </w:rPr>
      </w:pPr>
      <w:r>
        <w:rPr>
          <w:rFonts w:hint="eastAsia"/>
          <w:b/>
          <w:bCs/>
          <w:highlight w:val="none"/>
        </w:rPr>
        <w:t>银行账号：20009101040051648</w:t>
      </w:r>
    </w:p>
    <w:p>
      <w:pPr>
        <w:adjustRightInd w:val="0"/>
        <w:snapToGrid w:val="0"/>
        <w:spacing w:line="320" w:lineRule="exact"/>
        <w:ind w:firstLine="420" w:firstLineChars="200"/>
        <w:rPr>
          <w:highlight w:val="none"/>
        </w:rPr>
      </w:pPr>
      <w:r>
        <w:rPr>
          <w:rFonts w:hint="eastAsia"/>
          <w:highlight w:val="none"/>
        </w:rPr>
        <w:t>（3）采用支票、汇票、本票或者保函等形式的，投标人应于提交投标文件截止时间前递交单独密封的支票、汇票、本票或者保函原件至我中心财务处。</w:t>
      </w:r>
    </w:p>
    <w:p>
      <w:pPr>
        <w:adjustRightInd w:val="0"/>
        <w:snapToGrid w:val="0"/>
        <w:spacing w:line="320" w:lineRule="exact"/>
        <w:ind w:firstLine="420" w:firstLineChars="200"/>
        <w:rPr>
          <w:highlight w:val="none"/>
        </w:rPr>
      </w:pPr>
      <w:r>
        <w:rPr>
          <w:rFonts w:hint="eastAsia"/>
          <w:highlight w:val="none"/>
        </w:rPr>
        <w:t>（4）本中心财务处联系方式：</w:t>
      </w:r>
    </w:p>
    <w:p>
      <w:pPr>
        <w:adjustRightInd w:val="0"/>
        <w:snapToGrid w:val="0"/>
        <w:spacing w:line="320" w:lineRule="exact"/>
        <w:ind w:firstLine="420" w:firstLineChars="200"/>
        <w:rPr>
          <w:highlight w:val="none"/>
        </w:rPr>
      </w:pPr>
      <w:r>
        <w:rPr>
          <w:highlight w:val="none"/>
        </w:rPr>
        <w:t>地址：广西南宁市星湖路22号广西壮族自治区政府采购中心综合楼3楼306室；电话：0771-8600309。</w:t>
      </w:r>
    </w:p>
    <w:p>
      <w:pPr>
        <w:adjustRightInd w:val="0"/>
        <w:snapToGrid w:val="0"/>
        <w:spacing w:line="320" w:lineRule="exact"/>
        <w:ind w:firstLine="420" w:firstLineChars="200"/>
        <w:rPr>
          <w:highlight w:val="none"/>
        </w:rPr>
      </w:pPr>
      <w:r>
        <w:rPr>
          <w:rFonts w:hint="eastAsia"/>
          <w:highlight w:val="none"/>
        </w:rPr>
        <w:t>2.本项目需要落实的政府采购政策</w:t>
      </w:r>
    </w:p>
    <w:p>
      <w:pPr>
        <w:adjustRightInd w:val="0"/>
        <w:snapToGrid w:val="0"/>
        <w:spacing w:line="320" w:lineRule="exact"/>
        <w:ind w:firstLine="420" w:firstLineChars="200"/>
        <w:rPr>
          <w:highlight w:val="none"/>
        </w:rPr>
      </w:pPr>
      <w:r>
        <w:rPr>
          <w:rFonts w:hint="eastAsia"/>
          <w:highlight w:val="none"/>
        </w:rPr>
        <w:t>政府采购促进中小企业发展；政府采购促进残疾人就业政策；政府采购支持监狱企业发展；政府采购扶持不发达地区和少数民族地区等。</w:t>
      </w:r>
    </w:p>
    <w:p>
      <w:pPr>
        <w:adjustRightInd w:val="0"/>
        <w:snapToGrid w:val="0"/>
        <w:spacing w:line="320" w:lineRule="exact"/>
        <w:ind w:firstLine="420" w:firstLineChars="200"/>
        <w:rPr>
          <w:highlight w:val="none"/>
        </w:rPr>
      </w:pPr>
      <w:r>
        <w:rPr>
          <w:rFonts w:hint="eastAsia"/>
          <w:highlight w:val="none"/>
        </w:rPr>
        <w:t>3.网上公告媒体查询</w:t>
      </w:r>
    </w:p>
    <w:p>
      <w:pPr>
        <w:adjustRightInd w:val="0"/>
        <w:snapToGrid w:val="0"/>
        <w:spacing w:line="320" w:lineRule="exact"/>
        <w:ind w:firstLine="420" w:firstLineChars="200"/>
        <w:rPr>
          <w:highlight w:val="none"/>
        </w:rPr>
      </w:pPr>
      <w:r>
        <w:rPr>
          <w:rFonts w:hint="eastAsia"/>
          <w:highlight w:val="none"/>
        </w:rPr>
        <w:t>中国政府采购网（www.ccgp.gov.cn）、广西壮族自治区政府采购网（zfcg.gxzf.gov.cn）、广西壮族自治区政府采购中心网站（gxggzy.gxzf.gov.cn）。</w:t>
      </w:r>
    </w:p>
    <w:p>
      <w:pPr>
        <w:adjustRightInd w:val="0"/>
        <w:snapToGrid w:val="0"/>
        <w:spacing w:line="320" w:lineRule="exact"/>
        <w:ind w:firstLine="420" w:firstLineChars="200"/>
        <w:rPr>
          <w:highlight w:val="none"/>
        </w:rPr>
      </w:pPr>
      <w:r>
        <w:rPr>
          <w:rFonts w:hint="eastAsia"/>
          <w:highlight w:val="none"/>
        </w:rPr>
        <w:t>4.其他注意事项</w:t>
      </w:r>
    </w:p>
    <w:p>
      <w:pPr>
        <w:adjustRightInd w:val="0"/>
        <w:snapToGrid w:val="0"/>
        <w:spacing w:line="320" w:lineRule="exact"/>
        <w:ind w:firstLine="420" w:firstLineChars="200"/>
        <w:rPr>
          <w:highlight w:val="none"/>
        </w:rPr>
      </w:pPr>
      <w:r>
        <w:rPr>
          <w:rFonts w:hint="eastAsia"/>
          <w:highlight w:val="none"/>
        </w:rPr>
        <w:t>（1）本项目实行电子投标，供应商应按照本项目招标文件和</w:t>
      </w:r>
      <w:r>
        <w:rPr>
          <w:highlight w:val="none"/>
        </w:rPr>
        <w:t>广西政府采购云平台</w:t>
      </w:r>
      <w:r>
        <w:rPr>
          <w:rFonts w:hint="eastAsia"/>
          <w:highlight w:val="none"/>
        </w:rPr>
        <w:t>的要求编制、加密并提交投标文件。供应商在使用系统参与投标过程中遇到涉及平台使用的任何问题，可致电</w:t>
      </w:r>
      <w:r>
        <w:rPr>
          <w:highlight w:val="none"/>
        </w:rPr>
        <w:t>广西政府采购云平台</w:t>
      </w:r>
      <w:r>
        <w:rPr>
          <w:rFonts w:hint="eastAsia"/>
          <w:highlight w:val="none"/>
        </w:rPr>
        <w:t xml:space="preserve">技术支持热线咨询，联系方式：95763。 </w:t>
      </w:r>
    </w:p>
    <w:p>
      <w:pPr>
        <w:adjustRightInd w:val="0"/>
        <w:snapToGrid w:val="0"/>
        <w:spacing w:line="320" w:lineRule="exact"/>
        <w:ind w:firstLine="420" w:firstLineChars="200"/>
        <w:rPr>
          <w:highlight w:val="none"/>
        </w:rPr>
      </w:pPr>
      <w:r>
        <w:rPr>
          <w:rFonts w:hint="eastAsia"/>
          <w:highlight w:val="none"/>
        </w:rPr>
        <w:t>（2）供应商应及时熟悉掌握电子标系统操作指南（见</w:t>
      </w:r>
      <w:r>
        <w:rPr>
          <w:highlight w:val="none"/>
        </w:rPr>
        <w:t>广西政府采购云</w:t>
      </w:r>
      <w:r>
        <w:rPr>
          <w:rFonts w:hint="eastAsia"/>
          <w:highlight w:val="none"/>
        </w:rPr>
        <w:t>电子卖场首页右上角—服务中心—帮助文档—项目采购）：</w:t>
      </w:r>
      <w:r>
        <w:rPr>
          <w:highlight w:val="none"/>
        </w:rPr>
        <w:fldChar w:fldCharType="begin"/>
      </w:r>
      <w:r>
        <w:rPr>
          <w:highlight w:val="none"/>
        </w:rPr>
        <w:instrText xml:space="preserve"> HYPERLINK "https://service.zcygov.cn/#/knowledges/tree?tag=AG1DtGwBFdiHxlNdhY0r。" </w:instrText>
      </w:r>
      <w:r>
        <w:rPr>
          <w:highlight w:val="none"/>
        </w:rPr>
        <w:fldChar w:fldCharType="separate"/>
      </w:r>
      <w:r>
        <w:rPr>
          <w:rFonts w:hint="eastAsia"/>
          <w:highlight w:val="none"/>
        </w:rPr>
        <w:t>https://service.zcygov.cn/#/knowledges/tree?tag=AG1DtGwBFdiHxlNdhY0r。</w:t>
      </w:r>
      <w:r>
        <w:rPr>
          <w:rFonts w:hint="eastAsia"/>
          <w:highlight w:val="none"/>
        </w:rPr>
        <w:fldChar w:fldCharType="end"/>
      </w:r>
    </w:p>
    <w:p>
      <w:pPr>
        <w:adjustRightInd w:val="0"/>
        <w:snapToGrid w:val="0"/>
        <w:spacing w:line="320" w:lineRule="exact"/>
        <w:ind w:firstLine="420" w:firstLineChars="200"/>
        <w:rPr>
          <w:highlight w:val="none"/>
        </w:rPr>
      </w:pPr>
      <w:r>
        <w:rPr>
          <w:rFonts w:hint="eastAsia"/>
          <w:highlight w:val="none"/>
        </w:rPr>
        <w:t>（3）供应商应及时完成CA申领和绑定（见广西壮族自治区政府采购网—办事服务—下载专区-政采云CA证书办理操作指南）。</w:t>
      </w:r>
    </w:p>
    <w:p>
      <w:pPr>
        <w:adjustRightInd w:val="0"/>
        <w:snapToGrid w:val="0"/>
        <w:spacing w:line="320" w:lineRule="exact"/>
        <w:ind w:firstLine="420" w:firstLineChars="200"/>
        <w:rPr>
          <w:highlight w:val="none"/>
        </w:rPr>
      </w:pPr>
      <w:r>
        <w:rPr>
          <w:rFonts w:hint="eastAsia"/>
          <w:highlight w:val="none"/>
        </w:rPr>
        <w:t>（4）供应商通过</w:t>
      </w:r>
      <w:r>
        <w:rPr>
          <w:highlight w:val="none"/>
        </w:rPr>
        <w:t>广西政府采购云</w:t>
      </w:r>
      <w:r>
        <w:rPr>
          <w:rFonts w:hint="eastAsia"/>
          <w:highlight w:val="none"/>
        </w:rPr>
        <w:t>投标客户端软件制作投标文件，</w:t>
      </w:r>
      <w:r>
        <w:rPr>
          <w:highlight w:val="none"/>
        </w:rPr>
        <w:t>广西政府采购云</w:t>
      </w:r>
      <w:r>
        <w:rPr>
          <w:rFonts w:hint="eastAsia"/>
          <w:highlight w:val="none"/>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320" w:lineRule="exact"/>
        <w:ind w:firstLine="420" w:firstLineChars="200"/>
        <w:rPr>
          <w:highlight w:val="none"/>
        </w:rPr>
      </w:pPr>
      <w:r>
        <w:rPr>
          <w:rFonts w:hint="eastAsia"/>
          <w:highlight w:val="none"/>
        </w:rPr>
        <w:t>（5）因未注册入库、未办理CA数字证书、CA证书故障、操作不当等原因造成无法投标或投标失败等后果由供应商自行承担。</w:t>
      </w:r>
    </w:p>
    <w:p>
      <w:pPr>
        <w:adjustRightInd w:val="0"/>
        <w:snapToGrid w:val="0"/>
        <w:spacing w:line="320" w:lineRule="exact"/>
        <w:ind w:firstLine="420" w:firstLineChars="200"/>
        <w:rPr>
          <w:highlight w:val="none"/>
        </w:rPr>
      </w:pPr>
      <w:r>
        <w:rPr>
          <w:rFonts w:hint="eastAsia"/>
          <w:highlight w:val="none"/>
        </w:rPr>
        <w:t>（6）投标文件网上提交截止后，</w:t>
      </w:r>
      <w:r>
        <w:rPr>
          <w:highlight w:val="none"/>
        </w:rPr>
        <w:t>广西政府采购云</w:t>
      </w:r>
      <w:r>
        <w:rPr>
          <w:rFonts w:hint="eastAsia"/>
          <w:highlight w:val="none"/>
        </w:rPr>
        <w:t>（电子标系统）自动提取所有投标文件，各供应商须在开标开始后30分钟内对上传</w:t>
      </w:r>
      <w:r>
        <w:rPr>
          <w:highlight w:val="none"/>
        </w:rPr>
        <w:t>广西政府采购云</w:t>
      </w:r>
      <w:r>
        <w:rPr>
          <w:rFonts w:hint="eastAsia"/>
          <w:highlight w:val="none"/>
        </w:rPr>
        <w:t>的投标文件进行解密，所有供应商在规定的解密时限内解密完成或解密时限结束后，我中心开启投标文件；供应商超过解密时限的，系统默认自动放弃。</w:t>
      </w:r>
    </w:p>
    <w:p>
      <w:pPr>
        <w:adjustRightInd w:val="0"/>
        <w:snapToGrid w:val="0"/>
        <w:spacing w:line="320" w:lineRule="exact"/>
        <w:ind w:firstLine="421" w:firstLineChars="200"/>
        <w:rPr>
          <w:b/>
          <w:highlight w:val="none"/>
        </w:rPr>
      </w:pPr>
    </w:p>
    <w:p>
      <w:pPr>
        <w:adjustRightInd w:val="0"/>
        <w:snapToGrid w:val="0"/>
        <w:spacing w:line="320" w:lineRule="exact"/>
        <w:ind w:firstLine="421" w:firstLineChars="200"/>
        <w:rPr>
          <w:b/>
          <w:highlight w:val="none"/>
        </w:rPr>
      </w:pPr>
      <w:r>
        <w:rPr>
          <w:rFonts w:hint="eastAsia"/>
          <w:b/>
          <w:highlight w:val="none"/>
        </w:rPr>
        <w:t>七、对本次采购提出询问，请按以下方式联系：</w:t>
      </w:r>
    </w:p>
    <w:p>
      <w:pPr>
        <w:adjustRightInd w:val="0"/>
        <w:snapToGrid w:val="0"/>
        <w:spacing w:line="320" w:lineRule="exact"/>
        <w:ind w:firstLine="420" w:firstLineChars="200"/>
        <w:rPr>
          <w:highlight w:val="none"/>
        </w:rPr>
      </w:pPr>
      <w:r>
        <w:rPr>
          <w:rFonts w:hint="eastAsia"/>
          <w:highlight w:val="none"/>
        </w:rPr>
        <w:t xml:space="preserve">   1.采购人信息</w:t>
      </w:r>
    </w:p>
    <w:p>
      <w:pPr>
        <w:adjustRightInd w:val="0"/>
        <w:snapToGrid w:val="0"/>
        <w:spacing w:line="320" w:lineRule="exact"/>
        <w:ind w:firstLine="420" w:firstLineChars="200"/>
        <w:rPr>
          <w:rFonts w:hint="eastAsia" w:eastAsia="宋体"/>
          <w:highlight w:val="none"/>
          <w:lang w:eastAsia="zh-CN"/>
        </w:rPr>
      </w:pPr>
      <w:r>
        <w:rPr>
          <w:rFonts w:hint="eastAsia"/>
          <w:highlight w:val="none"/>
        </w:rPr>
        <w:t xml:space="preserve">    名    称：</w:t>
      </w:r>
      <w:r>
        <w:rPr>
          <w:rStyle w:val="653"/>
          <w:rFonts w:hint="eastAsia" w:ascii="宋体" w:hAnsi="宋体" w:cs="宋体"/>
          <w:color w:val="000000"/>
          <w:szCs w:val="21"/>
          <w:highlight w:val="none"/>
          <w:lang w:eastAsia="zh-CN"/>
        </w:rPr>
        <w:t>广西交通技师学院</w:t>
      </w:r>
    </w:p>
    <w:p>
      <w:pPr>
        <w:adjustRightInd w:val="0"/>
        <w:snapToGrid w:val="0"/>
        <w:spacing w:line="320" w:lineRule="exact"/>
        <w:ind w:firstLine="420" w:firstLineChars="200"/>
        <w:rPr>
          <w:rFonts w:hint="default" w:eastAsia="宋体"/>
          <w:highlight w:val="none"/>
          <w:lang w:val="en-US" w:eastAsia="zh-CN"/>
        </w:rPr>
      </w:pPr>
      <w:r>
        <w:rPr>
          <w:rFonts w:hint="eastAsia"/>
          <w:highlight w:val="none"/>
        </w:rPr>
        <w:t xml:space="preserve">    地    址：</w:t>
      </w:r>
      <w:r>
        <w:rPr>
          <w:rFonts w:hint="eastAsia"/>
          <w:highlight w:val="none"/>
          <w:lang w:val="en-US" w:eastAsia="zh-CN"/>
        </w:rPr>
        <w:t>南宁市兴宁区邕武路9号</w:t>
      </w:r>
    </w:p>
    <w:p>
      <w:pPr>
        <w:adjustRightInd w:val="0"/>
        <w:snapToGrid w:val="0"/>
        <w:spacing w:line="320" w:lineRule="exact"/>
        <w:ind w:firstLine="420" w:firstLineChars="200"/>
        <w:rPr>
          <w:rFonts w:hint="eastAsia" w:eastAsia="宋体"/>
          <w:highlight w:val="none"/>
          <w:lang w:val="en-US" w:eastAsia="zh-CN"/>
        </w:rPr>
      </w:pPr>
      <w:r>
        <w:rPr>
          <w:rFonts w:hint="eastAsia"/>
          <w:highlight w:val="none"/>
        </w:rPr>
        <w:t xml:space="preserve">    项目联系人：</w:t>
      </w:r>
      <w:r>
        <w:rPr>
          <w:rFonts w:hint="eastAsia"/>
          <w:highlight w:val="none"/>
          <w:lang w:val="en-US" w:eastAsia="zh-CN"/>
        </w:rPr>
        <w:t>罗老师</w:t>
      </w:r>
    </w:p>
    <w:p>
      <w:pPr>
        <w:adjustRightInd w:val="0"/>
        <w:snapToGrid w:val="0"/>
        <w:spacing w:line="320" w:lineRule="exact"/>
        <w:ind w:firstLine="840" w:firstLineChars="400"/>
        <w:rPr>
          <w:rFonts w:hint="default" w:eastAsia="宋体"/>
          <w:highlight w:val="none"/>
          <w:lang w:val="en-US" w:eastAsia="zh-CN"/>
        </w:rPr>
      </w:pPr>
      <w:r>
        <w:rPr>
          <w:rFonts w:hint="eastAsia"/>
          <w:highlight w:val="none"/>
        </w:rPr>
        <w:t>项目联系方式：</w:t>
      </w:r>
      <w:r>
        <w:rPr>
          <w:rFonts w:hint="eastAsia"/>
          <w:highlight w:val="none"/>
          <w:lang w:val="en-US" w:eastAsia="zh-CN"/>
        </w:rPr>
        <w:t>0771-3393443</w:t>
      </w:r>
    </w:p>
    <w:p>
      <w:pPr>
        <w:adjustRightInd w:val="0"/>
        <w:snapToGrid w:val="0"/>
        <w:spacing w:line="320" w:lineRule="exact"/>
        <w:ind w:firstLine="630" w:firstLineChars="300"/>
        <w:rPr>
          <w:highlight w:val="none"/>
        </w:rPr>
      </w:pPr>
      <w:r>
        <w:rPr>
          <w:rFonts w:hint="eastAsia"/>
          <w:highlight w:val="none"/>
        </w:rPr>
        <w:t>2.采购代理机构信息</w:t>
      </w:r>
    </w:p>
    <w:p>
      <w:pPr>
        <w:adjustRightInd w:val="0"/>
        <w:snapToGrid w:val="0"/>
        <w:spacing w:line="320" w:lineRule="exact"/>
        <w:ind w:firstLine="420" w:firstLineChars="200"/>
        <w:rPr>
          <w:highlight w:val="none"/>
        </w:rPr>
      </w:pPr>
      <w:r>
        <w:rPr>
          <w:rFonts w:hint="eastAsia"/>
          <w:highlight w:val="none"/>
        </w:rPr>
        <w:t xml:space="preserve">    名    称：广西壮族自治区政府采购中心  </w:t>
      </w:r>
    </w:p>
    <w:p>
      <w:pPr>
        <w:adjustRightInd w:val="0"/>
        <w:snapToGrid w:val="0"/>
        <w:spacing w:line="320" w:lineRule="exact"/>
        <w:ind w:firstLine="420" w:firstLineChars="200"/>
        <w:rPr>
          <w:highlight w:val="none"/>
        </w:rPr>
      </w:pPr>
      <w:r>
        <w:rPr>
          <w:rFonts w:hint="eastAsia"/>
          <w:highlight w:val="none"/>
        </w:rPr>
        <w:t xml:space="preserve">    地    址：广西南宁市星湖路22号  </w:t>
      </w:r>
    </w:p>
    <w:p>
      <w:pPr>
        <w:adjustRightInd w:val="0"/>
        <w:snapToGrid w:val="0"/>
        <w:spacing w:line="320" w:lineRule="exact"/>
        <w:ind w:firstLine="420" w:firstLineChars="200"/>
        <w:rPr>
          <w:highlight w:val="none"/>
        </w:rPr>
      </w:pPr>
      <w:r>
        <w:rPr>
          <w:rFonts w:hint="eastAsia"/>
          <w:highlight w:val="none"/>
        </w:rPr>
        <w:t xml:space="preserve">    项目联系人：梁蔚婷</w:t>
      </w:r>
    </w:p>
    <w:p>
      <w:pPr>
        <w:adjustRightInd w:val="0"/>
        <w:snapToGrid w:val="0"/>
        <w:spacing w:line="320" w:lineRule="exact"/>
        <w:ind w:firstLine="420" w:firstLineChars="200"/>
        <w:rPr>
          <w:rFonts w:ascii="宋体" w:hAnsi="宋体" w:cs="宋体"/>
          <w:highlight w:val="none"/>
        </w:rPr>
      </w:pPr>
      <w:r>
        <w:rPr>
          <w:rFonts w:hint="eastAsia"/>
          <w:highlight w:val="none"/>
        </w:rPr>
        <w:t xml:space="preserve">    项目联系方式：0771-8600434 </w:t>
      </w:r>
    </w:p>
    <w:p>
      <w:pPr>
        <w:adjustRightInd w:val="0"/>
        <w:snapToGrid w:val="0"/>
        <w:spacing w:line="320" w:lineRule="exact"/>
        <w:ind w:firstLine="630" w:firstLineChars="300"/>
        <w:rPr>
          <w:rFonts w:ascii="宋体" w:hAnsi="宋体" w:cs="宋体"/>
          <w:highlight w:val="none"/>
        </w:rPr>
      </w:pPr>
    </w:p>
    <w:p>
      <w:pPr>
        <w:adjustRightInd w:val="0"/>
        <w:snapToGrid w:val="0"/>
        <w:spacing w:line="320" w:lineRule="exact"/>
        <w:ind w:firstLine="630" w:firstLineChars="300"/>
        <w:rPr>
          <w:rFonts w:ascii="宋体" w:hAnsi="宋体" w:cs="宋体"/>
          <w:highlight w:val="none"/>
        </w:rPr>
      </w:pPr>
    </w:p>
    <w:p>
      <w:pPr>
        <w:adjustRightInd w:val="0"/>
        <w:snapToGrid w:val="0"/>
        <w:spacing w:line="320" w:lineRule="exact"/>
        <w:ind w:firstLine="630" w:firstLineChars="300"/>
        <w:rPr>
          <w:rFonts w:ascii="宋体" w:hAnsi="宋体" w:cs="宋体"/>
          <w:highlight w:val="none"/>
        </w:rPr>
      </w:pPr>
    </w:p>
    <w:bookmarkEnd w:id="0"/>
    <w:bookmarkEnd w:id="1"/>
    <w:p>
      <w:pPr>
        <w:snapToGrid w:val="0"/>
        <w:spacing w:line="320" w:lineRule="exact"/>
        <w:ind w:left="238"/>
        <w:jc w:val="center"/>
        <w:rPr>
          <w:rFonts w:ascii="宋体" w:cs="宋体"/>
          <w:highlight w:val="none"/>
        </w:rPr>
      </w:pPr>
      <w:r>
        <w:rPr>
          <w:rFonts w:hint="eastAsia" w:ascii="宋体" w:hAnsi="宋体" w:cs="宋体"/>
          <w:highlight w:val="none"/>
        </w:rPr>
        <w:t xml:space="preserve">                                广西壮族自治区政府采购中心</w:t>
      </w:r>
    </w:p>
    <w:p>
      <w:pPr>
        <w:snapToGrid w:val="0"/>
        <w:spacing w:line="320" w:lineRule="exact"/>
        <w:ind w:left="238"/>
        <w:jc w:val="center"/>
        <w:rPr>
          <w:rFonts w:ascii="黑体" w:eastAsia="黑体"/>
          <w:sz w:val="32"/>
          <w:szCs w:val="32"/>
          <w:highlight w:val="none"/>
        </w:rPr>
      </w:pPr>
      <w:r>
        <w:rPr>
          <w:rFonts w:hint="eastAsia" w:ascii="宋体" w:hAnsi="宋体" w:cs="宋体"/>
          <w:highlight w:val="none"/>
          <w:lang w:val="en-US" w:eastAsia="zh-CN"/>
        </w:rPr>
        <w:t xml:space="preserve">                             </w:t>
      </w:r>
      <w:r>
        <w:rPr>
          <w:rFonts w:ascii="宋体" w:hAnsi="宋体" w:cs="宋体"/>
          <w:highlight w:val="none"/>
        </w:rPr>
        <w:t>202</w:t>
      </w:r>
      <w:r>
        <w:rPr>
          <w:rFonts w:hint="eastAsia" w:ascii="宋体" w:hAnsi="宋体" w:cs="宋体"/>
          <w:highlight w:val="none"/>
        </w:rPr>
        <w:t>6</w:t>
      </w:r>
      <w:r>
        <w:rPr>
          <w:rFonts w:ascii="宋体" w:hAnsi="宋体" w:cs="宋体"/>
          <w:highlight w:val="none"/>
        </w:rPr>
        <w:t>年</w:t>
      </w:r>
      <w:r>
        <w:rPr>
          <w:rFonts w:hint="eastAsia" w:ascii="宋体" w:hAnsi="宋体" w:cs="宋体"/>
          <w:highlight w:val="none"/>
          <w:lang w:val="en-US" w:eastAsia="zh-CN"/>
        </w:rPr>
        <w:t>8</w:t>
      </w:r>
      <w:r>
        <w:rPr>
          <w:rFonts w:ascii="宋体" w:hAnsi="宋体" w:cs="宋体"/>
          <w:highlight w:val="none"/>
        </w:rPr>
        <w:t>月</w:t>
      </w:r>
      <w:r>
        <w:rPr>
          <w:rFonts w:hint="eastAsia" w:ascii="宋体" w:hAnsi="宋体" w:cs="宋体"/>
          <w:highlight w:val="none"/>
          <w:lang w:val="en-US" w:eastAsia="zh-CN"/>
        </w:rPr>
        <w:t>11</w:t>
      </w:r>
      <w:r>
        <w:rPr>
          <w:rFonts w:ascii="宋体" w:hAnsi="宋体" w:cs="宋体"/>
          <w:highlight w:val="none"/>
        </w:rPr>
        <w:t>日</w:t>
      </w:r>
    </w:p>
    <w:p>
      <w:pPr>
        <w:snapToGrid w:val="0"/>
        <w:spacing w:beforeLines="50" w:afterLines="50" w:line="340" w:lineRule="exact"/>
        <w:ind w:left="238"/>
        <w:jc w:val="center"/>
        <w:rPr>
          <w:rFonts w:ascii="黑体" w:eastAsia="黑体"/>
          <w:sz w:val="32"/>
          <w:szCs w:val="32"/>
          <w:highlight w:val="none"/>
        </w:rPr>
      </w:pPr>
      <w:r>
        <w:rPr>
          <w:rFonts w:hint="eastAsia" w:ascii="黑体" w:eastAsia="黑体"/>
          <w:sz w:val="32"/>
          <w:szCs w:val="32"/>
          <w:highlight w:val="none"/>
        </w:rPr>
        <w:br w:type="page"/>
      </w: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line="360" w:lineRule="exact"/>
        <w:ind w:left="238"/>
        <w:jc w:val="center"/>
        <w:rPr>
          <w:rFonts w:ascii="黑体" w:eastAsia="黑体"/>
          <w:sz w:val="32"/>
          <w:szCs w:val="32"/>
          <w:highlight w:val="none"/>
        </w:rPr>
      </w:pPr>
    </w:p>
    <w:p>
      <w:pPr>
        <w:pStyle w:val="7"/>
        <w:rPr>
          <w:highlight w:val="none"/>
        </w:rPr>
      </w:pPr>
    </w:p>
    <w:p>
      <w:pPr>
        <w:snapToGrid w:val="0"/>
        <w:spacing w:beforeLines="50" w:afterLines="50" w:line="360" w:lineRule="exact"/>
        <w:ind w:left="238"/>
        <w:jc w:val="center"/>
        <w:rPr>
          <w:rFonts w:ascii="黑体" w:eastAsia="黑体"/>
          <w:sz w:val="32"/>
          <w:szCs w:val="32"/>
          <w:highlight w:val="none"/>
        </w:rPr>
      </w:pPr>
    </w:p>
    <w:p>
      <w:pPr>
        <w:snapToGrid w:val="0"/>
        <w:spacing w:beforeLines="50" w:afterLines="50"/>
        <w:ind w:left="238"/>
        <w:jc w:val="center"/>
        <w:rPr>
          <w:rFonts w:ascii="黑体" w:eastAsia="黑体"/>
          <w:sz w:val="36"/>
          <w:szCs w:val="36"/>
          <w:highlight w:val="none"/>
        </w:rPr>
      </w:pPr>
    </w:p>
    <w:p>
      <w:pPr>
        <w:snapToGrid w:val="0"/>
        <w:spacing w:beforeLines="50" w:afterLines="50"/>
        <w:ind w:left="238"/>
        <w:jc w:val="center"/>
        <w:rPr>
          <w:rFonts w:ascii="黑体" w:eastAsia="黑体"/>
          <w:sz w:val="36"/>
          <w:szCs w:val="36"/>
          <w:highlight w:val="none"/>
        </w:rPr>
      </w:pPr>
      <w:r>
        <w:rPr>
          <w:rFonts w:hint="eastAsia" w:ascii="仿宋_GB2312" w:eastAsia="仿宋_GB2312"/>
          <w:b/>
          <w:sz w:val="36"/>
          <w:szCs w:val="36"/>
          <w:highlight w:val="none"/>
        </w:rPr>
        <w:t xml:space="preserve">第二章  </w:t>
      </w:r>
      <w:r>
        <w:rPr>
          <w:rFonts w:hint="eastAsia" w:ascii="仿宋_GB2312" w:eastAsia="仿宋_GB2312"/>
          <w:b/>
          <w:bCs/>
          <w:sz w:val="36"/>
          <w:szCs w:val="36"/>
          <w:highlight w:val="none"/>
        </w:rPr>
        <w:t>招</w:t>
      </w:r>
      <w:r>
        <w:rPr>
          <w:rFonts w:hint="eastAsia" w:ascii="仿宋_GB2312" w:eastAsia="仿宋_GB2312"/>
          <w:b/>
          <w:sz w:val="36"/>
          <w:szCs w:val="36"/>
          <w:highlight w:val="none"/>
        </w:rPr>
        <w:t>标项目采购需求</w:t>
      </w:r>
    </w:p>
    <w:p>
      <w:pPr>
        <w:jc w:val="center"/>
        <w:rPr>
          <w:rFonts w:ascii="宋体" w:hAnsi="宋体"/>
          <w:b/>
          <w:dstrike/>
          <w:sz w:val="36"/>
          <w:szCs w:val="36"/>
          <w:highlight w:val="none"/>
        </w:rPr>
      </w:pPr>
      <w:r>
        <w:rPr>
          <w:highlight w:val="none"/>
        </w:rPr>
        <w:br w:type="page"/>
      </w:r>
      <w:r>
        <w:rPr>
          <w:rFonts w:hint="eastAsia" w:ascii="宋体" w:hAnsi="宋体"/>
          <w:b/>
          <w:bCs/>
          <w:sz w:val="36"/>
          <w:szCs w:val="36"/>
          <w:highlight w:val="none"/>
        </w:rPr>
        <w:t>招标项目采购需求</w:t>
      </w:r>
    </w:p>
    <w:p>
      <w:pPr>
        <w:widowControl/>
        <w:snapToGrid w:val="0"/>
        <w:spacing w:line="420" w:lineRule="exact"/>
        <w:ind w:firstLine="330"/>
        <w:rPr>
          <w:rFonts w:ascii="宋体" w:hAnsi="宋体" w:cs="宋体"/>
          <w:b/>
          <w:bCs/>
          <w:kern w:val="0"/>
          <w:szCs w:val="21"/>
          <w:highlight w:val="none"/>
        </w:rPr>
      </w:pPr>
    </w:p>
    <w:p>
      <w:pPr>
        <w:snapToGrid w:val="0"/>
        <w:spacing w:line="360" w:lineRule="exact"/>
        <w:ind w:firstLine="421" w:firstLineChars="200"/>
        <w:jc w:val="left"/>
        <w:rPr>
          <w:rFonts w:ascii="宋体" w:hAnsi="宋体"/>
          <w:b/>
          <w:color w:val="000000"/>
          <w:szCs w:val="21"/>
          <w:highlight w:val="none"/>
        </w:rPr>
      </w:pPr>
      <w:r>
        <w:rPr>
          <w:rFonts w:hint="eastAsia" w:ascii="宋体" w:hAnsi="宋体"/>
          <w:b/>
          <w:color w:val="000000"/>
          <w:szCs w:val="21"/>
          <w:highlight w:val="none"/>
        </w:rPr>
        <w:t>一、项目名称：广西交通技师学院物业管理服务项目。</w:t>
      </w:r>
    </w:p>
    <w:p>
      <w:pPr>
        <w:snapToGrid w:val="0"/>
        <w:spacing w:line="360" w:lineRule="exact"/>
        <w:ind w:firstLine="421" w:firstLineChars="200"/>
        <w:jc w:val="left"/>
        <w:rPr>
          <w:rFonts w:ascii="宋体" w:hAnsi="宋体"/>
          <w:b/>
          <w:bCs/>
          <w:color w:val="000000"/>
          <w:szCs w:val="21"/>
          <w:highlight w:val="none"/>
        </w:rPr>
      </w:pPr>
      <w:r>
        <w:rPr>
          <w:rFonts w:hint="eastAsia" w:ascii="宋体" w:hAnsi="宋体"/>
          <w:b/>
          <w:bCs/>
          <w:color w:val="000000"/>
          <w:szCs w:val="21"/>
          <w:highlight w:val="none"/>
        </w:rPr>
        <w:t>二、服务范围：广西交通技师学院（邕武校区、长堽校区、伊岭校区）。</w:t>
      </w:r>
    </w:p>
    <w:p>
      <w:pPr>
        <w:pStyle w:val="193"/>
        <w:widowControl w:val="0"/>
        <w:snapToGrid w:val="0"/>
        <w:spacing w:line="360" w:lineRule="exact"/>
        <w:ind w:firstLine="422"/>
        <w:rPr>
          <w:rFonts w:ascii="宋体" w:hAnsi="宋体"/>
          <w:b/>
          <w:bCs/>
          <w:color w:val="000000"/>
          <w:sz w:val="21"/>
          <w:szCs w:val="21"/>
          <w:highlight w:val="none"/>
        </w:rPr>
      </w:pPr>
      <w:r>
        <w:rPr>
          <w:rFonts w:hint="eastAsia" w:ascii="宋体" w:hAnsi="宋体"/>
          <w:b/>
          <w:bCs/>
          <w:color w:val="000000"/>
          <w:sz w:val="21"/>
          <w:szCs w:val="21"/>
          <w:highlight w:val="none"/>
        </w:rPr>
        <w:t>三、服务期限及预算：一年</w:t>
      </w:r>
      <w:r>
        <w:rPr>
          <w:rFonts w:hint="eastAsia" w:ascii="宋体" w:hAnsi="宋体"/>
          <w:color w:val="000000"/>
          <w:sz w:val="21"/>
          <w:szCs w:val="21"/>
          <w:highlight w:val="none"/>
        </w:rPr>
        <w:t>。</w:t>
      </w:r>
      <w:r>
        <w:rPr>
          <w:rFonts w:hint="eastAsia" w:ascii="宋体" w:hAnsi="宋体"/>
          <w:b/>
          <w:bCs/>
          <w:color w:val="000000"/>
          <w:sz w:val="21"/>
          <w:szCs w:val="21"/>
          <w:highlight w:val="none"/>
        </w:rPr>
        <w:t>本项目采购预算：405万元</w:t>
      </w:r>
      <w:r>
        <w:rPr>
          <w:rFonts w:hint="eastAsia" w:ascii="宋体" w:hAnsi="宋体"/>
          <w:color w:val="000000"/>
          <w:sz w:val="21"/>
          <w:szCs w:val="21"/>
          <w:highlight w:val="none"/>
        </w:rPr>
        <w:t>。若承包方服务质量达不到合同约定标准，视为违约，甲方有权单方面随时终止合同。</w:t>
      </w:r>
    </w:p>
    <w:p>
      <w:pPr>
        <w:snapToGrid w:val="0"/>
        <w:spacing w:line="360" w:lineRule="exact"/>
        <w:ind w:firstLine="421" w:firstLineChars="200"/>
        <w:jc w:val="left"/>
        <w:rPr>
          <w:rFonts w:ascii="宋体" w:hAnsi="宋体"/>
          <w:b/>
          <w:bCs/>
          <w:color w:val="000000"/>
          <w:szCs w:val="21"/>
          <w:highlight w:val="none"/>
        </w:rPr>
      </w:pPr>
      <w:r>
        <w:rPr>
          <w:rFonts w:hint="eastAsia" w:ascii="宋体" w:hAnsi="宋体"/>
          <w:b/>
          <w:bCs/>
          <w:color w:val="000000"/>
          <w:szCs w:val="21"/>
          <w:highlight w:val="none"/>
        </w:rPr>
        <w:t>四、总体要求</w:t>
      </w:r>
    </w:p>
    <w:p>
      <w:pPr>
        <w:snapToGrid w:val="0"/>
        <w:spacing w:line="360" w:lineRule="exact"/>
        <w:ind w:firstLine="360"/>
        <w:rPr>
          <w:rFonts w:ascii="宋体" w:hAnsi="宋体"/>
          <w:color w:val="000000"/>
          <w:szCs w:val="21"/>
          <w:highlight w:val="none"/>
        </w:rPr>
      </w:pPr>
      <w:r>
        <w:rPr>
          <w:rFonts w:hint="eastAsia" w:ascii="宋体" w:hAnsi="宋体"/>
          <w:color w:val="000000"/>
          <w:szCs w:val="21"/>
          <w:highlight w:val="none"/>
        </w:rPr>
        <w:t>（一）配备岗位人员不得少于规定的最低配备要求，必须完成规定的工作任务量；</w:t>
      </w:r>
    </w:p>
    <w:p>
      <w:pPr>
        <w:snapToGrid w:val="0"/>
        <w:spacing w:line="360" w:lineRule="exact"/>
        <w:ind w:firstLine="360"/>
        <w:rPr>
          <w:rFonts w:ascii="宋体" w:hAnsi="宋体"/>
          <w:color w:val="000000"/>
          <w:szCs w:val="21"/>
          <w:highlight w:val="none"/>
        </w:rPr>
      </w:pPr>
      <w:r>
        <w:rPr>
          <w:rFonts w:hint="eastAsia" w:ascii="宋体" w:hAnsi="宋体"/>
          <w:color w:val="000000"/>
          <w:szCs w:val="21"/>
          <w:highlight w:val="none"/>
        </w:rPr>
        <w:t>（二）供应商须严格按照《劳动合同法》及相关法律法规与员工签订书面劳动合同，依法履行用人单位义务；</w:t>
      </w:r>
    </w:p>
    <w:p>
      <w:pPr>
        <w:snapToGrid w:val="0"/>
        <w:spacing w:line="360" w:lineRule="exact"/>
        <w:ind w:firstLine="360"/>
        <w:rPr>
          <w:rFonts w:ascii="宋体" w:hAnsi="宋体"/>
          <w:color w:val="000000"/>
          <w:szCs w:val="21"/>
          <w:highlight w:val="none"/>
        </w:rPr>
      </w:pPr>
      <w:r>
        <w:rPr>
          <w:rFonts w:hint="eastAsia" w:ascii="宋体" w:hAnsi="宋体"/>
          <w:color w:val="000000"/>
          <w:szCs w:val="21"/>
          <w:highlight w:val="none"/>
        </w:rPr>
        <w:t>（三）工作人员上岗须统一着供应商配备的工作制服、标识牌；</w:t>
      </w:r>
    </w:p>
    <w:p>
      <w:pPr>
        <w:snapToGrid w:val="0"/>
        <w:spacing w:line="360" w:lineRule="exact"/>
        <w:ind w:firstLine="360"/>
        <w:rPr>
          <w:rFonts w:ascii="宋体" w:hAnsi="宋体"/>
          <w:color w:val="000000"/>
          <w:szCs w:val="21"/>
          <w:highlight w:val="none"/>
        </w:rPr>
      </w:pPr>
      <w:r>
        <w:rPr>
          <w:rFonts w:hint="eastAsia" w:ascii="宋体" w:hAnsi="宋体"/>
          <w:color w:val="000000"/>
          <w:szCs w:val="21"/>
          <w:highlight w:val="none"/>
        </w:rPr>
        <w:t>（四）供应商须为所有上岗人员足额缴纳社会保险（含工伤保险），员工在服务期间因工发生工伤、意外伤害或第三方责任事故的，由供应商承担全部处理责任，包括但不限于医疗救治、经济赔偿及善后事宜。采购方不承担任何连带或赔偿责任；</w:t>
      </w:r>
    </w:p>
    <w:p>
      <w:pPr>
        <w:snapToGrid w:val="0"/>
        <w:spacing w:line="360" w:lineRule="exact"/>
        <w:ind w:firstLine="360"/>
        <w:rPr>
          <w:rFonts w:ascii="宋体" w:hAnsi="宋体"/>
          <w:color w:val="auto"/>
          <w:szCs w:val="21"/>
          <w:highlight w:val="none"/>
        </w:rPr>
      </w:pPr>
      <w:r>
        <w:rPr>
          <w:rFonts w:hint="eastAsia" w:ascii="宋体" w:hAnsi="宋体"/>
          <w:color w:val="000000"/>
          <w:szCs w:val="21"/>
          <w:highlight w:val="none"/>
        </w:rPr>
        <w:t>（五）供应商需配备相应的保洁工具（抹布、扫把、拖把等）、绿化工具（绿篱机等）、水电维修工具（手电钻、万用钳表、水管钳等）、对讲机及相</w:t>
      </w:r>
      <w:r>
        <w:rPr>
          <w:rFonts w:hint="eastAsia" w:ascii="宋体" w:hAnsi="宋体"/>
          <w:color w:val="auto"/>
          <w:szCs w:val="21"/>
          <w:highlight w:val="none"/>
        </w:rPr>
        <w:t>应</w:t>
      </w:r>
      <w:r>
        <w:rPr>
          <w:rFonts w:hint="eastAsia" w:ascii="宋体" w:hAnsi="宋体"/>
          <w:color w:val="auto"/>
          <w:sz w:val="21"/>
          <w:szCs w:val="21"/>
          <w:highlight w:val="none"/>
          <w:lang w:val="en-US" w:eastAsia="zh-CN"/>
        </w:rPr>
        <w:t>的</w:t>
      </w:r>
      <w:r>
        <w:rPr>
          <w:rFonts w:hint="eastAsia"/>
          <w:color w:val="auto"/>
          <w:highlight w:val="none"/>
          <w:lang w:val="en-US" w:eastAsia="zh-CN"/>
        </w:rPr>
        <w:t>安防</w:t>
      </w:r>
      <w:r>
        <w:rPr>
          <w:rFonts w:hint="eastAsia" w:ascii="宋体" w:hAnsi="宋体" w:eastAsia="宋体"/>
          <w:color w:val="auto"/>
          <w:sz w:val="21"/>
          <w:szCs w:val="21"/>
          <w:highlight w:val="none"/>
        </w:rPr>
        <w:t>器材</w:t>
      </w:r>
      <w:r>
        <w:rPr>
          <w:rFonts w:hint="eastAsia" w:ascii="宋体" w:hAnsi="宋体"/>
          <w:color w:val="auto"/>
          <w:szCs w:val="21"/>
          <w:highlight w:val="none"/>
        </w:rPr>
        <w:t>等不仅限于服务于本项目所需的工具；</w:t>
      </w:r>
    </w:p>
    <w:p>
      <w:pPr>
        <w:snapToGrid w:val="0"/>
        <w:spacing w:line="360" w:lineRule="exact"/>
        <w:ind w:firstLine="360"/>
        <w:rPr>
          <w:rFonts w:ascii="宋体" w:hAnsi="宋体"/>
          <w:color w:val="auto"/>
          <w:szCs w:val="21"/>
          <w:highlight w:val="none"/>
        </w:rPr>
      </w:pPr>
      <w:r>
        <w:rPr>
          <w:rFonts w:hint="eastAsia" w:ascii="宋体" w:hAnsi="宋体"/>
          <w:color w:val="auto"/>
          <w:szCs w:val="21"/>
          <w:highlight w:val="none"/>
        </w:rPr>
        <w:t>（六）供应商能根据采购人需求提供服务方案（包括但不限于信息化、智能化管理手段等）或承诺；</w:t>
      </w:r>
    </w:p>
    <w:p>
      <w:pPr>
        <w:snapToGrid w:val="0"/>
        <w:spacing w:line="360" w:lineRule="exact"/>
        <w:ind w:firstLine="360"/>
        <w:rPr>
          <w:rFonts w:ascii="宋体" w:hAnsi="宋体"/>
          <w:color w:val="000000"/>
          <w:szCs w:val="21"/>
          <w:highlight w:val="none"/>
        </w:rPr>
      </w:pPr>
      <w:r>
        <w:rPr>
          <w:rFonts w:hint="eastAsia" w:ascii="宋体" w:hAnsi="宋体"/>
          <w:color w:val="auto"/>
          <w:szCs w:val="21"/>
          <w:highlight w:val="none"/>
        </w:rPr>
        <w:t>（七）供应商需按照本项目的特点提供</w:t>
      </w:r>
      <w:r>
        <w:rPr>
          <w:rFonts w:hint="eastAsia" w:ascii="宋体" w:hAnsi="宋体"/>
          <w:color w:val="auto"/>
          <w:sz w:val="21"/>
          <w:szCs w:val="21"/>
          <w:highlight w:val="none"/>
          <w:lang w:val="en-US" w:eastAsia="zh-CN"/>
        </w:rPr>
        <w:t>公共秩序维护</w:t>
      </w:r>
      <w:r>
        <w:rPr>
          <w:rFonts w:hint="eastAsia" w:ascii="宋体" w:hAnsi="宋体" w:eastAsia="宋体"/>
          <w:color w:val="auto"/>
          <w:sz w:val="21"/>
          <w:szCs w:val="21"/>
          <w:highlight w:val="none"/>
        </w:rPr>
        <w:t>实施方案</w:t>
      </w:r>
      <w:r>
        <w:rPr>
          <w:rFonts w:hint="eastAsia" w:ascii="宋体" w:hAnsi="宋体"/>
          <w:color w:val="auto"/>
          <w:szCs w:val="21"/>
          <w:highlight w:val="none"/>
        </w:rPr>
        <w:t>和服</w:t>
      </w:r>
      <w:r>
        <w:rPr>
          <w:rFonts w:hint="eastAsia" w:ascii="宋体" w:hAnsi="宋体"/>
          <w:color w:val="000000"/>
          <w:szCs w:val="21"/>
          <w:highlight w:val="none"/>
        </w:rPr>
        <w:t>务承诺书。</w:t>
      </w:r>
    </w:p>
    <w:p>
      <w:pPr>
        <w:pStyle w:val="656"/>
        <w:ind w:firstLineChars="200"/>
        <w:rPr>
          <w:rFonts w:ascii="宋体" w:hAnsi="宋体"/>
          <w:color w:val="000000"/>
          <w:szCs w:val="21"/>
          <w:highlight w:val="none"/>
        </w:rPr>
      </w:pPr>
      <w:r>
        <w:rPr>
          <w:rFonts w:hint="eastAsia" w:ascii="宋体" w:hAnsi="宋体"/>
          <w:color w:val="000000"/>
          <w:szCs w:val="21"/>
          <w:highlight w:val="none"/>
        </w:rPr>
        <w:t>（八）供应商入驻当天起一星期内，完成学院学生宿舍和公共教室设施设备清点造册工作，经双方确认后，各保存一份。</w:t>
      </w:r>
    </w:p>
    <w:p>
      <w:pPr>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五、校园基本情况</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广西交通技师学院共三校区（</w:t>
      </w:r>
      <w:r>
        <w:rPr>
          <w:rFonts w:hint="eastAsia" w:ascii="宋体" w:hAnsi="宋体"/>
          <w:b/>
          <w:color w:val="000000"/>
          <w:szCs w:val="21"/>
          <w:highlight w:val="none"/>
        </w:rPr>
        <w:t>邕武校区、长堽校区、伊岭校区</w:t>
      </w:r>
      <w:r>
        <w:rPr>
          <w:rFonts w:hint="eastAsia" w:ascii="宋体" w:hAnsi="宋体"/>
          <w:color w:val="000000"/>
          <w:szCs w:val="21"/>
          <w:highlight w:val="none"/>
        </w:rPr>
        <w:t>），物业服务主要负责广西交通技师学院邕武校区（除教职工住宿楼）、长堽校区（除教职工住宿楼）、伊岭校区（以下简称各校区）的</w:t>
      </w:r>
      <w:r>
        <w:rPr>
          <w:rFonts w:hint="eastAsia"/>
          <w:color w:val="auto"/>
          <w:highlight w:val="none"/>
          <w:lang w:val="en-US" w:eastAsia="zh-CN"/>
        </w:rPr>
        <w:t>校园秩序维护</w:t>
      </w:r>
      <w:r>
        <w:rPr>
          <w:rFonts w:hint="eastAsia" w:ascii="宋体" w:hAnsi="宋体"/>
          <w:color w:val="000000"/>
          <w:szCs w:val="21"/>
          <w:highlight w:val="none"/>
        </w:rPr>
        <w:t>、学生宿舍管理、教官服务、绿化养护、清洁、保洁工作、工程维保、维修工作。校园实际使用占地面积约777.34亩，建筑面积约165745.84平方米。包含但不限于以下所列：</w:t>
      </w:r>
    </w:p>
    <w:tbl>
      <w:tblPr>
        <w:tblStyle w:val="53"/>
        <w:tblW w:w="9292" w:type="dxa"/>
        <w:jc w:val="center"/>
        <w:tblLayout w:type="fixed"/>
        <w:tblCellMar>
          <w:top w:w="0" w:type="dxa"/>
          <w:left w:w="108" w:type="dxa"/>
          <w:bottom w:w="0" w:type="dxa"/>
          <w:right w:w="108" w:type="dxa"/>
        </w:tblCellMar>
      </w:tblPr>
      <w:tblGrid>
        <w:gridCol w:w="1080"/>
        <w:gridCol w:w="4669"/>
        <w:gridCol w:w="3543"/>
      </w:tblGrid>
      <w:tr>
        <w:tblPrEx>
          <w:tblCellMar>
            <w:top w:w="0" w:type="dxa"/>
            <w:left w:w="108" w:type="dxa"/>
            <w:bottom w:w="0" w:type="dxa"/>
            <w:right w:w="108" w:type="dxa"/>
          </w:tblCellMar>
        </w:tblPrEx>
        <w:trPr>
          <w:trHeight w:val="424"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序号</w:t>
            </w:r>
          </w:p>
        </w:tc>
        <w:tc>
          <w:tcPr>
            <w:tcW w:w="4669" w:type="dxa"/>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项目名称</w:t>
            </w:r>
          </w:p>
        </w:tc>
        <w:tc>
          <w:tcPr>
            <w:tcW w:w="3543" w:type="dxa"/>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建筑面积（㎡）</w:t>
            </w:r>
          </w:p>
        </w:tc>
      </w:tr>
      <w:tr>
        <w:tblPrEx>
          <w:tblCellMar>
            <w:top w:w="0" w:type="dxa"/>
            <w:left w:w="108" w:type="dxa"/>
            <w:bottom w:w="0" w:type="dxa"/>
            <w:right w:w="108" w:type="dxa"/>
          </w:tblCellMar>
        </w:tblPrEx>
        <w:trPr>
          <w:trHeight w:val="409"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3栋学生宿舍（功成苑）</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1600</w:t>
            </w:r>
          </w:p>
        </w:tc>
      </w:tr>
      <w:tr>
        <w:tblPrEx>
          <w:tblCellMar>
            <w:top w:w="0" w:type="dxa"/>
            <w:left w:w="108" w:type="dxa"/>
            <w:bottom w:w="0" w:type="dxa"/>
            <w:right w:w="108" w:type="dxa"/>
          </w:tblCellMar>
        </w:tblPrEx>
        <w:trPr>
          <w:trHeight w:val="415"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5栋学生宿舍</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1200</w:t>
            </w:r>
          </w:p>
        </w:tc>
      </w:tr>
      <w:tr>
        <w:tblPrEx>
          <w:tblCellMar>
            <w:top w:w="0" w:type="dxa"/>
            <w:left w:w="108" w:type="dxa"/>
            <w:bottom w:w="0" w:type="dxa"/>
            <w:right w:w="108" w:type="dxa"/>
          </w:tblCellMar>
        </w:tblPrEx>
        <w:trPr>
          <w:trHeight w:val="420"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6栋学生宿舍（立志苑）</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2466.05</w:t>
            </w:r>
          </w:p>
        </w:tc>
      </w:tr>
      <w:tr>
        <w:tblPrEx>
          <w:tblCellMar>
            <w:top w:w="0" w:type="dxa"/>
            <w:left w:w="108" w:type="dxa"/>
            <w:bottom w:w="0" w:type="dxa"/>
            <w:right w:w="108" w:type="dxa"/>
          </w:tblCellMar>
        </w:tblPrEx>
        <w:trPr>
          <w:trHeight w:val="41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7栋学生宿舍</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2624.96</w:t>
            </w:r>
          </w:p>
        </w:tc>
      </w:tr>
      <w:tr>
        <w:tblPrEx>
          <w:tblCellMar>
            <w:top w:w="0" w:type="dxa"/>
            <w:left w:w="108" w:type="dxa"/>
            <w:bottom w:w="0" w:type="dxa"/>
            <w:right w:w="108" w:type="dxa"/>
          </w:tblCellMar>
        </w:tblPrEx>
        <w:trPr>
          <w:trHeight w:val="419"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8栋学生宿舍（蕙兰苑）</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2297.12</w:t>
            </w:r>
          </w:p>
        </w:tc>
      </w:tr>
      <w:tr>
        <w:tblPrEx>
          <w:tblCellMar>
            <w:top w:w="0" w:type="dxa"/>
            <w:left w:w="108" w:type="dxa"/>
            <w:bottom w:w="0" w:type="dxa"/>
            <w:right w:w="108" w:type="dxa"/>
          </w:tblCellMar>
        </w:tblPrEx>
        <w:trPr>
          <w:trHeight w:val="411"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6</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9栋学生宿舍（栋梁苑）</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3324.69</w:t>
            </w:r>
          </w:p>
        </w:tc>
      </w:tr>
      <w:tr>
        <w:tblPrEx>
          <w:tblCellMar>
            <w:top w:w="0" w:type="dxa"/>
            <w:left w:w="108" w:type="dxa"/>
            <w:bottom w:w="0" w:type="dxa"/>
            <w:right w:w="108" w:type="dxa"/>
          </w:tblCellMar>
        </w:tblPrEx>
        <w:trPr>
          <w:trHeight w:val="416"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7</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10栋学生宿舍（励行苑）</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3324.69</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8</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11栋学生宿舍楼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360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9</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二区大板楼学生宿舍</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19705.29</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10</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实验实训综合楼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24,859.64</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11</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信息中心楼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1,280.00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12</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操场（广场）</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2,317.00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13</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篮球场、跑道（长堽校区）</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2,317.00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14</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民用航空基地</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1,430.16</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15</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实景教学基地（德能楼、德艺楼）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9,356.62</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16</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京东智慧物流实训基地</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1,482.00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17</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德技楼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4,990.00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18</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学生服务综合楼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668.53</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19</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教学服务楼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851.20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20</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篮球场（灯光球场）</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1,254.00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21</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办公楼前广场及花园道路</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903.62</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22</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足球场及环道</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2,400.00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23</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培训中心食堂</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3,000.00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24</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求知楼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3,102.00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25</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医务室及总务室楼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392.92</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26</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篮球场、道路、水管道（3栋前球场）</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1,368.00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27</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求学楼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1661.34</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28</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德诚楼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722.44</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29</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汽车工程系充电桩钢膜结构车棚</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100</w:t>
            </w:r>
          </w:p>
        </w:tc>
      </w:tr>
      <w:tr>
        <w:tblPrEx>
          <w:tblCellMar>
            <w:top w:w="0" w:type="dxa"/>
            <w:left w:w="108" w:type="dxa"/>
            <w:bottom w:w="0" w:type="dxa"/>
            <w:right w:w="108" w:type="dxa"/>
          </w:tblCellMar>
        </w:tblPrEx>
        <w:trPr>
          <w:trHeight w:val="421"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30</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一号楼（女生宿舍楼）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1215</w:t>
            </w:r>
          </w:p>
        </w:tc>
      </w:tr>
      <w:tr>
        <w:tblPrEx>
          <w:tblCellMar>
            <w:top w:w="0" w:type="dxa"/>
            <w:left w:w="108" w:type="dxa"/>
            <w:bottom w:w="0" w:type="dxa"/>
            <w:right w:w="108" w:type="dxa"/>
          </w:tblCellMar>
        </w:tblPrEx>
        <w:trPr>
          <w:trHeight w:val="41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31</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二号楼（招待所）</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510</w:t>
            </w:r>
          </w:p>
        </w:tc>
      </w:tr>
      <w:tr>
        <w:tblPrEx>
          <w:tblCellMar>
            <w:top w:w="0" w:type="dxa"/>
            <w:left w:w="108" w:type="dxa"/>
            <w:bottom w:w="0" w:type="dxa"/>
            <w:right w:w="108" w:type="dxa"/>
          </w:tblCellMar>
        </w:tblPrEx>
        <w:trPr>
          <w:trHeight w:val="418"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32</w:t>
            </w:r>
          </w:p>
        </w:tc>
        <w:tc>
          <w:tcPr>
            <w:tcW w:w="4669" w:type="dxa"/>
            <w:tcBorders>
              <w:top w:val="nil"/>
              <w:left w:val="nil"/>
              <w:bottom w:val="single" w:color="auto" w:sz="4" w:space="0"/>
              <w:right w:val="single" w:color="auto" w:sz="4" w:space="0"/>
            </w:tcBorders>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三号女生楼（办公楼）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1150</w:t>
            </w:r>
          </w:p>
        </w:tc>
      </w:tr>
      <w:tr>
        <w:tblPrEx>
          <w:tblCellMar>
            <w:top w:w="0" w:type="dxa"/>
            <w:left w:w="108" w:type="dxa"/>
            <w:bottom w:w="0" w:type="dxa"/>
            <w:right w:w="108" w:type="dxa"/>
          </w:tblCellMar>
        </w:tblPrEx>
        <w:trPr>
          <w:trHeight w:val="416"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33</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四号楼（新招待所）</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510</w:t>
            </w:r>
          </w:p>
        </w:tc>
      </w:tr>
      <w:tr>
        <w:tblPrEx>
          <w:tblCellMar>
            <w:top w:w="0" w:type="dxa"/>
            <w:left w:w="108" w:type="dxa"/>
            <w:bottom w:w="0" w:type="dxa"/>
            <w:right w:w="108" w:type="dxa"/>
          </w:tblCellMar>
        </w:tblPrEx>
        <w:trPr>
          <w:trHeight w:val="422" w:hRule="atLeast"/>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34</w:t>
            </w:r>
          </w:p>
        </w:tc>
        <w:tc>
          <w:tcPr>
            <w:tcW w:w="4669"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五号男生楼（学生宿舍楼）</w:t>
            </w:r>
          </w:p>
        </w:tc>
        <w:tc>
          <w:tcPr>
            <w:tcW w:w="3543" w:type="dxa"/>
            <w:tcBorders>
              <w:top w:val="nil"/>
              <w:left w:val="nil"/>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1820</w:t>
            </w:r>
          </w:p>
        </w:tc>
      </w:tr>
      <w:tr>
        <w:tblPrEx>
          <w:tblCellMar>
            <w:top w:w="0" w:type="dxa"/>
            <w:left w:w="108" w:type="dxa"/>
            <w:bottom w:w="0" w:type="dxa"/>
            <w:right w:w="108" w:type="dxa"/>
          </w:tblCellMar>
        </w:tblPrEx>
        <w:trPr>
          <w:trHeight w:val="413"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35</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车库</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156.48</w:t>
            </w:r>
          </w:p>
        </w:tc>
      </w:tr>
      <w:tr>
        <w:tblPrEx>
          <w:tblCellMar>
            <w:top w:w="0" w:type="dxa"/>
            <w:left w:w="108" w:type="dxa"/>
            <w:bottom w:w="0" w:type="dxa"/>
            <w:right w:w="108" w:type="dxa"/>
          </w:tblCellMar>
        </w:tblPrEx>
        <w:trPr>
          <w:trHeight w:val="413"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36</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天桥</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200</w:t>
            </w:r>
          </w:p>
        </w:tc>
      </w:tr>
      <w:tr>
        <w:tblPrEx>
          <w:tblCellMar>
            <w:top w:w="0" w:type="dxa"/>
            <w:left w:w="108" w:type="dxa"/>
            <w:bottom w:w="0" w:type="dxa"/>
            <w:right w:w="108" w:type="dxa"/>
          </w:tblCellMar>
        </w:tblPrEx>
        <w:trPr>
          <w:trHeight w:val="42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37</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筑机试验室</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361.08</w:t>
            </w:r>
          </w:p>
        </w:tc>
      </w:tr>
      <w:tr>
        <w:tblPrEx>
          <w:tblCellMar>
            <w:top w:w="0" w:type="dxa"/>
            <w:left w:w="108" w:type="dxa"/>
            <w:bottom w:w="0" w:type="dxa"/>
            <w:right w:w="108" w:type="dxa"/>
          </w:tblCellMar>
        </w:tblPrEx>
        <w:trPr>
          <w:trHeight w:val="425"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38</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教学大楼</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2,317.00</w:t>
            </w:r>
          </w:p>
        </w:tc>
      </w:tr>
      <w:tr>
        <w:tblPrEx>
          <w:tblCellMar>
            <w:top w:w="0" w:type="dxa"/>
            <w:left w:w="108" w:type="dxa"/>
            <w:bottom w:w="0" w:type="dxa"/>
            <w:right w:w="108" w:type="dxa"/>
          </w:tblCellMar>
        </w:tblPrEx>
        <w:trPr>
          <w:trHeight w:val="417"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39</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实验楼</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1,570.00</w:t>
            </w:r>
          </w:p>
        </w:tc>
      </w:tr>
      <w:tr>
        <w:tblPrEx>
          <w:tblCellMar>
            <w:top w:w="0" w:type="dxa"/>
            <w:left w:w="108" w:type="dxa"/>
            <w:bottom w:w="0" w:type="dxa"/>
            <w:right w:w="108" w:type="dxa"/>
          </w:tblCellMar>
        </w:tblPrEx>
        <w:trPr>
          <w:trHeight w:val="408"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40</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学校食堂</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1,693.00</w:t>
            </w:r>
          </w:p>
        </w:tc>
      </w:tr>
      <w:tr>
        <w:tblPrEx>
          <w:tblCellMar>
            <w:top w:w="0" w:type="dxa"/>
            <w:left w:w="108" w:type="dxa"/>
            <w:bottom w:w="0" w:type="dxa"/>
            <w:right w:w="108" w:type="dxa"/>
          </w:tblCellMar>
        </w:tblPrEx>
        <w:trPr>
          <w:trHeight w:val="40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41</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长堽校区办公楼（综合教学楼）</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2317</w:t>
            </w:r>
          </w:p>
        </w:tc>
      </w:tr>
      <w:tr>
        <w:tblPrEx>
          <w:tblCellMar>
            <w:top w:w="0" w:type="dxa"/>
            <w:left w:w="108" w:type="dxa"/>
            <w:bottom w:w="0" w:type="dxa"/>
            <w:right w:w="108" w:type="dxa"/>
          </w:tblCellMar>
        </w:tblPrEx>
        <w:trPr>
          <w:trHeight w:val="563"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42</w:t>
            </w:r>
          </w:p>
        </w:tc>
        <w:tc>
          <w:tcPr>
            <w:tcW w:w="466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配电房</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200.00</w:t>
            </w:r>
          </w:p>
        </w:tc>
      </w:tr>
      <w:tr>
        <w:tblPrEx>
          <w:tblCellMar>
            <w:top w:w="0" w:type="dxa"/>
            <w:left w:w="108" w:type="dxa"/>
            <w:bottom w:w="0" w:type="dxa"/>
            <w:right w:w="108" w:type="dxa"/>
          </w:tblCellMar>
        </w:tblPrEx>
        <w:trPr>
          <w:trHeight w:val="563"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43</w:t>
            </w:r>
          </w:p>
        </w:tc>
        <w:tc>
          <w:tcPr>
            <w:tcW w:w="466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长堽校区门卫室</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200.00</w:t>
            </w:r>
          </w:p>
        </w:tc>
      </w:tr>
      <w:tr>
        <w:tblPrEx>
          <w:tblCellMar>
            <w:top w:w="0" w:type="dxa"/>
            <w:left w:w="108" w:type="dxa"/>
            <w:bottom w:w="0" w:type="dxa"/>
            <w:right w:w="108" w:type="dxa"/>
          </w:tblCellMar>
        </w:tblPrEx>
        <w:trPr>
          <w:trHeight w:val="571"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44</w:t>
            </w:r>
          </w:p>
        </w:tc>
        <w:tc>
          <w:tcPr>
            <w:tcW w:w="466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广西交通技师学院伊岭校区学生公寓</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8,558.56</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45</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（伊岭校区）教学综合楼A栋B栋</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11,314.32</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46</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伊岭校区实训大棚（重型车辆运用与维修实训基地）</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1791.44</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47</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伊岭校区运动场</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22,652.69</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48</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伊岭校区别苑1号、2号、3号、4号</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5000.00</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49</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伊岭校区配电房</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50</w:t>
            </w:r>
          </w:p>
        </w:tc>
      </w:tr>
      <w:tr>
        <w:tblPrEx>
          <w:tblCellMar>
            <w:top w:w="0" w:type="dxa"/>
            <w:left w:w="108" w:type="dxa"/>
            <w:bottom w:w="0" w:type="dxa"/>
            <w:right w:w="108" w:type="dxa"/>
          </w:tblCellMar>
        </w:tblPrEx>
        <w:trPr>
          <w:trHeight w:val="55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50</w:t>
            </w:r>
          </w:p>
        </w:tc>
        <w:tc>
          <w:tcPr>
            <w:tcW w:w="466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伊岭校区教学工厂</w:t>
            </w:r>
          </w:p>
        </w:tc>
        <w:tc>
          <w:tcPr>
            <w:tcW w:w="354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Ansi="宋体"/>
                <w:color w:val="000000"/>
                <w:kern w:val="0"/>
                <w:szCs w:val="21"/>
                <w:highlight w:val="none"/>
              </w:rPr>
            </w:pPr>
            <w:r>
              <w:rPr>
                <w:rFonts w:hint="eastAsia" w:hAnsi="宋体"/>
                <w:color w:val="000000"/>
                <w:kern w:val="0"/>
                <w:szCs w:val="21"/>
                <w:highlight w:val="none"/>
              </w:rPr>
              <w:t>800</w:t>
            </w:r>
          </w:p>
        </w:tc>
      </w:tr>
    </w:tbl>
    <w:p>
      <w:pPr>
        <w:widowControl/>
        <w:spacing w:line="360" w:lineRule="exact"/>
        <w:rPr>
          <w:rFonts w:ascii="宋体" w:hAnsi="宋体"/>
          <w:b/>
          <w:bCs/>
          <w:color w:val="000000"/>
          <w:kern w:val="0"/>
          <w:szCs w:val="21"/>
          <w:highlight w:val="none"/>
        </w:rPr>
      </w:pPr>
      <w:r>
        <w:rPr>
          <w:rFonts w:hint="eastAsia" w:ascii="宋体" w:hAnsi="宋体" w:cs="宋体"/>
          <w:b/>
          <w:bCs/>
          <w:szCs w:val="21"/>
          <w:highlight w:val="none"/>
        </w:rPr>
        <w:t>注：学院校园内教职工住户的物业服务不在此项目的服务范围内。</w:t>
      </w:r>
    </w:p>
    <w:p>
      <w:pPr>
        <w:spacing w:line="360" w:lineRule="exact"/>
        <w:ind w:firstLine="421" w:firstLineChars="200"/>
        <w:rPr>
          <w:rFonts w:hint="eastAsia" w:ascii="宋体" w:hAnsi="宋体"/>
          <w:b/>
          <w:color w:val="000000"/>
          <w:szCs w:val="21"/>
          <w:highlight w:val="none"/>
        </w:rPr>
      </w:pPr>
    </w:p>
    <w:p>
      <w:pPr>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六、工作内容：</w:t>
      </w:r>
    </w:p>
    <w:p>
      <w:pPr>
        <w:pStyle w:val="656"/>
        <w:spacing w:line="360" w:lineRule="exact"/>
        <w:ind w:firstLine="211"/>
        <w:jc w:val="center"/>
        <w:rPr>
          <w:rFonts w:ascii="宋体" w:hAnsi="宋体"/>
          <w:b/>
          <w:color w:val="000000"/>
          <w:szCs w:val="21"/>
          <w:highlight w:val="none"/>
        </w:rPr>
      </w:pPr>
      <w:r>
        <w:rPr>
          <w:rFonts w:hint="eastAsia" w:ascii="宋体" w:hAnsi="宋体"/>
          <w:b/>
          <w:color w:val="000000"/>
          <w:szCs w:val="21"/>
          <w:highlight w:val="none"/>
        </w:rPr>
        <w:t>第一部分 物业主管</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（一）岗位设置</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物业主管1人</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（二）工作内容及岗位职责</w:t>
      </w:r>
    </w:p>
    <w:p>
      <w:pPr>
        <w:spacing w:line="360" w:lineRule="exact"/>
        <w:ind w:firstLine="420" w:firstLineChars="200"/>
        <w:rPr>
          <w:rFonts w:ascii="宋体" w:hAnsi="宋体"/>
          <w:color w:val="000000"/>
          <w:szCs w:val="21"/>
          <w:highlight w:val="none"/>
        </w:rPr>
      </w:pPr>
      <w:r>
        <w:rPr>
          <w:rFonts w:hint="eastAsia" w:ascii="宋体" w:hAnsi="宋体"/>
          <w:color w:val="auto"/>
          <w:sz w:val="21"/>
          <w:szCs w:val="21"/>
          <w:highlight w:val="none"/>
          <w:lang w:val="en-US" w:eastAsia="zh-CN"/>
        </w:rPr>
        <w:t>物业</w:t>
      </w:r>
      <w:r>
        <w:rPr>
          <w:rFonts w:hint="eastAsia" w:ascii="宋体" w:hAnsi="宋体" w:eastAsia="宋体"/>
          <w:color w:val="auto"/>
          <w:sz w:val="21"/>
          <w:szCs w:val="21"/>
          <w:highlight w:val="none"/>
          <w:lang w:val="en-US" w:eastAsia="zh-CN"/>
        </w:rPr>
        <w:t>主管</w:t>
      </w:r>
      <w:r>
        <w:rPr>
          <w:rFonts w:hint="eastAsia" w:ascii="宋体" w:hAnsi="宋体"/>
          <w:color w:val="auto"/>
          <w:szCs w:val="21"/>
          <w:highlight w:val="none"/>
        </w:rPr>
        <w:t>是校</w:t>
      </w:r>
      <w:r>
        <w:rPr>
          <w:rFonts w:hint="eastAsia" w:ascii="宋体" w:hAnsi="宋体"/>
          <w:color w:val="000000"/>
          <w:szCs w:val="21"/>
          <w:highlight w:val="none"/>
        </w:rPr>
        <w:t>区物业服务的第一责任人，总管三个校区所有物业工作，直接带领一线团队保障校区正常运转。</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1、工作内容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（1）日常运营与综合管理</w:t>
      </w:r>
    </w:p>
    <w:p>
      <w:pPr>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① 统筹保洁、绿化、维修、校园安全等基础服务，确保校园环境整洁、设施正常运行</w:t>
      </w:r>
      <w:r>
        <w:rPr>
          <w:rFonts w:hint="eastAsia" w:ascii="宋体" w:hAnsi="宋体"/>
          <w:color w:val="000000"/>
          <w:sz w:val="21"/>
          <w:szCs w:val="21"/>
          <w:highlight w:val="none"/>
          <w:lang w:val="en-US" w:eastAsia="zh-CN"/>
        </w:rPr>
        <w:t>，教育教学秩序安全</w:t>
      </w:r>
      <w:r>
        <w:rPr>
          <w:rFonts w:hint="eastAsia" w:ascii="宋体" w:hAnsi="宋体"/>
          <w:color w:val="000000"/>
          <w:szCs w:val="21"/>
          <w:highlight w:val="none"/>
        </w:rPr>
        <w:t>。</w:t>
      </w:r>
    </w:p>
    <w:p>
      <w:pPr>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② 制定并监督执行物业日常巡检计划（如水电设备、消防系统、校园安全、宿舍楼和教学楼设施设备等巡检），每日巡查校区保洁（教学楼/宿舍/公共区域）、绿化养护、垃圾清运等质量，填写检查记录表。</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③ 处理突发事件（如停水停电、设备故障、安全事故等），制定应急预案并组织演练。</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④ 监督维修工单处理进度（如风扇、灯具更换、水管漏水、电路问题维修等），确保一般维修24小时内闭环。</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⑤ 管理门岗、巡逻岗</w:t>
      </w:r>
      <w:r>
        <w:rPr>
          <w:rFonts w:hint="eastAsia" w:ascii="宋体" w:hAnsi="宋体"/>
          <w:color w:val="000000"/>
          <w:sz w:val="21"/>
          <w:szCs w:val="21"/>
          <w:highlight w:val="none"/>
          <w:lang w:val="en-US" w:eastAsia="zh-CN"/>
        </w:rPr>
        <w:t>、安防监控岗的</w:t>
      </w:r>
      <w:r>
        <w:rPr>
          <w:rFonts w:hint="eastAsia"/>
          <w:highlight w:val="none"/>
          <w:lang w:val="en-US" w:eastAsia="zh-CN"/>
        </w:rPr>
        <w:t>校园秩序维护</w:t>
      </w:r>
      <w:r>
        <w:rPr>
          <w:rFonts w:ascii="宋体" w:hAnsi="宋体"/>
          <w:color w:val="000000"/>
          <w:szCs w:val="21"/>
          <w:highlight w:val="none"/>
        </w:rPr>
        <w:t>工作，重点时段（上下学、夜间）加强巡查。</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（2）设施设备维护与管理</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① 全面管理校园内公共设施设备（学生宿舍、公共教室、电梯、空调、给水系统、排污系、强弱电系统等）的定期检查、保养与维修。</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② 组织每日设备房（配电房、水泵房等）巡检，记录运行参数，确保设备安全运行。</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③ 负责校园内各个化粪池的定期检查、清运工作。</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④ 跟进电梯、空调等特种设备年检，协助维保单位现场作业，监督外包服务质量，审核维修方案及费用。</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⑤ 推动节能改造与成本控制（如照明LED化、节水设备升级等），监督节水节电措施（杜绝长明灯、跑冒滴漏），降低运营成本。</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⑥ 管理仓库物资（工具、耗材），执行领用登记制度，统计破损物资（课桌椅、门窗）报修频次，分析人为损坏比例。</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（3）安全管理</w:t>
      </w:r>
    </w:p>
    <w:p>
      <w:pPr>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① 落实校园安全管理制度及全域日常安全管控，包括但不限于校大门安全、校园安全、消防安全等，负责日常安全管控与现场值守统筹。</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② 组织安全隐患闭环排查及多方协同评估，跟进整改落实。</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③ 组织校园治安巡逻与突发安全事件处置，负责突发事件现场处置与协同配合。</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④ 开展专项安全管理与特殊场景管控（如大型活动、考试周等特殊时段）。</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⑤ 组织安全教育培训及应急预案演练落地执行（如疏散逃生、防汛防台、消防演习）。</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⑥ 负责消防设施日常巡检与运维对接。</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⑦ 落实安全台账归档与工作汇报考核，整理归档安全相关记录。</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⑧ 负责</w:t>
      </w:r>
      <w:r>
        <w:rPr>
          <w:rFonts w:hint="eastAsia" w:ascii="宋体" w:hAnsi="宋体"/>
          <w:color w:val="000000"/>
          <w:szCs w:val="21"/>
          <w:highlight w:val="none"/>
        </w:rPr>
        <w:t>秩序维护</w:t>
      </w:r>
      <w:r>
        <w:rPr>
          <w:rFonts w:ascii="宋体" w:hAnsi="宋体"/>
          <w:color w:val="000000"/>
          <w:szCs w:val="21"/>
          <w:highlight w:val="none"/>
        </w:rPr>
        <w:t>团队管理与纪律监督。</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（4）师生服务与沟通协调</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① 建立物业服务反馈渠道（如线上报修平台、投诉信箱），及时响应师生需求，受理师生报修/投诉，15分钟内派工并跟踪回访，确保闭环。</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② 协调宿舍管理、教室调度、活动场地支持等专项服务，负责教室借用、活动场地布置（如桌椅搬运、音响调试）等具体事务。</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③ 定期走访院系办公室、师生代表，收集服务改进建议，优化服务方案（如寒暑假集中维修计划、考试周保障方案等）。</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④ 协调外包团队（如食堂、绿化承包方、消杀公司等），监督合同履行情况，按合同要求作业并签字验收。</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（5）团队管理与执行</w:t>
      </w:r>
      <w:r>
        <w:rPr>
          <w:rFonts w:ascii="宋体" w:hAnsi="宋体"/>
          <w:color w:val="000000"/>
          <w:szCs w:val="21"/>
          <w:highlight w:val="none"/>
        </w:rPr>
        <w:br w:type="textWrapping"/>
      </w:r>
      <w:r>
        <w:rPr>
          <w:rFonts w:ascii="宋体" w:hAnsi="宋体"/>
          <w:color w:val="000000"/>
          <w:szCs w:val="21"/>
          <w:highlight w:val="none"/>
        </w:rPr>
        <w:t>① 负责物业员工（保洁、</w:t>
      </w:r>
      <w:r>
        <w:rPr>
          <w:rFonts w:hint="eastAsia" w:ascii="宋体" w:hAnsi="宋体"/>
          <w:color w:val="000000"/>
          <w:szCs w:val="21"/>
          <w:highlight w:val="none"/>
        </w:rPr>
        <w:t>秩序维护</w:t>
      </w:r>
      <w:r>
        <w:rPr>
          <w:rFonts w:ascii="宋体" w:hAnsi="宋体"/>
          <w:color w:val="000000"/>
          <w:szCs w:val="21"/>
          <w:highlight w:val="none"/>
        </w:rPr>
        <w:t>、工程人员等）的招聘、培训与考核，制定并执行考核标准。</w:t>
      </w:r>
      <w:r>
        <w:rPr>
          <w:rFonts w:ascii="宋体" w:hAnsi="宋体"/>
          <w:color w:val="000000"/>
          <w:szCs w:val="21"/>
          <w:highlight w:val="none"/>
        </w:rPr>
        <w:br w:type="textWrapping"/>
      </w:r>
      <w:r>
        <w:rPr>
          <w:rFonts w:ascii="宋体" w:hAnsi="宋体"/>
          <w:color w:val="000000"/>
          <w:szCs w:val="21"/>
          <w:highlight w:val="none"/>
        </w:rPr>
        <w:t>② 排定保洁/</w:t>
      </w:r>
      <w:r>
        <w:rPr>
          <w:rFonts w:hint="eastAsia" w:ascii="宋体" w:hAnsi="宋体"/>
          <w:color w:val="000000"/>
          <w:szCs w:val="21"/>
          <w:highlight w:val="none"/>
        </w:rPr>
        <w:t>秩序维护</w:t>
      </w:r>
      <w:r>
        <w:rPr>
          <w:rFonts w:ascii="宋体" w:hAnsi="宋体"/>
          <w:color w:val="000000"/>
          <w:szCs w:val="21"/>
          <w:highlight w:val="none"/>
        </w:rPr>
        <w:t>班组/维修班组值班表，检查在岗情况及仪容仪表。</w:t>
      </w:r>
      <w:r>
        <w:rPr>
          <w:rFonts w:ascii="宋体" w:hAnsi="宋体"/>
          <w:color w:val="000000"/>
          <w:szCs w:val="21"/>
          <w:highlight w:val="none"/>
        </w:rPr>
        <w:br w:type="textWrapping"/>
      </w:r>
      <w:r>
        <w:rPr>
          <w:rFonts w:ascii="宋体" w:hAnsi="宋体"/>
          <w:color w:val="000000"/>
          <w:szCs w:val="21"/>
          <w:highlight w:val="none"/>
        </w:rPr>
        <w:t>③ 组织一线员工技能培训（如尘推使用、消防栓操作、基础维修技能等）。</w:t>
      </w:r>
      <w:r>
        <w:rPr>
          <w:rFonts w:ascii="宋体" w:hAnsi="宋体"/>
          <w:color w:val="000000"/>
          <w:szCs w:val="21"/>
          <w:highlight w:val="none"/>
        </w:rPr>
        <w:br w:type="textWrapping"/>
      </w:r>
      <w:r>
        <w:rPr>
          <w:rFonts w:ascii="宋体" w:hAnsi="宋体"/>
          <w:color w:val="000000"/>
          <w:szCs w:val="21"/>
          <w:highlight w:val="none"/>
        </w:rPr>
        <w:t>④ 每日召开班前会，传达物业项目部指令，部署当日重点工作。</w:t>
      </w:r>
      <w:r>
        <w:rPr>
          <w:rFonts w:hint="eastAsia" w:ascii="宋体" w:hAnsi="宋体"/>
          <w:color w:val="000000"/>
          <w:szCs w:val="21"/>
          <w:highlight w:val="none"/>
        </w:rPr>
        <w:t>2、岗位职责</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2、岗位职责</w:t>
      </w:r>
    </w:p>
    <w:p>
      <w:pPr>
        <w:spacing w:line="360" w:lineRule="exact"/>
        <w:ind w:left="420" w:leftChars="200"/>
        <w:rPr>
          <w:rFonts w:ascii="宋体" w:hAnsi="宋体"/>
          <w:color w:val="000000"/>
          <w:szCs w:val="21"/>
          <w:highlight w:val="none"/>
        </w:rPr>
      </w:pPr>
      <w:r>
        <w:rPr>
          <w:rFonts w:ascii="宋体" w:hAnsi="宋体"/>
          <w:color w:val="000000"/>
          <w:szCs w:val="21"/>
          <w:highlight w:val="none"/>
        </w:rPr>
        <w:t>（1）制度与标准执行</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① 制定并落实物业管理规章制度、服务流程及质量标准（如《校区物业服务标准》地面无积水、垃圾桶不满溢等），确保符合学校及行业要求。</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② 确保物业服务符合教育部门、住建局等政策法规（如《校园安全管理条例》），配合学校迎接上级检查（如卫生防疫、消防验收等）。</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③ 推动绿色校园建设（垃圾分类、雨水回收等环保措施）。</w:t>
      </w:r>
    </w:p>
    <w:p>
      <w:pPr>
        <w:spacing w:line="360" w:lineRule="exact"/>
        <w:ind w:left="420" w:leftChars="200"/>
        <w:rPr>
          <w:rFonts w:ascii="宋体" w:hAnsi="宋体"/>
          <w:color w:val="000000"/>
          <w:szCs w:val="21"/>
          <w:highlight w:val="none"/>
        </w:rPr>
      </w:pPr>
      <w:r>
        <w:rPr>
          <w:rFonts w:ascii="宋体" w:hAnsi="宋体"/>
          <w:color w:val="000000"/>
          <w:szCs w:val="21"/>
          <w:highlight w:val="none"/>
        </w:rPr>
        <w:t>（2）合规与数据记录</w:t>
      </w:r>
    </w:p>
    <w:p>
      <w:pPr>
        <w:spacing w:line="360" w:lineRule="exact"/>
        <w:ind w:left="1050" w:leftChars="200" w:hanging="630" w:hangingChars="300"/>
        <w:rPr>
          <w:rFonts w:ascii="宋体" w:hAnsi="宋体"/>
          <w:color w:val="000000"/>
          <w:szCs w:val="21"/>
          <w:highlight w:val="none"/>
        </w:rPr>
      </w:pPr>
      <w:r>
        <w:rPr>
          <w:rFonts w:ascii="宋体" w:hAnsi="宋体"/>
          <w:color w:val="000000"/>
          <w:szCs w:val="21"/>
          <w:highlight w:val="none"/>
        </w:rPr>
        <w:t>① 汇总每日巡检数据、工单完成率、能耗读数等，每周提交运营报告。</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② 建立设施维修档案（包括故障原因、更换配件、维修人员等），做好每月维修工作台账（如维修项目明细、维修量、维修完成率等）。</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③ 编制和存档物业档案（学院宿舍、教室设备及特种设备台账、合同文本、巡检记录等），确保可追溯性。</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④ 确保外包人员（消杀、绿植养护）按合同要求作业并签字验收。</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（3）应急管理</w:t>
      </w:r>
    </w:p>
    <w:p>
      <w:pPr>
        <w:spacing w:line="360" w:lineRule="exact"/>
        <w:ind w:firstLine="420" w:firstLineChars="200"/>
        <w:rPr>
          <w:rFonts w:ascii="宋体" w:hAnsi="宋体"/>
          <w:color w:val="000000"/>
          <w:szCs w:val="21"/>
          <w:highlight w:val="none"/>
        </w:rPr>
      </w:pPr>
      <w:r>
        <w:rPr>
          <w:rFonts w:ascii="宋体" w:hAnsi="宋体"/>
          <w:color w:val="000000"/>
          <w:szCs w:val="21"/>
          <w:highlight w:val="none"/>
        </w:rPr>
        <w:t>① 担任校区突发事件第一责任人和值班负责人，指挥处理自然灾害、公共卫生事件（如疫情消杀、诺如病毒呕吐物处理等）。</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② 遇台风、停电等紧急情况启动预案（如组织沙袋堵漏、发电机供电）。</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③ 定期组织安全教育培训及应急预案演练（如疏散逃生、防汛防台风、反恐防爆）。</w:t>
      </w:r>
      <w:r>
        <w:rPr>
          <w:rFonts w:ascii="宋体" w:hAnsi="宋体"/>
          <w:color w:val="000000"/>
          <w:szCs w:val="21"/>
          <w:highlight w:val="none"/>
        </w:rPr>
        <w:br w:type="textWrapping"/>
      </w:r>
      <w:r>
        <w:rPr>
          <w:rFonts w:hint="eastAsia" w:ascii="宋体" w:hAnsi="宋体"/>
          <w:color w:val="000000"/>
          <w:szCs w:val="21"/>
          <w:highlight w:val="none"/>
          <w:lang w:val="en-US" w:eastAsia="zh-CN"/>
        </w:rPr>
        <w:t xml:space="preserve">    </w:t>
      </w:r>
      <w:r>
        <w:rPr>
          <w:rFonts w:ascii="宋体" w:hAnsi="宋体"/>
          <w:color w:val="000000"/>
          <w:szCs w:val="21"/>
          <w:highlight w:val="none"/>
        </w:rPr>
        <w:t>④ 负责校园舆情突发事件处置，及时上报并妥善应对。</w:t>
      </w:r>
    </w:p>
    <w:p>
      <w:pPr>
        <w:spacing w:line="360" w:lineRule="exact"/>
        <w:ind w:left="420" w:leftChars="200"/>
        <w:rPr>
          <w:rFonts w:ascii="宋体" w:hAnsi="宋体"/>
          <w:color w:val="000000"/>
          <w:szCs w:val="21"/>
          <w:highlight w:val="none"/>
        </w:rPr>
      </w:pPr>
      <w:r>
        <w:rPr>
          <w:rFonts w:ascii="宋体" w:hAnsi="宋体"/>
          <w:color w:val="000000"/>
          <w:szCs w:val="21"/>
          <w:highlight w:val="none"/>
        </w:rPr>
        <w:t>（4）成本控制与分析</w:t>
      </w:r>
      <w:r>
        <w:rPr>
          <w:rFonts w:ascii="宋体" w:hAnsi="宋体"/>
          <w:color w:val="000000"/>
          <w:szCs w:val="21"/>
          <w:highlight w:val="none"/>
        </w:rPr>
        <w:br w:type="textWrapping"/>
      </w:r>
      <w:r>
        <w:rPr>
          <w:rFonts w:ascii="宋体" w:hAnsi="宋体"/>
          <w:color w:val="000000"/>
          <w:szCs w:val="21"/>
          <w:highlight w:val="none"/>
        </w:rPr>
        <w:t>① 监督节水节电措施落实，杜绝长明灯、跑冒滴漏。</w:t>
      </w:r>
      <w:r>
        <w:rPr>
          <w:rFonts w:ascii="宋体" w:hAnsi="宋体"/>
          <w:color w:val="000000"/>
          <w:szCs w:val="21"/>
          <w:highlight w:val="none"/>
        </w:rPr>
        <w:br w:type="textWrapping"/>
      </w:r>
      <w:r>
        <w:rPr>
          <w:rFonts w:ascii="宋体" w:hAnsi="宋体"/>
          <w:color w:val="000000"/>
          <w:szCs w:val="21"/>
          <w:highlight w:val="none"/>
        </w:rPr>
        <w:t>② 统计破损物资（课桌椅、门窗）报修频次，分析人为损坏比例，提出改进建议。</w:t>
      </w:r>
      <w:r>
        <w:rPr>
          <w:rFonts w:ascii="宋体" w:hAnsi="宋体"/>
          <w:color w:val="000000"/>
          <w:szCs w:val="21"/>
          <w:highlight w:val="none"/>
        </w:rPr>
        <w:br w:type="textWrapping"/>
      </w:r>
      <w:r>
        <w:rPr>
          <w:rFonts w:ascii="宋体" w:hAnsi="宋体"/>
          <w:color w:val="000000"/>
          <w:szCs w:val="21"/>
          <w:highlight w:val="none"/>
        </w:rPr>
        <w:t>③ 审核维修方案及费用，合理控制运营成本。</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（三）人员要求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1、大专或以上学历，需具有从事本行业3年以上经验，具有3年及以上从事学校物业服务类管理经验。</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2、专业技能：熟悉物业管理法规、设备运维、安全管理等知识，能示范操作基础维修（换锁芯、疏通下水道等）。</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沟通协调：擅长与校领导、师生、外包单位等多方协作，具备较强的多方协调能力。</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w:t>
      </w:r>
      <w:r>
        <w:rPr>
          <w:rFonts w:ascii="宋体" w:hAnsi="宋体"/>
          <w:color w:val="000000"/>
          <w:szCs w:val="21"/>
          <w:highlight w:val="none"/>
        </w:rPr>
        <w:t>抗压能力与细节把控：应对校园场景的突发性、季节性需求（如开学季、大型活动保障），熟悉校园卫生死角（天台排水沟、卫生间地漏等），注重细节管理。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教育行业理解：把握学校作息特点（如考试周、假期）对服务的影响，具备处理宿舍违规用电、公共区域占座等学生管理经验。</w:t>
      </w:r>
    </w:p>
    <w:p>
      <w:pPr>
        <w:pStyle w:val="658"/>
        <w:spacing w:before="0" w:after="0" w:line="360" w:lineRule="exact"/>
        <w:ind w:firstLine="420" w:firstLineChars="200"/>
        <w:rPr>
          <w:rFonts w:ascii="宋体" w:hAnsi="宋体"/>
          <w:b w:val="0"/>
          <w:bCs w:val="0"/>
          <w:color w:val="000000"/>
          <w:sz w:val="21"/>
          <w:szCs w:val="21"/>
          <w:highlight w:val="none"/>
        </w:rPr>
      </w:pPr>
      <w:r>
        <w:rPr>
          <w:rFonts w:hint="eastAsia" w:ascii="宋体" w:hAnsi="宋体"/>
          <w:b w:val="0"/>
          <w:bCs w:val="0"/>
          <w:color w:val="000000"/>
          <w:sz w:val="21"/>
          <w:szCs w:val="21"/>
          <w:highlight w:val="none"/>
        </w:rPr>
        <w:t>6、基础文书：熟练使用物业管理系统、Excel制作值班表。</w:t>
      </w:r>
    </w:p>
    <w:p>
      <w:pPr>
        <w:spacing w:line="360" w:lineRule="exact"/>
        <w:jc w:val="center"/>
        <w:rPr>
          <w:rFonts w:ascii="宋体" w:hAnsi="宋体"/>
          <w:b/>
          <w:color w:val="000000"/>
          <w:szCs w:val="21"/>
          <w:highlight w:val="none"/>
        </w:rPr>
      </w:pPr>
    </w:p>
    <w:p>
      <w:pPr>
        <w:spacing w:line="360" w:lineRule="exact"/>
        <w:jc w:val="center"/>
        <w:rPr>
          <w:rFonts w:ascii="宋体" w:hAnsi="宋体"/>
          <w:b/>
          <w:color w:val="000000"/>
          <w:szCs w:val="21"/>
          <w:highlight w:val="none"/>
        </w:rPr>
      </w:pPr>
      <w:r>
        <w:rPr>
          <w:rFonts w:hint="eastAsia" w:ascii="宋体" w:hAnsi="宋体"/>
          <w:b/>
          <w:color w:val="000000"/>
          <w:szCs w:val="21"/>
          <w:highlight w:val="none"/>
        </w:rPr>
        <w:t>第二部分：卫生保洁服务</w:t>
      </w:r>
    </w:p>
    <w:p>
      <w:pPr>
        <w:pStyle w:val="657"/>
        <w:numPr>
          <w:ilvl w:val="0"/>
          <w:numId w:val="11"/>
        </w:numPr>
        <w:spacing w:line="360" w:lineRule="exact"/>
        <w:rPr>
          <w:rFonts w:ascii="宋体" w:hAnsi="宋体"/>
          <w:b/>
          <w:color w:val="000000"/>
          <w:sz w:val="21"/>
          <w:highlight w:val="none"/>
        </w:rPr>
      </w:pPr>
      <w:r>
        <w:rPr>
          <w:rFonts w:hint="eastAsia" w:ascii="宋体" w:hAnsi="宋体"/>
          <w:b/>
          <w:color w:val="000000"/>
          <w:sz w:val="21"/>
          <w:szCs w:val="21"/>
          <w:highlight w:val="none"/>
        </w:rPr>
        <w:t>岗位设置</w:t>
      </w:r>
    </w:p>
    <w:p>
      <w:pPr>
        <w:pStyle w:val="657"/>
        <w:numPr>
          <w:ilvl w:val="255"/>
          <w:numId w:val="0"/>
        </w:numPr>
        <w:spacing w:line="360" w:lineRule="exact"/>
        <w:ind w:firstLine="421" w:firstLineChars="200"/>
        <w:rPr>
          <w:rFonts w:ascii="宋体" w:hAnsi="宋体"/>
          <w:b/>
          <w:color w:val="000000"/>
          <w:sz w:val="21"/>
          <w:highlight w:val="none"/>
        </w:rPr>
      </w:pPr>
      <w:r>
        <w:rPr>
          <w:rFonts w:hint="eastAsia" w:ascii="宋体" w:hAnsi="宋体"/>
          <w:b/>
          <w:bCs/>
          <w:color w:val="000000"/>
          <w:kern w:val="0"/>
          <w:sz w:val="21"/>
          <w:szCs w:val="21"/>
          <w:highlight w:val="none"/>
        </w:rPr>
        <w:t>保洁员人员不少于15人。</w:t>
      </w:r>
    </w:p>
    <w:tbl>
      <w:tblPr>
        <w:tblStyle w:val="53"/>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709"/>
        <w:gridCol w:w="5976"/>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47" w:type="dxa"/>
            <w:gridSpan w:val="4"/>
            <w:noWrap/>
            <w:vAlign w:val="center"/>
          </w:tcPr>
          <w:p>
            <w:pPr>
              <w:widowControl/>
              <w:spacing w:line="360" w:lineRule="exact"/>
              <w:jc w:val="center"/>
              <w:rPr>
                <w:rFonts w:ascii="宋体" w:hAnsi="宋体"/>
                <w:b/>
                <w:bCs/>
                <w:color w:val="000000"/>
                <w:kern w:val="0"/>
                <w:szCs w:val="21"/>
                <w:highlight w:val="none"/>
              </w:rPr>
            </w:pPr>
            <w:r>
              <w:rPr>
                <w:rFonts w:hint="eastAsia" w:ascii="宋体" w:hAnsi="宋体"/>
                <w:b/>
                <w:bCs/>
                <w:color w:val="000000"/>
                <w:kern w:val="0"/>
                <w:szCs w:val="21"/>
                <w:highlight w:val="none"/>
              </w:rPr>
              <w:t>保洁员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区域</w:t>
            </w:r>
          </w:p>
        </w:tc>
        <w:tc>
          <w:tcPr>
            <w:tcW w:w="709"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序号</w:t>
            </w:r>
          </w:p>
        </w:tc>
        <w:tc>
          <w:tcPr>
            <w:tcW w:w="597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岗位</w:t>
            </w:r>
          </w:p>
        </w:tc>
        <w:tc>
          <w:tcPr>
            <w:tcW w:w="78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restart"/>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教学楼</w:t>
            </w: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ind w:firstLine="274"/>
              <w:jc w:val="left"/>
              <w:rPr>
                <w:rFonts w:ascii="宋体" w:hAnsi="宋体"/>
                <w:color w:val="000000"/>
                <w:szCs w:val="21"/>
                <w:highlight w:val="none"/>
              </w:rPr>
            </w:pPr>
          </w:p>
        </w:tc>
        <w:tc>
          <w:tcPr>
            <w:tcW w:w="709" w:type="dxa"/>
            <w:vMerge w:val="restart"/>
            <w:noWrap/>
            <w:vAlign w:val="center"/>
          </w:tcPr>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邕武校区</w:t>
            </w: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综合楼1-16楼公共区域（含所有楼梯、走廊、卫生间、电梯、8间办公室、6间会议室、地下车库等）</w:t>
            </w:r>
          </w:p>
        </w:tc>
        <w:tc>
          <w:tcPr>
            <w:tcW w:w="786" w:type="dxa"/>
            <w:vMerge w:val="restart"/>
            <w:noWrap/>
            <w:vAlign w:val="center"/>
          </w:tcPr>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求学楼1-4楼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信息中心</w:t>
            </w:r>
            <w:r>
              <w:rPr>
                <w:rFonts w:hint="eastAsia" w:ascii="宋体" w:hAnsi="宋体"/>
                <w:color w:val="000000"/>
                <w:kern w:val="0"/>
                <w:szCs w:val="21"/>
                <w:highlight w:val="none"/>
              </w:rPr>
              <w:t>教学楼</w:t>
            </w:r>
            <w:r>
              <w:rPr>
                <w:rFonts w:hint="eastAsia" w:ascii="宋体" w:hAnsi="宋体"/>
                <w:color w:val="000000"/>
                <w:szCs w:val="21"/>
                <w:highlight w:val="none"/>
              </w:rPr>
              <w:t>1-5楼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德技楼1-6楼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76" w:type="dxa"/>
            <w:vMerge w:val="continue"/>
            <w:noWrap/>
            <w:vAlign w:val="center"/>
          </w:tcPr>
          <w:p>
            <w:pPr>
              <w:widowControl/>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德能楼1-4楼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德诚楼1-3楼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求知楼1-6楼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hAnsi="宋体"/>
                <w:color w:val="000000"/>
                <w:kern w:val="0"/>
                <w:szCs w:val="21"/>
                <w:highlight w:val="none"/>
              </w:rPr>
            </w:pPr>
            <w:r>
              <w:rPr>
                <w:rFonts w:hint="eastAsia" w:hAnsi="宋体"/>
                <w:color w:val="000000"/>
                <w:kern w:val="0"/>
                <w:szCs w:val="21"/>
                <w:highlight w:val="none"/>
              </w:rPr>
              <w:t>校区礼堂公共区域（含舞台、后台、卫生间、楼梯及走廊等）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校区内各条道路、球场、垃圾房等外围区域</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restart"/>
            <w:noWrap/>
            <w:vAlign w:val="center"/>
          </w:tcPr>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长堽校区</w:t>
            </w: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办公楼</w:t>
            </w:r>
            <w:r>
              <w:rPr>
                <w:rFonts w:hint="eastAsia" w:ascii="宋体" w:hAnsi="宋体"/>
                <w:color w:val="000000"/>
                <w:szCs w:val="21"/>
                <w:highlight w:val="none"/>
              </w:rPr>
              <w:t>1-6楼</w:t>
            </w:r>
            <w:r>
              <w:rPr>
                <w:rFonts w:hint="eastAsia" w:ascii="宋体" w:hAnsi="宋体"/>
                <w:color w:val="000000"/>
                <w:kern w:val="0"/>
                <w:szCs w:val="21"/>
                <w:highlight w:val="none"/>
              </w:rPr>
              <w:t>公共区域（含所有楼层楼梯、走廊、卫生间等）</w:t>
            </w:r>
          </w:p>
        </w:tc>
        <w:tc>
          <w:tcPr>
            <w:tcW w:w="786" w:type="dxa"/>
            <w:vMerge w:val="restart"/>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教学楼</w:t>
            </w:r>
            <w:r>
              <w:rPr>
                <w:rFonts w:hint="eastAsia" w:ascii="宋体" w:hAnsi="宋体"/>
                <w:color w:val="000000"/>
                <w:szCs w:val="21"/>
                <w:highlight w:val="none"/>
              </w:rPr>
              <w:t>1-5楼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实验楼</w:t>
            </w:r>
            <w:r>
              <w:rPr>
                <w:rFonts w:hint="eastAsia" w:ascii="宋体" w:hAnsi="宋体"/>
                <w:color w:val="000000"/>
                <w:szCs w:val="21"/>
                <w:highlight w:val="none"/>
              </w:rPr>
              <w:t>1-4楼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校区内各条道路、球场、垃圾房等外围区域</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restart"/>
            <w:noWrap/>
            <w:vAlign w:val="center"/>
          </w:tcPr>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伊岭校区</w:t>
            </w: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A栋教学楼</w:t>
            </w:r>
            <w:r>
              <w:rPr>
                <w:rFonts w:hint="eastAsia" w:ascii="宋体" w:hAnsi="宋体"/>
                <w:color w:val="000000"/>
                <w:szCs w:val="21"/>
                <w:highlight w:val="none"/>
              </w:rPr>
              <w:t>1-6楼</w:t>
            </w:r>
            <w:r>
              <w:rPr>
                <w:rFonts w:hint="eastAsia" w:ascii="宋体" w:hAnsi="宋体"/>
                <w:color w:val="000000"/>
                <w:kern w:val="0"/>
                <w:szCs w:val="21"/>
                <w:highlight w:val="none"/>
              </w:rPr>
              <w:t>公共区域（含所有楼层楼梯、走廊、卫生间等）</w:t>
            </w:r>
          </w:p>
        </w:tc>
        <w:tc>
          <w:tcPr>
            <w:tcW w:w="786" w:type="dxa"/>
            <w:vMerge w:val="restart"/>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B栋教学楼</w:t>
            </w:r>
            <w:r>
              <w:rPr>
                <w:rFonts w:hint="eastAsia" w:ascii="宋体" w:hAnsi="宋体"/>
                <w:color w:val="000000"/>
                <w:szCs w:val="21"/>
                <w:highlight w:val="none"/>
              </w:rPr>
              <w:t>1-6楼</w:t>
            </w:r>
            <w:r>
              <w:rPr>
                <w:rFonts w:hint="eastAsia" w:ascii="宋体" w:hAnsi="宋体"/>
                <w:color w:val="000000"/>
                <w:kern w:val="0"/>
                <w:szCs w:val="21"/>
                <w:highlight w:val="none"/>
              </w:rPr>
              <w:t>公共区域（含所有楼层楼梯、走廊、卫生间等）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hAnsi="宋体"/>
                <w:color w:val="000000"/>
                <w:kern w:val="0"/>
                <w:szCs w:val="21"/>
                <w:highlight w:val="none"/>
              </w:rPr>
            </w:pPr>
            <w:r>
              <w:rPr>
                <w:rFonts w:hint="eastAsia" w:hAnsi="宋体"/>
                <w:color w:val="000000"/>
                <w:kern w:val="0"/>
                <w:szCs w:val="21"/>
                <w:highlight w:val="none"/>
              </w:rPr>
              <w:t>校区礼堂公共区域（含舞台、后台、卫生间、楼梯及走廊等）</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976" w:type="dxa"/>
            <w:noWrap/>
            <w:vAlign w:val="center"/>
          </w:tcPr>
          <w:p>
            <w:pPr>
              <w:widowControl/>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校区内各条道路、球场、垃圾房等外围区域</w:t>
            </w:r>
          </w:p>
        </w:tc>
        <w:tc>
          <w:tcPr>
            <w:tcW w:w="786" w:type="dxa"/>
            <w:vMerge w:val="continue"/>
            <w:noWrap/>
            <w:vAlign w:val="center"/>
          </w:tcPr>
          <w:p>
            <w:pPr>
              <w:widowControl/>
              <w:spacing w:line="360" w:lineRule="exact"/>
              <w:jc w:val="center"/>
              <w:rPr>
                <w:rFonts w:ascii="宋体" w:hAnsi="宋体"/>
                <w:color w:val="000000"/>
                <w:kern w:val="0"/>
                <w:szCs w:val="21"/>
                <w:highlight w:val="none"/>
              </w:rPr>
            </w:pPr>
          </w:p>
        </w:tc>
      </w:tr>
    </w:tbl>
    <w:p>
      <w:pPr>
        <w:pStyle w:val="298"/>
        <w:spacing w:line="360" w:lineRule="exact"/>
        <w:rPr>
          <w:rFonts w:ascii="宋体" w:hAnsi="宋体"/>
          <w:color w:val="000000"/>
          <w:szCs w:val="21"/>
          <w:highlight w:val="none"/>
        </w:rPr>
      </w:pPr>
      <w:r>
        <w:rPr>
          <w:rFonts w:hint="eastAsia" w:ascii="宋体" w:hAnsi="宋体"/>
          <w:color w:val="000000"/>
          <w:szCs w:val="21"/>
          <w:highlight w:val="none"/>
        </w:rPr>
        <w:t>注：</w:t>
      </w:r>
      <w:r>
        <w:rPr>
          <w:rFonts w:hint="eastAsia" w:ascii="宋体" w:hAnsi="宋体"/>
          <w:color w:val="000000"/>
          <w:highlight w:val="none"/>
        </w:rPr>
        <w:t>如中标人未达到采购人的服务要求，采购人有权根据考核结果和实际需求，在提前15个工作日书面通知乙方后，对岗位数量进行优化或增补调整，服务费按中标总价不再进行相应增减。</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（二）清洁工作要求及标准</w:t>
      </w:r>
    </w:p>
    <w:tbl>
      <w:tblPr>
        <w:tblStyle w:val="53"/>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885"/>
        <w:gridCol w:w="1723"/>
        <w:gridCol w:w="2552"/>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50" w:type="dxa"/>
            <w:vMerge w:val="restart"/>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1</w:t>
            </w:r>
          </w:p>
        </w:tc>
        <w:tc>
          <w:tcPr>
            <w:tcW w:w="885" w:type="dxa"/>
            <w:vMerge w:val="restart"/>
          </w:tcPr>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p>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校园道路、广场、公共场所</w:t>
            </w:r>
          </w:p>
        </w:tc>
        <w:tc>
          <w:tcPr>
            <w:tcW w:w="1723" w:type="dxa"/>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道路路面等</w:t>
            </w:r>
          </w:p>
        </w:tc>
        <w:tc>
          <w:tcPr>
            <w:tcW w:w="2552" w:type="dxa"/>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每天上、下午分2次在上班之前对路面进行全面清扫完毕，然后巡回保洁，巡逻保洁。每周定期2次清理绿化带内枯枝落叶。</w:t>
            </w:r>
          </w:p>
        </w:tc>
        <w:tc>
          <w:tcPr>
            <w:tcW w:w="3402" w:type="dxa"/>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保持清洁，要求地面无积水、垃圾、烟头、果皮、纸屑等废弃物，无明显痰迹、污渍，无砖瓦砂石尘土堆积，树根、绿地、绿化带内无生活垃圾、无枯枝落叶等杂物。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下水道、水沟（明沟、暗沟）</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每天巡查清理1次，每星期冲洗1次。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清理堆积物及沟边杂草并运走，无白色垃圾、无废弃物及污物，无明显堆积物堵塞。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垃圾箱（桶）、果皮箱</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垃圾随产随清，垃圾桶每周冲洗1次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收集垃圾及时运出，无漏收、遗洒现象，垃圾箱、果皮箱表面用抹布清擦干净、垃圾池及周围保持干净整洁。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exac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卫生设备及其他附属设施</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每天清洁1次，巡查清理</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保持清洁，检查卫生设备设施完好情况，如有损坏及时维修，路灯、路牌、宣传牌及其他附属设施表面无灰尘污渍，发现乱贴广告及时清理干净。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休闲设施</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巡查抹净，表面无灰尘污渍，检查设施完好情况，如有损坏及时报修。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运动场</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每天上、下午分2次清扫，然后巡回保洁。</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保持清洁，运动场内无白色垃圾，无废弃物及污物，跑道内无砂土，无积水。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贴瓷地面、墙面</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每天打扫保洁</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保持清洁，无白色垃圾、无废弃物及污物，无积水。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天台</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清理积聚于天台的垃圾，避免渠道堵塞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50" w:type="dxa"/>
            <w:vMerge w:val="restart"/>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2</w:t>
            </w:r>
          </w:p>
        </w:tc>
        <w:tc>
          <w:tcPr>
            <w:tcW w:w="885" w:type="dxa"/>
            <w:vMerge w:val="restart"/>
          </w:tcPr>
          <w:p>
            <w:pPr>
              <w:widowControl/>
              <w:spacing w:line="360" w:lineRule="exact"/>
              <w:jc w:val="left"/>
              <w:rPr>
                <w:rFonts w:ascii="宋体" w:hAnsi="宋体"/>
                <w:color w:val="000000"/>
                <w:szCs w:val="21"/>
                <w:highlight w:val="none"/>
              </w:rPr>
            </w:pPr>
            <w:r>
              <w:rPr>
                <w:rFonts w:hint="eastAsia" w:ascii="宋体" w:hAnsi="宋体"/>
                <w:color w:val="000000"/>
                <w:szCs w:val="21"/>
                <w:highlight w:val="none"/>
              </w:rPr>
              <w:t>教学楼、实验楼及实训楼、办公楼公共区域</w:t>
            </w: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楼梯、走廊、大厅、顶楼屋面、雨棚</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每天打扫、湿拖2次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保持清洁，要求地面无积水、垃圾、烟头、果皮、纸屑等废弃物，无明显痰迹、污渍，墙面、天花、墙脚无蜘蛛网。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扶手、栏杆、门窗、窗台、窗框、窗沟、墙面、墙壁开关、器材表面</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每天擦拭1次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保持清洁，无污渍，无手印，无灰尘。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天花板、玻璃、指示牌、标牌、消防设施</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每周清理1次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保持清洁，无污渍，无灰尘。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卫生间</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每天两次，每周用清洁剂清洗2-3次，随时保洁</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无明显污渍、无异味、无积水，所有门窗、间隔隔墙板、洁具无灰尘污渍。卫生桶内脏物堆积不超1/3，脏物无隔夜遗留。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楼房周围卫生</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每天清理2次，每周定期2次清理绿化带内枯枝落叶。</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无白色垃圾、无废弃物及污物，水沟下水道无堆积物，绿地、绿化带内无生活垃圾、无枯枝落叶等杂物。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0" w:type="dxa"/>
            <w:vMerge w:val="continue"/>
          </w:tcPr>
          <w:p>
            <w:pPr>
              <w:spacing w:line="360" w:lineRule="exact"/>
              <w:ind w:firstLine="420" w:firstLineChars="200"/>
              <w:rPr>
                <w:rFonts w:ascii="宋体" w:hAnsi="宋体"/>
                <w:color w:val="000000"/>
                <w:szCs w:val="21"/>
                <w:highlight w:val="none"/>
              </w:rPr>
            </w:pPr>
          </w:p>
        </w:tc>
        <w:tc>
          <w:tcPr>
            <w:tcW w:w="885" w:type="dxa"/>
            <w:vMerge w:val="continue"/>
          </w:tcPr>
          <w:p>
            <w:pPr>
              <w:widowControl/>
              <w:spacing w:line="360" w:lineRule="exact"/>
              <w:jc w:val="lef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教室卫生</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每周两打扫一次教室的卫生</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保持清洁，垃圾桶和抽屉无垃圾，果皮、纸屑。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50" w:type="dxa"/>
            <w:vMerge w:val="restart"/>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3</w:t>
            </w:r>
          </w:p>
        </w:tc>
        <w:tc>
          <w:tcPr>
            <w:tcW w:w="885" w:type="dxa"/>
            <w:vMerge w:val="restart"/>
          </w:tcPr>
          <w:p>
            <w:pPr>
              <w:spacing w:line="360" w:lineRule="exact"/>
              <w:rPr>
                <w:rFonts w:ascii="宋体" w:hAnsi="宋体"/>
                <w:color w:val="000000"/>
                <w:szCs w:val="21"/>
                <w:highlight w:val="none"/>
              </w:rPr>
            </w:pPr>
            <w:r>
              <w:rPr>
                <w:rFonts w:hint="eastAsia" w:ascii="宋体" w:hAnsi="宋体"/>
                <w:color w:val="000000"/>
                <w:szCs w:val="21"/>
                <w:highlight w:val="none"/>
              </w:rPr>
              <w:t>学生宿舍楼公共区域</w:t>
            </w: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楼梯、走廊、大厅、顶楼屋面、雨棚</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每天打扫、湿拖2次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保持清洁，要求地面无积水、垃圾、烟头、果皮、纸屑等废弃物，无明显痰迹、污渍，墙面、天花、墙脚无蜘蛛网。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tcPr>
          <w:p>
            <w:pPr>
              <w:spacing w:line="360" w:lineRule="exact"/>
              <w:rPr>
                <w:rFonts w:ascii="宋体" w:hAnsi="宋体"/>
                <w:color w:val="000000"/>
                <w:szCs w:val="21"/>
                <w:highlight w:val="none"/>
              </w:rPr>
            </w:pPr>
          </w:p>
        </w:tc>
        <w:tc>
          <w:tcPr>
            <w:tcW w:w="1723" w:type="dxa"/>
          </w:tcPr>
          <w:p>
            <w:pPr>
              <w:spacing w:line="360" w:lineRule="exact"/>
              <w:rPr>
                <w:color w:val="000000"/>
                <w:highlight w:val="none"/>
              </w:rPr>
            </w:pPr>
            <w:r>
              <w:rPr>
                <w:rFonts w:hint="eastAsia"/>
                <w:color w:val="000000"/>
                <w:highlight w:val="none"/>
              </w:rPr>
              <w:t>扶手、栏杆、门窗、窗台、窗框、窗沟、墙面、墙壁开关、器材表面</w:t>
            </w:r>
          </w:p>
          <w:p>
            <w:pPr>
              <w:pStyle w:val="656"/>
              <w:ind w:firstLine="210"/>
              <w:rPr>
                <w:color w:val="000000"/>
                <w:highlight w:val="none"/>
              </w:rPr>
            </w:pP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每天擦拭1次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保持清洁，无污渍，无手印，无灰尘。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tcPr>
          <w:p>
            <w:pPr>
              <w:spacing w:line="360" w:lineRule="exact"/>
              <w:rPr>
                <w:rFonts w:ascii="宋体" w:hAnsi="宋体"/>
                <w:color w:val="000000"/>
                <w:szCs w:val="21"/>
                <w:highlight w:val="none"/>
              </w:rPr>
            </w:pPr>
          </w:p>
        </w:tc>
        <w:tc>
          <w:tcPr>
            <w:tcW w:w="1723" w:type="dxa"/>
          </w:tcPr>
          <w:p>
            <w:pPr>
              <w:spacing w:line="360" w:lineRule="exact"/>
              <w:rPr>
                <w:color w:val="000000"/>
                <w:highlight w:val="none"/>
              </w:rPr>
            </w:pPr>
            <w:r>
              <w:rPr>
                <w:rFonts w:hint="eastAsia"/>
                <w:color w:val="000000"/>
                <w:highlight w:val="none"/>
              </w:rPr>
              <w:t>天花板、路灯、指示牌、标牌、消防设施</w:t>
            </w:r>
          </w:p>
          <w:p>
            <w:pPr>
              <w:pStyle w:val="656"/>
              <w:ind w:firstLine="210"/>
              <w:rPr>
                <w:color w:val="000000"/>
                <w:highlight w:val="none"/>
              </w:rPr>
            </w:pP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每周清理1次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保持清洁，无污渍，无灰尘。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tcPr>
          <w:p>
            <w:pPr>
              <w:spacing w:line="360" w:lineRule="exac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公共卫生间</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每天两次，每周用清洁剂清洗2-3次，随时保洁</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无明显污渍、无异味、无积水，所有门窗、间隔隔墙板、洁具无灰尘污渍。卫生桶内脏物堆积不超1/3，脏物无隔夜遗留。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tcPr>
          <w:p>
            <w:pPr>
              <w:spacing w:line="360" w:lineRule="exact"/>
              <w:rPr>
                <w:rFonts w:ascii="宋体" w:hAnsi="宋体"/>
                <w:color w:val="000000"/>
                <w:szCs w:val="21"/>
                <w:highlight w:val="none"/>
              </w:rPr>
            </w:pPr>
          </w:p>
        </w:tc>
        <w:tc>
          <w:tcPr>
            <w:tcW w:w="1723" w:type="dxa"/>
          </w:tcPr>
          <w:p>
            <w:pPr>
              <w:spacing w:line="360" w:lineRule="exact"/>
              <w:rPr>
                <w:color w:val="000000"/>
                <w:highlight w:val="none"/>
              </w:rPr>
            </w:pPr>
            <w:r>
              <w:rPr>
                <w:rFonts w:hint="eastAsia"/>
                <w:color w:val="000000"/>
                <w:highlight w:val="none"/>
              </w:rPr>
              <w:t>楼房周围卫生（包括门前屋后、中庭院落、周边绿化带、排水沟等）</w:t>
            </w:r>
          </w:p>
          <w:p>
            <w:pPr>
              <w:pStyle w:val="656"/>
              <w:ind w:firstLine="210"/>
              <w:rPr>
                <w:color w:val="000000"/>
                <w:highlight w:val="none"/>
              </w:rPr>
            </w:pP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每天清理2次，每周定期2次清理绿化带内枯枝落叶。</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无白色垃圾、无废弃物及污物，水沟下水道无堆积物，绿地、绿化带内无生活垃圾、无枯枝落叶等杂物。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tcPr>
          <w:p>
            <w:pPr>
              <w:spacing w:line="360" w:lineRule="exac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垃圾箱（桶）、果皮箱</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垃圾随产随清，垃圾桶每周冲洗1次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收集垃圾及时运出，无漏收、遗洒现象，垃圾箱、果皮箱表面用抹布清擦干净、垃圾池及周围保持干净整洁。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50" w:type="dxa"/>
            <w:vMerge w:val="restart"/>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4</w:t>
            </w:r>
          </w:p>
        </w:tc>
        <w:tc>
          <w:tcPr>
            <w:tcW w:w="885" w:type="dxa"/>
            <w:vMerge w:val="restart"/>
          </w:tcPr>
          <w:p>
            <w:pPr>
              <w:spacing w:line="360" w:lineRule="exact"/>
              <w:rPr>
                <w:rFonts w:ascii="宋体" w:hAnsi="宋体"/>
                <w:color w:val="000000"/>
                <w:szCs w:val="21"/>
                <w:highlight w:val="none"/>
              </w:rPr>
            </w:pPr>
            <w:r>
              <w:rPr>
                <w:rFonts w:hint="eastAsia" w:ascii="宋体" w:hAnsi="宋体"/>
                <w:color w:val="000000"/>
                <w:szCs w:val="21"/>
                <w:highlight w:val="none"/>
              </w:rPr>
              <w:t>校内景点、景物、喷泉水池</w:t>
            </w:r>
          </w:p>
        </w:tc>
        <w:tc>
          <w:tcPr>
            <w:tcW w:w="1723" w:type="dxa"/>
          </w:tcPr>
          <w:p>
            <w:pPr>
              <w:spacing w:line="360" w:lineRule="exact"/>
              <w:rPr>
                <w:color w:val="000000"/>
                <w:highlight w:val="none"/>
              </w:rPr>
            </w:pPr>
            <w:r>
              <w:rPr>
                <w:rFonts w:hint="eastAsia"/>
                <w:color w:val="000000"/>
                <w:highlight w:val="none"/>
              </w:rPr>
              <w:t>景观墙，景物等艺术小品</w:t>
            </w:r>
          </w:p>
          <w:p>
            <w:pPr>
              <w:pStyle w:val="656"/>
              <w:ind w:firstLine="210"/>
              <w:rPr>
                <w:color w:val="000000"/>
                <w:highlight w:val="none"/>
              </w:rPr>
            </w:pP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每天清理1次，每周抹洗或冲洗1次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保持清洁，无污渍，无灰尘。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450" w:type="dxa"/>
            <w:vMerge w:val="continue"/>
          </w:tcPr>
          <w:p>
            <w:pPr>
              <w:spacing w:line="360" w:lineRule="exact"/>
              <w:rPr>
                <w:rFonts w:ascii="宋体" w:hAnsi="宋体"/>
                <w:color w:val="000000"/>
                <w:szCs w:val="21"/>
                <w:highlight w:val="none"/>
              </w:rPr>
            </w:pPr>
          </w:p>
        </w:tc>
        <w:tc>
          <w:tcPr>
            <w:tcW w:w="885" w:type="dxa"/>
            <w:vMerge w:val="continue"/>
            <w:vAlign w:val="center"/>
          </w:tcPr>
          <w:p>
            <w:pPr>
              <w:spacing w:line="360" w:lineRule="exact"/>
              <w:rPr>
                <w:rFonts w:ascii="宋体" w:hAnsi="宋体"/>
                <w:color w:val="000000"/>
                <w:szCs w:val="21"/>
                <w:highlight w:val="none"/>
              </w:rPr>
            </w:pP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喷泉、水池</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每周清理1次，每月换水清洁1次。</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保持清洁，无白色垃圾、无明显树叶等废弃物漂浮，水池水质无明显混浊，无臭味，池内无青苔。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0" w:type="dxa"/>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5</w:t>
            </w:r>
          </w:p>
        </w:tc>
        <w:tc>
          <w:tcPr>
            <w:tcW w:w="885" w:type="dxa"/>
          </w:tcPr>
          <w:p>
            <w:pPr>
              <w:spacing w:line="360" w:lineRule="exact"/>
              <w:rPr>
                <w:rFonts w:ascii="宋体" w:hAnsi="宋体"/>
                <w:color w:val="000000"/>
                <w:szCs w:val="21"/>
                <w:highlight w:val="none"/>
              </w:rPr>
            </w:pPr>
            <w:r>
              <w:rPr>
                <w:rFonts w:hint="eastAsia" w:ascii="宋体" w:hAnsi="宋体"/>
                <w:color w:val="000000"/>
                <w:szCs w:val="21"/>
                <w:highlight w:val="none"/>
              </w:rPr>
              <w:t>垃圾清运</w:t>
            </w:r>
          </w:p>
        </w:tc>
        <w:tc>
          <w:tcPr>
            <w:tcW w:w="1723" w:type="dxa"/>
          </w:tcPr>
          <w:p>
            <w:pPr>
              <w:spacing w:line="360" w:lineRule="exact"/>
              <w:rPr>
                <w:color w:val="000000"/>
                <w:highlight w:val="none"/>
              </w:rPr>
            </w:pPr>
            <w:r>
              <w:rPr>
                <w:rFonts w:hint="eastAsia"/>
                <w:color w:val="000000"/>
                <w:highlight w:val="none"/>
              </w:rPr>
              <w:t>全部垃圾，包括食堂、小卖部、学生实训产生的废料、报废模型、绿化垃圾等</w:t>
            </w:r>
          </w:p>
          <w:p>
            <w:pPr>
              <w:pStyle w:val="656"/>
              <w:ind w:firstLine="210"/>
              <w:rPr>
                <w:color w:val="000000"/>
                <w:highlight w:val="none"/>
              </w:rPr>
            </w:pP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随产随清</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院内不设垃圾池，垃圾随时清运，垃圾桶保持关闭，垃圾不得超过桶面，垃圾桶周边干净整洁。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0" w:type="dxa"/>
          </w:tcPr>
          <w:p>
            <w:pPr>
              <w:spacing w:line="360" w:lineRule="exact"/>
              <w:rPr>
                <w:rFonts w:ascii="宋体" w:hAnsi="宋体"/>
                <w:color w:val="000000"/>
                <w:szCs w:val="21"/>
                <w:highlight w:val="none"/>
              </w:rPr>
            </w:pPr>
          </w:p>
          <w:p>
            <w:pPr>
              <w:spacing w:line="360" w:lineRule="exact"/>
              <w:rPr>
                <w:rFonts w:ascii="宋体" w:hAnsi="宋体"/>
                <w:color w:val="000000"/>
                <w:szCs w:val="21"/>
                <w:highlight w:val="none"/>
              </w:rPr>
            </w:pPr>
            <w:r>
              <w:rPr>
                <w:rFonts w:hint="eastAsia" w:ascii="宋体" w:hAnsi="宋体"/>
                <w:color w:val="000000"/>
                <w:szCs w:val="21"/>
                <w:highlight w:val="none"/>
              </w:rPr>
              <w:t>6</w:t>
            </w:r>
          </w:p>
        </w:tc>
        <w:tc>
          <w:tcPr>
            <w:tcW w:w="885" w:type="dxa"/>
          </w:tcPr>
          <w:p>
            <w:pPr>
              <w:spacing w:line="360" w:lineRule="exact"/>
              <w:rPr>
                <w:rFonts w:ascii="宋体" w:hAnsi="宋体"/>
                <w:color w:val="000000"/>
                <w:szCs w:val="21"/>
                <w:highlight w:val="none"/>
              </w:rPr>
            </w:pPr>
            <w:r>
              <w:rPr>
                <w:rFonts w:hint="eastAsia" w:ascii="宋体" w:hAnsi="宋体"/>
                <w:color w:val="000000"/>
                <w:szCs w:val="21"/>
                <w:highlight w:val="none"/>
              </w:rPr>
              <w:t>病媒生物灭杀</w:t>
            </w: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全校范围内病媒生物灭杀</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室外每月1次，室内按照实际情况或师生申请，及时投放学生宿舍及教室内病媒生物灭杀药物，达到相关卫生要求。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0" w:type="dxa"/>
          </w:tcPr>
          <w:p>
            <w:pPr>
              <w:spacing w:line="360" w:lineRule="exact"/>
              <w:rPr>
                <w:rFonts w:ascii="宋体" w:hAnsi="宋体"/>
                <w:color w:val="000000"/>
                <w:szCs w:val="21"/>
                <w:highlight w:val="none"/>
              </w:rPr>
            </w:pPr>
            <w:r>
              <w:rPr>
                <w:rFonts w:hint="eastAsia" w:ascii="宋体" w:hAnsi="宋体"/>
                <w:color w:val="000000"/>
                <w:szCs w:val="21"/>
                <w:highlight w:val="none"/>
              </w:rPr>
              <w:t>7</w:t>
            </w:r>
          </w:p>
        </w:tc>
        <w:tc>
          <w:tcPr>
            <w:tcW w:w="885" w:type="dxa"/>
          </w:tcPr>
          <w:p>
            <w:pPr>
              <w:spacing w:line="360" w:lineRule="exact"/>
              <w:rPr>
                <w:rFonts w:ascii="宋体" w:hAnsi="宋体"/>
                <w:color w:val="000000"/>
                <w:szCs w:val="21"/>
                <w:highlight w:val="none"/>
              </w:rPr>
            </w:pPr>
            <w:r>
              <w:rPr>
                <w:rFonts w:hint="eastAsia" w:ascii="宋体" w:hAnsi="宋体"/>
                <w:color w:val="000000"/>
                <w:szCs w:val="21"/>
                <w:highlight w:val="none"/>
              </w:rPr>
              <w:t>灭四害</w:t>
            </w: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全校范围内灭四害</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每学期2次，开学前1次，期末1次，请专业的灭四害公司进行消杀。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0" w:type="dxa"/>
          </w:tcPr>
          <w:p>
            <w:pPr>
              <w:spacing w:line="360" w:lineRule="exact"/>
              <w:rPr>
                <w:rFonts w:ascii="宋体" w:hAnsi="宋体"/>
                <w:color w:val="000000"/>
                <w:szCs w:val="21"/>
                <w:highlight w:val="none"/>
              </w:rPr>
            </w:pPr>
            <w:r>
              <w:rPr>
                <w:rFonts w:hint="eastAsia" w:ascii="宋体" w:hAnsi="宋体"/>
                <w:color w:val="000000"/>
                <w:szCs w:val="21"/>
                <w:highlight w:val="none"/>
              </w:rPr>
              <w:t>8</w:t>
            </w:r>
          </w:p>
        </w:tc>
        <w:tc>
          <w:tcPr>
            <w:tcW w:w="885" w:type="dxa"/>
          </w:tcPr>
          <w:p>
            <w:pPr>
              <w:spacing w:line="360" w:lineRule="exact"/>
              <w:rPr>
                <w:rFonts w:ascii="宋体" w:hAnsi="宋体"/>
                <w:color w:val="000000"/>
                <w:szCs w:val="21"/>
                <w:highlight w:val="none"/>
              </w:rPr>
            </w:pPr>
            <w:r>
              <w:rPr>
                <w:rFonts w:hint="eastAsia" w:ascii="宋体" w:hAnsi="宋体"/>
                <w:color w:val="000000"/>
                <w:szCs w:val="21"/>
                <w:highlight w:val="none"/>
              </w:rPr>
              <w:t>化粪池清运</w:t>
            </w:r>
          </w:p>
        </w:tc>
        <w:tc>
          <w:tcPr>
            <w:tcW w:w="1723"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w:t>
            </w:r>
          </w:p>
        </w:tc>
        <w:tc>
          <w:tcPr>
            <w:tcW w:w="2552" w:type="dxa"/>
          </w:tcPr>
          <w:p>
            <w:pPr>
              <w:spacing w:line="360" w:lineRule="exact"/>
              <w:rPr>
                <w:rFonts w:ascii="宋体" w:hAnsi="宋体"/>
                <w:color w:val="000000"/>
                <w:szCs w:val="21"/>
                <w:highlight w:val="none"/>
              </w:rPr>
            </w:pPr>
            <w:r>
              <w:rPr>
                <w:rFonts w:hint="eastAsia" w:ascii="宋体" w:hAnsi="宋体"/>
                <w:color w:val="000000"/>
                <w:szCs w:val="21"/>
                <w:highlight w:val="none"/>
              </w:rPr>
              <w:t>全校范围化粪池清运</w:t>
            </w:r>
          </w:p>
        </w:tc>
        <w:tc>
          <w:tcPr>
            <w:tcW w:w="3402" w:type="dxa"/>
          </w:tcPr>
          <w:p>
            <w:pPr>
              <w:spacing w:line="360" w:lineRule="exact"/>
              <w:rPr>
                <w:rFonts w:ascii="宋体" w:hAnsi="宋体"/>
                <w:color w:val="000000"/>
                <w:szCs w:val="21"/>
                <w:highlight w:val="none"/>
              </w:rPr>
            </w:pPr>
            <w:r>
              <w:rPr>
                <w:rFonts w:hint="eastAsia" w:ascii="宋体" w:hAnsi="宋体"/>
                <w:color w:val="000000"/>
                <w:szCs w:val="21"/>
                <w:highlight w:val="none"/>
              </w:rPr>
              <w:t>每学期至少1次，请专业的清洁公司进行清运。</w:t>
            </w:r>
          </w:p>
        </w:tc>
      </w:tr>
    </w:tbl>
    <w:p>
      <w:pPr>
        <w:spacing w:line="360" w:lineRule="exact"/>
        <w:rPr>
          <w:rFonts w:ascii="宋体" w:hAnsi="宋体"/>
          <w:b/>
          <w:bCs/>
          <w:color w:val="000000"/>
          <w:szCs w:val="21"/>
          <w:highlight w:val="none"/>
        </w:rPr>
      </w:pPr>
      <w:r>
        <w:rPr>
          <w:rFonts w:hint="eastAsia" w:ascii="宋体" w:hAnsi="宋体"/>
          <w:b/>
          <w:bCs/>
          <w:color w:val="000000"/>
          <w:szCs w:val="21"/>
          <w:highlight w:val="none"/>
        </w:rPr>
        <w:t>（三）清洁卫生工作承包费用范围</w:t>
      </w:r>
    </w:p>
    <w:p>
      <w:pPr>
        <w:spacing w:line="360" w:lineRule="exact"/>
        <w:rPr>
          <w:rFonts w:ascii="宋体" w:hAnsi="宋体"/>
          <w:color w:val="000000"/>
          <w:szCs w:val="21"/>
          <w:highlight w:val="none"/>
        </w:rPr>
      </w:pPr>
      <w:r>
        <w:rPr>
          <w:rFonts w:hint="eastAsia" w:ascii="宋体" w:hAnsi="宋体"/>
          <w:color w:val="000000"/>
          <w:szCs w:val="21"/>
          <w:highlight w:val="none"/>
        </w:rPr>
        <w:t>1、清洁人员工资、加班费；</w:t>
      </w:r>
    </w:p>
    <w:p>
      <w:pPr>
        <w:spacing w:line="360" w:lineRule="exact"/>
        <w:rPr>
          <w:rFonts w:ascii="宋体" w:hAnsi="宋体"/>
          <w:color w:val="000000"/>
          <w:szCs w:val="21"/>
          <w:highlight w:val="none"/>
        </w:rPr>
      </w:pPr>
      <w:r>
        <w:rPr>
          <w:rFonts w:hint="eastAsia" w:ascii="宋体" w:hAnsi="宋体"/>
          <w:color w:val="000000"/>
          <w:szCs w:val="21"/>
          <w:highlight w:val="none"/>
        </w:rPr>
        <w:t>2、管理人员工资、加班费；</w:t>
      </w:r>
    </w:p>
    <w:p>
      <w:pPr>
        <w:spacing w:line="360" w:lineRule="exact"/>
        <w:rPr>
          <w:rFonts w:ascii="宋体" w:hAnsi="宋体"/>
          <w:color w:val="000000"/>
          <w:szCs w:val="21"/>
          <w:highlight w:val="none"/>
        </w:rPr>
      </w:pPr>
      <w:r>
        <w:rPr>
          <w:rFonts w:hint="eastAsia" w:ascii="宋体" w:hAnsi="宋体"/>
          <w:color w:val="000000"/>
          <w:szCs w:val="21"/>
          <w:highlight w:val="none"/>
        </w:rPr>
        <w:t>3、清洁公司管理费；</w:t>
      </w:r>
    </w:p>
    <w:p>
      <w:pPr>
        <w:spacing w:line="360" w:lineRule="exact"/>
        <w:rPr>
          <w:rFonts w:ascii="宋体" w:hAnsi="宋体"/>
          <w:color w:val="000000"/>
          <w:szCs w:val="21"/>
          <w:highlight w:val="none"/>
        </w:rPr>
      </w:pPr>
      <w:r>
        <w:rPr>
          <w:rFonts w:hint="eastAsia" w:ascii="宋体" w:hAnsi="宋体"/>
          <w:color w:val="000000"/>
          <w:szCs w:val="21"/>
          <w:highlight w:val="none"/>
        </w:rPr>
        <w:t>4、灭四害公司费用；</w:t>
      </w:r>
    </w:p>
    <w:p>
      <w:pPr>
        <w:spacing w:line="360" w:lineRule="exact"/>
        <w:rPr>
          <w:rFonts w:ascii="宋体" w:hAnsi="宋体"/>
          <w:color w:val="000000"/>
          <w:szCs w:val="21"/>
          <w:highlight w:val="none"/>
        </w:rPr>
      </w:pPr>
      <w:r>
        <w:rPr>
          <w:rFonts w:hint="eastAsia" w:ascii="宋体" w:hAnsi="宋体"/>
          <w:color w:val="000000"/>
          <w:szCs w:val="21"/>
          <w:highlight w:val="none"/>
        </w:rPr>
        <w:t>5、清洁工具、清洁用品、病媒生物灭杀药物等材料费。</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（四）人员要求：</w:t>
      </w:r>
    </w:p>
    <w:p>
      <w:pPr>
        <w:spacing w:line="360" w:lineRule="exact"/>
        <w:rPr>
          <w:rFonts w:ascii="宋体" w:hAnsi="宋体"/>
          <w:color w:val="000000"/>
          <w:szCs w:val="21"/>
          <w:highlight w:val="none"/>
        </w:rPr>
      </w:pPr>
      <w:r>
        <w:rPr>
          <w:rFonts w:hint="eastAsia" w:ascii="宋体" w:hAnsi="宋体"/>
          <w:color w:val="000000"/>
          <w:szCs w:val="21"/>
          <w:highlight w:val="none"/>
        </w:rPr>
        <w:t>1、保洁主管：高中（中职）及以上学历，50岁以下，有一年以上保洁管理经验；</w:t>
      </w:r>
    </w:p>
    <w:p>
      <w:pPr>
        <w:spacing w:line="360" w:lineRule="exact"/>
        <w:rPr>
          <w:rFonts w:ascii="宋体" w:hAnsi="宋体"/>
          <w:color w:val="000000"/>
          <w:szCs w:val="21"/>
          <w:highlight w:val="none"/>
        </w:rPr>
      </w:pPr>
      <w:r>
        <w:rPr>
          <w:rFonts w:hint="eastAsia" w:ascii="宋体" w:hAnsi="宋体"/>
          <w:color w:val="000000"/>
          <w:szCs w:val="21"/>
          <w:highlight w:val="none"/>
        </w:rPr>
        <w:t>2、清洁人员：55岁以下，身体健康，责任心强。</w:t>
      </w:r>
      <w:r>
        <w:rPr>
          <w:rFonts w:hint="eastAsia" w:ascii="宋体" w:hAnsi="宋体"/>
          <w:color w:val="000000"/>
          <w:szCs w:val="21"/>
          <w:highlight w:val="none"/>
        </w:rPr>
        <w:tab/>
      </w:r>
    </w:p>
    <w:p>
      <w:pPr>
        <w:pStyle w:val="656"/>
        <w:spacing w:line="360" w:lineRule="exact"/>
        <w:ind w:firstLine="210"/>
        <w:rPr>
          <w:rFonts w:ascii="宋体" w:hAnsi="宋体"/>
          <w:color w:val="000000"/>
          <w:szCs w:val="21"/>
          <w:highlight w:val="none"/>
        </w:rPr>
      </w:pPr>
    </w:p>
    <w:p>
      <w:pPr>
        <w:spacing w:line="360" w:lineRule="exact"/>
        <w:jc w:val="center"/>
        <w:rPr>
          <w:rFonts w:ascii="宋体" w:hAnsi="宋体"/>
          <w:b/>
          <w:color w:val="000000"/>
          <w:szCs w:val="21"/>
          <w:highlight w:val="none"/>
        </w:rPr>
      </w:pPr>
      <w:r>
        <w:rPr>
          <w:rFonts w:hint="eastAsia" w:ascii="宋体" w:hAnsi="宋体"/>
          <w:b/>
          <w:color w:val="000000"/>
          <w:szCs w:val="21"/>
          <w:highlight w:val="none"/>
        </w:rPr>
        <w:t>第三部分：秩序维护管理服务</w:t>
      </w:r>
    </w:p>
    <w:p>
      <w:pPr>
        <w:numPr>
          <w:ilvl w:val="0"/>
          <w:numId w:val="12"/>
        </w:numPr>
        <w:spacing w:line="360" w:lineRule="exact"/>
        <w:rPr>
          <w:rFonts w:ascii="宋体" w:hAnsi="宋体"/>
          <w:b/>
          <w:bCs w:val="0"/>
          <w:color w:val="000000"/>
          <w:szCs w:val="21"/>
          <w:highlight w:val="none"/>
        </w:rPr>
      </w:pPr>
      <w:r>
        <w:rPr>
          <w:rFonts w:hint="eastAsia" w:ascii="宋体" w:hAnsi="宋体"/>
          <w:b/>
          <w:bCs w:val="0"/>
          <w:color w:val="000000"/>
          <w:szCs w:val="21"/>
          <w:highlight w:val="none"/>
        </w:rPr>
        <w:t>岗位设置</w:t>
      </w:r>
    </w:p>
    <w:p>
      <w:pPr>
        <w:pStyle w:val="656"/>
        <w:ind w:firstLine="0" w:firstLineChars="0"/>
        <w:rPr>
          <w:highlight w:val="none"/>
        </w:rPr>
      </w:pPr>
      <w:r>
        <w:rPr>
          <w:rFonts w:hint="eastAsia" w:ascii="宋体" w:hAnsi="宋体"/>
          <w:b/>
          <w:bCs/>
          <w:color w:val="000000"/>
          <w:szCs w:val="21"/>
          <w:highlight w:val="none"/>
        </w:rPr>
        <w:t>秩序维护人员</w:t>
      </w:r>
      <w:r>
        <w:rPr>
          <w:rFonts w:hint="eastAsia"/>
          <w:b/>
          <w:bCs/>
          <w:highlight w:val="none"/>
        </w:rPr>
        <w:t>不少于23人。</w:t>
      </w:r>
    </w:p>
    <w:tbl>
      <w:tblPr>
        <w:tblStyle w:val="659"/>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601"/>
        <w:gridCol w:w="2630"/>
        <w:gridCol w:w="160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88"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序号</w:t>
            </w:r>
          </w:p>
        </w:tc>
        <w:tc>
          <w:tcPr>
            <w:tcW w:w="2601"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工作区域</w:t>
            </w:r>
          </w:p>
        </w:tc>
        <w:tc>
          <w:tcPr>
            <w:tcW w:w="2630"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岗位名称</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s="宋体"/>
                <w:szCs w:val="21"/>
                <w:highlight w:val="none"/>
              </w:rPr>
              <w:t>配置岗位人数</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88"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1</w:t>
            </w:r>
          </w:p>
        </w:tc>
        <w:tc>
          <w:tcPr>
            <w:tcW w:w="2601"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邕武校区门岗</w:t>
            </w:r>
          </w:p>
        </w:tc>
        <w:tc>
          <w:tcPr>
            <w:tcW w:w="2630"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秩序维护员</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s="宋体"/>
                <w:szCs w:val="21"/>
                <w:highlight w:val="none"/>
              </w:rPr>
              <w:t>8</w:t>
            </w:r>
          </w:p>
        </w:tc>
        <w:tc>
          <w:tcPr>
            <w:tcW w:w="1604" w:type="dxa"/>
            <w:vMerge w:val="restart"/>
            <w:vAlign w:val="center"/>
          </w:tcPr>
          <w:p>
            <w:pPr>
              <w:spacing w:line="360" w:lineRule="exact"/>
              <w:jc w:val="center"/>
              <w:rPr>
                <w:rFonts w:ascii="宋体" w:hAnsi="宋体" w:cs="宋体"/>
                <w:szCs w:val="21"/>
                <w:highlight w:val="none"/>
              </w:rPr>
            </w:pPr>
            <w:r>
              <w:rPr>
                <w:rFonts w:hint="eastAsia" w:ascii="宋体" w:hAnsi="宋体" w:cs="宋体"/>
                <w:szCs w:val="21"/>
                <w:highlight w:val="none"/>
              </w:rPr>
              <w:t>早晚班3人，</w:t>
            </w:r>
          </w:p>
          <w:p>
            <w:pPr>
              <w:spacing w:line="360" w:lineRule="exact"/>
              <w:jc w:val="center"/>
              <w:rPr>
                <w:rFonts w:ascii="宋体" w:hAnsi="宋体"/>
                <w:color w:val="000000"/>
                <w:szCs w:val="21"/>
                <w:highlight w:val="none"/>
              </w:rPr>
            </w:pPr>
            <w:r>
              <w:rPr>
                <w:rFonts w:hint="eastAsia" w:ascii="宋体" w:hAnsi="宋体" w:cs="宋体"/>
                <w:szCs w:val="21"/>
                <w:highlight w:val="none"/>
              </w:rPr>
              <w:t>中班2人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188"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2</w:t>
            </w:r>
          </w:p>
        </w:tc>
        <w:tc>
          <w:tcPr>
            <w:tcW w:w="2601"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长堽校区门岗</w:t>
            </w:r>
          </w:p>
        </w:tc>
        <w:tc>
          <w:tcPr>
            <w:tcW w:w="2630"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秩序维护员</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s="宋体"/>
                <w:szCs w:val="21"/>
                <w:highlight w:val="none"/>
              </w:rPr>
              <w:t>6</w:t>
            </w:r>
          </w:p>
        </w:tc>
        <w:tc>
          <w:tcPr>
            <w:tcW w:w="1604" w:type="dxa"/>
            <w:vMerge w:val="continue"/>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88"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3</w:t>
            </w:r>
          </w:p>
        </w:tc>
        <w:tc>
          <w:tcPr>
            <w:tcW w:w="2601"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伊岭校区门岗</w:t>
            </w:r>
          </w:p>
        </w:tc>
        <w:tc>
          <w:tcPr>
            <w:tcW w:w="2630"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秩序维护员</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s="宋体"/>
                <w:szCs w:val="21"/>
                <w:highlight w:val="none"/>
              </w:rPr>
              <w:t>6</w:t>
            </w:r>
          </w:p>
        </w:tc>
        <w:tc>
          <w:tcPr>
            <w:tcW w:w="1604" w:type="dxa"/>
            <w:vMerge w:val="continue"/>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88"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4</w:t>
            </w:r>
          </w:p>
        </w:tc>
        <w:tc>
          <w:tcPr>
            <w:tcW w:w="2601"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安防系统中控室</w:t>
            </w:r>
          </w:p>
        </w:tc>
        <w:tc>
          <w:tcPr>
            <w:tcW w:w="2630" w:type="dxa"/>
            <w:vAlign w:val="center"/>
          </w:tcPr>
          <w:p>
            <w:pPr>
              <w:spacing w:line="360" w:lineRule="exact"/>
              <w:jc w:val="center"/>
              <w:rPr>
                <w:rFonts w:ascii="宋体" w:hAnsi="宋体"/>
                <w:color w:val="000000"/>
                <w:szCs w:val="21"/>
                <w:highlight w:val="none"/>
              </w:rPr>
            </w:pPr>
            <w:r>
              <w:rPr>
                <w:rFonts w:hint="eastAsia"/>
                <w:highlight w:val="none"/>
              </w:rPr>
              <w:t>安防监控员</w:t>
            </w:r>
          </w:p>
        </w:tc>
        <w:tc>
          <w:tcPr>
            <w:tcW w:w="1604" w:type="dxa"/>
            <w:vAlign w:val="center"/>
          </w:tcPr>
          <w:p>
            <w:pPr>
              <w:spacing w:line="360" w:lineRule="exact"/>
              <w:jc w:val="center"/>
              <w:rPr>
                <w:rFonts w:ascii="宋体" w:hAnsi="宋体"/>
                <w:color w:val="000000"/>
                <w:szCs w:val="21"/>
                <w:highlight w:val="none"/>
              </w:rPr>
            </w:pPr>
            <w:r>
              <w:rPr>
                <w:rFonts w:hint="eastAsia" w:ascii="宋体" w:hAnsi="宋体" w:cs="宋体"/>
                <w:szCs w:val="21"/>
                <w:highlight w:val="none"/>
              </w:rPr>
              <w:t>3</w:t>
            </w:r>
          </w:p>
        </w:tc>
        <w:tc>
          <w:tcPr>
            <w:tcW w:w="1604" w:type="dxa"/>
            <w:vAlign w:val="center"/>
          </w:tcPr>
          <w:p>
            <w:pPr>
              <w:spacing w:line="360" w:lineRule="exact"/>
              <w:jc w:val="center"/>
              <w:rPr>
                <w:rFonts w:ascii="宋体" w:hAnsi="宋体"/>
                <w:color w:val="000000"/>
                <w:szCs w:val="21"/>
                <w:highlight w:val="none"/>
              </w:rPr>
            </w:pPr>
          </w:p>
        </w:tc>
      </w:tr>
    </w:tbl>
    <w:p>
      <w:pPr>
        <w:spacing w:line="360" w:lineRule="exact"/>
        <w:rPr>
          <w:rFonts w:ascii="宋体" w:hAnsi="宋体"/>
          <w:b/>
          <w:bCs/>
          <w:color w:val="000000"/>
          <w:szCs w:val="21"/>
          <w:highlight w:val="none"/>
        </w:rPr>
      </w:pPr>
      <w:r>
        <w:rPr>
          <w:rFonts w:hint="eastAsia" w:ascii="宋体" w:hAnsi="宋体"/>
          <w:b/>
          <w:bCs/>
          <w:color w:val="000000"/>
          <w:szCs w:val="21"/>
          <w:highlight w:val="none"/>
        </w:rPr>
        <w:t>（二）工作岗位职责及工作内容</w:t>
      </w:r>
    </w:p>
    <w:tbl>
      <w:tblPr>
        <w:tblStyle w:val="659"/>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7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pPr>
              <w:spacing w:line="360" w:lineRule="exact"/>
              <w:rPr>
                <w:rFonts w:ascii="宋体" w:hAnsi="宋体"/>
                <w:color w:val="000000"/>
                <w:szCs w:val="21"/>
                <w:highlight w:val="none"/>
              </w:rPr>
            </w:pPr>
            <w:r>
              <w:rPr>
                <w:rFonts w:hint="eastAsia" w:ascii="宋体" w:hAnsi="宋体"/>
                <w:color w:val="000000"/>
                <w:szCs w:val="21"/>
                <w:highlight w:val="none"/>
              </w:rPr>
              <w:t>工作区域</w:t>
            </w:r>
          </w:p>
        </w:tc>
        <w:tc>
          <w:tcPr>
            <w:tcW w:w="7121"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exact"/>
              <w:rPr>
                <w:rFonts w:ascii="宋体" w:hAnsi="宋体"/>
                <w:color w:val="000000"/>
                <w:szCs w:val="21"/>
                <w:highlight w:val="none"/>
              </w:rPr>
            </w:pPr>
            <w:r>
              <w:rPr>
                <w:rFonts w:hint="eastAsia" w:ascii="宋体" w:hAnsi="宋体"/>
                <w:color w:val="000000"/>
                <w:szCs w:val="21"/>
                <w:highlight w:val="none"/>
              </w:rPr>
              <w:t>门岗</w:t>
            </w:r>
          </w:p>
        </w:tc>
        <w:tc>
          <w:tcPr>
            <w:tcW w:w="7121" w:type="dxa"/>
            <w:vAlign w:val="center"/>
          </w:tcPr>
          <w:p>
            <w:pPr>
              <w:spacing w:line="360" w:lineRule="exact"/>
              <w:rPr>
                <w:rFonts w:ascii="宋体" w:hAnsi="宋体"/>
                <w:color w:val="000000"/>
                <w:szCs w:val="21"/>
                <w:highlight w:val="none"/>
              </w:rPr>
            </w:pPr>
            <w:r>
              <w:rPr>
                <w:rFonts w:hint="eastAsia" w:ascii="宋体" w:hAnsi="宋体"/>
                <w:color w:val="000000"/>
                <w:szCs w:val="21"/>
                <w:highlight w:val="none"/>
              </w:rPr>
              <w:t>1、负责本校学生出入管理；</w:t>
            </w:r>
          </w:p>
          <w:p>
            <w:pPr>
              <w:spacing w:line="360" w:lineRule="exact"/>
              <w:rPr>
                <w:rFonts w:ascii="宋体" w:hAnsi="宋体"/>
                <w:color w:val="000000"/>
                <w:szCs w:val="21"/>
                <w:highlight w:val="none"/>
              </w:rPr>
            </w:pPr>
            <w:r>
              <w:rPr>
                <w:rFonts w:hint="eastAsia" w:ascii="宋体" w:hAnsi="宋体"/>
                <w:color w:val="000000"/>
                <w:szCs w:val="21"/>
                <w:highlight w:val="none"/>
              </w:rPr>
              <w:t>2、负责来访人员登记、验证，传达来访信息。</w:t>
            </w:r>
          </w:p>
          <w:p>
            <w:pPr>
              <w:spacing w:line="360" w:lineRule="exact"/>
              <w:rPr>
                <w:rFonts w:ascii="宋体" w:hAnsi="宋体"/>
                <w:color w:val="000000"/>
                <w:szCs w:val="21"/>
                <w:highlight w:val="none"/>
              </w:rPr>
            </w:pPr>
            <w:r>
              <w:rPr>
                <w:rFonts w:hint="eastAsia" w:ascii="宋体" w:hAnsi="宋体"/>
                <w:color w:val="000000"/>
                <w:szCs w:val="21"/>
                <w:highlight w:val="none"/>
              </w:rPr>
              <w:t>3、负责本校职工、上级部门车辆的出入、停放管理；</w:t>
            </w:r>
          </w:p>
          <w:p>
            <w:pPr>
              <w:spacing w:line="360" w:lineRule="exact"/>
              <w:rPr>
                <w:rFonts w:ascii="宋体" w:hAnsi="宋体"/>
                <w:color w:val="000000"/>
                <w:szCs w:val="21"/>
                <w:highlight w:val="none"/>
              </w:rPr>
            </w:pPr>
            <w:r>
              <w:rPr>
                <w:rFonts w:hint="eastAsia" w:ascii="宋体" w:hAnsi="宋体"/>
                <w:color w:val="000000"/>
                <w:szCs w:val="21"/>
                <w:highlight w:val="none"/>
              </w:rPr>
              <w:t>4、负责外来车辆的出入、收费管理；</w:t>
            </w:r>
          </w:p>
          <w:p>
            <w:pPr>
              <w:spacing w:line="360" w:lineRule="exact"/>
              <w:rPr>
                <w:rFonts w:ascii="宋体" w:hAnsi="宋体"/>
                <w:color w:val="000000"/>
                <w:szCs w:val="21"/>
                <w:highlight w:val="none"/>
              </w:rPr>
            </w:pPr>
            <w:r>
              <w:rPr>
                <w:rFonts w:hint="eastAsia" w:ascii="宋体" w:hAnsi="宋体"/>
                <w:color w:val="000000"/>
                <w:szCs w:val="21"/>
                <w:highlight w:val="none"/>
              </w:rPr>
              <w:t>5、负责查验进出校门的物品。</w:t>
            </w:r>
          </w:p>
          <w:p>
            <w:pPr>
              <w:spacing w:line="360" w:lineRule="exact"/>
              <w:rPr>
                <w:rFonts w:ascii="宋体" w:hAnsi="宋体"/>
                <w:color w:val="000000"/>
                <w:szCs w:val="21"/>
                <w:highlight w:val="none"/>
              </w:rPr>
            </w:pPr>
            <w:r>
              <w:rPr>
                <w:rFonts w:hint="eastAsia" w:ascii="宋体" w:hAnsi="宋体"/>
                <w:color w:val="000000"/>
                <w:szCs w:val="21"/>
                <w:highlight w:val="none"/>
              </w:rPr>
              <w:t>6、维护校门区域治安、交通秩序，保持校门卫生整洁。</w:t>
            </w:r>
          </w:p>
          <w:p>
            <w:pPr>
              <w:spacing w:line="360" w:lineRule="exact"/>
              <w:rPr>
                <w:rFonts w:ascii="宋体" w:hAnsi="宋体"/>
                <w:color w:val="000000"/>
                <w:szCs w:val="21"/>
                <w:highlight w:val="none"/>
              </w:rPr>
            </w:pPr>
            <w:r>
              <w:rPr>
                <w:rFonts w:hint="eastAsia" w:ascii="宋体" w:hAnsi="宋体"/>
                <w:color w:val="000000"/>
                <w:szCs w:val="21"/>
                <w:highlight w:val="none"/>
              </w:rPr>
              <w:t>7、管理校门的开门、关门、开灯、关灯等事项。</w:t>
            </w:r>
          </w:p>
          <w:p>
            <w:pPr>
              <w:spacing w:line="360" w:lineRule="exact"/>
              <w:rPr>
                <w:rFonts w:ascii="宋体" w:hAnsi="宋体"/>
                <w:color w:val="000000"/>
                <w:szCs w:val="21"/>
                <w:highlight w:val="none"/>
              </w:rPr>
            </w:pPr>
            <w:r>
              <w:rPr>
                <w:rFonts w:hint="eastAsia" w:ascii="宋体" w:hAnsi="宋体"/>
                <w:color w:val="000000"/>
                <w:szCs w:val="21"/>
                <w:highlight w:val="none"/>
              </w:rPr>
              <w:t>8、值班值守、接听值班电话、巡查校园、综治安全、处置各类突发事件；</w:t>
            </w:r>
          </w:p>
          <w:p>
            <w:pPr>
              <w:spacing w:line="360" w:lineRule="exact"/>
              <w:rPr>
                <w:rFonts w:ascii="宋体" w:hAnsi="宋体"/>
                <w:color w:val="000000"/>
                <w:szCs w:val="21"/>
                <w:highlight w:val="none"/>
              </w:rPr>
            </w:pPr>
            <w:r>
              <w:rPr>
                <w:rFonts w:hint="eastAsia" w:ascii="宋体" w:hAnsi="宋体"/>
                <w:color w:val="000000"/>
                <w:szCs w:val="21"/>
                <w:highlight w:val="none"/>
              </w:rPr>
              <w:t>9、负责本岗位的其他相关工作。</w:t>
            </w:r>
          </w:p>
          <w:p>
            <w:pPr>
              <w:spacing w:line="360" w:lineRule="exact"/>
              <w:rPr>
                <w:rFonts w:ascii="宋体" w:hAnsi="宋体"/>
                <w:color w:val="000000"/>
                <w:szCs w:val="21"/>
                <w:highlight w:val="none"/>
              </w:rPr>
            </w:pPr>
            <w:r>
              <w:rPr>
                <w:rFonts w:hint="eastAsia" w:ascii="宋体" w:hAnsi="宋体"/>
                <w:color w:val="000000"/>
                <w:szCs w:val="21"/>
                <w:highlight w:val="none"/>
              </w:rPr>
              <w:t>10、完成领导交办的事项。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exact"/>
              <w:rPr>
                <w:rFonts w:ascii="宋体" w:hAnsi="宋体"/>
                <w:color w:val="000000"/>
                <w:szCs w:val="21"/>
                <w:highlight w:val="none"/>
              </w:rPr>
            </w:pPr>
            <w:r>
              <w:rPr>
                <w:rFonts w:hint="eastAsia" w:ascii="宋体" w:hAnsi="宋体"/>
                <w:color w:val="000000"/>
                <w:szCs w:val="21"/>
                <w:highlight w:val="none"/>
              </w:rPr>
              <w:t>安防监控</w:t>
            </w:r>
          </w:p>
        </w:tc>
        <w:tc>
          <w:tcPr>
            <w:tcW w:w="7121" w:type="dxa"/>
            <w:vAlign w:val="center"/>
          </w:tcPr>
          <w:p>
            <w:pPr>
              <w:spacing w:line="360" w:lineRule="exact"/>
              <w:rPr>
                <w:rFonts w:ascii="宋体" w:hAnsi="宋体"/>
                <w:color w:val="000000"/>
                <w:szCs w:val="21"/>
                <w:highlight w:val="none"/>
              </w:rPr>
            </w:pPr>
            <w:r>
              <w:rPr>
                <w:rFonts w:hint="eastAsia" w:ascii="宋体" w:hAnsi="宋体"/>
                <w:color w:val="000000"/>
                <w:szCs w:val="21"/>
                <w:highlight w:val="none"/>
              </w:rPr>
              <w:t>1、爱岗敬业、认真负责，严格落实监控室的管理制度，不离岗、不空岗，不做与工作无关的事；</w:t>
            </w:r>
          </w:p>
          <w:p>
            <w:pPr>
              <w:spacing w:line="360" w:lineRule="exact"/>
              <w:rPr>
                <w:rFonts w:ascii="宋体" w:hAnsi="宋体"/>
                <w:color w:val="000000"/>
                <w:szCs w:val="21"/>
                <w:highlight w:val="none"/>
              </w:rPr>
            </w:pPr>
            <w:r>
              <w:rPr>
                <w:rFonts w:hint="eastAsia" w:ascii="宋体" w:hAnsi="宋体"/>
                <w:color w:val="000000"/>
                <w:szCs w:val="21"/>
                <w:highlight w:val="none"/>
              </w:rPr>
              <w:t>2、负责邕武校区监控系统和消防系统监控管理，熟练掌握设备设施操作，熟悉系统的布置点位，便于有效监控；</w:t>
            </w:r>
          </w:p>
          <w:p>
            <w:pPr>
              <w:spacing w:line="360" w:lineRule="exact"/>
              <w:rPr>
                <w:rFonts w:ascii="宋体" w:hAnsi="宋体"/>
                <w:color w:val="000000"/>
                <w:szCs w:val="21"/>
                <w:highlight w:val="none"/>
              </w:rPr>
            </w:pPr>
            <w:r>
              <w:rPr>
                <w:rFonts w:hint="eastAsia" w:ascii="宋体" w:hAnsi="宋体"/>
                <w:color w:val="000000"/>
                <w:szCs w:val="21"/>
                <w:highlight w:val="none"/>
              </w:rPr>
              <w:t>3、发现异常情况及时处理并上报。</w:t>
            </w:r>
          </w:p>
          <w:p>
            <w:pPr>
              <w:spacing w:line="360" w:lineRule="exact"/>
              <w:rPr>
                <w:rFonts w:ascii="宋体" w:hAnsi="宋体"/>
                <w:color w:val="000000"/>
                <w:szCs w:val="21"/>
                <w:highlight w:val="none"/>
              </w:rPr>
            </w:pPr>
            <w:r>
              <w:rPr>
                <w:rFonts w:hint="eastAsia" w:ascii="宋体" w:hAnsi="宋体"/>
                <w:color w:val="000000"/>
                <w:szCs w:val="21"/>
                <w:highlight w:val="none"/>
              </w:rPr>
              <w:t>4、做好值班值守记录。</w:t>
            </w:r>
          </w:p>
          <w:p>
            <w:pPr>
              <w:spacing w:line="360" w:lineRule="exact"/>
              <w:rPr>
                <w:rFonts w:ascii="宋体" w:hAnsi="宋体"/>
                <w:color w:val="000000"/>
                <w:szCs w:val="21"/>
                <w:highlight w:val="none"/>
              </w:rPr>
            </w:pPr>
            <w:r>
              <w:rPr>
                <w:rFonts w:hint="eastAsia" w:ascii="宋体" w:hAnsi="宋体"/>
                <w:color w:val="000000"/>
                <w:szCs w:val="21"/>
                <w:highlight w:val="none"/>
              </w:rPr>
              <w:t>5、完成领导交办的其他工作。</w:t>
            </w:r>
          </w:p>
        </w:tc>
      </w:tr>
    </w:tbl>
    <w:p>
      <w:pPr>
        <w:spacing w:line="360" w:lineRule="exact"/>
        <w:rPr>
          <w:rFonts w:ascii="宋体" w:hAnsi="宋体"/>
          <w:b/>
          <w:bCs/>
          <w:color w:val="000000"/>
          <w:szCs w:val="21"/>
          <w:highlight w:val="none"/>
        </w:rPr>
      </w:pPr>
      <w:r>
        <w:rPr>
          <w:rFonts w:hint="eastAsia" w:ascii="宋体" w:hAnsi="宋体"/>
          <w:b/>
          <w:bCs/>
          <w:color w:val="000000"/>
          <w:szCs w:val="21"/>
          <w:highlight w:val="none"/>
        </w:rPr>
        <w:t>1、人员出入管理</w:t>
      </w:r>
    </w:p>
    <w:p>
      <w:pPr>
        <w:numPr>
          <w:ilvl w:val="0"/>
          <w:numId w:val="13"/>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严格落实学院安全保卫工作制度，根据各校区的特点，制订安全防范措施，按派出所要求配备反恐防暴等安全设备设施。</w:t>
      </w:r>
    </w:p>
    <w:p>
      <w:pPr>
        <w:numPr>
          <w:ilvl w:val="0"/>
          <w:numId w:val="13"/>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负责本校学生出、入校大门管理工作‌。</w:t>
      </w:r>
    </w:p>
    <w:p>
      <w:pPr>
        <w:numPr>
          <w:ilvl w:val="0"/>
          <w:numId w:val="13"/>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负责来人来访人员入校手续办理及接待工作，严防无关人员进校。</w:t>
      </w:r>
    </w:p>
    <w:p>
      <w:pPr>
        <w:numPr>
          <w:ilvl w:val="0"/>
          <w:numId w:val="13"/>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负责入校参加各类业务培训、考试、考核人员的入校检验及管理工作。</w:t>
      </w:r>
    </w:p>
    <w:p>
      <w:pPr>
        <w:numPr>
          <w:ilvl w:val="0"/>
          <w:numId w:val="13"/>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负责各校区校大门综治安全、交通安全，确保人员出入平安。</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2、物品出入管理‌</w:t>
      </w:r>
    </w:p>
    <w:p>
      <w:pPr>
        <w:numPr>
          <w:ilvl w:val="0"/>
          <w:numId w:val="14"/>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负责入校物品盘查，防止违禁物品流入校内‌。</w:t>
      </w:r>
    </w:p>
    <w:p>
      <w:pPr>
        <w:numPr>
          <w:ilvl w:val="0"/>
          <w:numId w:val="14"/>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负责出校物品、仪器设备的检查登记，防止资产流失‌。</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3、车辆出入管理</w:t>
      </w:r>
      <w:r>
        <w:rPr>
          <w:rFonts w:hint="eastAsia" w:ascii="宋体" w:hAnsi="宋体"/>
          <w:color w:val="000000"/>
          <w:szCs w:val="21"/>
          <w:highlight w:val="none"/>
        </w:rPr>
        <w:t>‌</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（1）负责本校职工、上级部门车辆信息登记、管理工作。</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（2）负责外来车辆入校登记、费用收取工作。</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（3）负责入校车辆的停放管理，防盗管理及交通要道的保通保畅工作。</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4、巡查巡检</w:t>
      </w:r>
    </w:p>
    <w:p>
      <w:pPr>
        <w:numPr>
          <w:ilvl w:val="0"/>
          <w:numId w:val="15"/>
        </w:numPr>
        <w:spacing w:line="360" w:lineRule="exact"/>
        <w:ind w:left="0" w:firstLine="400"/>
        <w:rPr>
          <w:rFonts w:ascii="宋体" w:hAnsi="宋体"/>
          <w:color w:val="000000"/>
          <w:szCs w:val="21"/>
          <w:highlight w:val="none"/>
        </w:rPr>
      </w:pPr>
      <w:r>
        <w:rPr>
          <w:rFonts w:hint="eastAsia" w:ascii="宋体" w:hAnsi="宋体"/>
          <w:color w:val="000000"/>
          <w:szCs w:val="21"/>
          <w:highlight w:val="none"/>
        </w:rPr>
        <w:t>实行24小时值班值守，3班轮换，对校园全覆盖不间断巡逻、巡查，白天不少于4次，夜间不少于2次，发现安全隐患及时处置，并做好巡查记录。</w:t>
      </w:r>
    </w:p>
    <w:p>
      <w:pPr>
        <w:numPr>
          <w:ilvl w:val="0"/>
          <w:numId w:val="15"/>
        </w:numPr>
        <w:spacing w:line="360" w:lineRule="exact"/>
        <w:ind w:left="0" w:firstLine="400"/>
        <w:rPr>
          <w:rFonts w:ascii="宋体" w:hAnsi="宋体"/>
          <w:color w:val="000000"/>
          <w:szCs w:val="21"/>
          <w:highlight w:val="none"/>
        </w:rPr>
      </w:pPr>
      <w:r>
        <w:rPr>
          <w:rFonts w:hint="eastAsia" w:ascii="宋体" w:hAnsi="宋体"/>
          <w:color w:val="000000"/>
          <w:szCs w:val="21"/>
          <w:highlight w:val="none"/>
        </w:rPr>
        <w:t>负责学院安防监控系统24小时轮值。‌</w:t>
      </w:r>
    </w:p>
    <w:p>
      <w:pPr>
        <w:numPr>
          <w:ilvl w:val="0"/>
          <w:numId w:val="15"/>
        </w:numPr>
        <w:spacing w:line="360" w:lineRule="exact"/>
        <w:ind w:left="0" w:firstLine="400"/>
        <w:rPr>
          <w:rFonts w:ascii="宋体" w:hAnsi="宋体"/>
          <w:color w:val="000000"/>
          <w:szCs w:val="21"/>
          <w:highlight w:val="none"/>
        </w:rPr>
      </w:pPr>
      <w:r>
        <w:rPr>
          <w:rFonts w:hint="eastAsia" w:ascii="宋体" w:hAnsi="宋体"/>
          <w:color w:val="000000"/>
          <w:szCs w:val="21"/>
          <w:highlight w:val="none"/>
        </w:rPr>
        <w:t>负责大型活动的治安、交通秩序维持维护等事务。</w:t>
      </w:r>
    </w:p>
    <w:p>
      <w:pPr>
        <w:numPr>
          <w:ilvl w:val="0"/>
          <w:numId w:val="15"/>
        </w:numPr>
        <w:spacing w:line="360" w:lineRule="exact"/>
        <w:ind w:left="0" w:firstLine="400"/>
        <w:rPr>
          <w:rFonts w:ascii="宋体" w:hAnsi="宋体"/>
          <w:color w:val="000000"/>
          <w:szCs w:val="21"/>
          <w:highlight w:val="none"/>
        </w:rPr>
      </w:pPr>
      <w:r>
        <w:rPr>
          <w:rFonts w:hint="eastAsia" w:ascii="宋体" w:hAnsi="宋体"/>
          <w:color w:val="000000"/>
          <w:szCs w:val="21"/>
          <w:highlight w:val="none"/>
        </w:rPr>
        <w:t>负责校园内防暴、处突工作，为师生提供职权内的帮助。</w:t>
      </w:r>
    </w:p>
    <w:p>
      <w:pPr>
        <w:numPr>
          <w:ilvl w:val="0"/>
          <w:numId w:val="15"/>
        </w:numPr>
        <w:spacing w:line="360" w:lineRule="exact"/>
        <w:ind w:left="0" w:firstLine="400"/>
        <w:rPr>
          <w:rFonts w:ascii="宋体" w:hAnsi="宋体"/>
          <w:color w:val="000000"/>
          <w:szCs w:val="21"/>
          <w:highlight w:val="none"/>
        </w:rPr>
      </w:pPr>
      <w:r>
        <w:rPr>
          <w:rFonts w:hint="eastAsia" w:ascii="宋体" w:hAnsi="宋体"/>
          <w:color w:val="000000"/>
          <w:szCs w:val="21"/>
          <w:highlight w:val="none"/>
        </w:rPr>
        <w:t>完成领导交办的其他事项。</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（三）人员要求</w:t>
      </w:r>
    </w:p>
    <w:p>
      <w:pPr>
        <w:spacing w:line="360" w:lineRule="exact"/>
        <w:rPr>
          <w:rFonts w:ascii="宋体" w:hAnsi="宋体"/>
          <w:color w:val="000000"/>
          <w:szCs w:val="21"/>
          <w:highlight w:val="none"/>
        </w:rPr>
      </w:pPr>
      <w:r>
        <w:rPr>
          <w:rFonts w:hint="eastAsia" w:ascii="宋体" w:hAnsi="宋体"/>
          <w:color w:val="000000"/>
          <w:szCs w:val="21"/>
          <w:highlight w:val="none"/>
        </w:rPr>
        <w:t>1、年龄：男性18-60岁；女性：18-55岁；</w:t>
      </w:r>
    </w:p>
    <w:p>
      <w:pPr>
        <w:spacing w:line="360" w:lineRule="exact"/>
        <w:rPr>
          <w:rFonts w:ascii="宋体" w:hAnsi="宋体"/>
          <w:color w:val="000000"/>
          <w:szCs w:val="21"/>
          <w:highlight w:val="none"/>
        </w:rPr>
      </w:pPr>
      <w:r>
        <w:rPr>
          <w:rFonts w:hint="eastAsia" w:ascii="宋体" w:hAnsi="宋体"/>
          <w:color w:val="000000"/>
          <w:szCs w:val="21"/>
          <w:highlight w:val="none"/>
        </w:rPr>
        <w:t>2、身高：男性1.65米以上，女性1.55米以上；</w:t>
      </w:r>
    </w:p>
    <w:p>
      <w:pPr>
        <w:spacing w:line="360" w:lineRule="exact"/>
        <w:rPr>
          <w:rFonts w:ascii="宋体" w:hAnsi="宋体"/>
          <w:color w:val="000000"/>
          <w:szCs w:val="21"/>
          <w:highlight w:val="none"/>
        </w:rPr>
      </w:pPr>
      <w:r>
        <w:rPr>
          <w:rFonts w:hint="eastAsia" w:ascii="宋体" w:hAnsi="宋体"/>
          <w:color w:val="000000"/>
          <w:szCs w:val="21"/>
          <w:highlight w:val="none"/>
        </w:rPr>
        <w:t>3、其他：身体素质好，政治素质好，无犯罪记录，反应灵敏。女性秩序维护员比例不超过秩序维护员总人数的20%；</w:t>
      </w:r>
    </w:p>
    <w:p>
      <w:pPr>
        <w:spacing w:line="360" w:lineRule="exact"/>
        <w:rPr>
          <w:rFonts w:ascii="宋体" w:hAnsi="宋体"/>
          <w:color w:val="000000"/>
          <w:szCs w:val="21"/>
          <w:highlight w:val="none"/>
        </w:rPr>
      </w:pPr>
      <w:r>
        <w:rPr>
          <w:rFonts w:hint="eastAsia" w:ascii="宋体" w:hAnsi="宋体"/>
          <w:color w:val="000000"/>
          <w:szCs w:val="21"/>
          <w:highlight w:val="none"/>
        </w:rPr>
        <w:t>4、所有人员持证上岗：秩序维护员持保安员证；</w:t>
      </w:r>
      <w:r>
        <w:rPr>
          <w:highlight w:val="none"/>
        </w:rPr>
        <w:t>安防监控员</w:t>
      </w:r>
      <w:r>
        <w:rPr>
          <w:rFonts w:hint="eastAsia" w:ascii="宋体" w:hAnsi="宋体"/>
          <w:color w:val="000000"/>
          <w:szCs w:val="21"/>
          <w:highlight w:val="none"/>
        </w:rPr>
        <w:t>必须持消防设施操作员资格证。（注：在响应文件中提供相关证明材料）</w:t>
      </w:r>
    </w:p>
    <w:p>
      <w:pPr>
        <w:spacing w:line="360" w:lineRule="exact"/>
        <w:ind w:firstLine="421" w:firstLineChars="200"/>
        <w:jc w:val="center"/>
        <w:rPr>
          <w:rFonts w:ascii="宋体" w:hAnsi="宋体"/>
          <w:b/>
          <w:color w:val="000000"/>
          <w:szCs w:val="21"/>
          <w:highlight w:val="none"/>
        </w:rPr>
      </w:pPr>
      <w:r>
        <w:rPr>
          <w:rFonts w:hint="eastAsia" w:ascii="宋体" w:hAnsi="宋体"/>
          <w:b/>
          <w:color w:val="000000"/>
          <w:szCs w:val="21"/>
          <w:highlight w:val="none"/>
        </w:rPr>
        <w:t>第四部分：学生宿舍管理</w:t>
      </w:r>
    </w:p>
    <w:p>
      <w:pPr>
        <w:spacing w:line="360" w:lineRule="exact"/>
        <w:rPr>
          <w:rFonts w:ascii="宋体" w:hAnsi="宋体"/>
          <w:b/>
          <w:bCs/>
          <w:color w:val="000000"/>
          <w:szCs w:val="21"/>
          <w:highlight w:val="none"/>
        </w:rPr>
      </w:pPr>
    </w:p>
    <w:p>
      <w:pPr>
        <w:numPr>
          <w:ilvl w:val="0"/>
          <w:numId w:val="16"/>
        </w:numPr>
        <w:spacing w:line="360" w:lineRule="exact"/>
        <w:rPr>
          <w:rFonts w:ascii="宋体" w:hAnsi="宋体"/>
          <w:b/>
          <w:bCs/>
          <w:color w:val="000000"/>
          <w:szCs w:val="21"/>
          <w:highlight w:val="none"/>
        </w:rPr>
      </w:pPr>
      <w:r>
        <w:rPr>
          <w:rFonts w:hint="eastAsia" w:ascii="宋体" w:hAnsi="宋体"/>
          <w:b/>
          <w:bCs/>
          <w:color w:val="000000"/>
          <w:szCs w:val="21"/>
          <w:highlight w:val="none"/>
        </w:rPr>
        <w:t>岗位设置</w:t>
      </w:r>
    </w:p>
    <w:p>
      <w:pPr>
        <w:pStyle w:val="656"/>
        <w:ind w:firstLine="0" w:firstLineChars="0"/>
        <w:rPr>
          <w:b/>
          <w:bCs/>
          <w:highlight w:val="none"/>
        </w:rPr>
      </w:pPr>
      <w:r>
        <w:rPr>
          <w:rFonts w:hint="eastAsia"/>
          <w:b/>
          <w:bCs/>
          <w:highlight w:val="none"/>
        </w:rPr>
        <w:t>宿管员不少于29人。</w:t>
      </w:r>
    </w:p>
    <w:tbl>
      <w:tblPr>
        <w:tblStyle w:val="53"/>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709"/>
        <w:gridCol w:w="510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区域</w:t>
            </w:r>
          </w:p>
        </w:tc>
        <w:tc>
          <w:tcPr>
            <w:tcW w:w="709"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校区名称</w:t>
            </w: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岗位</w:t>
            </w:r>
          </w:p>
        </w:tc>
        <w:tc>
          <w:tcPr>
            <w:tcW w:w="165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47" w:type="dxa"/>
            <w:gridSpan w:val="4"/>
            <w:noWrap/>
            <w:vAlign w:val="center"/>
          </w:tcPr>
          <w:p>
            <w:pPr>
              <w:widowControl/>
              <w:spacing w:line="360" w:lineRule="exact"/>
              <w:jc w:val="center"/>
              <w:rPr>
                <w:rFonts w:ascii="宋体" w:hAnsi="宋体"/>
                <w:b/>
                <w:bCs/>
                <w:color w:val="000000"/>
                <w:kern w:val="0"/>
                <w:szCs w:val="21"/>
                <w:highlight w:val="none"/>
              </w:rPr>
            </w:pPr>
            <w:r>
              <w:rPr>
                <w:rFonts w:hint="eastAsia" w:ascii="宋体" w:hAnsi="宋体"/>
                <w:b/>
                <w:bCs/>
                <w:color w:val="000000"/>
                <w:kern w:val="0"/>
                <w:szCs w:val="21"/>
                <w:highlight w:val="none"/>
              </w:rPr>
              <w:t>宿管员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restart"/>
            <w:noWrap/>
            <w:vAlign w:val="center"/>
          </w:tcPr>
          <w:p>
            <w:pPr>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宿舍公共区域</w:t>
            </w:r>
          </w:p>
        </w:tc>
        <w:tc>
          <w:tcPr>
            <w:tcW w:w="709" w:type="dxa"/>
            <w:vMerge w:val="restart"/>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3栋宿舍楼公共区域</w:t>
            </w:r>
          </w:p>
        </w:tc>
        <w:tc>
          <w:tcPr>
            <w:tcW w:w="1656" w:type="dxa"/>
            <w:vMerge w:val="restart"/>
            <w:noWrap/>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5栋宿舍楼公共区域</w:t>
            </w:r>
          </w:p>
        </w:tc>
        <w:tc>
          <w:tcPr>
            <w:tcW w:w="165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6栋宿舍楼公共区域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7栋宿舍楼公共区域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8栋宿舍楼公共区域</w:t>
            </w:r>
          </w:p>
        </w:tc>
        <w:tc>
          <w:tcPr>
            <w:tcW w:w="165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9栋宿舍楼公共区域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10栋宿舍楼公共区域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11栋宿舍楼公共区域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二区大板楼宿舍公共区域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restart"/>
            <w:noWrap/>
            <w:vAlign w:val="center"/>
          </w:tcPr>
          <w:p>
            <w:pPr>
              <w:widowControl/>
              <w:spacing w:line="360" w:lineRule="exact"/>
              <w:jc w:val="center"/>
              <w:rPr>
                <w:rFonts w:ascii="宋体" w:hAnsi="宋体"/>
                <w:color w:val="000000"/>
                <w:szCs w:val="21"/>
                <w:highlight w:val="none"/>
              </w:rPr>
            </w:pPr>
            <w:r>
              <w:rPr>
                <w:rFonts w:hint="eastAsia" w:ascii="宋体" w:hAnsi="宋体"/>
                <w:color w:val="000000"/>
                <w:szCs w:val="21"/>
                <w:highlight w:val="none"/>
              </w:rPr>
              <w:t>长堽校区</w:t>
            </w: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1号楼宿舍楼公共区域</w:t>
            </w:r>
          </w:p>
        </w:tc>
        <w:tc>
          <w:tcPr>
            <w:tcW w:w="1656" w:type="dxa"/>
            <w:vMerge w:val="restart"/>
            <w:noWrap/>
            <w:vAlign w:val="center"/>
          </w:tcPr>
          <w:p>
            <w:pPr>
              <w:widowControl/>
              <w:spacing w:line="360" w:lineRule="exact"/>
              <w:ind w:firstLine="253"/>
              <w:jc w:val="center"/>
              <w:rPr>
                <w:rFonts w:ascii="宋体" w:hAnsi="宋体"/>
                <w:color w:val="000000"/>
                <w:szCs w:val="21"/>
                <w:highlight w:val="none"/>
              </w:rPr>
            </w:pPr>
            <w:r>
              <w:rPr>
                <w:rFonts w:hint="eastAsia" w:ascii="宋体" w:hAnsi="宋体"/>
                <w:color w:val="000000"/>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2号楼宿舍楼公共区域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3号楼宿舍楼公共区域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4号楼宿舍楼公共区域</w:t>
            </w:r>
          </w:p>
        </w:tc>
        <w:tc>
          <w:tcPr>
            <w:tcW w:w="165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男生楼宿舍楼公共区域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教学楼宿舍楼公共区域</w:t>
            </w:r>
          </w:p>
        </w:tc>
        <w:tc>
          <w:tcPr>
            <w:tcW w:w="1656" w:type="dxa"/>
            <w:vMerge w:val="continue"/>
            <w:noWrap/>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教职工楼宿舍楼公共区域</w:t>
            </w:r>
          </w:p>
        </w:tc>
        <w:tc>
          <w:tcPr>
            <w:tcW w:w="165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办公楼宿舍楼公共区域</w:t>
            </w:r>
          </w:p>
        </w:tc>
        <w:tc>
          <w:tcPr>
            <w:tcW w:w="1656" w:type="dxa"/>
            <w:vMerge w:val="continue"/>
            <w:noWrap/>
            <w:vAlign w:val="center"/>
          </w:tcPr>
          <w:p>
            <w:pPr>
              <w:widowControl/>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restart"/>
            <w:noWrap/>
            <w:vAlign w:val="center"/>
          </w:tcPr>
          <w:p>
            <w:pPr>
              <w:widowControl/>
              <w:tabs>
                <w:tab w:val="left" w:pos="215"/>
              </w:tabs>
              <w:spacing w:line="360" w:lineRule="exact"/>
              <w:jc w:val="left"/>
              <w:rPr>
                <w:rFonts w:ascii="宋体" w:hAnsi="宋体"/>
                <w:color w:val="000000"/>
                <w:kern w:val="0"/>
                <w:szCs w:val="21"/>
                <w:highlight w:val="none"/>
              </w:rPr>
            </w:pPr>
            <w:r>
              <w:rPr>
                <w:rFonts w:hint="eastAsia" w:ascii="宋体" w:hAnsi="宋体"/>
                <w:color w:val="000000"/>
                <w:kern w:val="0"/>
                <w:szCs w:val="21"/>
                <w:highlight w:val="none"/>
              </w:rPr>
              <w:t>伊岭校区</w:t>
            </w: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1栋宿舍楼公共区域</w:t>
            </w:r>
          </w:p>
        </w:tc>
        <w:tc>
          <w:tcPr>
            <w:tcW w:w="1656" w:type="dxa"/>
            <w:vMerge w:val="restart"/>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kern w:val="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2栋宿舍楼公共区域</w:t>
            </w:r>
          </w:p>
        </w:tc>
        <w:tc>
          <w:tcPr>
            <w:tcW w:w="165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kern w:val="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3栋宿舍楼公共区域</w:t>
            </w:r>
          </w:p>
        </w:tc>
        <w:tc>
          <w:tcPr>
            <w:tcW w:w="1656" w:type="dxa"/>
            <w:vMerge w:val="continue"/>
            <w:noWrap/>
            <w:vAlign w:val="center"/>
          </w:tcPr>
          <w:p>
            <w:pPr>
              <w:widowControl/>
              <w:spacing w:line="360" w:lineRule="exact"/>
              <w:jc w:val="center"/>
              <w:rPr>
                <w:rFonts w:ascii="宋体" w:hAnsi="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76" w:type="dxa"/>
            <w:vMerge w:val="continue"/>
            <w:noWrap/>
            <w:vAlign w:val="center"/>
          </w:tcPr>
          <w:p>
            <w:pPr>
              <w:spacing w:line="360" w:lineRule="exact"/>
              <w:jc w:val="center"/>
              <w:rPr>
                <w:rFonts w:ascii="宋体" w:hAnsi="宋体"/>
                <w:color w:val="000000"/>
                <w:szCs w:val="21"/>
                <w:highlight w:val="none"/>
              </w:rPr>
            </w:pPr>
          </w:p>
        </w:tc>
        <w:tc>
          <w:tcPr>
            <w:tcW w:w="709" w:type="dxa"/>
            <w:vMerge w:val="continue"/>
            <w:noWrap/>
            <w:vAlign w:val="center"/>
          </w:tcPr>
          <w:p>
            <w:pPr>
              <w:widowControl/>
              <w:spacing w:line="360" w:lineRule="exact"/>
              <w:jc w:val="center"/>
              <w:rPr>
                <w:rFonts w:ascii="宋体" w:hAnsi="宋体"/>
                <w:color w:val="000000"/>
                <w:kern w:val="0"/>
                <w:szCs w:val="21"/>
                <w:highlight w:val="none"/>
              </w:rPr>
            </w:pPr>
          </w:p>
        </w:tc>
        <w:tc>
          <w:tcPr>
            <w:tcW w:w="5106" w:type="dxa"/>
            <w:noWrap/>
            <w:vAlign w:val="center"/>
          </w:tcPr>
          <w:p>
            <w:pPr>
              <w:widowControl/>
              <w:spacing w:line="360" w:lineRule="exact"/>
              <w:jc w:val="center"/>
              <w:rPr>
                <w:rFonts w:ascii="宋体" w:hAnsi="宋体"/>
                <w:color w:val="000000"/>
                <w:kern w:val="0"/>
                <w:szCs w:val="21"/>
                <w:highlight w:val="none"/>
              </w:rPr>
            </w:pPr>
            <w:r>
              <w:rPr>
                <w:rFonts w:hint="eastAsia" w:ascii="宋体" w:hAnsi="宋体"/>
                <w:color w:val="000000"/>
                <w:kern w:val="0"/>
                <w:szCs w:val="21"/>
                <w:highlight w:val="none"/>
              </w:rPr>
              <w:t>别苑宿舍公共区域</w:t>
            </w:r>
          </w:p>
        </w:tc>
        <w:tc>
          <w:tcPr>
            <w:tcW w:w="1656" w:type="dxa"/>
            <w:vMerge w:val="continue"/>
            <w:noWrap/>
            <w:vAlign w:val="center"/>
          </w:tcPr>
          <w:p>
            <w:pPr>
              <w:widowControl/>
              <w:spacing w:line="360" w:lineRule="exact"/>
              <w:jc w:val="center"/>
              <w:rPr>
                <w:rFonts w:ascii="宋体" w:hAnsi="宋体"/>
                <w:color w:val="000000"/>
                <w:kern w:val="0"/>
                <w:szCs w:val="21"/>
                <w:highlight w:val="none"/>
              </w:rPr>
            </w:pPr>
          </w:p>
        </w:tc>
      </w:tr>
    </w:tbl>
    <w:p>
      <w:pPr>
        <w:spacing w:line="360" w:lineRule="exact"/>
        <w:rPr>
          <w:rFonts w:ascii="宋体" w:hAnsi="宋体"/>
          <w:b/>
          <w:bCs/>
          <w:color w:val="000000"/>
          <w:szCs w:val="21"/>
          <w:highlight w:val="none"/>
        </w:rPr>
      </w:pPr>
      <w:r>
        <w:rPr>
          <w:rFonts w:hint="eastAsia" w:ascii="宋体" w:hAnsi="宋体"/>
          <w:b/>
          <w:bCs/>
          <w:color w:val="000000"/>
          <w:szCs w:val="21"/>
          <w:highlight w:val="none"/>
        </w:rPr>
        <w:t>（二）工作岗位职责及工作内容</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1、‌维护宿舍安全秩序</w:t>
      </w:r>
    </w:p>
    <w:p>
      <w:pPr>
        <w:numPr>
          <w:ilvl w:val="0"/>
          <w:numId w:val="17"/>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严格执行出入管理制度，核查进出人员身份并登记，禁止外来人员随意进入宿舍‌。</w:t>
      </w:r>
    </w:p>
    <w:p>
      <w:pPr>
        <w:numPr>
          <w:ilvl w:val="0"/>
          <w:numId w:val="17"/>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检查宿舍安全隐患，对宿舍区消防、秩序维护设施出现损坏的和学生上报需要学院维修的生活设施要及时上报维修，对存在乱拉电线、使用大功率电器、攀爬栏杆、私存管制刀具和危险品等安全隐患的宿舍及学生进行教育整改，必要时上报</w:t>
      </w:r>
      <w:r>
        <w:rPr>
          <w:rFonts w:hint="eastAsia"/>
          <w:highlight w:val="none"/>
        </w:rPr>
        <w:t>安全保卫科</w:t>
      </w:r>
      <w:r>
        <w:rPr>
          <w:rFonts w:hint="eastAsia" w:ascii="宋体" w:hAnsi="宋体"/>
          <w:color w:val="000000"/>
          <w:szCs w:val="21"/>
          <w:highlight w:val="none"/>
        </w:rPr>
        <w:t>‌。</w:t>
      </w:r>
    </w:p>
    <w:p>
      <w:pPr>
        <w:numPr>
          <w:ilvl w:val="0"/>
          <w:numId w:val="17"/>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处理突发事件（学生自残、打群架、起哄、聚众赌博等），及时上报给班主任、系部、教官和学生工作科‌。</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2、维护‌学生在宿舍区秩序‌</w:t>
      </w:r>
    </w:p>
    <w:p>
      <w:pPr>
        <w:numPr>
          <w:ilvl w:val="0"/>
          <w:numId w:val="18"/>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督促学生遵守作息时间，按时熄灯、起床，制止喧哗等影响他人行为‌。</w:t>
      </w:r>
    </w:p>
    <w:p>
      <w:pPr>
        <w:numPr>
          <w:ilvl w:val="0"/>
          <w:numId w:val="18"/>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每天检查宿舍内务卫生，监督学生保持环境整洁，定期开展卫生评比‌。</w:t>
      </w:r>
    </w:p>
    <w:p>
      <w:pPr>
        <w:numPr>
          <w:ilvl w:val="0"/>
          <w:numId w:val="18"/>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安排各班级宿舍对公共区域打扫卫生的轮值，每日休息前对公共区域进行一次整体清洁。</w:t>
      </w:r>
    </w:p>
    <w:p>
      <w:pPr>
        <w:numPr>
          <w:ilvl w:val="0"/>
          <w:numId w:val="18"/>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督促学生按时离开宿舍参加学院活动，对无故滞留宿舍的学生进行教育并向系部、教官、学生工作科反馈情况。</w:t>
      </w:r>
    </w:p>
    <w:p>
      <w:pPr>
        <w:numPr>
          <w:ilvl w:val="0"/>
          <w:numId w:val="18"/>
        </w:numPr>
        <w:spacing w:line="360" w:lineRule="exact"/>
        <w:ind w:left="0" w:firstLine="420" w:firstLineChars="200"/>
        <w:rPr>
          <w:color w:val="000000"/>
          <w:highlight w:val="none"/>
        </w:rPr>
      </w:pPr>
      <w:r>
        <w:rPr>
          <w:rFonts w:hint="eastAsia"/>
          <w:color w:val="000000"/>
          <w:highlight w:val="none"/>
        </w:rPr>
        <w:t>节假日期间，每日做好在校留宿学生统计上报工作。</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3、日常事务管理</w:t>
      </w:r>
      <w:r>
        <w:rPr>
          <w:rFonts w:hint="eastAsia" w:ascii="宋体" w:hAnsi="宋体"/>
          <w:color w:val="000000"/>
          <w:szCs w:val="21"/>
          <w:highlight w:val="none"/>
        </w:rPr>
        <w:t>‌</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协助系部宿舍分配，入住登记。建立住宿长交流工作群。</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协助后勤服务科检查门窗、水电等公共设施，及时登记并跟进维修需求。</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 xml:space="preserve">放假前一星期和开学前一星期，对学生宿舍设施设备完好情况进行一次专项检查工作，检查情况统计后报后勤服务科。  </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每月第一个星期对学生宿舍设施设备完好情况进行一次专项检查工作，检查情况统计后报后勤服务科。</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定期资发和清点宿舍公共物品及仓库出入库登记。</w:t>
      </w:r>
    </w:p>
    <w:p>
      <w:pPr>
        <w:numPr>
          <w:ilvl w:val="0"/>
          <w:numId w:val="19"/>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定时召开宿舍管理员交流会。</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4、学生宿舍值班服务</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宿舍区值班工作。每天24小时值班，轮休。</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按相关规定送电、断电。</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对住宿学生进行有效识别，其他进出人员的管理、身份核实、登记。</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学生宿舍会客登记、管理和服务。</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大件、贵重物品进出楼宇的识别和登记工作。</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做好晚归学生的登记工作，做好对学生宿舍的督查记录工作。</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指导学生网上报修、特殊紧急报修问题接受学生的报修并向相关部门及时转达。</w:t>
      </w:r>
    </w:p>
    <w:p>
      <w:pPr>
        <w:numPr>
          <w:ilvl w:val="0"/>
          <w:numId w:val="20"/>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做好节假日的宿舍楼值班及安全秩序管理工作。</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5、学生公寓安全管理</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根据学校的要求，按照学生公寓安全管理特点，将安全管理作为日常工作的重要组成部分，建立完善的安全管理制度。对存在的安全因素进行控制和管理。</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有安全规定（或隐患）的场所，保持标识的完整性、正确性、清晰性，以保证人员能得到必要的安全警示和提示。</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开展常规性和专题性宣传教育，特别是开展消防、防盗、安全用电等方面的指导。</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每天进行学生寝室的安全检查。督查学生宿舍内有无私接电线、违章电器、使用大功率电器和点蜡烛情况，没收或代保管违禁违规物品。</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落实工作人员的安全职责和考核制度，培训工作人员熟悉消防安全知识，掌握消防设施的使用方法和与学院相关部门的联动。</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建立应急预案，并交采购人审核，之后予以演练及实施。</w:t>
      </w:r>
    </w:p>
    <w:p>
      <w:pPr>
        <w:numPr>
          <w:ilvl w:val="0"/>
          <w:numId w:val="21"/>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智能控电系统的日常管理。</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6、学生宿舍的巡查</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宿舍的巡查如发现打架斗殴、酗酒闹事、外来非法入室、非法集结、意识形态问题、消防隐患等安全问题及时处置并上报。</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宿舍内及公共场所设施设备的检查、报修、上报缺损情况，并做好维修复查工作。</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检查学生是否有影响他人的或者不文明的行为，及时制止不文明及违规违纪现象。（如穿拖鞋进出宿舍区、就寝时间大声喧哗，不按时熄灯等）</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协助监管学生做好宿舍内务卫生工作。</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配合校方做好毕业生离校、学生搬迁工作等有关的工作及方便服务的提供。</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保持与相关学生组织（如学生会、宿管会）的日常沟通与联络。</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及时将公寓管理相关信息通告、告示、公布给学生。</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定期将沟通信息上报给学校。</w:t>
      </w:r>
    </w:p>
    <w:p>
      <w:pPr>
        <w:numPr>
          <w:ilvl w:val="0"/>
          <w:numId w:val="22"/>
        </w:numPr>
        <w:spacing w:line="360" w:lineRule="exact"/>
        <w:ind w:left="0" w:firstLine="420" w:firstLineChars="200"/>
        <w:rPr>
          <w:rFonts w:ascii="宋体" w:hAnsi="宋体"/>
          <w:color w:val="000000"/>
          <w:szCs w:val="21"/>
          <w:highlight w:val="none"/>
        </w:rPr>
      </w:pPr>
      <w:r>
        <w:rPr>
          <w:rFonts w:hint="eastAsia" w:ascii="宋体" w:hAnsi="宋体"/>
          <w:color w:val="000000"/>
          <w:szCs w:val="21"/>
          <w:highlight w:val="none"/>
        </w:rPr>
        <w:t>每天进行学生寝室的安全检查。督查学生宿舍内有无私接电线、违章电器、使用大功率电器和点蜡烛情况；有无人员离开宿舍不关灯、风扇、空调情况。没收或代保管违禁违规物品，关闭无人宿舍的灯、风扇、空调。没收或代保管违禁违规物品。</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（10）岗位人员熟悉消防安全知识，掌握消防设施的使用方法和与学院相关部门的联动。</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（11）智能控电系统的日常管理。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（12）“文明和谐寝室”的评选及管理。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（13）学生之间因集体生活而产生矛盾的调解，及时反馈教官并协助调解。</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（14）对学生的寝室布置、卫生打扫进行指导和规范，每学期刷两次卫生间和洗漱池的水垢。</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（15）宿舍生活纪律监督、记录。</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（三）人员要求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1、宿舍值班员：高中（中职）及以上学历，55岁以下，有学生公寓管理经验，能使用智能手机录入数据。</w:t>
      </w:r>
    </w:p>
    <w:p>
      <w:pPr>
        <w:spacing w:line="360" w:lineRule="exact"/>
        <w:ind w:firstLine="420" w:firstLineChars="200"/>
        <w:rPr>
          <w:rFonts w:ascii="宋体" w:hAnsi="宋体"/>
          <w:b/>
          <w:bCs/>
          <w:color w:val="000000"/>
          <w:szCs w:val="21"/>
          <w:highlight w:val="none"/>
        </w:rPr>
      </w:pPr>
      <w:r>
        <w:rPr>
          <w:rFonts w:hint="eastAsia" w:ascii="宋体" w:hAnsi="宋体"/>
          <w:color w:val="000000"/>
          <w:szCs w:val="21"/>
          <w:highlight w:val="none"/>
        </w:rPr>
        <w:t>2、人员需经过采购人考核通过后方能上岗。</w:t>
      </w:r>
    </w:p>
    <w:p>
      <w:pPr>
        <w:pStyle w:val="658"/>
        <w:spacing w:line="360" w:lineRule="exact"/>
        <w:jc w:val="center"/>
        <w:rPr>
          <w:rFonts w:ascii="宋体" w:hAnsi="宋体"/>
          <w:color w:val="000000"/>
          <w:sz w:val="21"/>
          <w:szCs w:val="21"/>
          <w:highlight w:val="none"/>
        </w:rPr>
      </w:pPr>
      <w:r>
        <w:rPr>
          <w:rFonts w:hint="eastAsia" w:ascii="宋体" w:hAnsi="宋体"/>
          <w:color w:val="000000"/>
          <w:sz w:val="21"/>
          <w:szCs w:val="21"/>
          <w:highlight w:val="none"/>
        </w:rPr>
        <w:t xml:space="preserve">第五部分：学生管理 </w:t>
      </w:r>
    </w:p>
    <w:p>
      <w:pPr>
        <w:spacing w:line="360" w:lineRule="exact"/>
        <w:rPr>
          <w:rFonts w:ascii="宋体" w:hAnsi="宋体"/>
          <w:b/>
          <w:color w:val="000000"/>
          <w:highlight w:val="none"/>
        </w:rPr>
      </w:pPr>
      <w:r>
        <w:rPr>
          <w:rFonts w:hint="eastAsia" w:ascii="宋体" w:hAnsi="宋体"/>
          <w:b/>
          <w:bCs/>
          <w:color w:val="000000"/>
          <w:szCs w:val="21"/>
          <w:highlight w:val="none"/>
        </w:rPr>
        <w:t>（一）岗位设置</w:t>
      </w:r>
    </w:p>
    <w:p>
      <w:pPr>
        <w:spacing w:line="360" w:lineRule="exact"/>
        <w:rPr>
          <w:rFonts w:ascii="宋体" w:hAnsi="宋体"/>
          <w:bCs/>
          <w:color w:val="000000"/>
          <w:szCs w:val="21"/>
          <w:highlight w:val="none"/>
        </w:rPr>
      </w:pPr>
      <w:r>
        <w:rPr>
          <w:rFonts w:hint="eastAsia" w:ascii="宋体" w:hAnsi="宋体"/>
          <w:b/>
          <w:bCs/>
          <w:color w:val="000000"/>
          <w:szCs w:val="21"/>
          <w:highlight w:val="none"/>
        </w:rPr>
        <w:t>教官人员不少于12人。</w:t>
      </w:r>
    </w:p>
    <w:tbl>
      <w:tblPr>
        <w:tblStyle w:val="53"/>
        <w:tblW w:w="59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4"/>
        <w:gridCol w:w="2404"/>
        <w:gridCol w:w="17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175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校区</w:t>
            </w:r>
          </w:p>
        </w:tc>
        <w:tc>
          <w:tcPr>
            <w:tcW w:w="240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岗位</w:t>
            </w:r>
          </w:p>
        </w:tc>
        <w:tc>
          <w:tcPr>
            <w:tcW w:w="1786"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175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邕武校区</w:t>
            </w:r>
          </w:p>
        </w:tc>
        <w:tc>
          <w:tcPr>
            <w:tcW w:w="240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教官</w:t>
            </w:r>
          </w:p>
        </w:tc>
        <w:tc>
          <w:tcPr>
            <w:tcW w:w="1786"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175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长堽校区</w:t>
            </w:r>
          </w:p>
        </w:tc>
        <w:tc>
          <w:tcPr>
            <w:tcW w:w="240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教官</w:t>
            </w:r>
          </w:p>
        </w:tc>
        <w:tc>
          <w:tcPr>
            <w:tcW w:w="1786"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175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伊岭校区</w:t>
            </w:r>
          </w:p>
        </w:tc>
        <w:tc>
          <w:tcPr>
            <w:tcW w:w="2404"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教官</w:t>
            </w:r>
          </w:p>
        </w:tc>
        <w:tc>
          <w:tcPr>
            <w:tcW w:w="1786"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4</w:t>
            </w:r>
          </w:p>
        </w:tc>
      </w:tr>
    </w:tbl>
    <w:p>
      <w:pPr>
        <w:spacing w:line="360" w:lineRule="exact"/>
        <w:rPr>
          <w:rFonts w:ascii="宋体" w:hAnsi="宋体"/>
          <w:b/>
          <w:bCs/>
          <w:color w:val="000000"/>
          <w:szCs w:val="21"/>
          <w:highlight w:val="none"/>
        </w:rPr>
      </w:pPr>
      <w:r>
        <w:rPr>
          <w:rFonts w:hint="eastAsia" w:ascii="宋体" w:hAnsi="宋体"/>
          <w:b/>
          <w:bCs/>
          <w:color w:val="000000"/>
          <w:szCs w:val="21"/>
          <w:highlight w:val="none"/>
        </w:rPr>
        <w:t>（二）工作岗位职责及工作内容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宿舍管理：管理学生宿舍的内务卫生、秩序和安全，督促学生保持环境整洁‌。每天学生上午下午上课前到宿舍督促学生整理内务卫生，按时去教室上课，配合学校对迟到学生进行教育处理，对晚归或不归宿的学生进行思想教育。</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重点时间段的值勤。学生上午下午放学时间段到各个宿舍区域站岗值勤，下午6点至晚上11点，对学生宿舍内务卫生检查及安全巡查工作，及时处理一些突发事情，并对学生进行相应的教育工作，并在次日移交相关系部及班主任跟进处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3、协助解决特殊时间段学生困难问题（如晚上学生生病协助送医、情绪安抚等）工作。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4、实行24小时值班制，及时上报及处理一些突发应急事件。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5、完成学院重大活动的组织及现场秩序的维持工作。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6、完成学院临时安排的各项工作。</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（三）人员要求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教官招聘条件要求：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1、遵纪守法，无违法犯罪记录、无纹身、无不良嗜好。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2、责任心强、作风正派、有耐心、沟通能力好。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3、健康：身心健康，能适应住校、轮班、应急值班。</w:t>
      </w:r>
    </w:p>
    <w:p>
      <w:pPr>
        <w:spacing w:line="360" w:lineRule="exact"/>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4、年龄：普遍 25–40 周岁；高中及以上学历</w:t>
      </w:r>
      <w:r>
        <w:rPr>
          <w:rFonts w:hint="eastAsia" w:ascii="宋体" w:hAnsi="宋体"/>
          <w:color w:val="000000"/>
          <w:szCs w:val="21"/>
          <w:highlight w:val="none"/>
          <w:lang w:eastAsia="zh-CN"/>
        </w:rPr>
        <w:t>。</w:t>
      </w:r>
    </w:p>
    <w:p>
      <w:pPr>
        <w:pStyle w:val="2"/>
        <w:ind w:firstLine="0" w:firstLineChars="0"/>
        <w:jc w:val="left"/>
        <w:rPr>
          <w:rFonts w:hint="eastAsia" w:ascii="宋体" w:hAnsi="宋体"/>
          <w:b/>
          <w:bCs/>
          <w:color w:val="000000"/>
          <w:sz w:val="21"/>
          <w:szCs w:val="21"/>
          <w:highlight w:val="none"/>
        </w:rPr>
      </w:pPr>
      <w:r>
        <w:rPr>
          <w:rFonts w:hint="eastAsia" w:ascii="宋体" w:hAnsi="宋体"/>
          <w:b/>
          <w:bCs/>
          <w:color w:val="000000"/>
          <w:sz w:val="21"/>
          <w:szCs w:val="21"/>
          <w:highlight w:val="none"/>
          <w:lang w:eastAsia="zh-CN"/>
        </w:rPr>
        <w:t>（四）</w:t>
      </w:r>
      <w:r>
        <w:rPr>
          <w:rFonts w:hint="eastAsia" w:ascii="宋体" w:hAnsi="宋体"/>
          <w:b/>
          <w:bCs/>
          <w:color w:val="000000"/>
          <w:sz w:val="21"/>
          <w:szCs w:val="21"/>
          <w:highlight w:val="none"/>
        </w:rPr>
        <w:t>岗位要求：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1、军事技能：队列标准、会组织训练、军体拳 / 擒敌拳等。</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2、管理能力：内务检查、纪律管控、应急处置（冲突、消防、突发疾病）。</w:t>
      </w:r>
    </w:p>
    <w:p>
      <w:pPr>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3、有学校学生管理经验优先。能长期住校。</w:t>
      </w:r>
    </w:p>
    <w:p>
      <w:pPr>
        <w:spacing w:line="360" w:lineRule="exact"/>
        <w:ind w:firstLine="420" w:firstLineChars="200"/>
        <w:rPr>
          <w:rFonts w:ascii="宋体" w:hAnsi="宋体"/>
          <w:color w:val="000000"/>
          <w:szCs w:val="21"/>
          <w:highlight w:val="none"/>
        </w:rPr>
      </w:pPr>
    </w:p>
    <w:p>
      <w:pPr>
        <w:spacing w:line="360" w:lineRule="exact"/>
        <w:ind w:firstLine="421" w:firstLineChars="200"/>
        <w:jc w:val="center"/>
        <w:rPr>
          <w:rFonts w:ascii="宋体" w:hAnsi="宋体"/>
          <w:b/>
          <w:color w:val="000000"/>
          <w:szCs w:val="21"/>
          <w:highlight w:val="none"/>
        </w:rPr>
      </w:pPr>
      <w:r>
        <w:rPr>
          <w:rFonts w:hint="eastAsia" w:ascii="宋体" w:hAnsi="宋体"/>
          <w:b/>
          <w:color w:val="000000"/>
          <w:szCs w:val="21"/>
          <w:highlight w:val="none"/>
        </w:rPr>
        <w:t>第六部分：综合维修</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（一）岗位设置</w:t>
      </w:r>
    </w:p>
    <w:p>
      <w:pPr>
        <w:pStyle w:val="2"/>
        <w:ind w:firstLine="211"/>
        <w:rPr>
          <w:rFonts w:ascii="宋体" w:hAnsi="宋体" w:cs="宋体"/>
          <w:b/>
          <w:bCs/>
          <w:sz w:val="21"/>
          <w:szCs w:val="21"/>
          <w:highlight w:val="none"/>
        </w:rPr>
      </w:pPr>
      <w:r>
        <w:rPr>
          <w:rFonts w:hint="eastAsia" w:ascii="宋体" w:hAnsi="宋体" w:cs="宋体"/>
          <w:b/>
          <w:bCs/>
          <w:sz w:val="21"/>
          <w:szCs w:val="21"/>
          <w:highlight w:val="none"/>
        </w:rPr>
        <w:t>维修员不少于11人。</w:t>
      </w:r>
    </w:p>
    <w:tbl>
      <w:tblPr>
        <w:tblStyle w:val="53"/>
        <w:tblW w:w="80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4"/>
        <w:gridCol w:w="1422"/>
        <w:gridCol w:w="1422"/>
        <w:gridCol w:w="1545"/>
        <w:gridCol w:w="22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jc w:val="center"/>
        </w:trPr>
        <w:tc>
          <w:tcPr>
            <w:tcW w:w="1454" w:type="dxa"/>
            <w:noWrap/>
          </w:tcPr>
          <w:p>
            <w:pPr>
              <w:spacing w:line="360" w:lineRule="exact"/>
              <w:jc w:val="center"/>
              <w:rPr>
                <w:rFonts w:ascii="宋体" w:hAnsi="宋体" w:cs="宋体"/>
                <w:szCs w:val="21"/>
                <w:highlight w:val="none"/>
              </w:rPr>
            </w:pPr>
            <w:r>
              <w:rPr>
                <w:rFonts w:hint="eastAsia" w:ascii="宋体" w:hAnsi="宋体" w:cs="宋体"/>
                <w:szCs w:val="21"/>
                <w:highlight w:val="none"/>
              </w:rPr>
              <w:t>校区</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岗位</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白班</w:t>
            </w:r>
          </w:p>
        </w:tc>
        <w:tc>
          <w:tcPr>
            <w:tcW w:w="1545" w:type="dxa"/>
            <w:noWrap/>
          </w:tcPr>
          <w:p>
            <w:pPr>
              <w:spacing w:line="360" w:lineRule="exact"/>
              <w:jc w:val="center"/>
              <w:rPr>
                <w:rFonts w:ascii="宋体" w:hAnsi="宋体" w:cs="宋体"/>
                <w:szCs w:val="21"/>
                <w:highlight w:val="none"/>
              </w:rPr>
            </w:pPr>
            <w:r>
              <w:rPr>
                <w:rFonts w:hint="eastAsia" w:ascii="宋体" w:hAnsi="宋体" w:cs="宋体"/>
                <w:szCs w:val="21"/>
                <w:highlight w:val="none"/>
              </w:rPr>
              <w:t>夜班</w:t>
            </w:r>
          </w:p>
        </w:tc>
        <w:tc>
          <w:tcPr>
            <w:tcW w:w="2225" w:type="dxa"/>
            <w:noWrap/>
          </w:tcPr>
          <w:p>
            <w:pPr>
              <w:spacing w:line="360" w:lineRule="exact"/>
              <w:jc w:val="center"/>
              <w:rPr>
                <w:rFonts w:ascii="宋体" w:hAnsi="宋体" w:cs="宋体"/>
                <w:szCs w:val="21"/>
                <w:highlight w:val="none"/>
              </w:rPr>
            </w:pPr>
            <w:r>
              <w:rPr>
                <w:rFonts w:hint="eastAsia" w:ascii="宋体" w:hAnsi="宋体" w:cs="宋体"/>
                <w:szCs w:val="21"/>
                <w:highlight w:val="none"/>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1454" w:type="dxa"/>
            <w:noWrap/>
          </w:tcPr>
          <w:p>
            <w:pPr>
              <w:spacing w:line="360" w:lineRule="exact"/>
              <w:jc w:val="center"/>
              <w:rPr>
                <w:rFonts w:ascii="宋体" w:hAnsi="宋体" w:cs="宋体"/>
                <w:szCs w:val="21"/>
                <w:highlight w:val="none"/>
              </w:rPr>
            </w:pPr>
            <w:r>
              <w:rPr>
                <w:rFonts w:hint="eastAsia" w:ascii="宋体" w:hAnsi="宋体" w:cs="宋体"/>
                <w:szCs w:val="21"/>
                <w:highlight w:val="none"/>
              </w:rPr>
              <w:t>邕武校区</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维修员</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4</w:t>
            </w:r>
          </w:p>
        </w:tc>
        <w:tc>
          <w:tcPr>
            <w:tcW w:w="1545" w:type="dxa"/>
            <w:noWrap/>
          </w:tcPr>
          <w:p>
            <w:pPr>
              <w:spacing w:line="360" w:lineRule="exact"/>
              <w:jc w:val="center"/>
              <w:rPr>
                <w:rFonts w:ascii="宋体" w:hAnsi="宋体" w:cs="宋体"/>
                <w:szCs w:val="21"/>
                <w:highlight w:val="none"/>
              </w:rPr>
            </w:pPr>
            <w:r>
              <w:rPr>
                <w:rFonts w:hint="eastAsia" w:ascii="宋体" w:hAnsi="宋体" w:cs="宋体"/>
                <w:szCs w:val="21"/>
                <w:highlight w:val="none"/>
              </w:rPr>
              <w:t>1</w:t>
            </w:r>
          </w:p>
        </w:tc>
        <w:tc>
          <w:tcPr>
            <w:tcW w:w="2225" w:type="dxa"/>
            <w:vMerge w:val="restart"/>
            <w:noWrap/>
          </w:tcPr>
          <w:p>
            <w:pPr>
              <w:spacing w:line="360" w:lineRule="exact"/>
              <w:jc w:val="center"/>
              <w:rPr>
                <w:rFonts w:ascii="宋体" w:hAnsi="宋体" w:cs="宋体"/>
                <w:szCs w:val="21"/>
                <w:highlight w:val="none"/>
              </w:rPr>
            </w:pPr>
          </w:p>
          <w:p>
            <w:pPr>
              <w:spacing w:line="360" w:lineRule="exact"/>
              <w:jc w:val="center"/>
              <w:rPr>
                <w:rFonts w:ascii="宋体" w:hAnsi="宋体" w:cs="宋体"/>
                <w:szCs w:val="21"/>
                <w:highlight w:val="none"/>
              </w:rPr>
            </w:pPr>
            <w:r>
              <w:rPr>
                <w:rFonts w:hint="eastAsia" w:ascii="宋体" w:hAnsi="宋体" w:cs="宋体"/>
                <w:szCs w:val="21"/>
                <w:highlight w:val="none"/>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1454" w:type="dxa"/>
            <w:noWrap/>
          </w:tcPr>
          <w:p>
            <w:pPr>
              <w:spacing w:line="360" w:lineRule="exact"/>
              <w:jc w:val="center"/>
              <w:rPr>
                <w:rFonts w:ascii="宋体" w:hAnsi="宋体" w:cs="宋体"/>
                <w:szCs w:val="21"/>
                <w:highlight w:val="none"/>
              </w:rPr>
            </w:pPr>
            <w:r>
              <w:rPr>
                <w:rFonts w:hint="eastAsia" w:ascii="宋体" w:hAnsi="宋体" w:cs="宋体"/>
                <w:szCs w:val="21"/>
                <w:highlight w:val="none"/>
              </w:rPr>
              <w:t>长堽校区</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维修员</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2</w:t>
            </w:r>
          </w:p>
        </w:tc>
        <w:tc>
          <w:tcPr>
            <w:tcW w:w="1545" w:type="dxa"/>
            <w:noWrap/>
          </w:tcPr>
          <w:p>
            <w:pPr>
              <w:spacing w:line="360" w:lineRule="exact"/>
              <w:jc w:val="center"/>
              <w:rPr>
                <w:rFonts w:ascii="宋体" w:hAnsi="宋体" w:cs="宋体"/>
                <w:szCs w:val="21"/>
                <w:highlight w:val="none"/>
              </w:rPr>
            </w:pPr>
            <w:r>
              <w:rPr>
                <w:rFonts w:hint="eastAsia" w:ascii="宋体" w:hAnsi="宋体" w:cs="宋体"/>
                <w:szCs w:val="21"/>
                <w:highlight w:val="none"/>
              </w:rPr>
              <w:t>1</w:t>
            </w:r>
          </w:p>
        </w:tc>
        <w:tc>
          <w:tcPr>
            <w:tcW w:w="2225" w:type="dxa"/>
            <w:vMerge w:val="continue"/>
            <w:noWrap/>
          </w:tcPr>
          <w:p>
            <w:pPr>
              <w:spacing w:line="360" w:lineRule="exact"/>
              <w:jc w:val="center"/>
              <w:rPr>
                <w:rFonts w:ascii="宋体" w:hAnsi="宋体" w:cs="宋体"/>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1454" w:type="dxa"/>
            <w:noWrap/>
          </w:tcPr>
          <w:p>
            <w:pPr>
              <w:spacing w:line="360" w:lineRule="exact"/>
              <w:jc w:val="center"/>
              <w:rPr>
                <w:rFonts w:ascii="宋体" w:hAnsi="宋体" w:cs="宋体"/>
                <w:szCs w:val="21"/>
                <w:highlight w:val="none"/>
              </w:rPr>
            </w:pPr>
            <w:r>
              <w:rPr>
                <w:rFonts w:hint="eastAsia" w:ascii="宋体" w:hAnsi="宋体" w:cs="宋体"/>
                <w:szCs w:val="21"/>
                <w:highlight w:val="none"/>
              </w:rPr>
              <w:t>伊岭校区</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维修员</w:t>
            </w:r>
          </w:p>
        </w:tc>
        <w:tc>
          <w:tcPr>
            <w:tcW w:w="1422" w:type="dxa"/>
            <w:noWrap/>
          </w:tcPr>
          <w:p>
            <w:pPr>
              <w:spacing w:line="360" w:lineRule="exact"/>
              <w:jc w:val="center"/>
              <w:rPr>
                <w:rFonts w:ascii="宋体" w:hAnsi="宋体" w:cs="宋体"/>
                <w:szCs w:val="21"/>
                <w:highlight w:val="none"/>
              </w:rPr>
            </w:pPr>
            <w:r>
              <w:rPr>
                <w:rFonts w:hint="eastAsia" w:ascii="宋体" w:hAnsi="宋体" w:cs="宋体"/>
                <w:szCs w:val="21"/>
                <w:highlight w:val="none"/>
              </w:rPr>
              <w:t>2</w:t>
            </w:r>
          </w:p>
        </w:tc>
        <w:tc>
          <w:tcPr>
            <w:tcW w:w="1545" w:type="dxa"/>
            <w:noWrap/>
          </w:tcPr>
          <w:p>
            <w:pPr>
              <w:spacing w:line="360" w:lineRule="exact"/>
              <w:jc w:val="center"/>
              <w:rPr>
                <w:rFonts w:ascii="宋体" w:hAnsi="宋体" w:cs="宋体"/>
                <w:szCs w:val="21"/>
                <w:highlight w:val="none"/>
              </w:rPr>
            </w:pPr>
            <w:r>
              <w:rPr>
                <w:rFonts w:hint="eastAsia" w:ascii="宋体" w:hAnsi="宋体" w:cs="宋体"/>
                <w:szCs w:val="21"/>
                <w:highlight w:val="none"/>
              </w:rPr>
              <w:t>1</w:t>
            </w:r>
          </w:p>
        </w:tc>
        <w:tc>
          <w:tcPr>
            <w:tcW w:w="2225" w:type="dxa"/>
            <w:vMerge w:val="continue"/>
            <w:noWrap/>
          </w:tcPr>
          <w:p>
            <w:pPr>
              <w:spacing w:line="360" w:lineRule="exact"/>
              <w:jc w:val="center"/>
              <w:rPr>
                <w:rFonts w:ascii="宋体" w:hAnsi="宋体" w:cs="宋体"/>
                <w:szCs w:val="21"/>
                <w:highlight w:val="none"/>
              </w:rPr>
            </w:pPr>
          </w:p>
        </w:tc>
      </w:tr>
    </w:tbl>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注：</w:t>
      </w:r>
      <w:r>
        <w:rPr>
          <w:rFonts w:hint="eastAsia" w:ascii="宋体" w:hAnsi="宋体"/>
          <w:color w:val="000000"/>
          <w:highlight w:val="none"/>
        </w:rPr>
        <w:t>如中标人未达到采购人的服务要求，采购人有权根据考核结果和实际需求，在提前15个工作日书面通知乙方后，对岗位数量进行优化或增补调整，服务费按中标总价不再进行相应增减。</w:t>
      </w:r>
    </w:p>
    <w:p>
      <w:pPr>
        <w:spacing w:line="360" w:lineRule="exact"/>
        <w:rPr>
          <w:rFonts w:ascii="宋体" w:hAnsi="宋体"/>
          <w:color w:val="000000"/>
          <w:szCs w:val="21"/>
          <w:highlight w:val="none"/>
        </w:rPr>
      </w:pPr>
      <w:r>
        <w:rPr>
          <w:rFonts w:hint="eastAsia" w:ascii="宋体" w:hAnsi="宋体"/>
          <w:color w:val="000000"/>
          <w:szCs w:val="21"/>
          <w:highlight w:val="none"/>
        </w:rPr>
        <w:t>（二）</w:t>
      </w:r>
      <w:r>
        <w:rPr>
          <w:rFonts w:hint="eastAsia" w:ascii="宋体" w:hAnsi="宋体"/>
          <w:b/>
          <w:bCs/>
          <w:color w:val="000000"/>
          <w:szCs w:val="21"/>
          <w:highlight w:val="none"/>
        </w:rPr>
        <w:t>工作岗位职责及工作内容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对邕武校区的学生宿舍3-11栋、二区大板楼、求学楼、求知楼、综合楼、礼堂、酒店实训楼、信息中心楼、德技楼、德能楼、德艺楼、德诚楼、无人机实训基地、民用航空实训基地、京东物流实训基地等，建筑物的电器设备、给排水设施和校园公共区域设施设备（含配电箱、公共照明、广播、电铃）等全校的水电设施设备进行日常检查、维护、维修。</w:t>
      </w:r>
    </w:p>
    <w:p>
      <w:pPr>
        <w:pStyle w:val="658"/>
        <w:spacing w:before="0" w:after="0" w:line="360" w:lineRule="exact"/>
        <w:ind w:firstLine="420" w:firstLineChars="200"/>
        <w:rPr>
          <w:rFonts w:ascii="宋体" w:hAnsi="宋体"/>
          <w:b w:val="0"/>
          <w:bCs w:val="0"/>
          <w:color w:val="000000"/>
          <w:sz w:val="21"/>
          <w:szCs w:val="21"/>
          <w:highlight w:val="none"/>
        </w:rPr>
      </w:pPr>
      <w:r>
        <w:rPr>
          <w:rFonts w:hint="eastAsia" w:ascii="宋体" w:hAnsi="宋体"/>
          <w:b w:val="0"/>
          <w:bCs w:val="0"/>
          <w:color w:val="000000"/>
          <w:sz w:val="21"/>
          <w:szCs w:val="21"/>
          <w:highlight w:val="none"/>
        </w:rPr>
        <w:t>2、对长堽校区的学生宿舍1-5栋、礼堂、办公楼、教学楼、教工楼、试验楼、挡土墙楼、教学大棚等，建筑物的电器设备、给排水设施和校园公共区域设施设备（含配电箱、公共照明、广播、电铃）等全校的水电设施设备进行日常检查、维护、维修。</w:t>
      </w:r>
    </w:p>
    <w:p>
      <w:pPr>
        <w:pStyle w:val="658"/>
        <w:spacing w:before="0" w:after="0" w:line="360" w:lineRule="exact"/>
        <w:ind w:firstLine="420" w:firstLineChars="200"/>
        <w:rPr>
          <w:rFonts w:ascii="宋体" w:hAnsi="宋体"/>
          <w:b w:val="0"/>
          <w:bCs w:val="0"/>
          <w:color w:val="000000"/>
          <w:sz w:val="21"/>
          <w:szCs w:val="21"/>
          <w:highlight w:val="none"/>
        </w:rPr>
      </w:pPr>
      <w:r>
        <w:rPr>
          <w:rFonts w:hint="eastAsia" w:ascii="宋体" w:hAnsi="宋体"/>
          <w:b w:val="0"/>
          <w:bCs w:val="0"/>
          <w:color w:val="000000"/>
          <w:sz w:val="21"/>
          <w:szCs w:val="21"/>
          <w:highlight w:val="none"/>
        </w:rPr>
        <w:t>3、对伊岭校区的学生宿舍1-3栋、别苑宿舍、A栋、B栋、食堂、汽车实训基地、二层小楼、运动场等，建筑物的电器设备、给排水设施和校园公共区域设施设备（含配电箱、公共照明、广播、电铃）等全校的水电设施设备进行日常检查、维护、维修。</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对三个校区变配电房、各楼栋的电井间、二次加压供水房、发电机房、电梯机房、礼堂音控室及其相关设施设备进行日常检查、维护、维修（门、窗、风扇、照明等）、清扫（蜘蛛网、扫地、除尘、封堵洞口等）工作，每周一次。</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5、协助学院举办的大型集会活动（如新生报到、宣讲、双选会等）相关水电、音响、悬挂横幅等保障工作。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6、协助学院开展礼堂活动（灯光、话筒音响、空调等）相关工作。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7、协助学院办公室、教室的门牌、电线、电话线、电器设备等布置工作。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8、每月25日至28日抄录三个校区水电表，并报后勤服务科。</w:t>
      </w:r>
    </w:p>
    <w:p>
      <w:pPr>
        <w:pStyle w:val="658"/>
        <w:spacing w:before="0" w:after="0" w:line="360" w:lineRule="exact"/>
        <w:ind w:firstLine="420" w:firstLineChars="200"/>
        <w:rPr>
          <w:rFonts w:ascii="宋体" w:hAnsi="宋体"/>
          <w:b w:val="0"/>
          <w:bCs w:val="0"/>
          <w:color w:val="000000"/>
          <w:sz w:val="21"/>
          <w:szCs w:val="21"/>
          <w:highlight w:val="none"/>
        </w:rPr>
      </w:pPr>
      <w:r>
        <w:rPr>
          <w:rFonts w:hint="eastAsia" w:ascii="宋体" w:hAnsi="宋体"/>
          <w:b w:val="0"/>
          <w:bCs w:val="0"/>
          <w:color w:val="000000"/>
          <w:sz w:val="21"/>
          <w:szCs w:val="21"/>
          <w:highlight w:val="none"/>
        </w:rPr>
        <w:t>9、对所有工作都要有台账（记录、存档、造册）。</w:t>
      </w:r>
    </w:p>
    <w:p>
      <w:pPr>
        <w:spacing w:line="360" w:lineRule="exact"/>
        <w:rPr>
          <w:rFonts w:ascii="宋体" w:hAnsi="宋体"/>
          <w:b/>
          <w:bCs/>
          <w:color w:val="000000"/>
          <w:szCs w:val="21"/>
          <w:highlight w:val="none"/>
        </w:rPr>
      </w:pPr>
      <w:r>
        <w:rPr>
          <w:rFonts w:hint="eastAsia" w:ascii="宋体" w:hAnsi="宋体"/>
          <w:b/>
          <w:bCs/>
          <w:color w:val="000000"/>
          <w:szCs w:val="21"/>
          <w:highlight w:val="none"/>
        </w:rPr>
        <w:t>（三）工作要求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1、维修人员周一至周五正常上班，在双休日轮休，双休日最少安排一人值班。</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2、单项200元以下的维修材料由供应商提供。（含楼顶扇，排气扇、吊扇、灯泡、灯管、锁芯锁具、水阀水管配件、电气元件等单价200元以下的维修配件）。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3、每位维修员配1套电工工具（如：工具袋、螺丝刀、电工刀、钳子、活动扳手、钳型表、电笔、铁锤等）。</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4、供应商提供详细排班表给采购人审核。</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5、学校放假期间，维修员正常上班（国家节假日及双休正常休息）</w:t>
      </w:r>
    </w:p>
    <w:p>
      <w:pPr>
        <w:spacing w:line="360" w:lineRule="exact"/>
        <w:jc w:val="left"/>
        <w:rPr>
          <w:rFonts w:ascii="宋体" w:hAnsi="宋体"/>
          <w:b/>
          <w:bCs/>
          <w:color w:val="000000"/>
          <w:szCs w:val="21"/>
          <w:highlight w:val="none"/>
        </w:rPr>
      </w:pPr>
      <w:r>
        <w:rPr>
          <w:rFonts w:hint="eastAsia" w:ascii="宋体" w:hAnsi="宋体"/>
          <w:b/>
          <w:bCs/>
          <w:color w:val="000000"/>
          <w:szCs w:val="21"/>
          <w:highlight w:val="none"/>
        </w:rPr>
        <w:t>（四）人员要求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1、维修人初中及以上学历，年龄50岁以下；</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维修人员须全员持有低压电工证，且其中持有高处作业操作证、高压电工证的人员不少于3人、持有电梯安全管理特种设备作业人员证的人员不少于1人，可一人同时持有多个证。维修人员须熟悉礼堂音响操作技能。（注：在响应文件中提供相关证明材料）</w:t>
      </w:r>
    </w:p>
    <w:p>
      <w:pPr>
        <w:spacing w:line="360" w:lineRule="exact"/>
        <w:rPr>
          <w:rFonts w:ascii="宋体" w:hAnsi="宋体"/>
          <w:color w:val="000000"/>
          <w:szCs w:val="21"/>
          <w:highlight w:val="none"/>
        </w:rPr>
      </w:pPr>
    </w:p>
    <w:p>
      <w:pPr>
        <w:spacing w:line="360" w:lineRule="exact"/>
        <w:jc w:val="center"/>
        <w:rPr>
          <w:rFonts w:ascii="宋体" w:hAnsi="宋体"/>
          <w:b/>
          <w:color w:val="000000"/>
          <w:szCs w:val="21"/>
          <w:highlight w:val="none"/>
        </w:rPr>
      </w:pPr>
      <w:r>
        <w:rPr>
          <w:rFonts w:hint="eastAsia" w:ascii="宋体" w:hAnsi="宋体"/>
          <w:b/>
          <w:color w:val="000000"/>
          <w:szCs w:val="21"/>
          <w:highlight w:val="none"/>
        </w:rPr>
        <w:t>第七部分：校园绿化维护</w:t>
      </w:r>
    </w:p>
    <w:p>
      <w:pPr>
        <w:numPr>
          <w:ilvl w:val="0"/>
          <w:numId w:val="23"/>
        </w:num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岗位设置</w:t>
      </w:r>
    </w:p>
    <w:p>
      <w:pPr>
        <w:pStyle w:val="2"/>
        <w:numPr>
          <w:ilvl w:val="255"/>
          <w:numId w:val="0"/>
        </w:numPr>
        <w:rPr>
          <w:highlight w:val="none"/>
        </w:rPr>
      </w:pPr>
      <w:r>
        <w:rPr>
          <w:rFonts w:hint="eastAsia" w:ascii="宋体" w:hAnsi="宋体" w:cs="宋体"/>
          <w:b/>
          <w:bCs/>
          <w:sz w:val="21"/>
          <w:szCs w:val="21"/>
          <w:highlight w:val="none"/>
        </w:rPr>
        <w:t>绿化工不少于2人。</w:t>
      </w:r>
    </w:p>
    <w:tbl>
      <w:tblPr>
        <w:tblStyle w:val="5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1"/>
        <w:gridCol w:w="2625"/>
        <w:gridCol w:w="15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1"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岗位</w:t>
            </w:r>
          </w:p>
        </w:tc>
        <w:tc>
          <w:tcPr>
            <w:tcW w:w="2625"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绿化工</w:t>
            </w:r>
          </w:p>
        </w:tc>
        <w:tc>
          <w:tcPr>
            <w:tcW w:w="1552"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2</w:t>
            </w:r>
          </w:p>
        </w:tc>
      </w:tr>
    </w:tbl>
    <w:p>
      <w:pPr>
        <w:pStyle w:val="657"/>
        <w:spacing w:line="360" w:lineRule="exact"/>
        <w:ind w:firstLine="420" w:firstLineChars="200"/>
        <w:rPr>
          <w:rFonts w:ascii="宋体" w:hAnsi="宋体"/>
          <w:color w:val="000000"/>
          <w:sz w:val="21"/>
          <w:szCs w:val="21"/>
          <w:highlight w:val="none"/>
        </w:rPr>
      </w:pPr>
      <w:r>
        <w:rPr>
          <w:rFonts w:hint="eastAsia" w:ascii="宋体" w:hAnsi="宋体"/>
          <w:color w:val="000000"/>
          <w:sz w:val="21"/>
          <w:highlight w:val="none"/>
        </w:rPr>
        <w:t>注：如中标人未达到采购人的服务要求，采购人有权根据考核结果和实际需求，在提前15个工作日书面通知乙方后，对岗位数量进行优化或增补调整，服务费按中标总价不再进行相应增减。</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（二）工作内容及岗位职责</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1、对三个校区的绿化进行维护养护工作。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2、从事校园树木、花卉、草坪等绿化的除草、施肥、浇水、剪枝、培育、摆放等工作。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3、周末及节假日需开展工作，休息时间根据实际情况进行调整。</w:t>
      </w:r>
    </w:p>
    <w:p>
      <w:pPr>
        <w:pStyle w:val="657"/>
        <w:spacing w:line="360" w:lineRule="exact"/>
        <w:ind w:firstLine="420" w:firstLineChars="200"/>
        <w:rPr>
          <w:rFonts w:ascii="宋体" w:hAnsi="宋体"/>
          <w:color w:val="000000"/>
          <w:sz w:val="21"/>
          <w:highlight w:val="none"/>
        </w:rPr>
      </w:pPr>
      <w:r>
        <w:rPr>
          <w:rFonts w:hint="eastAsia" w:ascii="宋体" w:hAnsi="宋体"/>
          <w:color w:val="000000"/>
          <w:sz w:val="21"/>
          <w:szCs w:val="21"/>
          <w:highlight w:val="none"/>
        </w:rPr>
        <w:t>4、按照学校工作要求及安排，开展校园园林绿化、修剪等工作。</w:t>
      </w:r>
    </w:p>
    <w:p>
      <w:pPr>
        <w:spacing w:line="360" w:lineRule="exact"/>
        <w:rPr>
          <w:rFonts w:ascii="宋体" w:hAnsi="宋体"/>
          <w:color w:val="000000"/>
          <w:szCs w:val="21"/>
          <w:highlight w:val="none"/>
        </w:rPr>
      </w:pPr>
      <w:r>
        <w:rPr>
          <w:rFonts w:hint="eastAsia" w:ascii="宋体" w:hAnsi="宋体"/>
          <w:b/>
          <w:bCs/>
          <w:color w:val="000000"/>
          <w:szCs w:val="21"/>
          <w:highlight w:val="none"/>
        </w:rPr>
        <w:t xml:space="preserve"> （三）人员要求</w:t>
      </w:r>
    </w:p>
    <w:p>
      <w:pPr>
        <w:spacing w:line="360" w:lineRule="exact"/>
        <w:ind w:firstLine="405"/>
        <w:rPr>
          <w:rFonts w:ascii="宋体" w:hAnsi="宋体"/>
          <w:color w:val="000000"/>
          <w:szCs w:val="21"/>
          <w:highlight w:val="none"/>
        </w:rPr>
      </w:pPr>
      <w:r>
        <w:rPr>
          <w:rFonts w:hint="eastAsia" w:ascii="宋体" w:hAnsi="宋体"/>
          <w:color w:val="000000"/>
          <w:szCs w:val="21"/>
          <w:highlight w:val="none"/>
        </w:rPr>
        <w:t>1、初中及以上学历，有园林、绿化工作经验。</w:t>
      </w:r>
    </w:p>
    <w:p>
      <w:pPr>
        <w:spacing w:line="360" w:lineRule="exact"/>
        <w:ind w:firstLine="405"/>
        <w:rPr>
          <w:rFonts w:hint="eastAsia" w:ascii="宋体" w:hAnsi="宋体"/>
          <w:color w:val="000000"/>
          <w:szCs w:val="21"/>
          <w:highlight w:val="none"/>
        </w:rPr>
      </w:pPr>
      <w:r>
        <w:rPr>
          <w:rFonts w:hint="eastAsia" w:ascii="宋体" w:hAnsi="宋体"/>
          <w:color w:val="000000"/>
          <w:szCs w:val="21"/>
          <w:highlight w:val="none"/>
        </w:rPr>
        <w:t>2、年龄55岁以下。</w:t>
      </w:r>
    </w:p>
    <w:p>
      <w:pPr>
        <w:pStyle w:val="2"/>
        <w:rPr>
          <w:highlight w:val="none"/>
        </w:rPr>
      </w:pPr>
    </w:p>
    <w:p>
      <w:pPr>
        <w:spacing w:line="360" w:lineRule="exact"/>
        <w:ind w:firstLine="421" w:firstLineChars="200"/>
        <w:rPr>
          <w:rFonts w:hint="eastAsia" w:ascii="宋体" w:hAnsi="宋体"/>
          <w:b/>
          <w:color w:val="000000"/>
          <w:szCs w:val="21"/>
          <w:highlight w:val="none"/>
        </w:rPr>
      </w:pPr>
      <w:r>
        <w:rPr>
          <w:rFonts w:hint="eastAsia" w:ascii="宋体" w:hAnsi="宋体"/>
          <w:b/>
          <w:color w:val="000000"/>
          <w:szCs w:val="21"/>
          <w:highlight w:val="none"/>
        </w:rPr>
        <w:t>本项目人员最低配置要求:</w:t>
      </w:r>
      <w:r>
        <w:rPr>
          <w:rFonts w:hint="eastAsia"/>
          <w:highlight w:val="none"/>
          <w:lang w:val="en-US" w:eastAsia="zh-CN"/>
        </w:rPr>
        <w:t>物业主管</w:t>
      </w:r>
      <w:r>
        <w:rPr>
          <w:rFonts w:hint="eastAsia" w:ascii="宋体" w:hAnsi="宋体"/>
          <w:b/>
          <w:color w:val="000000"/>
          <w:szCs w:val="21"/>
          <w:highlight w:val="none"/>
        </w:rPr>
        <w:t>1名，保洁员不少于15名，秩序维护员不少于23名，宿管员不少于29人，教官人员不少于12人，维修员不少于11名，绿化工不少于2人。供应商可根据自身服务方案优化增配人员，但不得低于上述最低人数标准。</w:t>
      </w:r>
    </w:p>
    <w:p>
      <w:pPr>
        <w:pStyle w:val="2"/>
        <w:rPr>
          <w:highlight w:val="none"/>
        </w:rPr>
      </w:pPr>
    </w:p>
    <w:p>
      <w:pPr>
        <w:spacing w:line="360" w:lineRule="exact"/>
        <w:jc w:val="center"/>
        <w:rPr>
          <w:rFonts w:ascii="宋体" w:hAnsi="宋体"/>
          <w:b/>
          <w:color w:val="000000"/>
          <w:szCs w:val="21"/>
          <w:highlight w:val="none"/>
        </w:rPr>
      </w:pPr>
      <w:r>
        <w:rPr>
          <w:rFonts w:hint="eastAsia" w:ascii="宋体" w:hAnsi="宋体"/>
          <w:b/>
          <w:color w:val="000000"/>
          <w:szCs w:val="21"/>
          <w:highlight w:val="none"/>
        </w:rPr>
        <w:t>第八部分 投标报价</w:t>
      </w:r>
    </w:p>
    <w:p>
      <w:pPr>
        <w:snapToGrid w:val="0"/>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投标单位必须按照分类用工单价报价，按照招标文件规定满足招标单位的需求和人员配备计算总的服务费：总费用=年物业费用×1年</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年物业费用=</w:t>
      </w:r>
      <w:r>
        <w:rPr>
          <w:rFonts w:hint="eastAsia" w:ascii="宋体" w:hAnsi="宋体"/>
          <w:color w:val="000000"/>
          <w:szCs w:val="21"/>
          <w:highlight w:val="none"/>
          <w:lang w:eastAsia="zh-CN"/>
        </w:rPr>
        <w:t>物业主管</w:t>
      </w:r>
      <w:r>
        <w:rPr>
          <w:rFonts w:hint="eastAsia" w:ascii="宋体" w:hAnsi="宋体"/>
          <w:color w:val="000000"/>
          <w:szCs w:val="21"/>
          <w:highlight w:val="none"/>
        </w:rPr>
        <w:t>服务费+保洁员服务费+秩序维护服务费+宿舍管理服务费+教官服务费+综合维修服务费+绿化养护服务费</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lang w:eastAsia="zh-CN"/>
        </w:rPr>
        <w:t>物业主管</w:t>
      </w:r>
      <w:r>
        <w:rPr>
          <w:rFonts w:hint="eastAsia" w:ascii="宋体" w:hAnsi="宋体"/>
          <w:color w:val="000000"/>
          <w:szCs w:val="21"/>
          <w:highlight w:val="none"/>
        </w:rPr>
        <w:t>服务费=（</w:t>
      </w:r>
      <w:r>
        <w:rPr>
          <w:rFonts w:hint="eastAsia" w:ascii="宋体" w:hAnsi="宋体"/>
          <w:color w:val="000000"/>
          <w:szCs w:val="21"/>
          <w:highlight w:val="none"/>
          <w:lang w:eastAsia="zh-CN"/>
        </w:rPr>
        <w:t>物业主管</w:t>
      </w:r>
      <w:r>
        <w:rPr>
          <w:rFonts w:hint="eastAsia" w:ascii="宋体" w:hAnsi="宋体"/>
          <w:color w:val="000000"/>
          <w:szCs w:val="21"/>
          <w:highlight w:val="none"/>
        </w:rPr>
        <w:t>人员人均月费用）×用工人数×12月</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保洁员服务费=（</w:t>
      </w:r>
      <w:r>
        <w:rPr>
          <w:rFonts w:hint="eastAsia" w:ascii="宋体" w:hAnsi="宋体"/>
          <w:color w:val="000000"/>
          <w:szCs w:val="21"/>
          <w:highlight w:val="none"/>
          <w:lang w:eastAsia="zh-CN"/>
        </w:rPr>
        <w:t>保洁</w:t>
      </w:r>
      <w:r>
        <w:rPr>
          <w:rFonts w:hint="eastAsia" w:ascii="宋体" w:hAnsi="宋体"/>
          <w:color w:val="000000"/>
          <w:szCs w:val="21"/>
          <w:highlight w:val="none"/>
        </w:rPr>
        <w:t>人员人均月费用）×用工人数×12月</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秩序维护员服务费=（秩序维护人员人均月费用）×用工人数×12月</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宿舍管理员费=（学生宿舍管理人员人均月费用）×用工人数×12月</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教官服务费=（</w:t>
      </w:r>
      <w:r>
        <w:rPr>
          <w:rFonts w:hint="eastAsia" w:ascii="宋体" w:hAnsi="宋体"/>
          <w:color w:val="000000"/>
          <w:szCs w:val="21"/>
          <w:highlight w:val="none"/>
          <w:lang w:eastAsia="zh-CN"/>
        </w:rPr>
        <w:t>教官</w:t>
      </w:r>
      <w:r>
        <w:rPr>
          <w:rFonts w:hint="eastAsia" w:ascii="宋体" w:hAnsi="宋体"/>
          <w:color w:val="000000"/>
          <w:szCs w:val="21"/>
          <w:highlight w:val="none"/>
        </w:rPr>
        <w:t>人员人均月费用）×用工人数×12月</w:t>
      </w:r>
    </w:p>
    <w:p>
      <w:pPr>
        <w:spacing w:line="360" w:lineRule="exact"/>
        <w:ind w:firstLine="411" w:firstLineChars="196"/>
        <w:rPr>
          <w:rFonts w:ascii="宋体" w:hAnsi="宋体"/>
          <w:color w:val="000000"/>
          <w:szCs w:val="21"/>
          <w:highlight w:val="none"/>
        </w:rPr>
      </w:pPr>
      <w:r>
        <w:rPr>
          <w:rFonts w:hint="eastAsia" w:ascii="宋体" w:hAnsi="宋体"/>
          <w:color w:val="000000"/>
          <w:szCs w:val="21"/>
          <w:highlight w:val="none"/>
        </w:rPr>
        <w:t>综合维修服务费=（维修人员人均月费用）×用工人数×12月</w:t>
      </w:r>
    </w:p>
    <w:p>
      <w:pPr>
        <w:spacing w:line="360" w:lineRule="exact"/>
        <w:ind w:firstLine="411" w:firstLineChars="196"/>
        <w:rPr>
          <w:rFonts w:ascii="宋体" w:hAnsi="宋体"/>
          <w:color w:val="000000"/>
          <w:szCs w:val="21"/>
          <w:highlight w:val="none"/>
        </w:rPr>
      </w:pPr>
      <w:r>
        <w:rPr>
          <w:rFonts w:hint="eastAsia" w:ascii="宋体" w:hAnsi="宋体"/>
          <w:color w:val="000000"/>
          <w:szCs w:val="21"/>
          <w:highlight w:val="none"/>
        </w:rPr>
        <w:t>绿化养护服务费=（绿化养护人员人均月费用）×用工人数×12月</w:t>
      </w:r>
    </w:p>
    <w:p>
      <w:pPr>
        <w:spacing w:line="360" w:lineRule="exact"/>
        <w:ind w:firstLine="411" w:firstLineChars="196"/>
        <w:rPr>
          <w:rFonts w:ascii="宋体" w:hAnsi="宋体"/>
          <w:color w:val="000000"/>
          <w:szCs w:val="21"/>
          <w:highlight w:val="none"/>
        </w:rPr>
      </w:pPr>
    </w:p>
    <w:p>
      <w:pPr>
        <w:spacing w:line="360" w:lineRule="exact"/>
        <w:ind w:firstLine="411" w:firstLineChars="196"/>
        <w:jc w:val="center"/>
        <w:rPr>
          <w:rFonts w:ascii="宋体" w:hAnsi="宋体"/>
          <w:color w:val="000000"/>
          <w:szCs w:val="21"/>
          <w:highlight w:val="none"/>
        </w:rPr>
      </w:pPr>
      <w:r>
        <w:rPr>
          <w:rFonts w:hint="eastAsia" w:ascii="宋体" w:hAnsi="宋体"/>
          <w:color w:val="000000"/>
          <w:szCs w:val="21"/>
          <w:highlight w:val="none"/>
        </w:rPr>
        <w:t>物业费用报价表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336"/>
        <w:gridCol w:w="600"/>
        <w:gridCol w:w="1515"/>
        <w:gridCol w:w="930"/>
        <w:gridCol w:w="178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序号</w:t>
            </w:r>
          </w:p>
        </w:tc>
        <w:tc>
          <w:tcPr>
            <w:tcW w:w="1336"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岗位</w:t>
            </w:r>
          </w:p>
        </w:tc>
        <w:tc>
          <w:tcPr>
            <w:tcW w:w="60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人数</w:t>
            </w:r>
          </w:p>
        </w:tc>
        <w:tc>
          <w:tcPr>
            <w:tcW w:w="1515"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人均月费用</w:t>
            </w:r>
          </w:p>
        </w:tc>
        <w:tc>
          <w:tcPr>
            <w:tcW w:w="93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使用月数</w:t>
            </w:r>
          </w:p>
        </w:tc>
        <w:tc>
          <w:tcPr>
            <w:tcW w:w="1785"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年费用</w:t>
            </w:r>
          </w:p>
        </w:tc>
        <w:tc>
          <w:tcPr>
            <w:tcW w:w="1455"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1</w:t>
            </w:r>
          </w:p>
        </w:tc>
        <w:tc>
          <w:tcPr>
            <w:tcW w:w="1336" w:type="dxa"/>
          </w:tcPr>
          <w:p>
            <w:pPr>
              <w:spacing w:line="360" w:lineRule="exact"/>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物业主管</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Align w:val="center"/>
          </w:tcPr>
          <w:p>
            <w:pPr>
              <w:spacing w:line="360" w:lineRule="exact"/>
              <w:jc w:val="center"/>
              <w:rPr>
                <w:rFonts w:ascii="宋体" w:hAnsi="宋体"/>
                <w:color w:val="000000"/>
                <w:szCs w:val="21"/>
                <w:highlight w:val="none"/>
              </w:rPr>
            </w:pPr>
            <w:r>
              <w:rPr>
                <w:rFonts w:hint="eastAsia" w:ascii="宋体" w:hAnsi="宋体"/>
                <w:color w:val="000000"/>
                <w:szCs w:val="21"/>
                <w:highlight w:val="none"/>
              </w:rPr>
              <w:t>2</w:t>
            </w:r>
          </w:p>
        </w:tc>
        <w:tc>
          <w:tcPr>
            <w:tcW w:w="1336" w:type="dxa"/>
            <w:vAlign w:val="center"/>
          </w:tcPr>
          <w:p>
            <w:pPr>
              <w:spacing w:line="360" w:lineRule="exact"/>
              <w:rPr>
                <w:rFonts w:ascii="宋体" w:hAnsi="宋体"/>
                <w:color w:val="000000"/>
                <w:szCs w:val="21"/>
                <w:highlight w:val="none"/>
              </w:rPr>
            </w:pPr>
            <w:r>
              <w:rPr>
                <w:rFonts w:hint="eastAsia" w:ascii="宋体" w:hAnsi="宋体"/>
                <w:color w:val="000000"/>
                <w:szCs w:val="21"/>
                <w:highlight w:val="none"/>
              </w:rPr>
              <w:t>保洁人员</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3</w:t>
            </w: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秩序维护员</w:t>
            </w:r>
          </w:p>
        </w:tc>
        <w:tc>
          <w:tcPr>
            <w:tcW w:w="600" w:type="dxa"/>
            <w:vAlign w:val="center"/>
          </w:tcPr>
          <w:p>
            <w:pPr>
              <w:spacing w:line="360" w:lineRule="exact"/>
              <w:jc w:val="center"/>
              <w:rPr>
                <w:rFonts w:ascii="宋体" w:hAnsi="宋体"/>
                <w:color w:val="000000"/>
                <w:szCs w:val="21"/>
                <w:highlight w:val="none"/>
              </w:rPr>
            </w:pPr>
          </w:p>
        </w:tc>
        <w:tc>
          <w:tcPr>
            <w:tcW w:w="1515" w:type="dxa"/>
            <w:vAlign w:val="center"/>
          </w:tcPr>
          <w:p>
            <w:pPr>
              <w:spacing w:line="360" w:lineRule="exact"/>
              <w:jc w:val="center"/>
              <w:rPr>
                <w:rFonts w:ascii="宋体" w:hAnsi="宋体"/>
                <w:color w:val="000000"/>
                <w:szCs w:val="21"/>
                <w:highlight w:val="none"/>
              </w:rPr>
            </w:pPr>
          </w:p>
        </w:tc>
        <w:tc>
          <w:tcPr>
            <w:tcW w:w="930" w:type="dxa"/>
            <w:vAlign w:val="center"/>
          </w:tcPr>
          <w:p>
            <w:pPr>
              <w:spacing w:line="360" w:lineRule="exact"/>
              <w:jc w:val="center"/>
              <w:rPr>
                <w:rFonts w:ascii="宋体" w:hAnsi="宋体"/>
                <w:color w:val="000000"/>
                <w:szCs w:val="21"/>
                <w:highlight w:val="none"/>
              </w:rPr>
            </w:pPr>
          </w:p>
        </w:tc>
        <w:tc>
          <w:tcPr>
            <w:tcW w:w="1785" w:type="dxa"/>
            <w:vAlign w:val="center"/>
          </w:tcPr>
          <w:p>
            <w:pPr>
              <w:spacing w:line="360" w:lineRule="exact"/>
              <w:jc w:val="center"/>
              <w:rPr>
                <w:rFonts w:ascii="宋体" w:hAnsi="宋体"/>
                <w:color w:val="000000"/>
                <w:szCs w:val="21"/>
                <w:highlight w:val="none"/>
              </w:rPr>
            </w:pPr>
          </w:p>
        </w:tc>
        <w:tc>
          <w:tcPr>
            <w:tcW w:w="1455" w:type="dxa"/>
            <w:vAlign w:val="center"/>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4</w:t>
            </w: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宿舍管理员</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5</w:t>
            </w: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教官</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6</w:t>
            </w: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综合维修</w:t>
            </w:r>
          </w:p>
        </w:tc>
        <w:tc>
          <w:tcPr>
            <w:tcW w:w="600" w:type="dxa"/>
          </w:tcPr>
          <w:p>
            <w:pPr>
              <w:spacing w:line="360" w:lineRule="exact"/>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0" w:type="dxa"/>
          </w:tcPr>
          <w:p>
            <w:pPr>
              <w:spacing w:line="360" w:lineRule="exact"/>
              <w:jc w:val="center"/>
              <w:rPr>
                <w:rFonts w:ascii="宋体" w:hAnsi="宋体"/>
                <w:color w:val="000000"/>
                <w:szCs w:val="21"/>
                <w:highlight w:val="none"/>
              </w:rPr>
            </w:pPr>
            <w:r>
              <w:rPr>
                <w:rFonts w:hint="eastAsia" w:ascii="宋体" w:hAnsi="宋体"/>
                <w:color w:val="000000"/>
                <w:szCs w:val="21"/>
                <w:highlight w:val="none"/>
              </w:rPr>
              <w:t>7</w:t>
            </w: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绿化</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pPr>
              <w:spacing w:line="360" w:lineRule="exact"/>
              <w:jc w:val="center"/>
              <w:rPr>
                <w:rFonts w:ascii="宋体" w:hAnsi="宋体"/>
                <w:color w:val="000000"/>
                <w:szCs w:val="21"/>
                <w:highlight w:val="none"/>
              </w:rPr>
            </w:pPr>
          </w:p>
        </w:tc>
        <w:tc>
          <w:tcPr>
            <w:tcW w:w="1336" w:type="dxa"/>
          </w:tcPr>
          <w:p>
            <w:pPr>
              <w:spacing w:line="360" w:lineRule="exact"/>
              <w:rPr>
                <w:rFonts w:ascii="宋体" w:hAnsi="宋体"/>
                <w:color w:val="000000"/>
                <w:szCs w:val="21"/>
                <w:highlight w:val="none"/>
              </w:rPr>
            </w:pPr>
            <w:r>
              <w:rPr>
                <w:rFonts w:hint="eastAsia" w:ascii="宋体" w:hAnsi="宋体"/>
                <w:color w:val="000000"/>
                <w:szCs w:val="21"/>
                <w:highlight w:val="none"/>
              </w:rPr>
              <w:t>合计</w:t>
            </w:r>
          </w:p>
        </w:tc>
        <w:tc>
          <w:tcPr>
            <w:tcW w:w="600" w:type="dxa"/>
          </w:tcPr>
          <w:p>
            <w:pPr>
              <w:spacing w:line="360" w:lineRule="exact"/>
              <w:jc w:val="center"/>
              <w:rPr>
                <w:rFonts w:ascii="宋体" w:hAnsi="宋体"/>
                <w:color w:val="000000"/>
                <w:szCs w:val="21"/>
                <w:highlight w:val="none"/>
              </w:rPr>
            </w:pPr>
          </w:p>
        </w:tc>
        <w:tc>
          <w:tcPr>
            <w:tcW w:w="1515" w:type="dxa"/>
          </w:tcPr>
          <w:p>
            <w:pPr>
              <w:spacing w:line="360" w:lineRule="exact"/>
              <w:jc w:val="center"/>
              <w:rPr>
                <w:rFonts w:ascii="宋体" w:hAnsi="宋体"/>
                <w:color w:val="000000"/>
                <w:szCs w:val="21"/>
                <w:highlight w:val="none"/>
              </w:rPr>
            </w:pPr>
          </w:p>
        </w:tc>
        <w:tc>
          <w:tcPr>
            <w:tcW w:w="930" w:type="dxa"/>
          </w:tcPr>
          <w:p>
            <w:pPr>
              <w:spacing w:line="360" w:lineRule="exact"/>
              <w:jc w:val="center"/>
              <w:rPr>
                <w:rFonts w:ascii="宋体" w:hAnsi="宋体"/>
                <w:color w:val="000000"/>
                <w:szCs w:val="21"/>
                <w:highlight w:val="none"/>
              </w:rPr>
            </w:pPr>
          </w:p>
        </w:tc>
        <w:tc>
          <w:tcPr>
            <w:tcW w:w="1785" w:type="dxa"/>
          </w:tcPr>
          <w:p>
            <w:pPr>
              <w:spacing w:line="360" w:lineRule="exact"/>
              <w:jc w:val="center"/>
              <w:rPr>
                <w:rFonts w:ascii="宋体" w:hAnsi="宋体"/>
                <w:color w:val="000000"/>
                <w:szCs w:val="21"/>
                <w:highlight w:val="none"/>
              </w:rPr>
            </w:pPr>
          </w:p>
        </w:tc>
        <w:tc>
          <w:tcPr>
            <w:tcW w:w="1455" w:type="dxa"/>
          </w:tcPr>
          <w:p>
            <w:pPr>
              <w:spacing w:line="360" w:lineRule="exact"/>
              <w:jc w:val="center"/>
              <w:rPr>
                <w:rFonts w:ascii="宋体" w:hAnsi="宋体"/>
                <w:color w:val="000000"/>
                <w:szCs w:val="21"/>
                <w:highlight w:val="none"/>
              </w:rPr>
            </w:pPr>
          </w:p>
        </w:tc>
      </w:tr>
    </w:tbl>
    <w:p>
      <w:pPr>
        <w:spacing w:line="360" w:lineRule="exact"/>
        <w:ind w:firstLine="421" w:firstLineChars="200"/>
        <w:rPr>
          <w:rFonts w:ascii="宋体" w:hAnsi="宋体"/>
          <w:b/>
          <w:color w:val="000000"/>
          <w:szCs w:val="21"/>
          <w:highlight w:val="none"/>
        </w:rPr>
      </w:pPr>
    </w:p>
    <w:p>
      <w:pPr>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注：费用包含：</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1、员工工资、福利、养老、医疗等社会保险、加班费等费用；</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2、员工服装费；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3、安防装备费；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4、办公费；</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5、税费；</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6、公司管理费、利润；</w:t>
      </w:r>
    </w:p>
    <w:p>
      <w:pPr>
        <w:snapToGrid w:val="0"/>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7、各供应商必须根据上表“物业费用报价表”列出各岗位的详细报价（即填写表中“人均月费用”“年费用”），合计要和投标价一致！未按表格要求详细报价仅报项目总价的作废标处理。</w:t>
      </w:r>
    </w:p>
    <w:p>
      <w:pPr>
        <w:snapToGrid w:val="0"/>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七、服务费支付</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采购人可根据实际工作需要，对供应商岗位进行调整，供应商应按照采购人的要求配备相应岗位。每月10日前，先对各岗位完成工作情况进行考核，根据考核结果以及供应商提供的实际用工人数，确认应付服务费：</w:t>
      </w:r>
    </w:p>
    <w:p>
      <w:pPr>
        <w:snapToGrid w:val="0"/>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每月物业费用=</w:t>
      </w:r>
      <w:r>
        <w:rPr>
          <w:rFonts w:hint="eastAsia" w:ascii="宋体" w:hAnsi="宋体"/>
          <w:color w:val="000000"/>
          <w:szCs w:val="21"/>
          <w:highlight w:val="none"/>
          <w:lang w:eastAsia="zh-CN"/>
        </w:rPr>
        <w:t>物业主管</w:t>
      </w:r>
      <w:r>
        <w:rPr>
          <w:rFonts w:hint="eastAsia" w:ascii="宋体" w:hAnsi="宋体"/>
          <w:color w:val="000000"/>
          <w:szCs w:val="21"/>
          <w:highlight w:val="none"/>
        </w:rPr>
        <w:t>服务费+保洁员服务费+秩序维护服务费+宿舍管理服务费+教官服务费+综合维修服务费+绿化养护服务费</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lang w:eastAsia="zh-CN"/>
        </w:rPr>
        <w:t>物业主管</w:t>
      </w:r>
      <w:r>
        <w:rPr>
          <w:rFonts w:hint="eastAsia" w:ascii="宋体" w:hAnsi="宋体"/>
          <w:color w:val="000000"/>
          <w:szCs w:val="21"/>
          <w:highlight w:val="none"/>
        </w:rPr>
        <w:t>服务费=（</w:t>
      </w:r>
      <w:r>
        <w:rPr>
          <w:rFonts w:hint="eastAsia" w:ascii="宋体" w:hAnsi="宋体"/>
          <w:color w:val="000000"/>
          <w:szCs w:val="21"/>
          <w:highlight w:val="none"/>
          <w:lang w:eastAsia="zh-CN"/>
        </w:rPr>
        <w:t>物业主管</w:t>
      </w:r>
      <w:r>
        <w:rPr>
          <w:rFonts w:hint="eastAsia" w:ascii="宋体" w:hAnsi="宋体"/>
          <w:color w:val="000000"/>
          <w:szCs w:val="21"/>
          <w:highlight w:val="none"/>
        </w:rPr>
        <w:t>人员人均月费用）×用工人数</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保洁员服务费=（</w:t>
      </w:r>
      <w:r>
        <w:rPr>
          <w:rFonts w:hint="eastAsia" w:ascii="宋体" w:hAnsi="宋体"/>
          <w:color w:val="000000"/>
          <w:szCs w:val="21"/>
          <w:highlight w:val="none"/>
          <w:lang w:eastAsia="zh-CN"/>
        </w:rPr>
        <w:t>保洁</w:t>
      </w:r>
      <w:r>
        <w:rPr>
          <w:rFonts w:hint="eastAsia" w:ascii="宋体" w:hAnsi="宋体"/>
          <w:color w:val="000000"/>
          <w:szCs w:val="21"/>
          <w:highlight w:val="none"/>
        </w:rPr>
        <w:t>人员人均月费用）×用工人数</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秩序维护员服务费=（秩序维护人员人均月费用）×用工人数</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宿舍管理人员费=（学生宿舍管理人员人均月费用）×用工人数</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教官服务费=（</w:t>
      </w:r>
      <w:r>
        <w:rPr>
          <w:rFonts w:hint="eastAsia" w:ascii="宋体" w:hAnsi="宋体"/>
          <w:color w:val="000000"/>
          <w:szCs w:val="21"/>
          <w:highlight w:val="none"/>
          <w:lang w:eastAsia="zh-CN"/>
        </w:rPr>
        <w:t>教官</w:t>
      </w:r>
      <w:r>
        <w:rPr>
          <w:rFonts w:hint="eastAsia" w:ascii="宋体" w:hAnsi="宋体"/>
          <w:color w:val="000000"/>
          <w:szCs w:val="21"/>
          <w:highlight w:val="none"/>
        </w:rPr>
        <w:t>人员人均月费用）×用工人数</w:t>
      </w:r>
    </w:p>
    <w:p>
      <w:pPr>
        <w:spacing w:line="360" w:lineRule="exact"/>
        <w:ind w:firstLine="411" w:firstLineChars="196"/>
        <w:rPr>
          <w:rFonts w:ascii="宋体" w:hAnsi="宋体"/>
          <w:color w:val="000000"/>
          <w:szCs w:val="21"/>
          <w:highlight w:val="none"/>
        </w:rPr>
      </w:pPr>
      <w:r>
        <w:rPr>
          <w:rFonts w:hint="eastAsia" w:ascii="宋体" w:hAnsi="宋体"/>
          <w:color w:val="000000"/>
          <w:szCs w:val="21"/>
          <w:highlight w:val="none"/>
        </w:rPr>
        <w:t>综合维修服务费=（维修人员人均月费用）×用工人数</w:t>
      </w:r>
    </w:p>
    <w:p>
      <w:pPr>
        <w:spacing w:line="360" w:lineRule="exact"/>
        <w:ind w:firstLine="411" w:firstLineChars="196"/>
        <w:rPr>
          <w:rFonts w:ascii="宋体" w:hAnsi="宋体"/>
          <w:color w:val="000000"/>
          <w:szCs w:val="21"/>
          <w:highlight w:val="none"/>
        </w:rPr>
      </w:pPr>
      <w:r>
        <w:rPr>
          <w:rFonts w:hint="eastAsia" w:ascii="宋体" w:hAnsi="宋体"/>
          <w:color w:val="000000"/>
          <w:szCs w:val="21"/>
          <w:highlight w:val="none"/>
        </w:rPr>
        <w:t>绿化养护服务费=（绿化养护人员人均月费用）×用工人数</w:t>
      </w:r>
    </w:p>
    <w:p>
      <w:pPr>
        <w:spacing w:line="360" w:lineRule="exact"/>
        <w:ind w:firstLine="421" w:firstLineChars="200"/>
        <w:rPr>
          <w:rFonts w:ascii="宋体" w:hAnsi="宋体"/>
          <w:b/>
          <w:color w:val="000000"/>
          <w:szCs w:val="21"/>
          <w:highlight w:val="none"/>
        </w:rPr>
      </w:pPr>
      <w:r>
        <w:rPr>
          <w:rFonts w:hint="eastAsia" w:ascii="宋体" w:hAnsi="宋体"/>
          <w:b/>
          <w:color w:val="000000"/>
          <w:szCs w:val="21"/>
          <w:highlight w:val="none"/>
        </w:rPr>
        <w:t>八、物业工作绩效考核办法</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为了规范物业管理，实现物业管理目标，明确物业服务标准，制定供应商工作业绩考核办法：</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（一）人员配备</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供应商应按照招标文件及物业合同配备相应数量的岗位人员：</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1、采购人每月抽查4-6次人员到岗情况，如抽查3次均有缺岗，月底结算按照缺岗人数平均值，从物业费中扣除相应缺岗人员的费用。</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2、考虑到物业人员的流动性，允许安排在岗人员加班顶替缺岗人员，但应该提前报告后勤服务科（安全保卫科）。顶替时间不得超过2周，如超过2周月底结算时该岗位按照50％的费用支付。</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（二）工作完成质量</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供应商应按照招标文件的工作标准完成相应工作，85分以下为不合格，每月按照以下条款进行考核，满分100分。根据考核结果，85分（含85分）以上为合格；84-75分（含75分）区间每分扣罚物业费2000元；74-70（含70分）分区间每分扣罚物业费3000元，要求限期整改；75分以下为不合格，书面警告；连续两个月或累计三个月低于75分，或单月低于70分，采购人有权单方解除合同。</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1、清洁人员按照标准打扫卫生，检查发现未达到清洁标准，按以下条款扣除物业费：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（1）垃圾箱盖不关闭，发现一次扣</w:t>
      </w:r>
      <w:bookmarkStart w:id="2" w:name="OLE_LINK1"/>
      <w:r>
        <w:rPr>
          <w:rFonts w:hint="eastAsia" w:ascii="宋体" w:hAnsi="宋体"/>
          <w:color w:val="000000"/>
          <w:szCs w:val="21"/>
          <w:highlight w:val="none"/>
        </w:rPr>
        <w:t>0.5分</w:t>
      </w:r>
      <w:bookmarkEnd w:id="2"/>
      <w:r>
        <w:rPr>
          <w:rFonts w:hint="eastAsia" w:ascii="宋体" w:hAnsi="宋体"/>
          <w:color w:val="000000"/>
          <w:szCs w:val="21"/>
          <w:highlight w:val="none"/>
        </w:rPr>
        <w:t>。</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（2）垃圾箱垃圾桶满了超过半天未清理，发现一次</w:t>
      </w:r>
      <w:bookmarkStart w:id="3" w:name="OLE_LINK2"/>
      <w:r>
        <w:rPr>
          <w:rFonts w:hint="eastAsia" w:ascii="宋体" w:hAnsi="宋体"/>
          <w:color w:val="000000"/>
          <w:szCs w:val="21"/>
          <w:highlight w:val="none"/>
        </w:rPr>
        <w:t>扣1分</w:t>
      </w:r>
      <w:bookmarkEnd w:id="3"/>
      <w:r>
        <w:rPr>
          <w:rFonts w:hint="eastAsia" w:ascii="宋体" w:hAnsi="宋体"/>
          <w:color w:val="000000"/>
          <w:szCs w:val="21"/>
          <w:highlight w:val="none"/>
        </w:rPr>
        <w:t>。</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（3）校园果皮箱楼层烟灰桶未及时清理，超过3小时的，发现一次0.5分，校园垃圾临时堆放点不得留垃圾及垃圾回收品在学校过夜，发现累劝不听扣2分。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（4）校园道路、广场等场所，按照清洁标准进行打扫保洁，发现地面有垃圾泥沙碎石等超过1小时未清理，每发现一处，</w:t>
      </w:r>
      <w:bookmarkStart w:id="4" w:name="OLE_LINK3"/>
      <w:r>
        <w:rPr>
          <w:rFonts w:hint="eastAsia" w:ascii="宋体" w:hAnsi="宋体"/>
          <w:color w:val="000000"/>
          <w:szCs w:val="21"/>
          <w:highlight w:val="none"/>
        </w:rPr>
        <w:t>扣1分</w:t>
      </w:r>
      <w:bookmarkEnd w:id="4"/>
      <w:r>
        <w:rPr>
          <w:rFonts w:hint="eastAsia" w:ascii="宋体" w:hAnsi="宋体"/>
          <w:color w:val="000000"/>
          <w:szCs w:val="21"/>
          <w:highlight w:val="none"/>
        </w:rPr>
        <w:t>。</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（5）校园公共卫生间，发现有未达标准的，每发现一处，扣0.5分。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2、秩序维护人员</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（1）未按照规定完成巡逻任务，检查发现1次，扣1分。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（2）脱岗现象。脱岗半小时以上一律视为缺岗，发现1人次扣2分。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（3）睡岗现象。工作时间在岗位上睡觉，发现1人次扣物业费扣1分。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（4）行为不文明。执勤期间衣着不整洁，态度粗暴</w:t>
      </w:r>
      <w:r>
        <w:rPr>
          <w:rFonts w:hint="eastAsia"/>
          <w:highlight w:val="none"/>
        </w:rPr>
        <w:t>与师生发生争执吵闹</w:t>
      </w:r>
      <w:r>
        <w:rPr>
          <w:rFonts w:hint="eastAsia" w:ascii="宋体" w:hAnsi="宋体"/>
          <w:color w:val="000000"/>
          <w:szCs w:val="21"/>
          <w:highlight w:val="none"/>
        </w:rPr>
        <w:t>等不文明行为，发现1人次扣2分。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（5）缺岗现象。未经采购人同意而未正常到岗的，发现1人次扣1分。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（6）饮酒后上班的，发现1人次扣1分。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（7）安防监控室执勤人员无上岗证的，立即责令更换并进行处罚，发现1人次扣</w:t>
      </w:r>
      <w:r>
        <w:rPr>
          <w:rFonts w:hint="eastAsia" w:ascii="宋体" w:hAnsi="宋体"/>
          <w:color w:val="000000"/>
          <w:szCs w:val="21"/>
          <w:highlight w:val="none"/>
          <w:lang w:val="en-US" w:eastAsia="zh-CN"/>
        </w:rPr>
        <w:t>2</w:t>
      </w:r>
      <w:r>
        <w:rPr>
          <w:rFonts w:hint="eastAsia" w:ascii="宋体" w:hAnsi="宋体"/>
          <w:color w:val="000000"/>
          <w:szCs w:val="21"/>
          <w:highlight w:val="none"/>
        </w:rPr>
        <w:t>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（8）消防通道堵塞未及时做出处理的，发现1次扣1分。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（9）因秩序维护人员未按规定完成巡查任务，对治安、消防隐患排查不到位，造成发生被盗、失火或其他案件，除了按规定承担赔偿责任外，扣除当班的相应物业人员的扣5分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（10）门岗人员未认真履职、失职的，造成不良后果的视情况扣1分。</w:t>
      </w:r>
    </w:p>
    <w:p>
      <w:pPr>
        <w:pStyle w:val="656"/>
        <w:ind w:firstLine="210"/>
        <w:rPr>
          <w:rFonts w:ascii="宋体" w:hAnsi="宋体"/>
          <w:color w:val="000000"/>
          <w:szCs w:val="21"/>
          <w:highlight w:val="none"/>
        </w:rPr>
      </w:pPr>
      <w:r>
        <w:rPr>
          <w:rFonts w:hint="eastAsia" w:ascii="宋体" w:hAnsi="宋体"/>
          <w:color w:val="000000"/>
          <w:szCs w:val="21"/>
          <w:highlight w:val="none"/>
        </w:rPr>
        <w:t>（11）执勤期间违规使用手机(接打私人电话、玩游戏、浏览无关网页等)，发现1人次扣2分。</w:t>
      </w:r>
    </w:p>
    <w:p>
      <w:pPr>
        <w:pStyle w:val="656"/>
        <w:ind w:firstLine="630" w:firstLineChars="300"/>
        <w:rPr>
          <w:rFonts w:ascii="宋体" w:hAnsi="宋体"/>
          <w:color w:val="000000"/>
          <w:szCs w:val="21"/>
          <w:highlight w:val="none"/>
        </w:rPr>
      </w:pPr>
      <w:r>
        <w:rPr>
          <w:rFonts w:hint="eastAsia" w:ascii="宋体" w:hAnsi="宋体"/>
          <w:color w:val="000000"/>
          <w:szCs w:val="21"/>
          <w:highlight w:val="none"/>
        </w:rPr>
        <w:t>3、宿舍管理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（1）未按照规定值班工作要求的，检查发现1次，扣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（2）脱岗现象。脱岗半小时以上一律视为缺岗，发现1人次扣 2分。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（3）睡岗现象。工作时间在岗位上睡觉，发现1人次扣 2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（4）缺岗现象。未经采购人同意而未正常到岗的，发现1人次扣 3分。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（5）饮酒后上班的，发现1人次扣 10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（6）被查出有外来人员混入学生宿舍的，每人次扣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（7）被查出有异性进入本宿舍且未做登记的，每人次扣 2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（8）值班期间工作人员低头玩手机或与工作无关的事，每人次扣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（9）对学生在宿舍内存在的违纪违规行为未进行及时教育及处理，引起严重后果的，视后果严重性的轻重每起扣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（10）对宿舍存在的重大安全隐患，不及时汇报，不及时处理的每次</w:t>
      </w:r>
      <w:bookmarkStart w:id="5" w:name="OLE_LINK5"/>
      <w:r>
        <w:rPr>
          <w:rFonts w:hint="eastAsia" w:ascii="宋体" w:hAnsi="宋体"/>
          <w:bCs/>
          <w:color w:val="000000"/>
          <w:kern w:val="0"/>
          <w:szCs w:val="21"/>
          <w:highlight w:val="none"/>
        </w:rPr>
        <w:t>扣 5 分</w:t>
      </w:r>
      <w:bookmarkEnd w:id="5"/>
      <w:r>
        <w:rPr>
          <w:rFonts w:hint="eastAsia" w:ascii="宋体" w:hAnsi="宋体"/>
          <w:bCs/>
          <w:color w:val="000000"/>
          <w:kern w:val="0"/>
          <w:szCs w:val="21"/>
          <w:highlight w:val="none"/>
        </w:rPr>
        <w:t>，由于未及时汇报安全隐患引发安全事故的，需承担相应的法律责任。</w:t>
      </w:r>
    </w:p>
    <w:p>
      <w:pPr>
        <w:snapToGrid w:val="0"/>
        <w:spacing w:line="360" w:lineRule="exact"/>
        <w:ind w:firstLine="415" w:firstLineChars="198"/>
        <w:rPr>
          <w:rFonts w:ascii="宋体" w:hAnsi="宋体"/>
          <w:color w:val="000000"/>
          <w:szCs w:val="21"/>
          <w:highlight w:val="none"/>
        </w:rPr>
      </w:pPr>
      <w:r>
        <w:rPr>
          <w:rFonts w:hint="eastAsia" w:ascii="宋体" w:hAnsi="宋体"/>
          <w:color w:val="000000"/>
          <w:szCs w:val="21"/>
          <w:highlight w:val="none"/>
        </w:rPr>
        <w:t>4、教官</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（1）上班期间身穿迷彩服，实行24小时值班巡查制。未按照规定值班工作要求的，检查发现1次，扣 2分。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（2）脱岗现象。脱岗半小时以上一律视为缺岗，</w:t>
      </w:r>
      <w:r>
        <w:rPr>
          <w:rFonts w:hint="eastAsia" w:ascii="宋体" w:hAnsi="宋体"/>
          <w:color w:val="000000"/>
          <w:szCs w:val="21"/>
          <w:highlight w:val="none"/>
        </w:rPr>
        <w:t>发现1人次</w:t>
      </w:r>
      <w:r>
        <w:rPr>
          <w:rFonts w:hint="eastAsia" w:ascii="宋体" w:hAnsi="宋体"/>
          <w:bCs/>
          <w:color w:val="000000"/>
          <w:kern w:val="0"/>
          <w:szCs w:val="21"/>
          <w:highlight w:val="none"/>
        </w:rPr>
        <w:t>扣 1分。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（3）睡岗现象。工作时间在岗位上睡觉，</w:t>
      </w:r>
      <w:r>
        <w:rPr>
          <w:rFonts w:hint="eastAsia" w:ascii="宋体" w:hAnsi="宋体"/>
          <w:color w:val="000000"/>
          <w:szCs w:val="21"/>
          <w:highlight w:val="none"/>
        </w:rPr>
        <w:t>发现1人次</w:t>
      </w:r>
      <w:r>
        <w:rPr>
          <w:rFonts w:hint="eastAsia" w:ascii="宋体" w:hAnsi="宋体"/>
          <w:bCs/>
          <w:color w:val="000000"/>
          <w:kern w:val="0"/>
          <w:szCs w:val="21"/>
          <w:highlight w:val="none"/>
        </w:rPr>
        <w:t>扣 2分。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（4）缺岗现象。未经采购人同意而未正常到岗的，</w:t>
      </w:r>
      <w:r>
        <w:rPr>
          <w:rFonts w:hint="eastAsia" w:ascii="宋体" w:hAnsi="宋体"/>
          <w:color w:val="000000"/>
          <w:szCs w:val="21"/>
          <w:highlight w:val="none"/>
        </w:rPr>
        <w:t>发现1人次</w:t>
      </w:r>
      <w:r>
        <w:rPr>
          <w:rFonts w:hint="eastAsia" w:ascii="宋体" w:hAnsi="宋体"/>
          <w:bCs/>
          <w:color w:val="000000"/>
          <w:kern w:val="0"/>
          <w:szCs w:val="21"/>
          <w:highlight w:val="none"/>
        </w:rPr>
        <w:t>扣 1分</w:t>
      </w:r>
      <w:r>
        <w:rPr>
          <w:rFonts w:hint="eastAsia" w:ascii="宋体" w:hAnsi="宋体"/>
          <w:color w:val="000000"/>
          <w:szCs w:val="21"/>
          <w:highlight w:val="none"/>
        </w:rPr>
        <w:t>。</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（5）饮酒后上班的，</w:t>
      </w:r>
      <w:r>
        <w:rPr>
          <w:rFonts w:hint="eastAsia" w:ascii="宋体" w:hAnsi="宋体"/>
          <w:color w:val="000000"/>
          <w:szCs w:val="21"/>
          <w:highlight w:val="none"/>
        </w:rPr>
        <w:t>发现1人次</w:t>
      </w:r>
      <w:r>
        <w:rPr>
          <w:rFonts w:hint="eastAsia" w:ascii="宋体" w:hAnsi="宋体"/>
          <w:bCs/>
          <w:color w:val="000000"/>
          <w:kern w:val="0"/>
          <w:szCs w:val="21"/>
          <w:highlight w:val="none"/>
        </w:rPr>
        <w:t>扣 10 分</w:t>
      </w:r>
      <w:r>
        <w:rPr>
          <w:rFonts w:hint="eastAsia" w:ascii="宋体" w:hAnsi="宋体"/>
          <w:color w:val="000000"/>
          <w:szCs w:val="21"/>
          <w:highlight w:val="none"/>
        </w:rPr>
        <w:t>。</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（6）值班期间工作人员低头玩手机或与工作无关的事，</w:t>
      </w:r>
      <w:r>
        <w:rPr>
          <w:rFonts w:hint="eastAsia" w:ascii="宋体" w:hAnsi="宋体"/>
          <w:color w:val="000000"/>
          <w:szCs w:val="21"/>
          <w:highlight w:val="none"/>
        </w:rPr>
        <w:t>发现1人次</w:t>
      </w:r>
      <w:r>
        <w:rPr>
          <w:rFonts w:hint="eastAsia" w:ascii="宋体" w:hAnsi="宋体"/>
          <w:bCs/>
          <w:color w:val="000000"/>
          <w:kern w:val="0"/>
          <w:szCs w:val="21"/>
          <w:highlight w:val="none"/>
        </w:rPr>
        <w:t>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（7）学生在宿舍区吵架、恐吓对方，发现未及时处理的扣 2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（8）学校重大活动不参加学生纪律维护、工作手机打不通、开会不参加，发现问题不及时处理的一次扣 1 分。</w:t>
      </w:r>
    </w:p>
    <w:p>
      <w:pPr>
        <w:snapToGrid w:val="0"/>
        <w:spacing w:line="360" w:lineRule="exact"/>
        <w:ind w:firstLine="415" w:firstLineChars="198"/>
        <w:rPr>
          <w:rFonts w:ascii="宋体" w:hAnsi="宋体"/>
          <w:bCs/>
          <w:color w:val="000000"/>
          <w:kern w:val="0"/>
          <w:szCs w:val="21"/>
          <w:highlight w:val="none"/>
        </w:rPr>
      </w:pPr>
      <w:r>
        <w:rPr>
          <w:rFonts w:hint="eastAsia" w:ascii="宋体" w:hAnsi="宋体"/>
          <w:bCs/>
          <w:color w:val="000000"/>
          <w:kern w:val="0"/>
          <w:szCs w:val="21"/>
          <w:highlight w:val="none"/>
        </w:rPr>
        <w:t>（9）禁止打骂体罚或是变相体罚学生，若因体罚学生造成学生人身伤害，引起家长、学生或是老师投诉，造成不良影响的一次</w:t>
      </w:r>
      <w:bookmarkStart w:id="6" w:name="OLE_LINK4"/>
      <w:r>
        <w:rPr>
          <w:rFonts w:hint="eastAsia" w:ascii="宋体" w:hAnsi="宋体"/>
          <w:bCs/>
          <w:color w:val="000000"/>
          <w:kern w:val="0"/>
          <w:szCs w:val="21"/>
          <w:highlight w:val="none"/>
        </w:rPr>
        <w:t>扣 2分</w:t>
      </w:r>
      <w:bookmarkEnd w:id="6"/>
      <w:r>
        <w:rPr>
          <w:rFonts w:hint="eastAsia" w:ascii="宋体" w:hAnsi="宋体"/>
          <w:bCs/>
          <w:color w:val="000000"/>
          <w:kern w:val="0"/>
          <w:szCs w:val="21"/>
          <w:highlight w:val="none"/>
        </w:rPr>
        <w:t>。</w:t>
      </w:r>
    </w:p>
    <w:p>
      <w:pPr>
        <w:spacing w:line="360" w:lineRule="exact"/>
        <w:ind w:firstLine="415" w:firstLineChars="198"/>
        <w:rPr>
          <w:highlight w:val="none"/>
        </w:rPr>
      </w:pPr>
      <w:r>
        <w:rPr>
          <w:rFonts w:hint="eastAsia" w:ascii="宋体" w:hAnsi="宋体"/>
          <w:bCs/>
          <w:color w:val="000000"/>
          <w:kern w:val="0"/>
          <w:szCs w:val="21"/>
          <w:highlight w:val="none"/>
        </w:rPr>
        <w:t>(10)未按规定完成网格单元的巡查、信息数据报送、宣传教育工作的，每次扣1分。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5、维修人员</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（1）维修人员在接收到维修任务后，无正当理由超过24小时没有处理，每次扣 1分；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（2）维修人员遇到维修难度大、维修材料缺乏等情况，无法按时完成维修任务，应及时与上级汇报，无故不汇报，造成维修任务延迟，每次扣 1分。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（3）维修人员无法按时完成维修时，应当与报修人沟通解释，因没有沟通导致报修人投诉的，每次扣3分；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（4）每周巡检签字工作不按时完成的，每处扣1分 ；</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（5）没按巡检工作内容要求，做好设施设备巡检工作的，每项扣1分；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（6）未及时处置跑冒滴漏问题，造成水资源、电力浪费的，每处扣2分；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（7）由于工作失误，造成停电停水事故，每次扣物业费扣 5分。</w:t>
      </w:r>
    </w:p>
    <w:p>
      <w:pPr>
        <w:spacing w:line="360" w:lineRule="exact"/>
        <w:ind w:left="420" w:leftChars="200"/>
        <w:rPr>
          <w:rFonts w:ascii="宋体" w:hAnsi="宋体"/>
          <w:color w:val="000000"/>
          <w:szCs w:val="21"/>
          <w:highlight w:val="none"/>
        </w:rPr>
      </w:pPr>
      <w:r>
        <w:rPr>
          <w:rFonts w:hint="eastAsia" w:ascii="宋体" w:hAnsi="宋体"/>
          <w:color w:val="000000"/>
          <w:szCs w:val="21"/>
          <w:highlight w:val="none"/>
        </w:rPr>
        <w:t>（8）由于工作失误，造成安全事故，造成采购人方设备损坏等损失，按照实际损失进行赔偿，扣14分。</w:t>
      </w:r>
    </w:p>
    <w:p>
      <w:pPr>
        <w:pStyle w:val="656"/>
        <w:ind w:firstLineChars="200"/>
        <w:rPr>
          <w:rFonts w:ascii="宋体" w:hAnsi="宋体"/>
          <w:color w:val="000000"/>
          <w:szCs w:val="21"/>
          <w:highlight w:val="none"/>
        </w:rPr>
      </w:pPr>
      <w:r>
        <w:rPr>
          <w:rFonts w:hint="eastAsia" w:ascii="宋体" w:hAnsi="宋体"/>
          <w:color w:val="000000"/>
          <w:szCs w:val="21"/>
          <w:highlight w:val="none"/>
        </w:rPr>
        <w:t>（9）没有按时完成领导安排的各项工作任务的，每项扣2分。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6、绿化人员</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（1）不按要求维护和养护校园绿化的每次</w:t>
      </w:r>
      <w:r>
        <w:rPr>
          <w:rFonts w:hint="eastAsia" w:ascii="宋体" w:hAnsi="宋体"/>
          <w:bCs/>
          <w:color w:val="000000"/>
          <w:kern w:val="0"/>
          <w:szCs w:val="21"/>
          <w:highlight w:val="none"/>
        </w:rPr>
        <w:t>扣 1分</w:t>
      </w:r>
      <w:r>
        <w:rPr>
          <w:rFonts w:hint="eastAsia" w:ascii="宋体" w:hAnsi="宋体"/>
          <w:color w:val="000000"/>
          <w:szCs w:val="21"/>
          <w:highlight w:val="none"/>
        </w:rPr>
        <w:t>。</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（2）不定期修剪、施肥、喷洒农药的</w:t>
      </w:r>
      <w:bookmarkStart w:id="7" w:name="OLE_LINK6"/>
      <w:r>
        <w:rPr>
          <w:rFonts w:hint="eastAsia" w:ascii="宋体" w:hAnsi="宋体"/>
          <w:color w:val="000000"/>
          <w:szCs w:val="21"/>
          <w:highlight w:val="none"/>
        </w:rPr>
        <w:t>每次</w:t>
      </w:r>
      <w:r>
        <w:rPr>
          <w:rFonts w:hint="eastAsia" w:ascii="宋体" w:hAnsi="宋体"/>
          <w:bCs/>
          <w:color w:val="000000"/>
          <w:kern w:val="0"/>
          <w:szCs w:val="21"/>
          <w:highlight w:val="none"/>
        </w:rPr>
        <w:t>扣 0.5分</w:t>
      </w:r>
      <w:bookmarkEnd w:id="7"/>
      <w:r>
        <w:rPr>
          <w:rFonts w:hint="eastAsia" w:ascii="宋体" w:hAnsi="宋体"/>
          <w:color w:val="000000"/>
          <w:szCs w:val="21"/>
          <w:highlight w:val="none"/>
        </w:rPr>
        <w:t>。</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（3）不按要求协助学院做好各种会议、活动用花摆花工作的</w:t>
      </w:r>
      <w:r>
        <w:rPr>
          <w:rFonts w:hint="eastAsia" w:ascii="宋体" w:hAnsi="宋体"/>
          <w:bCs/>
          <w:color w:val="000000"/>
          <w:kern w:val="0"/>
          <w:szCs w:val="21"/>
          <w:highlight w:val="none"/>
        </w:rPr>
        <w:t>扣 1分</w:t>
      </w:r>
    </w:p>
    <w:p>
      <w:pPr>
        <w:snapToGrid w:val="0"/>
        <w:spacing w:line="360" w:lineRule="exact"/>
        <w:ind w:firstLine="570"/>
        <w:rPr>
          <w:rFonts w:ascii="宋体" w:hAnsi="宋体"/>
          <w:b/>
          <w:color w:val="000000"/>
          <w:szCs w:val="21"/>
          <w:highlight w:val="none"/>
        </w:rPr>
      </w:pPr>
      <w:r>
        <w:rPr>
          <w:rFonts w:hint="eastAsia" w:ascii="宋体" w:hAnsi="宋体"/>
          <w:b/>
          <w:color w:val="000000"/>
          <w:szCs w:val="21"/>
          <w:highlight w:val="none"/>
        </w:rPr>
        <w:t>九、违约责任</w:t>
      </w:r>
    </w:p>
    <w:p>
      <w:pPr>
        <w:pStyle w:val="661"/>
        <w:snapToGrid w:val="0"/>
        <w:spacing w:line="360" w:lineRule="exact"/>
        <w:rPr>
          <w:rFonts w:hAnsi="宋体"/>
          <w:color w:val="000000"/>
          <w:highlight w:val="none"/>
        </w:rPr>
      </w:pPr>
      <w:r>
        <w:rPr>
          <w:rFonts w:hint="eastAsia" w:hAnsi="宋体"/>
          <w:color w:val="000000"/>
          <w:highlight w:val="none"/>
        </w:rPr>
        <w:t>　  （一）供应商违反本合同的有关约定，未能达到约定的工作标准，采购人根据本项目“八、物业工作绩效考核办法”的规定，要求供应商进行限期整改，并根据《管理办法》的规定扣减物业费。如造成采购人经济损失的，供应商还应给予采购人经济赔偿。</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供应商在承包期间因发生被盗案件，造成采购人财产损失，经公安部门裁定责任大小，供应商应承担责任的部分，由供应商负责赔偿。具体赔偿细则见本项目“十、供应商服务期内承担发案经济损失责任赔偿细则”。</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供应商在合同管理期间，负责采购人校园在社会治安综合治理、消防安全管理等方面的管理，由于供应商管理不到位或安全隐患未得到及时发现和整改的，经公安机关认定属供应商管理过错责任的，所造成的损失和责任由供应商承担。</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（四）其他情形经公安机关认定供应商为管理过错的，供应商承担过错的相应经济赔偿责任。</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（五）如因采购人原因或自然灾害等不可抗力造成采购人遭受损失，供应商尽了基本义务的，可免除责任。</w:t>
      </w:r>
    </w:p>
    <w:p>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（六）供应商应按时发放所聘用员工工资，如不及时发放，由采购人代为发放，费用从采购人支付给供应商的每月承包费中扣除。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（七）供应商应保证配备足够的工作人员，如未配备足够，经采购人管理部门核查统计按每月缺岗平均数，采购人可扣除相应缺少人员的费用，并可视情况进行扣罚。</w:t>
      </w:r>
    </w:p>
    <w:p>
      <w:pPr>
        <w:spacing w:line="360" w:lineRule="exact"/>
        <w:ind w:firstLine="420" w:firstLineChars="200"/>
        <w:rPr>
          <w:rFonts w:ascii="宋体" w:hAnsi="宋体"/>
          <w:color w:val="000000"/>
          <w:highlight w:val="none"/>
        </w:rPr>
      </w:pPr>
      <w:r>
        <w:rPr>
          <w:rFonts w:hint="eastAsia" w:ascii="宋体" w:hAnsi="宋体"/>
          <w:color w:val="000000"/>
          <w:highlight w:val="none"/>
        </w:rPr>
        <w:t>（八）供应商未能达到本合同约定的服务标准或月度考核不合格的，采购人有权要求供应商限期整改。供应商整改后仍不能达到合同要求的，或在连续两个月的月度考核中不合格的，或单月考核低于70分的，采购人有权单方解除本合同，并要求供应商承担违约责任。</w:t>
      </w:r>
    </w:p>
    <w:p>
      <w:pPr>
        <w:snapToGrid w:val="0"/>
        <w:spacing w:line="360" w:lineRule="exact"/>
        <w:ind w:firstLine="570"/>
        <w:rPr>
          <w:rFonts w:ascii="宋体" w:hAnsi="宋体"/>
          <w:b/>
          <w:color w:val="000000"/>
          <w:szCs w:val="21"/>
          <w:highlight w:val="none"/>
        </w:rPr>
      </w:pPr>
      <w:r>
        <w:rPr>
          <w:rFonts w:hint="eastAsia" w:ascii="宋体" w:hAnsi="宋体"/>
          <w:b/>
          <w:color w:val="000000"/>
          <w:szCs w:val="21"/>
          <w:highlight w:val="none"/>
        </w:rPr>
        <w:t>十、供应商服务期内承担发案经济损失责任赔偿细则</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第一条  为了规范管理，明确界定赔偿责任，特制定本细则。</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（一）赔偿应遵循的原则：根据责任大小实行“责任赔偿”。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（二）赔偿责任的确定，一般由采购人后勤服务科或安全保卫科依据执法部门裁定进行确认，由供应商根据确认结果实施赔偿。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（三）被损失物品价值的确定。按市场价格和使用折旧情况综合确定，即按实际价值确定。</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第二条  关于管理范围内宿舍被盗损失的赔偿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（一）赔偿的前提条件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1、撬门、撬窗入室被盗；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2、宿舍无人在时，门窗关好、房门锁好；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3、金银、珠宝等贵重首饰应存放于保险柜；</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4、现金存放2000元以下；</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5、被盗物品有正式的购物发票。</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（二）赔偿的范围</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1、现金和现金等价物；</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2、金银、珠宝等首饰；</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3、电脑、冰箱、电视机等大件电器物品；</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4、其他经认定应予赔偿的物品。</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（三）损失价值的确认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1、现金：由供应商责任导致损失的，损失在2000元人民币之内（含2000元）的，供应商按100%赔偿；超过2000元人民币的，按2000元确认赔偿；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2、金银、珠宝等首饰按原购价计算确认；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3、其他物品按原购价扣除折旧（采用年限法）后的折余价值计算确认。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第三条 关于车辆（汽车、摩托车、电动助力车等）被盗损失的赔偿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（一）赔偿的前提条件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1、必须停放在学校指定停放点；</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2、停放车辆离开时必须锁好，摩托车、电动助力车应加挂防盗锁，小汽车应关好门窗；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3、停放车辆离开时应取走车钥匙；</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4、有正式发票；</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5、机动车主应有行驶证、出入牌等证件。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（二）赔偿的范围</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1、学校公车；</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2、教职员工私车；</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3、外来办事或上课停放在指定停车场及经认定应予赔偿的公、私车。</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（三）损失的认定和赔偿比例</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按车辆原购价（汽车含车辆购置附加费）扣除折旧（采用年限法）后的折余价值计算确认。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第四条  关于办公楼、教学楼、图书馆、实验室（楼）等场所内公共财产被盗损失的赔偿。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（一）赔偿的前提条件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1、安装有基本的防盗设施；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2、人员离开后应关好门窗；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3、有正式的购物发票。</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（二）赔偿的范围</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1、电脑、打印机、复印机、多媒体设备、传真机等公共财产；</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2、其他认定应予赔偿的办公用品等公共财产；</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（三）损失价值的确认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按公共财产的原购价扣除折旧（采用年限法）后的折余价值计算确认。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第五条 关于学生公寓楼被盗损失的赔偿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（一）学生公寓如发生外人撬门（锁、窗）入室盗窃案件，报公安部门或采购人（后勤服务科或安全保卫科）现场核定后，供应商按全部损失的100%给予赔偿；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（二）学生公寓发生的因本人安全防范意识差（如出门不关门窗、不锁门、钥匙乱放、财物保管不善等），所造成的财物丢失，不在赔偿之列。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学生凡有贵重物品的，需要在供应商的物业部门进行登记，没有进行登记的贵重物品被盗和损失的，不在赔偿之列。手机、银行卡、饭卡等随身携带，若造成丢失不在赔偿范围之列，不便于携带的大件贵重物品如电脑等，若没有进行登记备案的必须要有同公寓学生及辅导员的证明，并提供购物发票，否则也不在赔偿之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第六条   关于财务科办公室内现金被盗损失的赔偿。</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（一）赔偿的前提条件</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1、安装有基本的防盗设施；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2、必须是保险柜内的现金；</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3、保险柜必须是锁好。</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（二）赔偿的范围：现金、电脑等贵重物品。</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（三）损失价值的确认</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财务科如发生入室盗窃案件，报公安部门或采购人（后勤服务科或安全保卫科）现场核定后，在《中华人民共和国现金管理暂行条例》第九条“开户银行应当根据实际需要，核定开户单位3天至5天的日常零星开支所需的库存现金限额。”规定的金额之内的损失，供应商全部损失的100%给予赔偿。</w:t>
      </w:r>
    </w:p>
    <w:p>
      <w:pPr>
        <w:pStyle w:val="662"/>
        <w:spacing w:before="0" w:after="0" w:line="360" w:lineRule="exact"/>
        <w:ind w:firstLine="421" w:firstLineChars="200"/>
        <w:rPr>
          <w:rFonts w:ascii="宋体" w:hAnsi="宋体"/>
          <w:color w:val="000000"/>
          <w:sz w:val="21"/>
          <w:szCs w:val="21"/>
          <w:highlight w:val="none"/>
        </w:rPr>
      </w:pPr>
      <w:r>
        <w:rPr>
          <w:rFonts w:hint="eastAsia" w:ascii="宋体" w:hAnsi="宋体"/>
          <w:color w:val="000000"/>
          <w:sz w:val="21"/>
          <w:szCs w:val="21"/>
          <w:highlight w:val="none"/>
        </w:rPr>
        <w:t>十一、本标项对应的中小企业划分标准所属行业为物业管理行业。</w:t>
      </w:r>
    </w:p>
    <w:p>
      <w:pPr>
        <w:pStyle w:val="10"/>
        <w:spacing w:line="264" w:lineRule="auto"/>
        <w:ind w:firstLine="0"/>
        <w:rPr>
          <w:rFonts w:ascii="仿宋_GB2312" w:eastAsia="仿宋_GB2312"/>
          <w:b/>
          <w:szCs w:val="21"/>
          <w:highlight w:val="none"/>
        </w:rPr>
      </w:pPr>
    </w:p>
    <w:p>
      <w:pPr>
        <w:snapToGrid w:val="0"/>
        <w:rPr>
          <w:rFonts w:ascii="仿宋_GB2312" w:eastAsia="仿宋_GB2312"/>
          <w:b/>
          <w:szCs w:val="21"/>
          <w:highlight w:val="none"/>
        </w:rPr>
      </w:pPr>
      <w:r>
        <w:rPr>
          <w:rFonts w:hint="eastAsia" w:ascii="仿宋_GB2312" w:eastAsia="仿宋_GB2312"/>
          <w:b/>
          <w:szCs w:val="21"/>
          <w:highlight w:val="none"/>
        </w:rPr>
        <w:br w:type="page"/>
      </w: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pStyle w:val="100"/>
        <w:rPr>
          <w:rFonts w:ascii="仿宋_GB2312" w:eastAsia="仿宋_GB2312"/>
          <w:b/>
          <w:szCs w:val="21"/>
          <w:highlight w:val="none"/>
        </w:rPr>
      </w:pPr>
    </w:p>
    <w:p>
      <w:pPr>
        <w:pStyle w:val="3"/>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rPr>
          <w:rFonts w:ascii="仿宋_GB2312" w:eastAsia="仿宋_GB2312"/>
          <w:b/>
          <w:szCs w:val="21"/>
          <w:highlight w:val="none"/>
        </w:rPr>
      </w:pPr>
    </w:p>
    <w:p>
      <w:pPr>
        <w:snapToGrid w:val="0"/>
        <w:jc w:val="center"/>
        <w:rPr>
          <w:rFonts w:ascii="宋体" w:hAnsi="宋体" w:cs="Courier New"/>
          <w:b/>
          <w:sz w:val="44"/>
          <w:szCs w:val="44"/>
          <w:highlight w:val="none"/>
        </w:rPr>
      </w:pPr>
      <w:r>
        <w:rPr>
          <w:rFonts w:hint="eastAsia" w:ascii="宋体" w:hAnsi="宋体" w:cs="Courier New"/>
          <w:b/>
          <w:sz w:val="44"/>
          <w:szCs w:val="44"/>
          <w:highlight w:val="none"/>
        </w:rPr>
        <w:t>第三章  投标人须知</w:t>
      </w:r>
    </w:p>
    <w:p>
      <w:pPr>
        <w:spacing w:line="360" w:lineRule="exact"/>
        <w:jc w:val="center"/>
        <w:rPr>
          <w:rFonts w:ascii="仿宋_GB2312" w:eastAsia="仿宋_GB2312"/>
          <w:b/>
          <w:szCs w:val="21"/>
          <w:highlight w:val="none"/>
        </w:rPr>
      </w:pPr>
      <w:r>
        <w:rPr>
          <w:rFonts w:ascii="仿宋_GB2312" w:eastAsia="仿宋_GB2312"/>
          <w:b/>
          <w:szCs w:val="21"/>
          <w:highlight w:val="none"/>
        </w:rPr>
        <w:br w:type="page"/>
      </w:r>
    </w:p>
    <w:p>
      <w:pPr>
        <w:spacing w:line="360" w:lineRule="exact"/>
        <w:jc w:val="center"/>
        <w:rPr>
          <w:rFonts w:ascii="仿宋_GB2312" w:eastAsia="仿宋_GB2312"/>
          <w:b/>
          <w:sz w:val="32"/>
          <w:szCs w:val="32"/>
          <w:highlight w:val="none"/>
        </w:rPr>
      </w:pPr>
      <w:r>
        <w:rPr>
          <w:rFonts w:hint="eastAsia" w:ascii="仿宋_GB2312" w:eastAsia="仿宋_GB2312"/>
          <w:b/>
          <w:sz w:val="32"/>
          <w:szCs w:val="32"/>
          <w:highlight w:val="none"/>
        </w:rPr>
        <w:t>投标</w:t>
      </w:r>
      <w:bookmarkStart w:id="8" w:name="_Toc254970526"/>
      <w:bookmarkStart w:id="9" w:name="_Toc254970667"/>
      <w:r>
        <w:rPr>
          <w:rFonts w:hint="eastAsia" w:ascii="仿宋_GB2312" w:eastAsia="仿宋_GB2312"/>
          <w:b/>
          <w:sz w:val="32"/>
          <w:szCs w:val="32"/>
          <w:highlight w:val="none"/>
        </w:rPr>
        <w:t>人须知及前附表</w:t>
      </w:r>
      <w:bookmarkEnd w:id="8"/>
      <w:bookmarkEnd w:id="9"/>
    </w:p>
    <w:p>
      <w:pPr>
        <w:spacing w:line="360" w:lineRule="exact"/>
        <w:jc w:val="center"/>
        <w:rPr>
          <w:rFonts w:ascii="仿宋_GB2312" w:eastAsia="仿宋_GB2312"/>
          <w:b/>
          <w:szCs w:val="21"/>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szCs w:val="21"/>
                <w:highlight w:val="none"/>
              </w:rPr>
            </w:pPr>
            <w:r>
              <w:rPr>
                <w:rFonts w:hint="eastAsia" w:ascii="宋体"/>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szCs w:val="21"/>
                <w:highlight w:val="none"/>
              </w:rPr>
            </w:pPr>
            <w:r>
              <w:rPr>
                <w:rFonts w:hint="eastAsia" w:ascii="宋体"/>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bCs/>
                <w:szCs w:val="21"/>
                <w:highlight w:val="none"/>
              </w:rPr>
            </w:pPr>
            <w:r>
              <w:rPr>
                <w:rFonts w:hint="eastAsia" w:ascii="宋体"/>
                <w:bCs/>
                <w:szCs w:val="21"/>
                <w:highlight w:val="none"/>
              </w:rPr>
              <w:t>1</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rFonts w:hint="eastAsia" w:ascii="宋体" w:eastAsia="宋体"/>
                <w:szCs w:val="21"/>
                <w:highlight w:val="none"/>
                <w:lang w:eastAsia="zh-CN"/>
              </w:rPr>
            </w:pPr>
            <w:r>
              <w:rPr>
                <w:rFonts w:hint="eastAsia" w:ascii="宋体"/>
                <w:szCs w:val="21"/>
                <w:highlight w:val="none"/>
              </w:rPr>
              <w:t>项目名称：</w:t>
            </w:r>
            <w:r>
              <w:rPr>
                <w:rFonts w:hint="eastAsia" w:ascii="宋体"/>
                <w:szCs w:val="21"/>
                <w:highlight w:val="none"/>
                <w:lang w:eastAsia="zh-CN"/>
              </w:rPr>
              <w:t>广西交通技师学院物业管理服务采购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bCs/>
                <w:szCs w:val="21"/>
                <w:highlight w:val="none"/>
              </w:rPr>
            </w:pPr>
            <w:r>
              <w:rPr>
                <w:rFonts w:hint="eastAsia" w:ascii="宋体"/>
                <w:bCs/>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rFonts w:ascii="宋体"/>
                <w:szCs w:val="21"/>
                <w:highlight w:val="none"/>
              </w:rPr>
            </w:pPr>
            <w:r>
              <w:rPr>
                <w:rFonts w:hint="eastAsia" w:ascii="宋体"/>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bCs/>
                <w:highlight w:val="none"/>
              </w:rPr>
            </w:pPr>
            <w:r>
              <w:rPr>
                <w:rFonts w:hint="eastAsia"/>
                <w:bCs/>
                <w:highlight w:val="none"/>
              </w:rPr>
              <w:t>3</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bCs/>
                <w:highlight w:val="none"/>
              </w:rPr>
            </w:pPr>
            <w:r>
              <w:rPr>
                <w:rFonts w:hint="eastAsia"/>
                <w:bCs/>
                <w:highlight w:val="none"/>
              </w:rPr>
              <w:t>详见公开招标公告</w:t>
            </w:r>
          </w:p>
          <w:p>
            <w:pPr>
              <w:snapToGrid w:val="0"/>
              <w:spacing w:line="300" w:lineRule="exact"/>
              <w:rPr>
                <w:bCs/>
                <w:highlight w:val="none"/>
              </w:rPr>
            </w:pPr>
            <w:r>
              <w:rPr>
                <w:rFonts w:hint="eastAsia"/>
                <w:bCs/>
                <w:highlight w:val="none"/>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bCs/>
                <w:highlight w:val="none"/>
              </w:rPr>
            </w:pPr>
            <w:r>
              <w:rPr>
                <w:rFonts w:hint="eastAsia"/>
                <w:bCs/>
                <w:highlight w:val="none"/>
              </w:rPr>
              <w:t>4</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b/>
                <w:bCs/>
                <w:highlight w:val="none"/>
              </w:rPr>
            </w:pPr>
            <w:r>
              <w:rPr>
                <w:rFonts w:hint="eastAsia" w:ascii="宋体"/>
                <w:b/>
                <w:szCs w:val="21"/>
                <w:highlight w:val="none"/>
              </w:rPr>
              <w:t>现场勘查：详见采购需求(如有)。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szCs w:val="21"/>
                <w:highlight w:val="none"/>
              </w:rPr>
            </w:pPr>
            <w:r>
              <w:rPr>
                <w:rFonts w:hint="eastAsia" w:ascii="宋体"/>
                <w:szCs w:val="21"/>
                <w:highlight w:val="none"/>
              </w:rPr>
              <w:t>5</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szCs w:val="21"/>
                <w:highlight w:val="none"/>
              </w:rPr>
            </w:pPr>
            <w:r>
              <w:rPr>
                <w:rFonts w:hint="eastAsia" w:ascii="宋体"/>
                <w:szCs w:val="21"/>
                <w:highlight w:val="none"/>
              </w:rPr>
              <w:t>演示时间及地点：无</w:t>
            </w:r>
            <w:r>
              <w:rPr>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szCs w:val="21"/>
                <w:highlight w:val="none"/>
              </w:rPr>
            </w:pPr>
            <w:r>
              <w:rPr>
                <w:rFonts w:hint="eastAsia" w:ascii="宋体"/>
                <w:szCs w:val="21"/>
                <w:highlight w:val="none"/>
              </w:rPr>
              <w:t>6</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szCs w:val="21"/>
                <w:highlight w:val="none"/>
              </w:rPr>
            </w:pPr>
            <w:r>
              <w:rPr>
                <w:rFonts w:hint="eastAsia"/>
                <w:szCs w:val="21"/>
                <w:highlight w:val="none"/>
              </w:rPr>
              <w:t>（1）答疑、澄清：</w:t>
            </w:r>
            <w:r>
              <w:rPr>
                <w:rFonts w:hint="eastAsia"/>
                <w:b/>
                <w:szCs w:val="21"/>
                <w:highlight w:val="none"/>
                <w:u w:val="single"/>
              </w:rPr>
              <w:t>投标人如认为招标文件表述不清晰、</w:t>
            </w:r>
            <w:r>
              <w:rPr>
                <w:rFonts w:hint="eastAsia"/>
                <w:b/>
                <w:bCs/>
                <w:highlight w:val="none"/>
                <w:u w:val="single"/>
              </w:rPr>
              <w:t>有误或有不合理要求的</w:t>
            </w:r>
            <w:r>
              <w:rPr>
                <w:rFonts w:hint="eastAsia"/>
                <w:szCs w:val="21"/>
                <w:highlight w:val="none"/>
              </w:rPr>
              <w:t>，</w:t>
            </w:r>
            <w:r>
              <w:rPr>
                <w:szCs w:val="21"/>
                <w:highlight w:val="none"/>
              </w:rPr>
              <w:t>应当以书面形式要求采购人或者本中心作出书面答疑、澄清</w:t>
            </w:r>
            <w:r>
              <w:rPr>
                <w:rFonts w:hint="eastAsia"/>
                <w:szCs w:val="21"/>
                <w:highlight w:val="none"/>
              </w:rPr>
              <w:t>；</w:t>
            </w:r>
          </w:p>
          <w:p>
            <w:pPr>
              <w:snapToGrid w:val="0"/>
              <w:spacing w:line="300" w:lineRule="exact"/>
              <w:rPr>
                <w:rFonts w:hAnsi="宋体"/>
                <w:szCs w:val="21"/>
                <w:highlight w:val="none"/>
              </w:rPr>
            </w:pPr>
            <w:r>
              <w:rPr>
                <w:rFonts w:hint="eastAsia" w:hAnsi="宋体"/>
                <w:szCs w:val="21"/>
                <w:highlight w:val="none"/>
              </w:rPr>
              <w:t>（2）询问、质疑：</w:t>
            </w:r>
            <w:r>
              <w:rPr>
                <w:rFonts w:hint="eastAsia" w:hAnsi="宋体"/>
                <w:b/>
                <w:szCs w:val="21"/>
                <w:highlight w:val="none"/>
                <w:u w:val="single"/>
              </w:rPr>
              <w:t>如投标人认为招标文件存在歧视性、排他性或者其他违法内容的</w:t>
            </w:r>
            <w:r>
              <w:rPr>
                <w:rFonts w:hint="eastAsia" w:hAnsi="宋体"/>
                <w:szCs w:val="21"/>
                <w:highlight w:val="none"/>
              </w:rPr>
              <w:t>，按投标人须知“一、总则（九）询问、质疑和投诉”中的要求向</w:t>
            </w:r>
            <w:r>
              <w:rPr>
                <w:rFonts w:ascii="宋体" w:hAnsi="宋体"/>
                <w:szCs w:val="21"/>
                <w:highlight w:val="none"/>
              </w:rPr>
              <w:t>采购人或者采购代理机构</w:t>
            </w:r>
            <w:r>
              <w:rPr>
                <w:rFonts w:hint="eastAsia" w:hAnsi="宋体"/>
                <w:szCs w:val="21"/>
                <w:highlight w:val="none"/>
              </w:rPr>
              <w:t>提出书面询问、质疑，并提供必要的证明材料。</w:t>
            </w:r>
          </w:p>
          <w:p>
            <w:pPr>
              <w:snapToGrid w:val="0"/>
              <w:spacing w:line="300" w:lineRule="exact"/>
              <w:ind w:firstLine="420" w:firstLineChars="200"/>
              <w:rPr>
                <w:rFonts w:ascii="宋体"/>
                <w:szCs w:val="21"/>
                <w:highlight w:val="none"/>
              </w:rPr>
            </w:pPr>
            <w:r>
              <w:rPr>
                <w:rFonts w:hint="eastAsia" w:hAnsi="宋体"/>
                <w:szCs w:val="21"/>
                <w:highlight w:val="none"/>
              </w:rPr>
              <w:t>答疑、澄清内容是招标文件的组成部份，本中心将以书面形式送达所有已报名的投标人。</w:t>
            </w:r>
            <w:r>
              <w:rPr>
                <w:rFonts w:hint="eastAsia" w:hAnsi="宋体"/>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szCs w:val="21"/>
                <w:highlight w:val="none"/>
              </w:rPr>
            </w:pPr>
            <w:r>
              <w:rPr>
                <w:rFonts w:hint="eastAsia" w:ascii="宋体"/>
                <w:szCs w:val="21"/>
                <w:highlight w:val="none"/>
              </w:rPr>
              <w:t>7</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hAnsi="宋体"/>
                <w:szCs w:val="21"/>
                <w:highlight w:val="none"/>
              </w:rPr>
              <w:t>投标文件形式：</w:t>
            </w:r>
            <w:r>
              <w:rPr>
                <w:rFonts w:hint="eastAsia" w:ascii="宋体"/>
                <w:snapToGrid w:val="0"/>
                <w:sz w:val="22"/>
                <w:highlight w:val="none"/>
              </w:rPr>
              <w:t>投标供应商应准备电子投标文件。</w:t>
            </w:r>
          </w:p>
          <w:p>
            <w:pPr>
              <w:autoSpaceDE w:val="0"/>
              <w:autoSpaceDN w:val="0"/>
              <w:snapToGrid w:val="0"/>
              <w:spacing w:line="300" w:lineRule="exact"/>
              <w:textAlignment w:val="bottom"/>
              <w:rPr>
                <w:rFonts w:ascii="宋体"/>
                <w:szCs w:val="21"/>
                <w:highlight w:val="none"/>
              </w:rPr>
            </w:pPr>
            <w:r>
              <w:rPr>
                <w:rFonts w:hint="eastAsia" w:ascii="宋体"/>
                <w:snapToGrid w:val="0"/>
                <w:sz w:val="22"/>
                <w:highlight w:val="none"/>
              </w:rPr>
              <w:t>电子投标文件是指通过“</w:t>
            </w:r>
            <w:r>
              <w:rPr>
                <w:rFonts w:ascii="宋体"/>
                <w:snapToGrid w:val="0"/>
                <w:sz w:val="22"/>
                <w:highlight w:val="none"/>
              </w:rPr>
              <w:t>广西政府采购云</w:t>
            </w:r>
            <w:r>
              <w:rPr>
                <w:highlight w:val="none"/>
              </w:rPr>
              <w:t>电子投标</w:t>
            </w:r>
            <w:r>
              <w:rPr>
                <w:rFonts w:hint="eastAsia" w:ascii="宋体"/>
                <w:snapToGrid w:val="0"/>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8</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hAnsi="宋体"/>
                <w:szCs w:val="21"/>
                <w:highlight w:val="none"/>
              </w:rPr>
            </w:pPr>
            <w:r>
              <w:rPr>
                <w:rFonts w:hint="eastAsia" w:ascii="宋体"/>
                <w:snapToGrid w:val="0"/>
                <w:sz w:val="22"/>
                <w:highlight w:val="none"/>
              </w:rPr>
              <w:t>投标文件的编制：供应商应先安装“</w:t>
            </w:r>
            <w:r>
              <w:rPr>
                <w:rFonts w:ascii="宋体"/>
                <w:snapToGrid w:val="0"/>
                <w:sz w:val="22"/>
                <w:highlight w:val="none"/>
              </w:rPr>
              <w:t>广西政府采购云</w:t>
            </w:r>
            <w:r>
              <w:rPr>
                <w:highlight w:val="none"/>
              </w:rPr>
              <w:t>电子投标</w:t>
            </w:r>
            <w:r>
              <w:rPr>
                <w:rFonts w:hint="eastAsia" w:ascii="宋体"/>
                <w:snapToGrid w:val="0"/>
                <w:sz w:val="22"/>
                <w:highlight w:val="none"/>
              </w:rPr>
              <w:t>客户端”，并按照本招标文件和“</w:t>
            </w:r>
            <w:r>
              <w:rPr>
                <w:rFonts w:ascii="宋体"/>
                <w:snapToGrid w:val="0"/>
                <w:sz w:val="22"/>
                <w:highlight w:val="none"/>
              </w:rPr>
              <w:t>广西政府采购云平台</w:t>
            </w:r>
            <w:r>
              <w:rPr>
                <w:rFonts w:hint="eastAsia" w:ascii="宋体"/>
                <w:snapToGrid w:val="0"/>
                <w:sz w:val="22"/>
                <w:highlight w:val="none"/>
              </w:rPr>
              <w:t>”的要求，通过“</w:t>
            </w:r>
            <w:r>
              <w:rPr>
                <w:rFonts w:ascii="宋体"/>
                <w:snapToGrid w:val="0"/>
                <w:sz w:val="22"/>
                <w:highlight w:val="none"/>
              </w:rPr>
              <w:t>广西政府采购云</w:t>
            </w:r>
            <w:r>
              <w:rPr>
                <w:highlight w:val="none"/>
              </w:rPr>
              <w:t>电子投标</w:t>
            </w:r>
            <w:r>
              <w:rPr>
                <w:rFonts w:hint="eastAsia" w:ascii="宋体"/>
                <w:snapToGrid w:val="0"/>
                <w:sz w:val="22"/>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9</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snapToGrid w:val="0"/>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10</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snapToGrid w:val="0"/>
                <w:sz w:val="22"/>
                <w:highlight w:val="none"/>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11</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snapToGrid w:val="0"/>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12</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snapToGrid w:val="0"/>
                <w:sz w:val="22"/>
                <w:highlight w:val="none"/>
              </w:rPr>
              <w:t>投标文件的上传和提交：本项目通过“</w:t>
            </w:r>
            <w:r>
              <w:rPr>
                <w:rFonts w:ascii="宋体"/>
                <w:snapToGrid w:val="0"/>
                <w:sz w:val="22"/>
                <w:highlight w:val="none"/>
              </w:rPr>
              <w:t>广西政府采购云平台（http://www.gcy.zfcg.gxzf.gov.cn）”实行在线投标响应（电子投标），投标供应商应当在投标截止时间前，将生成的“电子加密投标文件”上传提交至“</w:t>
            </w:r>
            <w:r>
              <w:rPr>
                <w:rFonts w:hint="eastAsia" w:ascii="宋体"/>
                <w:snapToGrid w:val="0"/>
                <w:sz w:val="22"/>
                <w:highlight w:val="none"/>
              </w:rPr>
              <w:t>广西政府采购云平台</w:t>
            </w:r>
            <w:r>
              <w:rPr>
                <w:rFonts w:ascii="宋体"/>
                <w:snapToGrid w:val="0"/>
                <w:sz w:val="22"/>
                <w:highlight w:val="none"/>
              </w:rPr>
              <w:t>”。</w:t>
            </w:r>
          </w:p>
          <w:p>
            <w:pPr>
              <w:spacing w:line="300" w:lineRule="exact"/>
              <w:rPr>
                <w:rFonts w:ascii="宋体"/>
                <w:snapToGrid w:val="0"/>
                <w:sz w:val="22"/>
                <w:highlight w:val="none"/>
              </w:rPr>
            </w:pPr>
            <w:r>
              <w:rPr>
                <w:rFonts w:hint="eastAsia" w:ascii="宋体"/>
                <w:snapToGrid w:val="0"/>
                <w:sz w:val="22"/>
                <w:highlight w:val="none"/>
              </w:rPr>
              <w:t>“电子加密投标文件”的上传、提交：</w:t>
            </w:r>
          </w:p>
          <w:p>
            <w:pPr>
              <w:spacing w:line="300" w:lineRule="exact"/>
              <w:rPr>
                <w:rFonts w:ascii="宋体"/>
                <w:snapToGrid w:val="0"/>
                <w:sz w:val="22"/>
                <w:highlight w:val="none"/>
              </w:rPr>
            </w:pPr>
            <w:r>
              <w:rPr>
                <w:rFonts w:hint="eastAsia" w:ascii="宋体"/>
                <w:snapToGrid w:val="0"/>
                <w:sz w:val="22"/>
                <w:highlight w:val="none"/>
              </w:rPr>
              <w:t>a.投标供应商应在投标截止时间前将“电子加密投标文件”成功上传提交至“广西政府采购云平台”，否则投标无效。</w:t>
            </w:r>
          </w:p>
          <w:p>
            <w:pPr>
              <w:spacing w:line="300" w:lineRule="exact"/>
              <w:rPr>
                <w:rFonts w:ascii="宋体"/>
                <w:snapToGrid w:val="0"/>
                <w:sz w:val="22"/>
                <w:highlight w:val="none"/>
              </w:rPr>
            </w:pPr>
            <w:r>
              <w:rPr>
                <w:rFonts w:hint="eastAsia" w:ascii="宋体"/>
                <w:snapToGrid w:val="0"/>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13</w:t>
            </w:r>
          </w:p>
        </w:tc>
        <w:tc>
          <w:tcPr>
            <w:tcW w:w="8820" w:type="dxa"/>
            <w:tcBorders>
              <w:top w:val="single" w:color="auto" w:sz="4" w:space="0"/>
              <w:left w:val="single" w:color="auto" w:sz="4" w:space="0"/>
              <w:bottom w:val="single" w:color="auto" w:sz="4" w:space="0"/>
              <w:right w:val="single" w:color="auto" w:sz="4" w:space="0"/>
            </w:tcBorders>
            <w:noWrap/>
            <w:vAlign w:val="center"/>
          </w:tcPr>
          <w:p>
            <w:pPr>
              <w:spacing w:line="300" w:lineRule="exact"/>
              <w:rPr>
                <w:rFonts w:ascii="宋体"/>
                <w:snapToGrid w:val="0"/>
                <w:sz w:val="22"/>
                <w:highlight w:val="none"/>
              </w:rPr>
            </w:pPr>
            <w:r>
              <w:rPr>
                <w:rFonts w:hint="eastAsia" w:ascii="宋体"/>
                <w:snapToGrid w:val="0"/>
                <w:sz w:val="22"/>
                <w:highlight w:val="none"/>
              </w:rPr>
              <w:t>电子加密投标文件的解密：</w:t>
            </w:r>
          </w:p>
          <w:p>
            <w:pPr>
              <w:spacing w:line="300" w:lineRule="exact"/>
              <w:rPr>
                <w:rFonts w:ascii="宋体"/>
                <w:snapToGrid w:val="0"/>
                <w:sz w:val="22"/>
                <w:highlight w:val="none"/>
              </w:rPr>
            </w:pPr>
            <w:r>
              <w:rPr>
                <w:rFonts w:hint="eastAsia" w:ascii="宋体"/>
                <w:snapToGrid w:val="0"/>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14</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rFonts w:ascii="宋体" w:hAnsi="宋体"/>
                <w:szCs w:val="21"/>
                <w:highlight w:val="none"/>
              </w:rPr>
            </w:pPr>
            <w:r>
              <w:rPr>
                <w:rFonts w:hint="eastAsia" w:ascii="宋体" w:hAnsi="宋体"/>
                <w:szCs w:val="21"/>
                <w:highlight w:val="none"/>
              </w:rPr>
              <w:t>投标截止时间及地点：</w:t>
            </w:r>
            <w:r>
              <w:rPr>
                <w:b/>
                <w:bCs/>
                <w:highlight w:val="none"/>
              </w:rPr>
              <w:t>202</w:t>
            </w:r>
            <w:r>
              <w:rPr>
                <w:rFonts w:hint="eastAsia"/>
                <w:b/>
                <w:bCs/>
                <w:highlight w:val="none"/>
              </w:rPr>
              <w:t>6</w:t>
            </w:r>
            <w:r>
              <w:rPr>
                <w:b/>
                <w:bCs/>
                <w:highlight w:val="none"/>
              </w:rPr>
              <w:t>年</w:t>
            </w:r>
            <w:r>
              <w:rPr>
                <w:rFonts w:hint="eastAsia"/>
                <w:b/>
                <w:bCs/>
                <w:highlight w:val="none"/>
                <w:lang w:val="en-US" w:eastAsia="zh-CN"/>
              </w:rPr>
              <w:t>9</w:t>
            </w:r>
            <w:r>
              <w:rPr>
                <w:b/>
                <w:bCs/>
                <w:highlight w:val="none"/>
              </w:rPr>
              <w:t>月</w:t>
            </w:r>
            <w:r>
              <w:rPr>
                <w:rFonts w:hint="eastAsia"/>
                <w:b/>
                <w:bCs/>
                <w:highlight w:val="none"/>
              </w:rPr>
              <w:t>1</w:t>
            </w:r>
            <w:r>
              <w:rPr>
                <w:b/>
                <w:bCs/>
                <w:highlight w:val="none"/>
              </w:rPr>
              <w:t>日</w:t>
            </w:r>
            <w:r>
              <w:rPr>
                <w:rFonts w:hint="eastAsia"/>
                <w:b/>
                <w:highlight w:val="none"/>
              </w:rPr>
              <w:t>上午10时整，</w:t>
            </w:r>
            <w:r>
              <w:rPr>
                <w:rFonts w:ascii="宋体" w:hAnsi="宋体" w:cs="Arial"/>
                <w:b/>
                <w:szCs w:val="21"/>
                <w:highlight w:val="none"/>
                <w:u w:val="single"/>
              </w:rPr>
              <w:t>南宁市星湖路22号</w:t>
            </w:r>
            <w:r>
              <w:rPr>
                <w:rFonts w:hint="eastAsia" w:ascii="宋体" w:hAnsi="宋体" w:cs="Arial"/>
                <w:b/>
                <w:szCs w:val="21"/>
                <w:highlight w:val="none"/>
                <w:u w:val="single"/>
              </w:rPr>
              <w:t>广西壮族自治区政府采购中心开标大厅</w:t>
            </w:r>
            <w:r>
              <w:rPr>
                <w:rFonts w:hint="eastAsia"/>
                <w:b/>
                <w:highlight w:val="none"/>
                <w:u w:val="single"/>
              </w:rPr>
              <w:t>。</w:t>
            </w:r>
            <w:r>
              <w:rPr>
                <w:rFonts w:hint="eastAsia"/>
                <w:b/>
                <w:highlight w:val="none"/>
              </w:rPr>
              <w:t>（</w:t>
            </w:r>
            <w:r>
              <w:rPr>
                <w:rFonts w:hint="eastAsia" w:ascii="宋体"/>
                <w:sz w:val="22"/>
                <w:highlight w:val="none"/>
              </w:rPr>
              <w:t>本项目采用在线开评标方式，投标供应商无须前往开标现场</w:t>
            </w:r>
            <w:r>
              <w:rPr>
                <w:rFonts w:hint="eastAsia"/>
                <w:b/>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15</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00" w:lineRule="exact"/>
              <w:rPr>
                <w:rFonts w:ascii="宋体" w:hAnsi="宋体"/>
                <w:szCs w:val="21"/>
                <w:highlight w:val="none"/>
              </w:rPr>
            </w:pPr>
            <w:r>
              <w:rPr>
                <w:rFonts w:hint="eastAsia" w:ascii="宋体" w:hAnsi="宋体"/>
                <w:szCs w:val="21"/>
                <w:highlight w:val="none"/>
              </w:rPr>
              <w:t>开标时间及地点：</w:t>
            </w:r>
            <w:r>
              <w:rPr>
                <w:b/>
                <w:bCs/>
                <w:highlight w:val="none"/>
              </w:rPr>
              <w:t>202</w:t>
            </w:r>
            <w:r>
              <w:rPr>
                <w:rFonts w:hint="eastAsia"/>
                <w:b/>
                <w:bCs/>
                <w:highlight w:val="none"/>
              </w:rPr>
              <w:t>6</w:t>
            </w:r>
            <w:r>
              <w:rPr>
                <w:b/>
                <w:bCs/>
                <w:highlight w:val="none"/>
              </w:rPr>
              <w:t>年</w:t>
            </w:r>
            <w:r>
              <w:rPr>
                <w:rFonts w:hint="eastAsia"/>
                <w:b/>
                <w:bCs/>
                <w:highlight w:val="none"/>
                <w:lang w:val="en-US" w:eastAsia="zh-CN"/>
              </w:rPr>
              <w:t>9</w:t>
            </w:r>
            <w:r>
              <w:rPr>
                <w:b/>
                <w:bCs/>
                <w:highlight w:val="none"/>
              </w:rPr>
              <w:t>月</w:t>
            </w:r>
            <w:r>
              <w:rPr>
                <w:rFonts w:hint="eastAsia"/>
                <w:b/>
                <w:bCs/>
                <w:highlight w:val="none"/>
              </w:rPr>
              <w:t>1</w:t>
            </w:r>
            <w:bookmarkStart w:id="20" w:name="_GoBack"/>
            <w:bookmarkEnd w:id="20"/>
            <w:r>
              <w:rPr>
                <w:b/>
                <w:bCs/>
                <w:highlight w:val="none"/>
              </w:rPr>
              <w:t>日</w:t>
            </w:r>
            <w:r>
              <w:rPr>
                <w:rFonts w:hint="eastAsia"/>
                <w:b/>
                <w:highlight w:val="none"/>
              </w:rPr>
              <w:t>上午10时整，</w:t>
            </w:r>
            <w:r>
              <w:rPr>
                <w:rFonts w:ascii="宋体" w:hAnsi="宋体" w:cs="Arial"/>
                <w:b/>
                <w:szCs w:val="21"/>
                <w:highlight w:val="none"/>
                <w:u w:val="single"/>
              </w:rPr>
              <w:t>南宁市星湖路22号</w:t>
            </w:r>
            <w:r>
              <w:rPr>
                <w:rFonts w:hint="eastAsia" w:ascii="宋体" w:hAnsi="宋体" w:cs="Arial"/>
                <w:b/>
                <w:szCs w:val="21"/>
                <w:highlight w:val="none"/>
                <w:u w:val="single"/>
              </w:rPr>
              <w:t>广西壮族自治区政府采购中心开标大厅</w:t>
            </w:r>
            <w:r>
              <w:rPr>
                <w:rFonts w:hint="eastAsia"/>
                <w:b/>
                <w:highlight w:val="none"/>
                <w:u w:val="single"/>
              </w:rPr>
              <w:t>。</w:t>
            </w:r>
            <w:r>
              <w:rPr>
                <w:rFonts w:hint="eastAsia"/>
                <w:b/>
                <w:highlight w:val="none"/>
              </w:rPr>
              <w:t>（</w:t>
            </w:r>
            <w:r>
              <w:rPr>
                <w:rFonts w:hint="eastAsia" w:ascii="宋体"/>
                <w:sz w:val="22"/>
                <w:highlight w:val="none"/>
              </w:rPr>
              <w:t>本项目采用在线开评标方式，投标供应商无须前往开标现场</w:t>
            </w:r>
            <w:r>
              <w:rPr>
                <w:rFonts w:hint="eastAsia"/>
                <w:b/>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16</w:t>
            </w:r>
          </w:p>
        </w:tc>
        <w:tc>
          <w:tcPr>
            <w:tcW w:w="8820" w:type="dxa"/>
            <w:tcBorders>
              <w:top w:val="single" w:color="auto" w:sz="4" w:space="0"/>
              <w:left w:val="single" w:color="auto" w:sz="4" w:space="0"/>
              <w:bottom w:val="single" w:color="auto" w:sz="4" w:space="0"/>
              <w:right w:val="single" w:color="auto" w:sz="4" w:space="0"/>
            </w:tcBorders>
            <w:noWrap/>
            <w:vAlign w:val="center"/>
          </w:tcPr>
          <w:p>
            <w:pPr>
              <w:autoSpaceDE w:val="0"/>
              <w:autoSpaceDN w:val="0"/>
              <w:snapToGrid w:val="0"/>
              <w:spacing w:line="360" w:lineRule="exact"/>
              <w:textAlignment w:val="bottom"/>
              <w:rPr>
                <w:rFonts w:ascii="宋体" w:hAnsi="宋体"/>
                <w:szCs w:val="21"/>
                <w:highlight w:val="none"/>
              </w:rPr>
            </w:pPr>
            <w:r>
              <w:rPr>
                <w:rFonts w:ascii="宋体" w:hAnsi="宋体"/>
                <w:szCs w:val="21"/>
                <w:highlight w:val="none"/>
              </w:rPr>
              <w:t>评标</w:t>
            </w:r>
            <w:r>
              <w:rPr>
                <w:rFonts w:hint="eastAsia" w:ascii="宋体" w:hAnsi="宋体"/>
                <w:szCs w:val="21"/>
                <w:highlight w:val="none"/>
              </w:rPr>
              <w:t>方</w:t>
            </w:r>
            <w:r>
              <w:rPr>
                <w:rFonts w:ascii="宋体" w:hAnsi="宋体"/>
                <w:szCs w:val="21"/>
                <w:highlight w:val="none"/>
              </w:rPr>
              <w:t>法</w:t>
            </w:r>
            <w:r>
              <w:rPr>
                <w:rFonts w:hint="eastAsia" w:ascii="宋体" w:hAnsi="宋体"/>
                <w:szCs w:val="21"/>
                <w:highlight w:val="none"/>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17</w:t>
            </w:r>
          </w:p>
        </w:tc>
        <w:tc>
          <w:tcPr>
            <w:tcW w:w="8820" w:type="dxa"/>
            <w:tcBorders>
              <w:top w:val="single" w:color="auto" w:sz="4" w:space="0"/>
              <w:left w:val="single" w:color="auto" w:sz="4" w:space="0"/>
              <w:bottom w:val="single" w:color="auto" w:sz="4" w:space="0"/>
              <w:right w:val="single" w:color="auto" w:sz="4" w:space="0"/>
            </w:tcBorders>
            <w:noWrap/>
            <w:vAlign w:val="center"/>
          </w:tcPr>
          <w:p>
            <w:pPr>
              <w:autoSpaceDE w:val="0"/>
              <w:autoSpaceDN w:val="0"/>
              <w:snapToGrid w:val="0"/>
              <w:spacing w:line="300" w:lineRule="exact"/>
              <w:textAlignment w:val="bottom"/>
              <w:rPr>
                <w:rFonts w:ascii="宋体" w:hAnsi="宋体"/>
                <w:szCs w:val="21"/>
                <w:highlight w:val="none"/>
              </w:rPr>
            </w:pPr>
            <w:r>
              <w:rPr>
                <w:rFonts w:hint="eastAsia" w:ascii="宋体" w:hAnsi="宋体"/>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szCs w:val="21"/>
                <w:highlight w:val="none"/>
              </w:rPr>
              <w:t>（详细见公告中公布的网站）</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18</w:t>
            </w:r>
          </w:p>
        </w:tc>
        <w:tc>
          <w:tcPr>
            <w:tcW w:w="8820" w:type="dxa"/>
            <w:tcBorders>
              <w:top w:val="single" w:color="auto" w:sz="4" w:space="0"/>
              <w:left w:val="single" w:color="auto" w:sz="4" w:space="0"/>
              <w:bottom w:val="single" w:color="auto" w:sz="4" w:space="0"/>
              <w:right w:val="single" w:color="auto" w:sz="4" w:space="0"/>
            </w:tcBorders>
            <w:noWrap/>
            <w:vAlign w:val="center"/>
          </w:tcPr>
          <w:p>
            <w:pPr>
              <w:autoSpaceDE w:val="0"/>
              <w:autoSpaceDN w:val="0"/>
              <w:snapToGrid w:val="0"/>
              <w:spacing w:line="320" w:lineRule="exact"/>
              <w:textAlignment w:val="bottom"/>
              <w:rPr>
                <w:rFonts w:ascii="宋体" w:hAnsi="宋体"/>
                <w:szCs w:val="21"/>
                <w:highlight w:val="none"/>
              </w:rPr>
            </w:pPr>
            <w:r>
              <w:rPr>
                <w:rFonts w:hint="eastAsia" w:ascii="宋体" w:hAnsi="宋体"/>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19</w:t>
            </w:r>
          </w:p>
        </w:tc>
        <w:tc>
          <w:tcPr>
            <w:tcW w:w="8820"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rPr>
                <w:rFonts w:ascii="宋体" w:hAnsi="宋体" w:cs="宋体"/>
                <w:kern w:val="0"/>
                <w:szCs w:val="21"/>
                <w:highlight w:val="none"/>
              </w:rPr>
            </w:pPr>
            <w:r>
              <w:rPr>
                <w:rFonts w:hint="eastAsia" w:ascii="宋体" w:hAnsi="宋体"/>
                <w:szCs w:val="21"/>
                <w:highlight w:val="none"/>
              </w:rPr>
              <w:t>付款方式：</w:t>
            </w:r>
            <w:r>
              <w:rPr>
                <w:rFonts w:hint="eastAsia" w:ascii="宋体" w:hAnsi="宋体" w:cs="宋体"/>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20</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rPr>
                <w:rFonts w:ascii="宋体" w:hAnsi="宋体"/>
                <w:szCs w:val="21"/>
                <w:highlight w:val="none"/>
              </w:rPr>
            </w:pPr>
            <w:r>
              <w:rPr>
                <w:rFonts w:hint="eastAsia" w:ascii="宋体" w:hAnsi="宋体"/>
                <w:szCs w:val="21"/>
                <w:highlight w:val="none"/>
              </w:rPr>
              <w:t>投标文件有效期：</w:t>
            </w:r>
            <w:r>
              <w:rPr>
                <w:rFonts w:hint="eastAsia" w:ascii="宋体" w:hAnsi="宋体" w:cs="Arial"/>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ascii="宋体" w:hAnsi="宋体"/>
                <w:szCs w:val="21"/>
                <w:highlight w:val="none"/>
              </w:rPr>
              <w:t>21</w:t>
            </w:r>
          </w:p>
        </w:tc>
        <w:tc>
          <w:tcPr>
            <w:tcW w:w="8820" w:type="dxa"/>
            <w:tcBorders>
              <w:top w:val="single" w:color="auto" w:sz="4" w:space="0"/>
              <w:left w:val="single" w:color="auto" w:sz="4" w:space="0"/>
              <w:bottom w:val="single" w:color="auto" w:sz="4" w:space="0"/>
              <w:right w:val="single" w:color="auto" w:sz="4" w:space="0"/>
            </w:tcBorders>
            <w:noWrap/>
            <w:vAlign w:val="center"/>
          </w:tcPr>
          <w:p>
            <w:pPr>
              <w:rPr>
                <w:rFonts w:ascii="宋体" w:hAnsi="宋体"/>
                <w:b/>
                <w:bCs/>
                <w:snapToGrid w:val="0"/>
                <w:szCs w:val="21"/>
                <w:highlight w:val="none"/>
              </w:rPr>
            </w:pPr>
            <w:r>
              <w:rPr>
                <w:rFonts w:hint="eastAsia" w:ascii="宋体" w:hAnsi="宋体"/>
                <w:b/>
                <w:bCs/>
                <w:snapToGrid w:val="0"/>
                <w:szCs w:val="21"/>
                <w:highlight w:val="none"/>
              </w:rPr>
              <w:t>对招标文件、采购过程或者中标结果的质疑由采购人接收或采购代理机构代为接收，由采购人负责答复。</w:t>
            </w:r>
          </w:p>
          <w:p>
            <w:pPr>
              <w:rPr>
                <w:rFonts w:ascii="宋体" w:hAnsi="宋体"/>
                <w:b/>
                <w:bCs/>
                <w:snapToGrid w:val="0"/>
                <w:szCs w:val="21"/>
                <w:highlight w:val="none"/>
              </w:rPr>
            </w:pPr>
            <w:r>
              <w:rPr>
                <w:rFonts w:hint="eastAsia" w:ascii="宋体" w:hAnsi="宋体"/>
                <w:b/>
                <w:bCs/>
                <w:snapToGrid w:val="0"/>
                <w:szCs w:val="21"/>
                <w:highlight w:val="none"/>
              </w:rPr>
              <w:t>接收质疑函方式：以书面形式。</w:t>
            </w:r>
          </w:p>
          <w:p>
            <w:pPr>
              <w:rPr>
                <w:rFonts w:ascii="宋体" w:hAnsi="宋体"/>
                <w:b/>
                <w:bCs/>
                <w:snapToGrid w:val="0"/>
                <w:szCs w:val="21"/>
                <w:highlight w:val="none"/>
              </w:rPr>
            </w:pPr>
            <w:r>
              <w:rPr>
                <w:rFonts w:hint="eastAsia" w:ascii="宋体" w:hAnsi="宋体"/>
                <w:b/>
                <w:bCs/>
                <w:snapToGrid w:val="0"/>
                <w:szCs w:val="21"/>
                <w:highlight w:val="none"/>
              </w:rPr>
              <w:t>质疑联系部门及联系方式：</w:t>
            </w:r>
          </w:p>
          <w:p>
            <w:pPr>
              <w:rPr>
                <w:rFonts w:ascii="宋体" w:hAnsi="宋体"/>
                <w:b/>
                <w:bCs/>
                <w:snapToGrid w:val="0"/>
                <w:szCs w:val="21"/>
                <w:highlight w:val="none"/>
              </w:rPr>
            </w:pPr>
            <w:r>
              <w:rPr>
                <w:rFonts w:hint="eastAsia" w:ascii="宋体" w:hAnsi="宋体"/>
                <w:b/>
                <w:bCs/>
                <w:snapToGrid w:val="0"/>
                <w:szCs w:val="21"/>
                <w:highlight w:val="none"/>
              </w:rPr>
              <w:t xml:space="preserve">（1）广西壮族自治区政府采购中心内审科     </w:t>
            </w:r>
          </w:p>
          <w:p>
            <w:pPr>
              <w:rPr>
                <w:rFonts w:ascii="宋体" w:hAnsi="宋体"/>
                <w:b/>
                <w:bCs/>
                <w:snapToGrid w:val="0"/>
                <w:szCs w:val="21"/>
                <w:highlight w:val="none"/>
              </w:rPr>
            </w:pPr>
            <w:r>
              <w:rPr>
                <w:rFonts w:hint="eastAsia" w:ascii="宋体" w:hAnsi="宋体"/>
                <w:b/>
                <w:bCs/>
                <w:snapToGrid w:val="0"/>
                <w:szCs w:val="21"/>
                <w:highlight w:val="none"/>
              </w:rPr>
              <w:t>电话：0771-8600453</w:t>
            </w:r>
          </w:p>
          <w:p>
            <w:pPr>
              <w:rPr>
                <w:rFonts w:ascii="宋体" w:hAnsi="宋体"/>
                <w:b/>
                <w:bCs/>
                <w:snapToGrid w:val="0"/>
                <w:szCs w:val="21"/>
                <w:highlight w:val="none"/>
              </w:rPr>
            </w:pPr>
            <w:r>
              <w:rPr>
                <w:rFonts w:hint="eastAsia" w:ascii="宋体" w:hAnsi="宋体"/>
                <w:b/>
                <w:bCs/>
                <w:snapToGrid w:val="0"/>
                <w:szCs w:val="21"/>
                <w:highlight w:val="none"/>
              </w:rPr>
              <w:t>地址：广西南宁市星湖路22号</w:t>
            </w:r>
          </w:p>
          <w:p>
            <w:pPr>
              <w:rPr>
                <w:rFonts w:hint="eastAsia" w:ascii="宋体" w:hAnsi="宋体" w:eastAsia="宋体"/>
                <w:b/>
                <w:bCs/>
                <w:snapToGrid w:val="0"/>
                <w:szCs w:val="21"/>
                <w:highlight w:val="none"/>
                <w:lang w:eastAsia="zh-CN"/>
              </w:rPr>
            </w:pPr>
            <w:r>
              <w:rPr>
                <w:rFonts w:hint="eastAsia" w:ascii="宋体" w:hAnsi="宋体"/>
                <w:b/>
                <w:bCs/>
                <w:snapToGrid w:val="0"/>
                <w:szCs w:val="21"/>
                <w:highlight w:val="none"/>
              </w:rPr>
              <w:t>（2）</w:t>
            </w:r>
            <w:r>
              <w:rPr>
                <w:rFonts w:hint="eastAsia" w:ascii="宋体" w:hAnsi="宋体"/>
                <w:b/>
                <w:bCs/>
                <w:snapToGrid w:val="0"/>
                <w:szCs w:val="21"/>
                <w:highlight w:val="none"/>
                <w:lang w:eastAsia="zh-CN"/>
              </w:rPr>
              <w:t>广西交通技师学院</w:t>
            </w:r>
          </w:p>
          <w:p>
            <w:pPr>
              <w:rPr>
                <w:rFonts w:ascii="宋体" w:hAnsi="宋体"/>
                <w:b/>
                <w:bCs/>
                <w:snapToGrid w:val="0"/>
                <w:szCs w:val="21"/>
                <w:highlight w:val="none"/>
              </w:rPr>
            </w:pPr>
            <w:r>
              <w:rPr>
                <w:rFonts w:hint="eastAsia" w:ascii="宋体" w:hAnsi="宋体"/>
                <w:b/>
                <w:bCs/>
                <w:snapToGrid w:val="0"/>
                <w:szCs w:val="21"/>
                <w:highlight w:val="none"/>
              </w:rPr>
              <w:t>电话：0771-5075508</w:t>
            </w:r>
          </w:p>
          <w:p>
            <w:pPr>
              <w:rPr>
                <w:rFonts w:ascii="宋体" w:hAnsi="宋体"/>
                <w:b/>
                <w:bCs/>
                <w:snapToGrid w:val="0"/>
                <w:szCs w:val="21"/>
                <w:highlight w:val="none"/>
              </w:rPr>
            </w:pPr>
            <w:r>
              <w:rPr>
                <w:rFonts w:hint="eastAsia" w:ascii="宋体" w:hAnsi="宋体"/>
                <w:b/>
                <w:bCs/>
                <w:snapToGrid w:val="0"/>
                <w:szCs w:val="21"/>
                <w:highlight w:val="none"/>
              </w:rPr>
              <w:t>地址：广西扶绥县空港大道21号</w:t>
            </w:r>
          </w:p>
          <w:p>
            <w:pPr>
              <w:rPr>
                <w:rFonts w:ascii="宋体" w:hAnsi="宋体"/>
                <w:szCs w:val="21"/>
                <w:highlight w:val="none"/>
              </w:rPr>
            </w:pPr>
            <w:r>
              <w:rPr>
                <w:rFonts w:hint="eastAsia" w:ascii="宋体" w:hAnsi="宋体"/>
                <w:b/>
                <w:bCs/>
                <w:snapToGrid w:val="0"/>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2</w:t>
            </w:r>
            <w:r>
              <w:rPr>
                <w:rFonts w:ascii="宋体" w:hAnsi="宋体"/>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rPr>
                <w:rFonts w:ascii="宋体" w:hAnsi="宋体"/>
                <w:szCs w:val="21"/>
                <w:highlight w:val="none"/>
              </w:rPr>
            </w:pPr>
            <w:r>
              <w:rPr>
                <w:rFonts w:hint="eastAsia" w:hAnsi="宋体"/>
                <w:highlight w:val="none"/>
              </w:rPr>
              <w:t>本招标文件解释权属广西壮族自治区政府采购中心。</w:t>
            </w:r>
          </w:p>
        </w:tc>
      </w:tr>
    </w:tbl>
    <w:p>
      <w:pPr>
        <w:pStyle w:val="31"/>
        <w:snapToGrid w:val="0"/>
        <w:spacing w:before="120" w:after="120" w:line="360" w:lineRule="exact"/>
        <w:jc w:val="center"/>
        <w:rPr>
          <w:rFonts w:ascii="仿宋_GB2312" w:eastAsia="仿宋_GB2312"/>
          <w:b/>
          <w:sz w:val="32"/>
          <w:szCs w:val="32"/>
          <w:highlight w:val="none"/>
        </w:rPr>
      </w:pPr>
    </w:p>
    <w:p>
      <w:pPr>
        <w:pStyle w:val="31"/>
        <w:snapToGrid w:val="0"/>
        <w:spacing w:before="120" w:after="120" w:line="360" w:lineRule="exact"/>
        <w:jc w:val="center"/>
        <w:rPr>
          <w:b/>
          <w:highlight w:val="none"/>
        </w:rPr>
      </w:pPr>
      <w:r>
        <w:rPr>
          <w:rFonts w:ascii="仿宋_GB2312" w:eastAsia="仿宋_GB2312"/>
          <w:b/>
          <w:sz w:val="32"/>
          <w:szCs w:val="32"/>
          <w:highlight w:val="none"/>
        </w:rPr>
        <w:br w:type="page"/>
      </w:r>
      <w:r>
        <w:rPr>
          <w:rFonts w:hint="eastAsia" w:ascii="仿宋_GB2312" w:eastAsia="仿宋_GB2312"/>
          <w:b/>
          <w:sz w:val="32"/>
          <w:szCs w:val="32"/>
          <w:highlight w:val="none"/>
        </w:rPr>
        <w:t>投标人须知</w:t>
      </w:r>
    </w:p>
    <w:p>
      <w:pPr>
        <w:pStyle w:val="31"/>
        <w:snapToGrid w:val="0"/>
        <w:spacing w:before="120" w:after="120" w:line="360" w:lineRule="exact"/>
        <w:rPr>
          <w:b/>
          <w:highlight w:val="none"/>
        </w:rPr>
      </w:pPr>
      <w:r>
        <w:rPr>
          <w:rFonts w:hint="eastAsia"/>
          <w:b/>
          <w:highlight w:val="none"/>
        </w:rPr>
        <w:t>一、总  则</w:t>
      </w:r>
    </w:p>
    <w:p>
      <w:pPr>
        <w:snapToGrid w:val="0"/>
        <w:spacing w:line="360" w:lineRule="exact"/>
        <w:ind w:firstLine="411" w:firstLineChars="196"/>
        <w:jc w:val="left"/>
        <w:outlineLvl w:val="1"/>
        <w:rPr>
          <w:rFonts w:ascii="宋体"/>
          <w:szCs w:val="21"/>
          <w:highlight w:val="none"/>
        </w:rPr>
      </w:pPr>
      <w:r>
        <w:rPr>
          <w:rFonts w:hint="eastAsia" w:ascii="宋体"/>
          <w:szCs w:val="21"/>
          <w:highlight w:val="none"/>
        </w:rPr>
        <w:t>（一） 适用范围</w:t>
      </w:r>
    </w:p>
    <w:p>
      <w:pPr>
        <w:snapToGrid w:val="0"/>
        <w:spacing w:line="360" w:lineRule="exact"/>
        <w:ind w:firstLine="420" w:firstLineChars="200"/>
        <w:jc w:val="left"/>
        <w:rPr>
          <w:rFonts w:ascii="宋体"/>
          <w:szCs w:val="21"/>
          <w:highlight w:val="none"/>
        </w:rPr>
      </w:pPr>
      <w:r>
        <w:rPr>
          <w:rFonts w:hint="eastAsia" w:ascii="宋体"/>
          <w:szCs w:val="21"/>
          <w:highlight w:val="none"/>
        </w:rPr>
        <w:t>本招标文件适用本项目的招标、投标、评标、定标、验收、合同履约、付款等行为（法律、法规另有规定的，从其规定）。</w:t>
      </w:r>
    </w:p>
    <w:p>
      <w:pPr>
        <w:snapToGrid w:val="0"/>
        <w:spacing w:beforeLines="50" w:line="360" w:lineRule="exact"/>
        <w:ind w:firstLine="309" w:firstLineChars="147"/>
        <w:jc w:val="left"/>
        <w:outlineLvl w:val="0"/>
        <w:rPr>
          <w:b/>
          <w:highlight w:val="none"/>
        </w:rPr>
      </w:pPr>
      <w:r>
        <w:rPr>
          <w:rFonts w:hint="eastAsia"/>
          <w:b/>
          <w:highlight w:val="none"/>
        </w:rPr>
        <w:t>（二）定义</w:t>
      </w:r>
    </w:p>
    <w:p>
      <w:pPr>
        <w:snapToGrid w:val="0"/>
        <w:spacing w:line="360" w:lineRule="exact"/>
        <w:ind w:firstLine="420" w:firstLineChars="200"/>
        <w:jc w:val="left"/>
        <w:rPr>
          <w:rFonts w:hAnsi="宋体"/>
          <w:highlight w:val="none"/>
        </w:rPr>
      </w:pPr>
      <w:r>
        <w:rPr>
          <w:rFonts w:hint="eastAsia" w:ascii="宋体" w:hAnsi="宋体"/>
          <w:szCs w:val="21"/>
          <w:highlight w:val="none"/>
        </w:rPr>
        <w:t>1.</w:t>
      </w:r>
      <w:r>
        <w:rPr>
          <w:rFonts w:hint="eastAsia" w:hAnsi="宋体"/>
          <w:highlight w:val="none"/>
        </w:rPr>
        <w:t xml:space="preserve"> “采购人”系指组织本次招标的采购单位。</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w:t>
      </w:r>
      <w:r>
        <w:rPr>
          <w:rFonts w:hint="eastAsia" w:hAnsi="宋体"/>
          <w:highlight w:val="none"/>
        </w:rPr>
        <w:t xml:space="preserve"> “采购代理机构”系指广西壮族自治区政府采购中心（以下简称“本中心</w:t>
      </w:r>
      <w:r>
        <w:rPr>
          <w:rFonts w:hAnsi="宋体"/>
          <w:highlight w:val="none"/>
        </w:rPr>
        <w:t>”</w:t>
      </w:r>
      <w:r>
        <w:rPr>
          <w:rFonts w:hint="eastAsia" w:hAnsi="宋体"/>
          <w:highlight w:val="none"/>
        </w:rPr>
        <w:t>）。</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3.</w:t>
      </w:r>
      <w:r>
        <w:rPr>
          <w:rFonts w:hint="eastAsia" w:hAnsi="宋体"/>
          <w:highlight w:val="none"/>
        </w:rPr>
        <w:t xml:space="preserve"> “投标人”系指响应招标、参加投标竞争的法人、其他组织或者自然人。</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6.“项目”系指投标人按招标文件规定向采购人提供的产品和服务。</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7.“书面形式”包括信函、传真、电报等。</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8.“▲”系指在投标人须知中的实质性要求条款。</w:t>
      </w:r>
    </w:p>
    <w:p>
      <w:pPr>
        <w:snapToGrid w:val="0"/>
        <w:spacing w:beforeLines="50" w:line="360" w:lineRule="exact"/>
        <w:ind w:firstLine="413" w:firstLineChars="196"/>
        <w:jc w:val="left"/>
        <w:outlineLvl w:val="1"/>
        <w:rPr>
          <w:rFonts w:ascii="宋体"/>
          <w:b/>
          <w:szCs w:val="21"/>
          <w:highlight w:val="none"/>
        </w:rPr>
      </w:pPr>
      <w:r>
        <w:rPr>
          <w:rFonts w:hint="eastAsia" w:ascii="宋体"/>
          <w:b/>
          <w:szCs w:val="21"/>
          <w:highlight w:val="none"/>
        </w:rPr>
        <w:t>（三）招标方式</w:t>
      </w:r>
    </w:p>
    <w:p>
      <w:pPr>
        <w:snapToGrid w:val="0"/>
        <w:spacing w:line="360" w:lineRule="exact"/>
        <w:ind w:firstLine="420" w:firstLineChars="200"/>
        <w:jc w:val="left"/>
        <w:rPr>
          <w:rFonts w:ascii="宋体"/>
          <w:szCs w:val="21"/>
          <w:highlight w:val="none"/>
        </w:rPr>
      </w:pPr>
      <w:r>
        <w:rPr>
          <w:rFonts w:hint="eastAsia" w:ascii="宋体"/>
          <w:szCs w:val="21"/>
          <w:highlight w:val="none"/>
        </w:rPr>
        <w:t>公开招标方式。</w:t>
      </w:r>
    </w:p>
    <w:p>
      <w:pPr>
        <w:snapToGrid w:val="0"/>
        <w:spacing w:beforeLines="50" w:line="360" w:lineRule="exact"/>
        <w:ind w:firstLine="413" w:firstLineChars="196"/>
        <w:jc w:val="left"/>
        <w:outlineLvl w:val="0"/>
        <w:rPr>
          <w:rFonts w:ascii="宋体"/>
          <w:b/>
          <w:szCs w:val="21"/>
          <w:highlight w:val="none"/>
        </w:rPr>
      </w:pPr>
      <w:r>
        <w:rPr>
          <w:rFonts w:hint="eastAsia" w:ascii="宋体"/>
          <w:b/>
          <w:szCs w:val="21"/>
          <w:highlight w:val="none"/>
        </w:rPr>
        <w:t>（四）投标委托</w:t>
      </w:r>
    </w:p>
    <w:p>
      <w:pPr>
        <w:pStyle w:val="23"/>
        <w:snapToGrid w:val="0"/>
        <w:spacing w:line="360" w:lineRule="exact"/>
        <w:ind w:firstLine="420" w:firstLineChars="200"/>
        <w:jc w:val="left"/>
        <w:rPr>
          <w:rFonts w:ascii="宋体" w:eastAsia="宋体"/>
          <w:sz w:val="21"/>
          <w:szCs w:val="21"/>
          <w:highlight w:val="none"/>
        </w:rPr>
      </w:pPr>
      <w:r>
        <w:rPr>
          <w:rFonts w:hint="eastAsia" w:ascii="宋体" w:hAnsi="宋体" w:eastAsia="宋体"/>
          <w:sz w:val="21"/>
          <w:szCs w:val="21"/>
          <w:highlight w:val="none"/>
        </w:rPr>
        <w:t>如投标人代表不是法定代表人(负责人)，须有法定代表人(负责人)出具的授权委托书，格式见第六章《投标文件格式》。</w:t>
      </w:r>
    </w:p>
    <w:p>
      <w:pPr>
        <w:snapToGrid w:val="0"/>
        <w:spacing w:beforeLines="50" w:line="360" w:lineRule="exact"/>
        <w:ind w:firstLine="413" w:firstLineChars="196"/>
        <w:jc w:val="left"/>
        <w:outlineLvl w:val="0"/>
        <w:rPr>
          <w:rFonts w:ascii="宋体"/>
          <w:b/>
          <w:szCs w:val="21"/>
          <w:highlight w:val="none"/>
        </w:rPr>
      </w:pPr>
      <w:r>
        <w:rPr>
          <w:rFonts w:hint="eastAsia" w:ascii="宋体"/>
          <w:b/>
          <w:szCs w:val="21"/>
          <w:highlight w:val="none"/>
        </w:rPr>
        <w:t>（五）投标费用</w:t>
      </w:r>
    </w:p>
    <w:p>
      <w:pPr>
        <w:snapToGrid w:val="0"/>
        <w:spacing w:line="360" w:lineRule="exact"/>
        <w:ind w:firstLine="420" w:firstLineChars="200"/>
        <w:jc w:val="left"/>
        <w:rPr>
          <w:rFonts w:ascii="宋体"/>
          <w:szCs w:val="21"/>
          <w:highlight w:val="none"/>
        </w:rPr>
      </w:pPr>
      <w:r>
        <w:rPr>
          <w:rFonts w:hint="eastAsia" w:ascii="宋体"/>
          <w:szCs w:val="21"/>
          <w:highlight w:val="none"/>
        </w:rPr>
        <w:t>投标人均应自行承担所有与投标有关的全部费用（招标文件有相关的规定除外）。</w:t>
      </w:r>
    </w:p>
    <w:p>
      <w:pPr>
        <w:snapToGrid w:val="0"/>
        <w:spacing w:line="360" w:lineRule="exact"/>
        <w:ind w:firstLine="421" w:firstLineChars="200"/>
        <w:jc w:val="left"/>
        <w:rPr>
          <w:rFonts w:ascii="宋体"/>
          <w:b/>
          <w:szCs w:val="21"/>
          <w:highlight w:val="none"/>
        </w:rPr>
      </w:pPr>
      <w:r>
        <w:rPr>
          <w:rFonts w:hint="eastAsia" w:ascii="宋体"/>
          <w:b/>
          <w:szCs w:val="21"/>
          <w:highlight w:val="none"/>
        </w:rPr>
        <w:t>（六）</w:t>
      </w:r>
      <w:r>
        <w:rPr>
          <w:rFonts w:hint="eastAsia"/>
          <w:b/>
          <w:highlight w:val="none"/>
        </w:rPr>
        <w:t>本项目不接受联合体投标</w:t>
      </w:r>
    </w:p>
    <w:p>
      <w:pPr>
        <w:snapToGrid w:val="0"/>
        <w:spacing w:beforeLines="50" w:line="360" w:lineRule="exact"/>
        <w:ind w:firstLine="413" w:firstLineChars="196"/>
        <w:outlineLvl w:val="0"/>
        <w:rPr>
          <w:rFonts w:ascii="宋体" w:cs="宋体"/>
          <w:b/>
          <w:kern w:val="0"/>
          <w:szCs w:val="21"/>
          <w:highlight w:val="none"/>
        </w:rPr>
      </w:pPr>
      <w:r>
        <w:rPr>
          <w:rFonts w:hint="eastAsia" w:ascii="宋体"/>
          <w:b/>
          <w:szCs w:val="21"/>
          <w:highlight w:val="none"/>
        </w:rPr>
        <w:t>（七）</w:t>
      </w:r>
      <w:r>
        <w:rPr>
          <w:rFonts w:hint="eastAsia" w:ascii="宋体" w:cs="宋体"/>
          <w:b/>
          <w:kern w:val="0"/>
          <w:szCs w:val="21"/>
          <w:highlight w:val="none"/>
        </w:rPr>
        <w:t>转包与分包</w:t>
      </w:r>
    </w:p>
    <w:p>
      <w:pPr>
        <w:snapToGrid w:val="0"/>
        <w:spacing w:line="360" w:lineRule="exact"/>
        <w:ind w:firstLine="420" w:firstLineChars="200"/>
        <w:rPr>
          <w:rFonts w:ascii="宋体" w:cs="宋体"/>
          <w:kern w:val="0"/>
          <w:szCs w:val="21"/>
          <w:highlight w:val="none"/>
        </w:rPr>
      </w:pPr>
      <w:r>
        <w:rPr>
          <w:rFonts w:hint="eastAsia" w:ascii="宋体" w:cs="宋体"/>
          <w:kern w:val="0"/>
          <w:szCs w:val="21"/>
          <w:highlight w:val="none"/>
        </w:rPr>
        <w:t>1.本项目不允许转包。</w:t>
      </w:r>
    </w:p>
    <w:p>
      <w:pPr>
        <w:snapToGrid w:val="0"/>
        <w:spacing w:line="360" w:lineRule="exact"/>
        <w:ind w:firstLine="420" w:firstLineChars="200"/>
        <w:rPr>
          <w:rFonts w:ascii="宋体"/>
          <w:szCs w:val="21"/>
          <w:highlight w:val="none"/>
        </w:rPr>
      </w:pPr>
      <w:r>
        <w:rPr>
          <w:rFonts w:hint="eastAsia" w:ascii="宋体" w:cs="宋体"/>
          <w:kern w:val="0"/>
          <w:szCs w:val="21"/>
          <w:highlight w:val="none"/>
        </w:rPr>
        <w:t>2.本项目不可以分包。</w:t>
      </w:r>
    </w:p>
    <w:p>
      <w:pPr>
        <w:snapToGrid w:val="0"/>
        <w:spacing w:beforeLines="50" w:line="360" w:lineRule="exact"/>
        <w:ind w:firstLine="413" w:firstLineChars="196"/>
        <w:jc w:val="left"/>
        <w:outlineLvl w:val="0"/>
        <w:rPr>
          <w:rFonts w:ascii="宋体" w:hAnsi="宋体"/>
          <w:b/>
          <w:szCs w:val="21"/>
          <w:highlight w:val="none"/>
        </w:rPr>
      </w:pPr>
      <w:r>
        <w:rPr>
          <w:rFonts w:hint="eastAsia" w:ascii="宋体" w:hAnsi="宋体"/>
          <w:b/>
          <w:szCs w:val="21"/>
          <w:highlight w:val="none"/>
        </w:rPr>
        <w:t>（八）特别说明：</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▲2.</w:t>
      </w:r>
      <w:r>
        <w:rPr>
          <w:rFonts w:hint="eastAsia" w:ascii="宋体" w:hAnsi="宋体"/>
          <w:szCs w:val="21"/>
          <w:highlight w:val="none"/>
        </w:rPr>
        <w:t>使用综合评分法的采购项目，</w:t>
      </w:r>
      <w:r>
        <w:rPr>
          <w:rFonts w:hint="eastAsia"/>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w:t>
      </w:r>
      <w:r>
        <w:rPr>
          <w:highlight w:val="none"/>
        </w:rPr>
        <w:t>及评分标准</w:t>
      </w:r>
      <w:r>
        <w:rPr>
          <w:rFonts w:hint="eastAsia"/>
          <w:highlight w:val="none"/>
        </w:rPr>
        <w:t>》中的推荐原则确定一个投标人获得中标人推荐资格，其他同品牌投标人不作为中标候选人。</w:t>
      </w:r>
    </w:p>
    <w:p>
      <w:pPr>
        <w:rPr>
          <w:rFonts w:ascii="宋体" w:hAnsi="宋体" w:cs="宋体"/>
          <w:kern w:val="0"/>
          <w:szCs w:val="21"/>
          <w:highlight w:val="none"/>
        </w:rPr>
      </w:pPr>
      <w:r>
        <w:rPr>
          <w:rFonts w:hint="eastAsia" w:ascii="宋体" w:hAnsi="宋体" w:cs="宋体"/>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▲4.投标人在投标活动中提供任何虚假材料、互相串通投标，其投标无效，并报监管部门查处。</w:t>
      </w:r>
    </w:p>
    <w:p>
      <w:pPr>
        <w:pStyle w:val="31"/>
        <w:snapToGrid w:val="0"/>
        <w:spacing w:line="360" w:lineRule="exact"/>
        <w:ind w:left="2" w:leftChars="1" w:firstLine="420" w:firstLineChars="200"/>
        <w:rPr>
          <w:rFonts w:hAnsi="宋体" w:cs="宋体"/>
          <w:kern w:val="0"/>
          <w:highlight w:val="none"/>
        </w:rPr>
      </w:pPr>
      <w:r>
        <w:rPr>
          <w:rFonts w:hint="eastAsia" w:hAnsi="宋体" w:cs="宋体"/>
          <w:kern w:val="0"/>
          <w:highlight w:val="none"/>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▲6.中小企业价格评审优惠：根据《政府采购促进中小企业发展管理办法》（财库〔2020〕46号）的规定，对符合条件的小型、微型企业（以下简称“中小企业”）的报价给予价格扣除优惠，扣除比例详见评</w:t>
      </w:r>
      <w:r>
        <w:rPr>
          <w:rFonts w:hint="eastAsia" w:hAnsi="宋体" w:cs="宋体"/>
          <w:kern w:val="0"/>
          <w:szCs w:val="21"/>
          <w:highlight w:val="none"/>
        </w:rPr>
        <w:t>标</w:t>
      </w:r>
      <w:r>
        <w:rPr>
          <w:rFonts w:hint="eastAsia" w:ascii="宋体" w:hAnsi="宋体" w:cs="宋体"/>
          <w:kern w:val="0"/>
          <w:szCs w:val="21"/>
          <w:highlight w:val="none"/>
        </w:rPr>
        <w:t>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ascii="宋体" w:hAnsi="宋体" w:cs="宋体"/>
          <w:kern w:val="0"/>
          <w:szCs w:val="21"/>
          <w:highlight w:val="none"/>
        </w:rPr>
      </w:pPr>
      <w:r>
        <w:rPr>
          <w:rFonts w:hint="eastAsia" w:ascii="宋体" w:hAnsi="宋体" w:cs="宋体"/>
          <w:kern w:val="0"/>
          <w:szCs w:val="21"/>
          <w:highlight w:val="none"/>
        </w:rPr>
        <w:t>▲7. 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1"/>
        <w:snapToGrid w:val="0"/>
        <w:spacing w:line="360" w:lineRule="exact"/>
        <w:ind w:firstLine="309" w:firstLineChars="147"/>
        <w:outlineLvl w:val="0"/>
        <w:rPr>
          <w:b/>
          <w:bCs/>
          <w:highlight w:val="none"/>
        </w:rPr>
      </w:pPr>
      <w:r>
        <w:rPr>
          <w:rFonts w:hint="eastAsia"/>
          <w:b/>
          <w:bCs/>
          <w:highlight w:val="none"/>
        </w:rPr>
        <w:t>（九）</w:t>
      </w:r>
      <w:r>
        <w:rPr>
          <w:rFonts w:hint="eastAsia"/>
          <w:b/>
          <w:highlight w:val="none"/>
        </w:rPr>
        <w:t>询问、质疑和投诉</w:t>
      </w:r>
    </w:p>
    <w:p>
      <w:pPr>
        <w:pStyle w:val="31"/>
        <w:snapToGrid w:val="0"/>
        <w:spacing w:line="360" w:lineRule="exact"/>
        <w:ind w:firstLine="420" w:firstLineChars="200"/>
        <w:rPr>
          <w:highlight w:val="none"/>
        </w:rPr>
      </w:pPr>
      <w:r>
        <w:rPr>
          <w:rFonts w:hint="eastAsia"/>
          <w:highlight w:val="none"/>
        </w:rPr>
        <w:t>1．投标人对政府采购活动事项有疑问的，可以向采购人、采购代理机构提出询问。</w:t>
      </w:r>
    </w:p>
    <w:p>
      <w:pPr>
        <w:pStyle w:val="31"/>
        <w:snapToGrid w:val="0"/>
        <w:spacing w:line="360" w:lineRule="exact"/>
        <w:ind w:firstLine="420" w:firstLineChars="200"/>
        <w:rPr>
          <w:highlight w:val="none"/>
        </w:rPr>
      </w:pPr>
      <w:r>
        <w:rPr>
          <w:rFonts w:hint="eastAsia"/>
          <w:highlight w:val="none"/>
        </w:rPr>
        <w:t>2.投标人认为招标文件、招标过程或中标结果使自己的合法权益受到损害的，应当在知道或者应知其权益受到损害之日起七个工作日内，以书面形式向采购人提出质疑。具体计算时间如下：</w:t>
      </w:r>
    </w:p>
    <w:p>
      <w:pPr>
        <w:pStyle w:val="31"/>
        <w:snapToGrid w:val="0"/>
        <w:spacing w:line="360" w:lineRule="exact"/>
        <w:ind w:firstLine="309" w:firstLineChars="147"/>
        <w:rPr>
          <w:bCs/>
          <w:highlight w:val="none"/>
        </w:rPr>
      </w:pPr>
      <w:r>
        <w:rPr>
          <w:rFonts w:hint="eastAsia"/>
          <w:b/>
          <w:highlight w:val="none"/>
        </w:rPr>
        <w:t>（一）对可以质疑的招标采购文件提出质疑的，为收到采购文件之日；</w:t>
      </w:r>
    </w:p>
    <w:p>
      <w:pPr>
        <w:widowControl/>
        <w:spacing w:line="360" w:lineRule="exact"/>
        <w:jc w:val="left"/>
        <w:rPr>
          <w:rFonts w:ascii="宋体" w:cs="Courier New"/>
          <w:b/>
          <w:szCs w:val="21"/>
          <w:highlight w:val="none"/>
        </w:rPr>
      </w:pPr>
      <w:r>
        <w:rPr>
          <w:rFonts w:hint="eastAsia" w:ascii="宋体" w:cs="Courier New"/>
          <w:szCs w:val="21"/>
          <w:highlight w:val="none"/>
        </w:rPr>
        <w:t xml:space="preserve">　 </w:t>
      </w:r>
      <w:r>
        <w:rPr>
          <w:rFonts w:hint="eastAsia" w:ascii="宋体" w:cs="Courier New"/>
          <w:b/>
          <w:szCs w:val="21"/>
          <w:highlight w:val="none"/>
        </w:rPr>
        <w:t>（二）对招标采购过程提出质疑的，为各采购程序环节结束之日；</w:t>
      </w:r>
    </w:p>
    <w:p>
      <w:pPr>
        <w:widowControl/>
        <w:spacing w:line="360" w:lineRule="exact"/>
        <w:ind w:firstLine="309" w:firstLineChars="147"/>
        <w:jc w:val="left"/>
        <w:rPr>
          <w:rFonts w:ascii="宋体" w:cs="Courier New"/>
          <w:b/>
          <w:szCs w:val="21"/>
          <w:highlight w:val="none"/>
        </w:rPr>
      </w:pPr>
      <w:r>
        <w:rPr>
          <w:rFonts w:hint="eastAsia" w:cs="Courier New"/>
          <w:b/>
          <w:szCs w:val="21"/>
          <w:highlight w:val="none"/>
        </w:rPr>
        <w:t>（三）对中标结果提出质疑的，为中标结果公告期限届满之日。投标人对采购单位的质疑答复不满意或者</w:t>
      </w:r>
      <w:r>
        <w:rPr>
          <w:rFonts w:hint="eastAsia" w:ascii="宋体" w:hAnsi="宋体" w:cs="Courier New"/>
          <w:b/>
          <w:szCs w:val="21"/>
          <w:highlight w:val="none"/>
        </w:rPr>
        <w:t>采购人</w:t>
      </w:r>
      <w:r>
        <w:rPr>
          <w:rFonts w:hint="eastAsia" w:cs="Courier New"/>
          <w:b/>
          <w:szCs w:val="21"/>
          <w:highlight w:val="none"/>
        </w:rPr>
        <w:t>未在规定时间内作出答复的，可以在答复期满后十五个工作日内向同级采购监管部门投诉。</w:t>
      </w:r>
    </w:p>
    <w:p>
      <w:pPr>
        <w:pStyle w:val="31"/>
        <w:snapToGrid w:val="0"/>
        <w:spacing w:line="360" w:lineRule="exact"/>
        <w:ind w:firstLine="420" w:firstLineChars="200"/>
        <w:rPr>
          <w:bCs/>
          <w:highlight w:val="none"/>
        </w:rPr>
      </w:pPr>
      <w:r>
        <w:rPr>
          <w:rFonts w:hint="eastAsia"/>
          <w:bCs/>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31"/>
        <w:spacing w:line="360" w:lineRule="exact"/>
        <w:ind w:firstLine="421" w:firstLineChars="200"/>
        <w:rPr>
          <w:b/>
          <w:highlight w:val="none"/>
        </w:rPr>
      </w:pPr>
      <w:r>
        <w:rPr>
          <w:b/>
          <w:highlight w:val="none"/>
        </w:rPr>
        <w:t>4.采购人、采购代理机构接收质疑函的方式、联系部门、联系电话和地址等信息详见“投标人须知前附表”。</w:t>
      </w:r>
    </w:p>
    <w:p>
      <w:pPr>
        <w:pStyle w:val="31"/>
        <w:snapToGrid w:val="0"/>
        <w:spacing w:line="360" w:lineRule="auto"/>
        <w:ind w:firstLine="420" w:firstLineChars="200"/>
        <w:rPr>
          <w:rFonts w:hAnsi="宋体"/>
          <w:highlight w:val="none"/>
        </w:rPr>
      </w:pPr>
      <w:r>
        <w:rPr>
          <w:rFonts w:hint="eastAsia"/>
          <w:bCs/>
          <w:highlight w:val="none"/>
        </w:rPr>
        <w:t>5.</w:t>
      </w:r>
      <w:r>
        <w:rPr>
          <w:rFonts w:hint="eastAsia" w:hAnsi="宋体"/>
          <w:highlight w:val="none"/>
        </w:rPr>
        <w:t>质疑供应商提起质疑应当符合下列条件：</w:t>
      </w:r>
    </w:p>
    <w:p>
      <w:pPr>
        <w:pStyle w:val="31"/>
        <w:snapToGrid w:val="0"/>
        <w:spacing w:line="360" w:lineRule="auto"/>
        <w:ind w:firstLine="420" w:firstLineChars="200"/>
        <w:rPr>
          <w:rFonts w:hAnsi="宋体"/>
          <w:highlight w:val="none"/>
        </w:rPr>
      </w:pPr>
      <w:r>
        <w:rPr>
          <w:rFonts w:hint="eastAsia" w:hAnsi="宋体"/>
          <w:highlight w:val="none"/>
        </w:rPr>
        <w:t>（1）质疑供应商是参与所质疑项目采购活动的供应商（潜在供应商已依法获取可之一的采购文件的，可以对该采购文件质疑）；</w:t>
      </w:r>
    </w:p>
    <w:p>
      <w:pPr>
        <w:pStyle w:val="31"/>
        <w:snapToGrid w:val="0"/>
        <w:spacing w:line="360" w:lineRule="auto"/>
        <w:ind w:firstLine="420" w:firstLineChars="200"/>
        <w:rPr>
          <w:rFonts w:hAnsi="宋体"/>
          <w:highlight w:val="none"/>
        </w:rPr>
      </w:pPr>
      <w:r>
        <w:rPr>
          <w:rFonts w:hint="eastAsia" w:hAnsi="宋体"/>
          <w:highlight w:val="none"/>
        </w:rPr>
        <w:t>（2）质疑函内容符合本章第3项的规定；</w:t>
      </w:r>
    </w:p>
    <w:p>
      <w:pPr>
        <w:pStyle w:val="31"/>
        <w:snapToGrid w:val="0"/>
        <w:spacing w:line="360" w:lineRule="auto"/>
        <w:ind w:firstLine="420" w:firstLineChars="200"/>
        <w:rPr>
          <w:rFonts w:hAnsi="宋体"/>
          <w:highlight w:val="none"/>
        </w:rPr>
      </w:pPr>
      <w:r>
        <w:rPr>
          <w:rFonts w:hint="eastAsia" w:hAnsi="宋体"/>
          <w:highlight w:val="none"/>
        </w:rPr>
        <w:t>（3）在质疑有效期限内提起质疑；</w:t>
      </w:r>
    </w:p>
    <w:p>
      <w:pPr>
        <w:pStyle w:val="31"/>
        <w:snapToGrid w:val="0"/>
        <w:spacing w:line="360" w:lineRule="auto"/>
        <w:ind w:firstLine="420" w:firstLineChars="200"/>
        <w:rPr>
          <w:rFonts w:hAnsi="宋体"/>
          <w:highlight w:val="none"/>
        </w:rPr>
      </w:pPr>
      <w:r>
        <w:rPr>
          <w:rFonts w:hint="eastAsia" w:hAnsi="宋体"/>
          <w:highlight w:val="none"/>
        </w:rPr>
        <w:t>（4）属于所质疑的采购人或采购人委托的采购代理机构组织的采购活动；</w:t>
      </w:r>
    </w:p>
    <w:p>
      <w:pPr>
        <w:pStyle w:val="31"/>
        <w:snapToGrid w:val="0"/>
        <w:spacing w:line="360" w:lineRule="auto"/>
        <w:ind w:firstLine="420" w:firstLineChars="200"/>
        <w:rPr>
          <w:rFonts w:hAnsi="宋体"/>
          <w:highlight w:val="none"/>
        </w:rPr>
      </w:pPr>
      <w:r>
        <w:rPr>
          <w:rFonts w:hint="eastAsia" w:hAnsi="宋体"/>
          <w:highlight w:val="none"/>
        </w:rPr>
        <w:t xml:space="preserve">（5）同一质疑事项未经采购人或采购人委托的采购代理机构质疑处理； </w:t>
      </w:r>
    </w:p>
    <w:p>
      <w:pPr>
        <w:pStyle w:val="31"/>
        <w:snapToGrid w:val="0"/>
        <w:spacing w:line="360" w:lineRule="auto"/>
        <w:ind w:firstLine="420" w:firstLineChars="200"/>
        <w:rPr>
          <w:rFonts w:hAnsi="宋体"/>
          <w:highlight w:val="none"/>
        </w:rPr>
      </w:pPr>
      <w:r>
        <w:rPr>
          <w:rFonts w:hint="eastAsia" w:hAnsi="宋体"/>
          <w:highlight w:val="none"/>
        </w:rPr>
        <w:t>（6）供应商对同一采购程序环节的质疑应当在质疑有效期内一次性提出；</w:t>
      </w:r>
    </w:p>
    <w:p>
      <w:pPr>
        <w:pStyle w:val="31"/>
        <w:snapToGrid w:val="0"/>
        <w:spacing w:line="360" w:lineRule="auto"/>
        <w:ind w:firstLine="420" w:firstLineChars="200"/>
        <w:rPr>
          <w:rFonts w:hAnsi="宋体"/>
          <w:highlight w:val="none"/>
        </w:rPr>
      </w:pPr>
      <w:r>
        <w:rPr>
          <w:rFonts w:hint="eastAsia" w:hAnsi="宋体"/>
          <w:highlight w:val="none"/>
        </w:rPr>
        <w:t>（7）供应商提交质疑应当提交必要的证明材料，证明材料应以合法手段取得；</w:t>
      </w:r>
    </w:p>
    <w:p>
      <w:pPr>
        <w:pStyle w:val="31"/>
        <w:ind w:firstLine="420" w:firstLineChars="200"/>
        <w:rPr>
          <w:b/>
          <w:highlight w:val="none"/>
        </w:rPr>
      </w:pPr>
      <w:r>
        <w:rPr>
          <w:rFonts w:hint="eastAsia" w:hAnsi="宋体"/>
          <w:highlight w:val="none"/>
        </w:rPr>
        <w:t>（8）财政部门规定的其他条件。</w:t>
      </w:r>
    </w:p>
    <w:p>
      <w:pPr>
        <w:pStyle w:val="31"/>
        <w:snapToGrid w:val="0"/>
        <w:spacing w:line="360" w:lineRule="exact"/>
        <w:ind w:firstLine="413" w:firstLineChars="196"/>
        <w:outlineLvl w:val="0"/>
        <w:rPr>
          <w:b/>
          <w:highlight w:val="none"/>
        </w:rPr>
      </w:pPr>
      <w:r>
        <w:rPr>
          <w:rFonts w:hint="eastAsia"/>
          <w:b/>
          <w:highlight w:val="none"/>
        </w:rPr>
        <w:t>二、招标文件</w:t>
      </w:r>
    </w:p>
    <w:p>
      <w:pPr>
        <w:snapToGrid w:val="0"/>
        <w:spacing w:line="360" w:lineRule="exact"/>
        <w:ind w:firstLine="413" w:firstLineChars="196"/>
        <w:jc w:val="left"/>
        <w:outlineLvl w:val="0"/>
        <w:rPr>
          <w:rFonts w:ascii="宋体"/>
          <w:b/>
          <w:szCs w:val="21"/>
          <w:highlight w:val="none"/>
        </w:rPr>
      </w:pPr>
      <w:r>
        <w:rPr>
          <w:rFonts w:hint="eastAsia" w:ascii="宋体"/>
          <w:b/>
          <w:szCs w:val="21"/>
          <w:highlight w:val="none"/>
        </w:rPr>
        <w:t>（一）招标文件的构成。</w:t>
      </w:r>
    </w:p>
    <w:p>
      <w:pPr>
        <w:snapToGrid w:val="0"/>
        <w:spacing w:line="360" w:lineRule="exact"/>
        <w:ind w:firstLine="420" w:firstLineChars="200"/>
        <w:jc w:val="left"/>
        <w:rPr>
          <w:rFonts w:ascii="宋体"/>
          <w:szCs w:val="21"/>
          <w:highlight w:val="none"/>
        </w:rPr>
      </w:pPr>
      <w:r>
        <w:rPr>
          <w:rFonts w:hint="eastAsia" w:ascii="宋体"/>
          <w:szCs w:val="21"/>
          <w:highlight w:val="none"/>
        </w:rPr>
        <w:t>1.公开招标公告；</w:t>
      </w:r>
    </w:p>
    <w:p>
      <w:pPr>
        <w:snapToGrid w:val="0"/>
        <w:spacing w:line="360" w:lineRule="exact"/>
        <w:ind w:firstLine="420" w:firstLineChars="200"/>
        <w:jc w:val="left"/>
        <w:rPr>
          <w:rFonts w:ascii="宋体"/>
          <w:szCs w:val="21"/>
          <w:highlight w:val="none"/>
        </w:rPr>
      </w:pPr>
      <w:r>
        <w:rPr>
          <w:rFonts w:hint="eastAsia" w:ascii="宋体"/>
          <w:szCs w:val="21"/>
          <w:highlight w:val="none"/>
        </w:rPr>
        <w:t>2.招标项目采购需求</w:t>
      </w:r>
    </w:p>
    <w:p>
      <w:pPr>
        <w:snapToGrid w:val="0"/>
        <w:spacing w:line="360" w:lineRule="exact"/>
        <w:ind w:firstLine="420" w:firstLineChars="200"/>
        <w:jc w:val="left"/>
        <w:rPr>
          <w:rFonts w:ascii="宋体"/>
          <w:szCs w:val="21"/>
          <w:highlight w:val="none"/>
        </w:rPr>
      </w:pPr>
      <w:r>
        <w:rPr>
          <w:rFonts w:hint="eastAsia" w:ascii="宋体"/>
          <w:szCs w:val="21"/>
          <w:highlight w:val="none"/>
        </w:rPr>
        <w:t>3.投标人须知；</w:t>
      </w:r>
    </w:p>
    <w:p>
      <w:pPr>
        <w:snapToGrid w:val="0"/>
        <w:spacing w:line="360" w:lineRule="exact"/>
        <w:ind w:firstLine="420" w:firstLineChars="200"/>
        <w:jc w:val="left"/>
        <w:rPr>
          <w:rFonts w:ascii="宋体"/>
          <w:szCs w:val="21"/>
          <w:highlight w:val="none"/>
        </w:rPr>
      </w:pPr>
      <w:r>
        <w:rPr>
          <w:rFonts w:hint="eastAsia" w:ascii="宋体"/>
          <w:szCs w:val="21"/>
          <w:highlight w:val="none"/>
        </w:rPr>
        <w:t>4.评标方法</w:t>
      </w:r>
      <w:r>
        <w:rPr>
          <w:rFonts w:ascii="宋体"/>
          <w:szCs w:val="21"/>
          <w:highlight w:val="none"/>
        </w:rPr>
        <w:t>及评分标准</w:t>
      </w:r>
      <w:r>
        <w:rPr>
          <w:rFonts w:hint="eastAsia" w:ascii="宋体"/>
          <w:szCs w:val="21"/>
          <w:highlight w:val="none"/>
        </w:rPr>
        <w:t>；</w:t>
      </w:r>
    </w:p>
    <w:p>
      <w:pPr>
        <w:snapToGrid w:val="0"/>
        <w:spacing w:line="360" w:lineRule="exact"/>
        <w:ind w:firstLine="420" w:firstLineChars="200"/>
        <w:jc w:val="left"/>
        <w:rPr>
          <w:rFonts w:ascii="宋体"/>
          <w:szCs w:val="21"/>
          <w:highlight w:val="none"/>
        </w:rPr>
      </w:pPr>
      <w:r>
        <w:rPr>
          <w:rFonts w:hint="eastAsia" w:ascii="宋体"/>
          <w:szCs w:val="21"/>
          <w:highlight w:val="none"/>
        </w:rPr>
        <w:t>5.政府采购合同主要条款；</w:t>
      </w:r>
    </w:p>
    <w:p>
      <w:pPr>
        <w:snapToGrid w:val="0"/>
        <w:spacing w:line="360" w:lineRule="exact"/>
        <w:ind w:firstLine="420" w:firstLineChars="200"/>
        <w:jc w:val="left"/>
        <w:rPr>
          <w:rFonts w:ascii="宋体"/>
          <w:szCs w:val="21"/>
          <w:highlight w:val="none"/>
        </w:rPr>
      </w:pPr>
      <w:r>
        <w:rPr>
          <w:rFonts w:hint="eastAsia" w:ascii="宋体"/>
          <w:szCs w:val="21"/>
          <w:highlight w:val="none"/>
        </w:rPr>
        <w:t>6.投标文件格式。</w:t>
      </w:r>
    </w:p>
    <w:p>
      <w:pPr>
        <w:snapToGrid w:val="0"/>
        <w:spacing w:beforeLines="50" w:line="360" w:lineRule="exact"/>
        <w:ind w:firstLine="413" w:firstLineChars="196"/>
        <w:jc w:val="left"/>
        <w:outlineLvl w:val="0"/>
        <w:rPr>
          <w:rFonts w:ascii="宋体"/>
          <w:b/>
          <w:szCs w:val="21"/>
          <w:highlight w:val="none"/>
        </w:rPr>
      </w:pPr>
      <w:r>
        <w:rPr>
          <w:rFonts w:hint="eastAsia" w:ascii="宋体"/>
          <w:b/>
          <w:szCs w:val="21"/>
          <w:highlight w:val="none"/>
        </w:rPr>
        <w:t>（二）投标人的风险</w:t>
      </w:r>
    </w:p>
    <w:p>
      <w:pPr>
        <w:tabs>
          <w:tab w:val="left" w:pos="180"/>
          <w:tab w:val="left" w:pos="1620"/>
        </w:tabs>
        <w:spacing w:line="400" w:lineRule="exact"/>
        <w:ind w:firstLine="420" w:firstLineChars="200"/>
        <w:rPr>
          <w:rFonts w:ascii="宋体" w:cs="Courier New"/>
          <w:szCs w:val="21"/>
          <w:highlight w:val="none"/>
        </w:rPr>
      </w:pPr>
      <w:r>
        <w:rPr>
          <w:rFonts w:hint="eastAsia" w:ascii="宋体" w:hAnsi="宋体" w:cs="Courier New"/>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szCs w:val="21"/>
          <w:highlight w:val="none"/>
        </w:rPr>
        <w:cr/>
      </w:r>
      <w:r>
        <w:rPr>
          <w:rFonts w:hint="eastAsia" w:ascii="宋体" w:hAnsi="宋体" w:cs="Courier New"/>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pStyle w:val="16"/>
        <w:widowControl w:val="0"/>
        <w:tabs>
          <w:tab w:val="clear" w:pos="454"/>
        </w:tabs>
        <w:snapToGrid w:val="0"/>
        <w:spacing w:beforeLines="50" w:afterLines="0" w:line="400" w:lineRule="exact"/>
        <w:ind w:left="0" w:firstLine="411" w:firstLineChars="196"/>
        <w:rPr>
          <w:rFonts w:ascii="宋体" w:cs="Courier New"/>
          <w:kern w:val="2"/>
          <w:sz w:val="21"/>
          <w:szCs w:val="21"/>
          <w:highlight w:val="none"/>
        </w:rPr>
      </w:pPr>
      <w:r>
        <w:rPr>
          <w:rFonts w:hint="eastAsia" w:ascii="宋体" w:cs="Courier New"/>
          <w:kern w:val="2"/>
          <w:sz w:val="21"/>
          <w:szCs w:val="21"/>
          <w:highlight w:val="none"/>
        </w:rPr>
        <w:t xml:space="preserve"> 3.采购货物的主要技术参数和性能配置由评标委员会在评标前评定，但不能改变实质性内容。</w:t>
      </w:r>
    </w:p>
    <w:p>
      <w:pPr>
        <w:pStyle w:val="16"/>
        <w:widowControl w:val="0"/>
        <w:tabs>
          <w:tab w:val="clear" w:pos="454"/>
        </w:tabs>
        <w:snapToGrid w:val="0"/>
        <w:spacing w:beforeLines="50" w:afterLines="0" w:line="360" w:lineRule="exact"/>
        <w:ind w:left="0" w:firstLine="413" w:firstLineChars="196"/>
        <w:outlineLvl w:val="0"/>
        <w:rPr>
          <w:rFonts w:ascii="宋体"/>
          <w:b/>
          <w:sz w:val="21"/>
          <w:szCs w:val="21"/>
          <w:highlight w:val="none"/>
        </w:rPr>
      </w:pPr>
      <w:r>
        <w:rPr>
          <w:rFonts w:hint="eastAsia" w:ascii="宋体"/>
          <w:b/>
          <w:sz w:val="21"/>
          <w:szCs w:val="21"/>
          <w:highlight w:val="none"/>
        </w:rPr>
        <w:t xml:space="preserve">（三）招标文件的澄清与修改 </w:t>
      </w:r>
    </w:p>
    <w:p>
      <w:pPr>
        <w:pStyle w:val="31"/>
        <w:snapToGrid w:val="0"/>
        <w:spacing w:line="360" w:lineRule="exact"/>
        <w:ind w:firstLine="420" w:firstLineChars="200"/>
        <w:rPr>
          <w:rFonts w:hAnsi="宋体"/>
          <w:highlight w:val="none"/>
        </w:rPr>
      </w:pPr>
      <w:r>
        <w:rPr>
          <w:rFonts w:hint="eastAsia" w:hAnsi="宋体"/>
          <w:highlight w:val="none"/>
        </w:rPr>
        <w:t>1.</w:t>
      </w:r>
      <w:r>
        <w:rPr>
          <w:rFonts w:hint="eastAsia" w:hAnsi="宋体"/>
          <w:bCs/>
          <w:highlight w:val="none"/>
        </w:rPr>
        <w:t xml:space="preserve"> 投标人应认真阅读本招标文件，发现其中有误或有不合理要求的，投标人</w:t>
      </w:r>
      <w:r>
        <w:rPr>
          <w:rFonts w:hint="eastAsia" w:hAnsi="宋体"/>
          <w:highlight w:val="none"/>
        </w:rPr>
        <w:t>应当</w:t>
      </w:r>
      <w:r>
        <w:rPr>
          <w:rFonts w:hint="eastAsia" w:hAnsi="宋体"/>
          <w:bCs/>
          <w:highlight w:val="none"/>
        </w:rPr>
        <w:t>在</w:t>
      </w:r>
      <w:r>
        <w:rPr>
          <w:rFonts w:hint="eastAsia" w:hAnsi="宋体"/>
          <w:bCs/>
          <w:highlight w:val="none"/>
          <w:u w:val="single"/>
        </w:rPr>
        <w:t>“采购文件：第三章 《投标人须知及前附表》序号6”规定的时间</w:t>
      </w:r>
      <w:r>
        <w:rPr>
          <w:rFonts w:hint="eastAsia" w:hAnsi="宋体"/>
          <w:bCs/>
          <w:highlight w:val="none"/>
        </w:rPr>
        <w:t>前以书面形式要求招标采购单位</w:t>
      </w:r>
      <w:r>
        <w:rPr>
          <w:rFonts w:hint="eastAsia" w:hAnsi="宋体"/>
          <w:highlight w:val="none"/>
        </w:rPr>
        <w:t>答疑、澄清</w:t>
      </w:r>
      <w:r>
        <w:rPr>
          <w:rFonts w:hint="eastAsia" w:hAnsi="宋体"/>
          <w:bCs/>
          <w:highlight w:val="none"/>
        </w:rPr>
        <w:t>。本中心对已发出的招标文件进行必要澄清或者修改</w:t>
      </w:r>
      <w:r>
        <w:rPr>
          <w:rFonts w:hint="eastAsia" w:hAnsi="宋体"/>
          <w:highlight w:val="none"/>
        </w:rPr>
        <w:t>可能影响投标文件编制的，</w:t>
      </w:r>
      <w:r>
        <w:rPr>
          <w:rFonts w:hint="eastAsia" w:hAnsi="宋体"/>
          <w:bCs/>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highlight w:val="none"/>
        </w:rPr>
        <w:t>。</w:t>
      </w:r>
    </w:p>
    <w:p>
      <w:pPr>
        <w:pStyle w:val="31"/>
        <w:snapToGrid w:val="0"/>
        <w:spacing w:line="360" w:lineRule="exact"/>
        <w:ind w:firstLine="420" w:firstLineChars="200"/>
        <w:rPr>
          <w:rFonts w:hAnsi="宋体"/>
          <w:highlight w:val="none"/>
        </w:rPr>
      </w:pPr>
      <w:r>
        <w:rPr>
          <w:rFonts w:hint="eastAsia" w:hAnsi="宋体"/>
          <w:highlight w:val="none"/>
        </w:rPr>
        <w:t>2.本中心必须以书面形式答复投标人要求澄清的问题，并将不包含问题来源的答复书面通知所有报名登记的投标人；除书面答复以外的其他澄清方式及澄清内容均无效。</w:t>
      </w:r>
    </w:p>
    <w:p>
      <w:pPr>
        <w:pStyle w:val="31"/>
        <w:snapToGrid w:val="0"/>
        <w:spacing w:line="360" w:lineRule="exact"/>
        <w:ind w:firstLine="420" w:firstLineChars="200"/>
        <w:rPr>
          <w:rFonts w:hAnsi="宋体"/>
          <w:highlight w:val="none"/>
        </w:rPr>
      </w:pPr>
      <w:r>
        <w:rPr>
          <w:rFonts w:hint="eastAsia" w:hAnsi="宋体"/>
          <w:highlight w:val="none"/>
        </w:rPr>
        <w:t>3.招标文件的答疑、澄清、修改、补充的内容为招标文件的组成部分。当招标文件与招标文件的答疑、澄清、修改、补充通知就同一内容的表述不一致时，以最后发出的书面文件为准。</w:t>
      </w:r>
    </w:p>
    <w:p>
      <w:pPr>
        <w:pStyle w:val="31"/>
        <w:snapToGrid w:val="0"/>
        <w:spacing w:line="360" w:lineRule="exact"/>
        <w:ind w:firstLine="420" w:firstLineChars="200"/>
        <w:rPr>
          <w:rFonts w:hAnsi="宋体"/>
          <w:highlight w:val="none"/>
        </w:rPr>
      </w:pPr>
      <w:r>
        <w:rPr>
          <w:rFonts w:hint="eastAsia" w:hAnsi="宋体"/>
          <w:highlight w:val="none"/>
        </w:rPr>
        <w:t>4.招标文件的答疑、澄清、修改、补充都应该通过本中心以法定形式发布，采购人非通过本机构，不得擅自答疑、澄清、修改、补充招标文件。</w:t>
      </w:r>
    </w:p>
    <w:p>
      <w:pPr>
        <w:pStyle w:val="31"/>
        <w:snapToGrid w:val="0"/>
        <w:spacing w:line="360" w:lineRule="exact"/>
        <w:ind w:firstLine="420" w:firstLineChars="200"/>
        <w:rPr>
          <w:highlight w:val="none"/>
        </w:rPr>
      </w:pPr>
      <w:r>
        <w:rPr>
          <w:rFonts w:hint="eastAsia" w:hAnsi="宋体"/>
          <w:highlight w:val="none"/>
        </w:rPr>
        <w:t>5.本中心可以视采购具体情况，延长招标文件或者资格预审文件提供期限，并在财政部门指定的政府采购信息发布媒体及本中心网站上发布公告。</w:t>
      </w:r>
    </w:p>
    <w:p>
      <w:pPr>
        <w:pStyle w:val="31"/>
        <w:snapToGrid w:val="0"/>
        <w:spacing w:line="360" w:lineRule="exact"/>
        <w:ind w:firstLine="413" w:firstLineChars="196"/>
        <w:outlineLvl w:val="1"/>
        <w:rPr>
          <w:b/>
          <w:highlight w:val="none"/>
        </w:rPr>
      </w:pPr>
      <w:r>
        <w:rPr>
          <w:rFonts w:hint="eastAsia"/>
          <w:b/>
          <w:highlight w:val="none"/>
        </w:rPr>
        <w:t>三、投标文件的编制</w:t>
      </w:r>
    </w:p>
    <w:p>
      <w:pPr>
        <w:snapToGrid w:val="0"/>
        <w:spacing w:line="360" w:lineRule="exact"/>
        <w:ind w:firstLine="413" w:firstLineChars="196"/>
        <w:jc w:val="left"/>
        <w:outlineLvl w:val="0"/>
        <w:rPr>
          <w:rFonts w:ascii="宋体" w:hAnsi="宋体"/>
          <w:b/>
          <w:szCs w:val="21"/>
          <w:highlight w:val="none"/>
        </w:rPr>
      </w:pPr>
      <w:r>
        <w:rPr>
          <w:rFonts w:hint="eastAsia" w:ascii="宋体" w:hAnsi="宋体"/>
          <w:b/>
          <w:szCs w:val="21"/>
          <w:highlight w:val="none"/>
        </w:rPr>
        <w:t>（一）投标文件的组成</w:t>
      </w:r>
    </w:p>
    <w:p>
      <w:pPr>
        <w:snapToGrid w:val="0"/>
        <w:spacing w:line="360" w:lineRule="exact"/>
        <w:ind w:firstLine="420" w:firstLineChars="200"/>
        <w:jc w:val="left"/>
        <w:rPr>
          <w:rFonts w:ascii="宋体" w:hAnsi="宋体"/>
          <w:szCs w:val="21"/>
          <w:highlight w:val="none"/>
        </w:rPr>
      </w:pPr>
      <w:r>
        <w:rPr>
          <w:rFonts w:hint="eastAsia" w:ascii="宋体"/>
          <w:szCs w:val="21"/>
          <w:highlight w:val="none"/>
        </w:rPr>
        <w:t>投标文件由资格文件、资信及商务文件、技术文件、投标报价文件</w:t>
      </w:r>
      <w:r>
        <w:rPr>
          <w:rFonts w:hint="eastAsia" w:ascii="宋体"/>
          <w:b/>
          <w:szCs w:val="21"/>
          <w:highlight w:val="none"/>
        </w:rPr>
        <w:t>四部份</w:t>
      </w:r>
      <w:r>
        <w:rPr>
          <w:rFonts w:hint="eastAsia" w:ascii="宋体"/>
          <w:szCs w:val="21"/>
          <w:highlight w:val="none"/>
        </w:rPr>
        <w:t>组成。</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1.资格文件：</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（1）</w:t>
      </w:r>
      <w:r>
        <w:rPr>
          <w:rFonts w:hint="eastAsia" w:ascii="宋体" w:hAnsi="宋体"/>
          <w:szCs w:val="21"/>
          <w:highlight w:val="none"/>
        </w:rPr>
        <w:t>有效的营业执照等证明文件复印件；</w:t>
      </w:r>
    </w:p>
    <w:p>
      <w:pPr>
        <w:pStyle w:val="31"/>
        <w:adjustRightInd w:val="0"/>
        <w:snapToGrid w:val="0"/>
        <w:spacing w:line="400" w:lineRule="exact"/>
        <w:ind w:firstLine="424" w:firstLineChars="202"/>
        <w:rPr>
          <w:rFonts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snapToGrid w:val="0"/>
        <w:spacing w:line="360" w:lineRule="exact"/>
        <w:ind w:firstLine="424" w:firstLineChars="202"/>
        <w:jc w:val="left"/>
        <w:rPr>
          <w:rFonts w:hAnsi="宋体"/>
          <w:b/>
          <w:highlight w:val="none"/>
        </w:rPr>
      </w:pPr>
      <w:r>
        <w:rPr>
          <w:rFonts w:hint="eastAsia" w:hAnsi="宋体"/>
          <w:highlight w:val="none"/>
        </w:rPr>
        <w:t>②对于有经营资质要求的，投标人必须提供有效的经营资质证书副本内页扫描件或其他电子文件，同时要加盖单位公章。（如有，必须提供，原件备查）</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Ansi="宋体"/>
          <w:b/>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2.资信及商务文件：</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（1）投标保证金的相关证明扫描件或其他电子文件（</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（2）投标声明书 (格式见第六章)（必须提供）</w:t>
      </w:r>
      <w:r>
        <w:rPr>
          <w:rFonts w:hint="eastAsia" w:ascii="宋体" w:hAnsi="宋体"/>
          <w:szCs w:val="21"/>
          <w:highlight w:val="none"/>
        </w:rPr>
        <w:t>；</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（3）法定代表人授权委托书和委托代理人身份证扫描件或其他电子文件（格式见第六章)（必须提供）</w:t>
      </w:r>
      <w:r>
        <w:rPr>
          <w:rFonts w:hint="eastAsia" w:ascii="宋体" w:hAnsi="宋体"/>
          <w:szCs w:val="21"/>
          <w:highlight w:val="none"/>
        </w:rPr>
        <w:t>；（格式见第六章)；</w:t>
      </w:r>
      <w:r>
        <w:rPr>
          <w:rFonts w:hint="eastAsia" w:ascii="宋体" w:hAnsi="宋体"/>
          <w:b/>
          <w:szCs w:val="21"/>
          <w:highlight w:val="none"/>
        </w:rPr>
        <w:t>当法定代表人参加投标时，必须提供法定代表人身份证扫描件或其他电子文件</w:t>
      </w:r>
      <w:r>
        <w:rPr>
          <w:rFonts w:hint="eastAsia" w:ascii="宋体" w:hAnsi="宋体"/>
          <w:szCs w:val="21"/>
          <w:highlight w:val="none"/>
        </w:rPr>
        <w:t>；</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（4）投标截止之日前半年内投标人连续三个月的依法缴纳税费或依法免缴税费的证明（扫描件或其他电子文件，格式自拟）（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无纳税记录的，应提供由投标人所在地主管国税或地税部门出具的《依法纳税或依法免税证明》（格式自拟，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（5）投标截止之日前半年内投标人连续三个月的依法缴纳社保费的缴费凭证</w:t>
      </w:r>
      <w:r>
        <w:rPr>
          <w:rFonts w:hint="eastAsia" w:ascii="宋体" w:hAnsi="宋体"/>
          <w:szCs w:val="21"/>
          <w:highlight w:val="none"/>
        </w:rPr>
        <w:t>（</w:t>
      </w:r>
      <w:r>
        <w:rPr>
          <w:rFonts w:hint="eastAsia" w:ascii="宋体" w:hAnsi="宋体"/>
          <w:b/>
          <w:szCs w:val="21"/>
          <w:highlight w:val="none"/>
        </w:rPr>
        <w:t>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无缴费记录的，应提供由投标人所在地社保部门出具的《依法缴纳或依法免缴社保费证明》（格式自拟，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line="360" w:lineRule="exact"/>
        <w:ind w:firstLine="421" w:firstLineChars="200"/>
        <w:jc w:val="left"/>
        <w:rPr>
          <w:rFonts w:hAnsi="宋体"/>
          <w:b/>
          <w:szCs w:val="21"/>
          <w:highlight w:val="none"/>
        </w:rPr>
      </w:pPr>
      <w:r>
        <w:rPr>
          <w:rFonts w:hint="eastAsia" w:hAnsi="宋体"/>
          <w:b/>
          <w:szCs w:val="21"/>
          <w:highlight w:val="none"/>
        </w:rPr>
        <w:t>（6）财务状况报告（</w:t>
      </w:r>
      <w:r>
        <w:rPr>
          <w:rFonts w:hint="eastAsia" w:hAnsi="宋体"/>
          <w:b/>
          <w:szCs w:val="21"/>
          <w:highlight w:val="none"/>
          <w:u w:val="single"/>
        </w:rPr>
        <w:t>格式自拟，必须提供</w:t>
      </w:r>
      <w:r>
        <w:rPr>
          <w:rFonts w:hint="eastAsia" w:hAnsi="宋体"/>
          <w:b/>
          <w:szCs w:val="21"/>
          <w:highlight w:val="none"/>
        </w:rPr>
        <w:t>）；</w:t>
      </w:r>
    </w:p>
    <w:p>
      <w:pPr>
        <w:snapToGrid w:val="0"/>
        <w:spacing w:line="360" w:lineRule="exact"/>
        <w:ind w:firstLine="413" w:firstLineChars="196"/>
        <w:jc w:val="left"/>
        <w:rPr>
          <w:rFonts w:hAnsi="宋体"/>
          <w:szCs w:val="21"/>
          <w:highlight w:val="none"/>
        </w:rPr>
      </w:pPr>
      <w:r>
        <w:rPr>
          <w:rFonts w:hint="eastAsia" w:hAnsi="宋体" w:cs="宋体"/>
          <w:b/>
          <w:kern w:val="0"/>
          <w:szCs w:val="21"/>
          <w:highlight w:val="none"/>
        </w:rPr>
        <w:t>（7）</w:t>
      </w:r>
      <w:r>
        <w:rPr>
          <w:rFonts w:hint="eastAsia" w:hAnsi="宋体"/>
          <w:b/>
          <w:szCs w:val="21"/>
          <w:highlight w:val="none"/>
        </w:rPr>
        <w:t>具备履行合同所必需的设备和专业技术能力的证明材料（</w:t>
      </w:r>
      <w:r>
        <w:rPr>
          <w:rFonts w:hint="eastAsia" w:hAnsi="宋体"/>
          <w:b/>
          <w:szCs w:val="21"/>
          <w:highlight w:val="none"/>
          <w:u w:val="single"/>
        </w:rPr>
        <w:t>内容、格式自拟，必须提供</w:t>
      </w:r>
      <w:r>
        <w:rPr>
          <w:rFonts w:hint="eastAsia" w:hAnsi="宋体"/>
          <w:b/>
          <w:szCs w:val="21"/>
          <w:highlight w:val="none"/>
        </w:rPr>
        <w:t>）</w:t>
      </w:r>
      <w:r>
        <w:rPr>
          <w:rFonts w:hint="eastAsia" w:hAnsi="宋体" w:cs="宋体"/>
          <w:b/>
          <w:kern w:val="0"/>
          <w:szCs w:val="21"/>
          <w:highlight w:val="none"/>
        </w:rPr>
        <w:t>；</w:t>
      </w:r>
    </w:p>
    <w:p>
      <w:pPr>
        <w:snapToGrid w:val="0"/>
        <w:spacing w:line="360" w:lineRule="exact"/>
        <w:ind w:firstLine="413" w:firstLineChars="196"/>
        <w:jc w:val="left"/>
        <w:rPr>
          <w:rFonts w:hAnsi="宋体"/>
          <w:b/>
          <w:szCs w:val="21"/>
          <w:highlight w:val="none"/>
        </w:rPr>
      </w:pPr>
      <w:r>
        <w:rPr>
          <w:rFonts w:hint="eastAsia" w:hAnsi="宋体"/>
          <w:b/>
          <w:szCs w:val="21"/>
          <w:highlight w:val="none"/>
        </w:rPr>
        <w:t>（8）商务响应表</w:t>
      </w:r>
      <w:r>
        <w:rPr>
          <w:rFonts w:hint="eastAsia" w:hAnsi="宋体"/>
          <w:szCs w:val="21"/>
          <w:highlight w:val="none"/>
        </w:rPr>
        <w:t>（格式见第六章）</w:t>
      </w:r>
      <w:r>
        <w:rPr>
          <w:rFonts w:hint="eastAsia" w:hAnsi="宋体"/>
          <w:b/>
          <w:szCs w:val="21"/>
          <w:highlight w:val="none"/>
        </w:rPr>
        <w:t>（</w:t>
      </w:r>
      <w:r>
        <w:rPr>
          <w:rFonts w:hint="eastAsia" w:hAnsi="宋体"/>
          <w:b/>
          <w:szCs w:val="21"/>
          <w:highlight w:val="none"/>
          <w:u w:val="single"/>
        </w:rPr>
        <w:t>必须提供</w:t>
      </w:r>
      <w:r>
        <w:rPr>
          <w:rFonts w:hint="eastAsia" w:hAnsi="宋体"/>
          <w:b/>
          <w:szCs w:val="21"/>
          <w:highlight w:val="none"/>
        </w:rPr>
        <w:t>）；</w:t>
      </w:r>
    </w:p>
    <w:p>
      <w:pPr>
        <w:snapToGrid w:val="0"/>
        <w:spacing w:line="360" w:lineRule="exact"/>
        <w:jc w:val="left"/>
        <w:rPr>
          <w:rFonts w:hAnsi="宋体"/>
          <w:b/>
          <w:szCs w:val="21"/>
          <w:highlight w:val="none"/>
        </w:rPr>
      </w:pPr>
      <w:r>
        <w:rPr>
          <w:rFonts w:hint="eastAsia" w:hAnsi="宋体"/>
          <w:highlight w:val="none"/>
        </w:rPr>
        <w:t>▲</w:t>
      </w:r>
      <w:r>
        <w:rPr>
          <w:rFonts w:hint="eastAsia" w:hAnsi="宋体"/>
          <w:szCs w:val="21"/>
          <w:highlight w:val="none"/>
        </w:rPr>
        <w:t>（9）</w:t>
      </w:r>
      <w:r>
        <w:rPr>
          <w:rFonts w:hint="eastAsia" w:hAnsi="宋体"/>
          <w:b/>
          <w:szCs w:val="21"/>
          <w:highlight w:val="none"/>
        </w:rPr>
        <w:t>招标项目采购需求中要求必须提供的材料等；</w:t>
      </w:r>
    </w:p>
    <w:p>
      <w:pPr>
        <w:snapToGrid w:val="0"/>
        <w:spacing w:line="360" w:lineRule="exact"/>
        <w:ind w:firstLine="411" w:firstLineChars="196"/>
        <w:jc w:val="left"/>
        <w:rPr>
          <w:rFonts w:hAnsi="宋体"/>
          <w:b/>
          <w:szCs w:val="21"/>
          <w:highlight w:val="none"/>
        </w:rPr>
      </w:pPr>
      <w:r>
        <w:rPr>
          <w:rFonts w:hint="eastAsia" w:hAnsi="宋体"/>
          <w:szCs w:val="21"/>
          <w:highlight w:val="none"/>
        </w:rPr>
        <w:t>（10）具备法律、行政法规规定的其他条件的证明材料</w:t>
      </w:r>
      <w:r>
        <w:rPr>
          <w:rFonts w:hint="eastAsia" w:hAnsi="宋体"/>
          <w:b/>
          <w:szCs w:val="21"/>
          <w:highlight w:val="none"/>
        </w:rPr>
        <w:t>(如有规定,则必须提供)。</w:t>
      </w:r>
    </w:p>
    <w:p>
      <w:pPr>
        <w:snapToGrid w:val="0"/>
        <w:spacing w:line="360" w:lineRule="exact"/>
        <w:ind w:firstLine="413" w:firstLineChars="196"/>
        <w:jc w:val="left"/>
        <w:rPr>
          <w:rFonts w:hAnsi="宋体"/>
          <w:b/>
          <w:szCs w:val="21"/>
          <w:highlight w:val="none"/>
        </w:rPr>
      </w:pPr>
      <w:r>
        <w:rPr>
          <w:rFonts w:hint="eastAsia" w:hAnsi="宋体"/>
          <w:b/>
          <w:bCs/>
          <w:szCs w:val="21"/>
          <w:highlight w:val="none"/>
        </w:rPr>
        <w:t>可作为投标人资信评分的资质证明材料</w:t>
      </w:r>
      <w:r>
        <w:rPr>
          <w:rFonts w:hint="eastAsia" w:ascii="宋体" w:hAnsi="宋体" w:cs="宋体"/>
          <w:b/>
          <w:bCs/>
          <w:color w:val="000000"/>
          <w:szCs w:val="21"/>
          <w:highlight w:val="none"/>
        </w:rPr>
        <w:t>【以下可选】</w:t>
      </w:r>
    </w:p>
    <w:p>
      <w:pPr>
        <w:snapToGrid w:val="0"/>
        <w:spacing w:line="360" w:lineRule="exact"/>
        <w:ind w:firstLine="420" w:firstLineChars="200"/>
        <w:jc w:val="left"/>
        <w:rPr>
          <w:rFonts w:hAnsi="宋体"/>
          <w:szCs w:val="21"/>
          <w:highlight w:val="none"/>
        </w:rPr>
      </w:pPr>
      <w:r>
        <w:rPr>
          <w:rFonts w:hint="eastAsia" w:hAnsi="宋体"/>
          <w:szCs w:val="21"/>
          <w:highlight w:val="none"/>
        </w:rPr>
        <w:t>（11）类似案例成功的业绩</w:t>
      </w:r>
      <w:r>
        <w:rPr>
          <w:rFonts w:hint="eastAsia" w:ascii="宋体" w:hAnsi="宋体" w:cs="宋体"/>
          <w:color w:val="000000"/>
          <w:szCs w:val="21"/>
          <w:highlight w:val="none"/>
        </w:rPr>
        <w:t>类</w:t>
      </w:r>
      <w:r>
        <w:rPr>
          <w:rFonts w:hint="eastAsia" w:hAnsi="宋体"/>
          <w:szCs w:val="21"/>
          <w:highlight w:val="none"/>
        </w:rPr>
        <w:t>（投标人同类项目实施情况一览表、合同扫描件、用户验收报告、用户评价）；</w:t>
      </w:r>
    </w:p>
    <w:p>
      <w:pPr>
        <w:snapToGrid w:val="0"/>
        <w:spacing w:line="360" w:lineRule="exact"/>
        <w:ind w:firstLine="420" w:firstLineChars="200"/>
        <w:jc w:val="left"/>
        <w:rPr>
          <w:rFonts w:hAnsi="宋体"/>
          <w:szCs w:val="21"/>
          <w:highlight w:val="none"/>
        </w:rPr>
      </w:pPr>
      <w:r>
        <w:rPr>
          <w:rFonts w:hint="eastAsia" w:hAnsi="宋体"/>
          <w:bCs/>
          <w:szCs w:val="21"/>
          <w:highlight w:val="none"/>
        </w:rPr>
        <w:t>（12）</w:t>
      </w:r>
      <w:r>
        <w:rPr>
          <w:rFonts w:hint="eastAsia" w:hAnsi="宋体"/>
          <w:szCs w:val="21"/>
          <w:highlight w:val="none"/>
        </w:rPr>
        <w:t>其他特殊资质证书（如本地化服务能力等）；</w:t>
      </w:r>
    </w:p>
    <w:p>
      <w:pPr>
        <w:snapToGrid w:val="0"/>
        <w:spacing w:line="360" w:lineRule="exact"/>
        <w:ind w:firstLine="411" w:firstLineChars="196"/>
        <w:jc w:val="left"/>
        <w:rPr>
          <w:rFonts w:hAnsi="宋体"/>
          <w:szCs w:val="21"/>
          <w:highlight w:val="none"/>
        </w:rPr>
      </w:pPr>
      <w:r>
        <w:rPr>
          <w:rFonts w:hint="eastAsia" w:hAnsi="宋体"/>
          <w:szCs w:val="21"/>
          <w:highlight w:val="none"/>
        </w:rPr>
        <w:t>（13）投标人质量管理和质量保证体系等方面的认证证书；</w:t>
      </w:r>
    </w:p>
    <w:p>
      <w:pPr>
        <w:snapToGrid w:val="0"/>
        <w:spacing w:line="360" w:lineRule="exact"/>
        <w:ind w:firstLine="411" w:firstLineChars="196"/>
        <w:jc w:val="left"/>
        <w:rPr>
          <w:rFonts w:hAnsi="宋体"/>
          <w:szCs w:val="21"/>
          <w:highlight w:val="none"/>
        </w:rPr>
      </w:pPr>
      <w:r>
        <w:rPr>
          <w:rFonts w:hint="eastAsia" w:hAnsi="宋体"/>
          <w:szCs w:val="21"/>
          <w:highlight w:val="none"/>
        </w:rPr>
        <w:t>（14）投标人认为可以证明其能力或业绩的其他材料；</w:t>
      </w:r>
    </w:p>
    <w:p>
      <w:pPr>
        <w:snapToGrid w:val="0"/>
        <w:spacing w:line="360" w:lineRule="exact"/>
        <w:ind w:firstLine="411" w:firstLineChars="196"/>
        <w:jc w:val="left"/>
        <w:rPr>
          <w:rFonts w:hAnsi="宋体"/>
          <w:szCs w:val="21"/>
          <w:highlight w:val="none"/>
        </w:rPr>
      </w:pPr>
      <w:r>
        <w:rPr>
          <w:rFonts w:hint="eastAsia" w:hAnsi="宋体"/>
          <w:szCs w:val="21"/>
          <w:highlight w:val="none"/>
        </w:rPr>
        <w:t>（15）</w:t>
      </w:r>
      <w:r>
        <w:rPr>
          <w:rFonts w:hint="eastAsia" w:ascii="宋体" w:hAnsi="宋体" w:cs="宋体"/>
          <w:color w:val="000000"/>
          <w:szCs w:val="21"/>
          <w:highlight w:val="none"/>
        </w:rPr>
        <w:t>投标人关于服务升级及本单位债务纠纷、违法违规记录等方面的情况（内容见投标声明书）</w:t>
      </w:r>
      <w:r>
        <w:rPr>
          <w:rFonts w:hint="eastAsia" w:hAnsi="宋体"/>
          <w:szCs w:val="21"/>
          <w:highlight w:val="none"/>
        </w:rPr>
        <w:t>；</w:t>
      </w:r>
    </w:p>
    <w:p>
      <w:pPr>
        <w:adjustRightInd w:val="0"/>
        <w:snapToGrid w:val="0"/>
        <w:spacing w:line="440" w:lineRule="exact"/>
        <w:ind w:left="3368" w:leftChars="200" w:hanging="2948" w:hangingChars="1404"/>
        <w:jc w:val="left"/>
        <w:rPr>
          <w:rFonts w:ascii="宋体" w:hAnsi="宋体"/>
          <w:szCs w:val="21"/>
          <w:highlight w:val="none"/>
        </w:rPr>
      </w:pPr>
      <w:r>
        <w:rPr>
          <w:rFonts w:hint="eastAsia" w:hAnsi="宋体"/>
          <w:szCs w:val="21"/>
          <w:highlight w:val="none"/>
        </w:rPr>
        <w:t>（16）</w:t>
      </w:r>
      <w:r>
        <w:rPr>
          <w:rFonts w:hint="eastAsia" w:ascii="宋体" w:hAnsi="宋体" w:cs="宋体"/>
          <w:color w:val="000000"/>
          <w:szCs w:val="21"/>
          <w:highlight w:val="none"/>
        </w:rPr>
        <w:t>投标人情况介绍。（主要服务力量、经营业绩等，内容、格式自拟）</w:t>
      </w:r>
      <w:r>
        <w:rPr>
          <w:rFonts w:hint="eastAsia" w:ascii="宋体" w:hAnsi="宋体"/>
          <w:szCs w:val="21"/>
          <w:highlight w:val="none"/>
        </w:rPr>
        <w:t>；</w:t>
      </w:r>
    </w:p>
    <w:p>
      <w:pPr>
        <w:adjustRightInd w:val="0"/>
        <w:snapToGrid w:val="0"/>
        <w:spacing w:line="440" w:lineRule="exact"/>
        <w:ind w:left="3368" w:leftChars="200" w:hanging="2948" w:hangingChars="1404"/>
        <w:jc w:val="left"/>
        <w:rPr>
          <w:rFonts w:hAnsi="宋体"/>
          <w:szCs w:val="21"/>
          <w:highlight w:val="none"/>
        </w:rPr>
      </w:pPr>
      <w:r>
        <w:rPr>
          <w:rFonts w:hint="eastAsia" w:hAnsi="宋体"/>
          <w:szCs w:val="21"/>
          <w:highlight w:val="none"/>
        </w:rPr>
        <w:t>（17）</w:t>
      </w:r>
      <w:r>
        <w:rPr>
          <w:rFonts w:hint="eastAsia" w:ascii="宋体" w:hAnsi="宋体"/>
          <w:szCs w:val="21"/>
          <w:highlight w:val="none"/>
        </w:rPr>
        <w:t>中小企业声明函（格式见第六章，如有请提供）</w:t>
      </w:r>
      <w:r>
        <w:rPr>
          <w:rFonts w:hint="eastAsia" w:ascii="宋体" w:hAnsi="宋体" w:cs="宋体"/>
          <w:color w:val="000000"/>
          <w:szCs w:val="21"/>
          <w:highlight w:val="none"/>
        </w:rPr>
        <w:t>。</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3.技术文件</w:t>
      </w:r>
    </w:p>
    <w:p>
      <w:pPr>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（1）服务类项目的投标技术文件</w:t>
      </w:r>
      <w:r>
        <w:rPr>
          <w:rFonts w:hint="eastAsia" w:ascii="宋体" w:hAnsi="宋体" w:cs="宋体"/>
          <w:b/>
          <w:bCs/>
          <w:color w:val="000000"/>
          <w:szCs w:val="21"/>
          <w:highlight w:val="none"/>
        </w:rPr>
        <w:t>（服务方案，内容和格式见第六章要求，必须提供）</w:t>
      </w:r>
      <w:r>
        <w:rPr>
          <w:rFonts w:hint="eastAsia" w:ascii="宋体" w:hAnsi="宋体" w:cs="宋体"/>
          <w:color w:val="000000"/>
          <w:szCs w:val="21"/>
          <w:highlight w:val="none"/>
        </w:rPr>
        <w:t>；</w:t>
      </w:r>
    </w:p>
    <w:p>
      <w:pPr>
        <w:snapToGrid w:val="0"/>
        <w:spacing w:line="380" w:lineRule="exact"/>
        <w:ind w:firstLine="421" w:firstLineChars="200"/>
        <w:jc w:val="left"/>
        <w:rPr>
          <w:rFonts w:ascii="宋体" w:hAnsi="宋体" w:cs="宋体"/>
          <w:b/>
          <w:bCs/>
          <w:color w:val="000000"/>
          <w:szCs w:val="21"/>
          <w:highlight w:val="none"/>
        </w:rPr>
      </w:pPr>
      <w:r>
        <w:rPr>
          <w:rFonts w:hint="eastAsia" w:ascii="宋体" w:hAnsi="宋体" w:cs="宋体"/>
          <w:b/>
          <w:bCs/>
          <w:color w:val="000000"/>
          <w:szCs w:val="21"/>
          <w:highlight w:val="none"/>
        </w:rPr>
        <w:t>▲（2）招标项目采购需求中要求必须提供的材料。</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4.报价文件：</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（1）投标函（</w:t>
      </w:r>
      <w:r>
        <w:rPr>
          <w:rFonts w:hint="eastAsia" w:ascii="宋体" w:hAnsi="宋体"/>
          <w:b/>
          <w:szCs w:val="21"/>
          <w:highlight w:val="none"/>
        </w:rPr>
        <w:t>必须提供</w:t>
      </w:r>
      <w:r>
        <w:rPr>
          <w:rFonts w:hint="eastAsia" w:ascii="宋体" w:hAnsi="宋体"/>
          <w:szCs w:val="21"/>
          <w:highlight w:val="none"/>
        </w:rPr>
        <w:t xml:space="preserve">，格式见第六章）； </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（2）投标报价明细表（</w:t>
      </w:r>
      <w:r>
        <w:rPr>
          <w:rFonts w:hint="eastAsia" w:ascii="宋体" w:hAnsi="宋体"/>
          <w:b/>
          <w:szCs w:val="21"/>
          <w:highlight w:val="none"/>
        </w:rPr>
        <w:t>必须提供</w:t>
      </w:r>
      <w:r>
        <w:rPr>
          <w:rFonts w:hint="eastAsia" w:ascii="宋体" w:hAnsi="宋体"/>
          <w:szCs w:val="21"/>
          <w:highlight w:val="none"/>
        </w:rPr>
        <w:t>，格式见第六章）；</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（3）投标人针对报价需要说明的其他文件和说明（格式自拟，如有可提供）；</w:t>
      </w:r>
    </w:p>
    <w:p>
      <w:pPr>
        <w:tabs>
          <w:tab w:val="left" w:pos="3870"/>
          <w:tab w:val="left" w:pos="4085"/>
        </w:tabs>
        <w:snapToGrid w:val="0"/>
        <w:spacing w:line="360" w:lineRule="exact"/>
        <w:ind w:firstLine="420" w:firstLineChars="200"/>
        <w:jc w:val="left"/>
        <w:rPr>
          <w:rFonts w:ascii="宋体" w:hAnsi="宋体" w:eastAsia="等线"/>
          <w:szCs w:val="21"/>
          <w:highlight w:val="none"/>
        </w:rPr>
      </w:pPr>
      <w:r>
        <w:rPr>
          <w:rFonts w:hint="eastAsia" w:ascii="宋体" w:hAnsi="宋体"/>
          <w:szCs w:val="21"/>
          <w:highlight w:val="none"/>
        </w:rPr>
        <w:t>（4）开标一览表（</w:t>
      </w:r>
      <w:r>
        <w:rPr>
          <w:rFonts w:hint="eastAsia" w:ascii="宋体" w:hAnsi="宋体"/>
          <w:b/>
          <w:szCs w:val="21"/>
          <w:highlight w:val="none"/>
        </w:rPr>
        <w:t>必须提供</w:t>
      </w:r>
      <w:r>
        <w:rPr>
          <w:rFonts w:hint="eastAsia" w:ascii="宋体" w:hAnsi="宋体"/>
          <w:szCs w:val="21"/>
          <w:highlight w:val="none"/>
        </w:rPr>
        <w:t>,格式见第六章）。</w:t>
      </w:r>
    </w:p>
    <w:p>
      <w:pPr>
        <w:pStyle w:val="48"/>
        <w:spacing w:line="36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b/>
          <w:bCs/>
          <w:szCs w:val="21"/>
          <w:highlight w:val="none"/>
        </w:rPr>
        <w:t>注：法定代表人授权委托书、投标声明书、投标函、开标一览表必须按</w:t>
      </w:r>
      <w:r>
        <w:rPr>
          <w:rFonts w:hint="eastAsia" w:ascii="宋体" w:hAnsi="宋体"/>
          <w:b/>
          <w:szCs w:val="21"/>
          <w:highlight w:val="none"/>
        </w:rPr>
        <w:t>招标文件格式要求</w:t>
      </w:r>
      <w:r>
        <w:rPr>
          <w:rFonts w:ascii="宋体" w:hAnsi="宋体"/>
          <w:b/>
          <w:szCs w:val="21"/>
          <w:highlight w:val="none"/>
        </w:rPr>
        <w:t>签字或签章</w:t>
      </w:r>
      <w:r>
        <w:rPr>
          <w:rFonts w:hint="eastAsia" w:ascii="宋体" w:hAnsi="宋体"/>
          <w:b/>
          <w:bCs/>
          <w:szCs w:val="21"/>
          <w:highlight w:val="none"/>
        </w:rPr>
        <w:t>并加盖单位公章。</w:t>
      </w:r>
    </w:p>
    <w:p>
      <w:pPr>
        <w:snapToGrid w:val="0"/>
        <w:spacing w:line="360" w:lineRule="exact"/>
        <w:ind w:firstLine="413" w:firstLineChars="196"/>
        <w:jc w:val="left"/>
        <w:outlineLvl w:val="0"/>
        <w:rPr>
          <w:rFonts w:ascii="宋体" w:hAnsi="宋体"/>
          <w:b/>
          <w:szCs w:val="21"/>
          <w:highlight w:val="none"/>
        </w:rPr>
      </w:pPr>
      <w:r>
        <w:rPr>
          <w:rFonts w:hint="eastAsia" w:ascii="宋体" w:hAnsi="宋体"/>
          <w:b/>
          <w:szCs w:val="21"/>
          <w:highlight w:val="none"/>
        </w:rPr>
        <w:t>（二）投标文件的语言及计量</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Lines="50" w:line="360" w:lineRule="exact"/>
        <w:ind w:firstLine="413" w:firstLineChars="196"/>
        <w:jc w:val="left"/>
        <w:outlineLvl w:val="0"/>
        <w:rPr>
          <w:rFonts w:ascii="宋体" w:hAnsi="宋体"/>
          <w:b/>
          <w:szCs w:val="21"/>
          <w:highlight w:val="none"/>
        </w:rPr>
      </w:pPr>
      <w:r>
        <w:rPr>
          <w:rFonts w:hint="eastAsia" w:ascii="宋体" w:hAnsi="宋体"/>
          <w:b/>
          <w:szCs w:val="21"/>
          <w:highlight w:val="none"/>
        </w:rPr>
        <w:t>（三）投标报价</w:t>
      </w:r>
    </w:p>
    <w:p>
      <w:pPr>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▲2.投标计量单位，招标文件已有明确规定的，使用招标文件规定的计量单位；招标文件没有规定的，应采用中华人民共和国法定计量单位（货币单位：人民币元），否则视同未响应。</w:t>
      </w:r>
    </w:p>
    <w:p>
      <w:pPr>
        <w:pStyle w:val="16"/>
        <w:widowControl w:val="0"/>
        <w:tabs>
          <w:tab w:val="clear" w:pos="454"/>
        </w:tabs>
        <w:snapToGrid w:val="0"/>
        <w:spacing w:beforeLines="50" w:afterLines="0" w:line="360" w:lineRule="exact"/>
        <w:ind w:left="0" w:firstLine="413" w:firstLineChars="196"/>
        <w:outlineLvl w:val="0"/>
        <w:rPr>
          <w:rFonts w:ascii="宋体" w:hAnsi="宋体"/>
          <w:b/>
          <w:sz w:val="21"/>
          <w:szCs w:val="21"/>
          <w:highlight w:val="none"/>
        </w:rPr>
      </w:pPr>
      <w:r>
        <w:rPr>
          <w:rFonts w:hint="eastAsia" w:ascii="宋体" w:hAnsi="宋体"/>
          <w:b/>
          <w:sz w:val="21"/>
          <w:szCs w:val="21"/>
          <w:highlight w:val="none"/>
        </w:rPr>
        <w:t>（四）投标文件的有效期</w:t>
      </w:r>
    </w:p>
    <w:p>
      <w:pPr>
        <w:pStyle w:val="16"/>
        <w:widowControl w:val="0"/>
        <w:tabs>
          <w:tab w:val="clear" w:pos="454"/>
        </w:tabs>
        <w:snapToGrid w:val="0"/>
        <w:spacing w:afterLines="0" w:line="360" w:lineRule="exact"/>
        <w:ind w:left="0" w:firstLine="420" w:firstLineChars="200"/>
        <w:rPr>
          <w:rFonts w:ascii="宋体" w:hAnsi="宋体"/>
          <w:sz w:val="21"/>
          <w:szCs w:val="21"/>
          <w:highlight w:val="none"/>
        </w:rPr>
      </w:pPr>
      <w:r>
        <w:rPr>
          <w:rFonts w:hint="eastAsia" w:ascii="宋体" w:hAnsi="宋体"/>
          <w:sz w:val="21"/>
          <w:szCs w:val="21"/>
          <w:highlight w:val="none"/>
        </w:rPr>
        <w:t>1.自投标截止日起</w:t>
      </w:r>
      <w:r>
        <w:rPr>
          <w:rFonts w:hint="eastAsia" w:ascii="宋体" w:hAnsi="宋体"/>
          <w:b/>
          <w:sz w:val="21"/>
          <w:szCs w:val="21"/>
          <w:highlight w:val="none"/>
          <w:u w:val="single"/>
        </w:rPr>
        <w:t>六十日</w:t>
      </w:r>
      <w:r>
        <w:rPr>
          <w:rFonts w:hint="eastAsia" w:ascii="宋体" w:hAnsi="宋体"/>
          <w:sz w:val="21"/>
          <w:szCs w:val="21"/>
          <w:highlight w:val="none"/>
        </w:rPr>
        <w:t>投标文件应保持有效。有效期不足的投标文件将被拒绝。</w:t>
      </w:r>
    </w:p>
    <w:p>
      <w:pPr>
        <w:pStyle w:val="16"/>
        <w:widowControl w:val="0"/>
        <w:tabs>
          <w:tab w:val="clear" w:pos="454"/>
        </w:tabs>
        <w:snapToGrid w:val="0"/>
        <w:spacing w:afterLines="0" w:line="360" w:lineRule="exact"/>
        <w:ind w:left="0" w:firstLine="420" w:firstLineChars="200"/>
        <w:rPr>
          <w:rFonts w:ascii="宋体" w:hAnsi="宋体"/>
          <w:sz w:val="21"/>
          <w:szCs w:val="21"/>
          <w:highlight w:val="none"/>
        </w:rPr>
      </w:pPr>
      <w:r>
        <w:rPr>
          <w:rFonts w:hint="eastAsia" w:ascii="宋体" w:hAnsi="宋体"/>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ascii="宋体" w:hAnsi="宋体"/>
          <w:b/>
          <w:szCs w:val="21"/>
          <w:highlight w:val="none"/>
        </w:rPr>
      </w:pPr>
      <w:r>
        <w:rPr>
          <w:rFonts w:hint="eastAsia" w:ascii="宋体" w:hAnsi="宋体"/>
          <w:szCs w:val="21"/>
          <w:highlight w:val="none"/>
        </w:rPr>
        <w:t>3.投标人可拒绝接受延期要求而不会导致投标保证金被没收。同意延长有效期的投标人需要相应延长投标保证金的有效期，但不能修改投标文件。</w:t>
      </w:r>
    </w:p>
    <w:p>
      <w:pPr>
        <w:snapToGrid w:val="0"/>
        <w:spacing w:line="360" w:lineRule="exact"/>
        <w:ind w:firstLine="420" w:firstLineChars="200"/>
        <w:jc w:val="left"/>
        <w:outlineLvl w:val="0"/>
        <w:rPr>
          <w:rFonts w:ascii="宋体" w:hAnsi="宋体"/>
          <w:b/>
          <w:szCs w:val="21"/>
          <w:highlight w:val="none"/>
        </w:rPr>
      </w:pPr>
      <w:r>
        <w:rPr>
          <w:rFonts w:hint="eastAsia" w:ascii="宋体" w:hAnsi="宋体"/>
          <w:szCs w:val="21"/>
          <w:highlight w:val="none"/>
        </w:rPr>
        <w:t>4.中标人的投标文件自开标之日起至合同履行完毕止均应保持有效。</w:t>
      </w:r>
    </w:p>
    <w:p>
      <w:pPr>
        <w:snapToGrid w:val="0"/>
        <w:spacing w:beforeLines="50" w:line="360" w:lineRule="exact"/>
        <w:ind w:firstLine="413" w:firstLineChars="196"/>
        <w:jc w:val="left"/>
        <w:outlineLvl w:val="0"/>
        <w:rPr>
          <w:rFonts w:ascii="宋体" w:hAnsi="宋体"/>
          <w:b/>
          <w:szCs w:val="21"/>
          <w:highlight w:val="none"/>
        </w:rPr>
      </w:pPr>
      <w:r>
        <w:rPr>
          <w:rFonts w:hint="eastAsia" w:ascii="宋体" w:hAnsi="宋体"/>
          <w:b/>
          <w:szCs w:val="21"/>
          <w:highlight w:val="none"/>
        </w:rPr>
        <w:t>（五）投标保证金</w:t>
      </w:r>
    </w:p>
    <w:p>
      <w:pPr>
        <w:pStyle w:val="31"/>
        <w:spacing w:line="420" w:lineRule="exact"/>
        <w:ind w:left="840" w:leftChars="200" w:hanging="420" w:hangingChars="200"/>
        <w:rPr>
          <w:rFonts w:hAnsi="宋体"/>
          <w:highlight w:val="none"/>
        </w:rPr>
      </w:pPr>
      <w:r>
        <w:rPr>
          <w:rFonts w:hint="eastAsia" w:hAnsi="宋体"/>
          <w:highlight w:val="none"/>
        </w:rPr>
        <w:t>1. 投标保证金应用人民币，投标人须按规定提交投标保证金。否则，其投标将被拒绝。</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2.保证金交纳形式：</w:t>
      </w:r>
      <w:r>
        <w:rPr>
          <w:rFonts w:hint="eastAsia" w:ascii="宋体" w:hAnsi="宋体"/>
          <w:highlight w:val="none"/>
        </w:rPr>
        <w:t>支票、汇票、本票、金融机构、担保机构</w:t>
      </w:r>
      <w:r>
        <w:rPr>
          <w:rFonts w:ascii="宋体" w:hAnsi="宋体"/>
          <w:highlight w:val="none"/>
        </w:rPr>
        <w:t>出具的保函等非现金形式</w:t>
      </w:r>
      <w:r>
        <w:rPr>
          <w:rFonts w:hint="eastAsia" w:ascii="宋体" w:hAnsi="宋体"/>
          <w:szCs w:val="21"/>
          <w:highlight w:val="none"/>
        </w:rPr>
        <w:t>。</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3.</w:t>
      </w:r>
      <w:r>
        <w:rPr>
          <w:rFonts w:ascii="宋体" w:hAnsi="宋体"/>
          <w:szCs w:val="21"/>
          <w:highlight w:val="none"/>
        </w:rPr>
        <w:t xml:space="preserve"> 投标人应按本须知</w:t>
      </w:r>
      <w:r>
        <w:rPr>
          <w:rFonts w:hint="eastAsia" w:ascii="宋体" w:hAnsi="宋体"/>
          <w:szCs w:val="21"/>
          <w:highlight w:val="none"/>
        </w:rPr>
        <w:t>及</w:t>
      </w:r>
      <w:r>
        <w:rPr>
          <w:rFonts w:ascii="宋体" w:hAnsi="宋体"/>
          <w:szCs w:val="21"/>
          <w:highlight w:val="none"/>
        </w:rPr>
        <w:t>招标公告中所明确的开户名称、开户银行、账号，于投标截止前交到本中心账户上（投标人交纳投标保证金时应充分考虑保证金到达本中心账户上的</w:t>
      </w:r>
      <w:r>
        <w:rPr>
          <w:rFonts w:hint="eastAsia" w:ascii="宋体" w:hAnsi="宋体"/>
          <w:szCs w:val="21"/>
          <w:highlight w:val="none"/>
        </w:rPr>
        <w:t>清算</w:t>
      </w:r>
      <w:r>
        <w:rPr>
          <w:rFonts w:ascii="宋体" w:hAnsi="宋体"/>
          <w:szCs w:val="21"/>
          <w:highlight w:val="none"/>
        </w:rPr>
        <w:t>时间）。</w:t>
      </w:r>
    </w:p>
    <w:p>
      <w:pPr>
        <w:snapToGrid w:val="0"/>
        <w:spacing w:line="380" w:lineRule="exact"/>
        <w:ind w:firstLine="421" w:firstLineChars="200"/>
        <w:jc w:val="left"/>
        <w:rPr>
          <w:rFonts w:ascii="宋体" w:hAnsi="宋体" w:cs="宋体"/>
          <w:color w:val="000000"/>
          <w:szCs w:val="21"/>
          <w:highlight w:val="none"/>
        </w:rPr>
      </w:pPr>
      <w:r>
        <w:rPr>
          <w:rFonts w:hint="eastAsia" w:ascii="宋体" w:hAnsi="宋体" w:cs="宋体"/>
          <w:b/>
          <w:color w:val="000000"/>
          <w:szCs w:val="21"/>
          <w:highlight w:val="none"/>
        </w:rPr>
        <w:t>本项目保证金事宜请联系本中心财务处（地址：广西南宁市星湖路22号广西壮族自治区政府采购中心综合楼3楼306室；电话：0771-8600309）</w:t>
      </w:r>
    </w:p>
    <w:p>
      <w:pPr>
        <w:pStyle w:val="31"/>
        <w:spacing w:line="420" w:lineRule="exact"/>
        <w:ind w:firstLine="421" w:firstLineChars="200"/>
        <w:rPr>
          <w:rFonts w:hAnsi="宋体" w:cs="宋体"/>
          <w:b/>
          <w:color w:val="000000"/>
          <w:highlight w:val="none"/>
        </w:rPr>
      </w:pPr>
      <w:r>
        <w:rPr>
          <w:rFonts w:hint="eastAsia" w:hAnsi="宋体" w:cs="宋体"/>
          <w:b/>
          <w:color w:val="000000"/>
          <w:highlight w:val="none"/>
        </w:rPr>
        <w:t>注：</w:t>
      </w:r>
    </w:p>
    <w:p>
      <w:pPr>
        <w:pStyle w:val="31"/>
        <w:spacing w:line="420" w:lineRule="exact"/>
        <w:ind w:firstLine="421" w:firstLineChars="200"/>
        <w:rPr>
          <w:rFonts w:hAnsi="宋体" w:cs="宋体"/>
          <w:b/>
          <w:color w:val="000000"/>
          <w:highlight w:val="none"/>
        </w:rPr>
      </w:pPr>
      <w:r>
        <w:rPr>
          <w:rFonts w:hint="eastAsia" w:hAnsi="宋体" w:cs="宋体"/>
          <w:b/>
          <w:color w:val="000000"/>
          <w:highlight w:val="none"/>
        </w:rPr>
        <w:t>①办理投标保证金手续时，请务必在保证金凭据上注明或写明项目名称及项目编号，以免耽误投标。</w:t>
      </w:r>
    </w:p>
    <w:p>
      <w:pPr>
        <w:snapToGrid w:val="0"/>
        <w:spacing w:line="360" w:lineRule="exact"/>
        <w:ind w:firstLine="421" w:firstLineChars="200"/>
        <w:jc w:val="left"/>
        <w:rPr>
          <w:rFonts w:ascii="宋体" w:hAnsi="宋体" w:cs="宋体"/>
          <w:b/>
          <w:color w:val="000000"/>
          <w:szCs w:val="21"/>
          <w:highlight w:val="none"/>
        </w:rPr>
      </w:pPr>
      <w:r>
        <w:rPr>
          <w:rFonts w:hint="eastAsia" w:ascii="宋体" w:hAnsi="宋体" w:cs="宋体"/>
          <w:b/>
          <w:color w:val="000000"/>
          <w:szCs w:val="21"/>
          <w:highlight w:val="none"/>
        </w:rPr>
        <w:t>②未中标人的投标保证金在中标通知书发出后4个工作日内退还，不计利息。</w:t>
      </w:r>
    </w:p>
    <w:p>
      <w:pPr>
        <w:pStyle w:val="31"/>
        <w:spacing w:line="420" w:lineRule="exact"/>
        <w:ind w:firstLine="421" w:firstLineChars="200"/>
        <w:rPr>
          <w:rFonts w:hAnsi="宋体" w:cs="宋体"/>
          <w:b/>
          <w:color w:val="000000"/>
          <w:highlight w:val="none"/>
        </w:rPr>
      </w:pPr>
      <w:r>
        <w:rPr>
          <w:rFonts w:hint="eastAsia" w:hAnsi="宋体" w:cs="宋体"/>
          <w:b/>
          <w:color w:val="000000"/>
          <w:highlight w:val="none"/>
        </w:rPr>
        <w:t>③中标人的投标保证金自政府采购合同签订之日起4个工作日内（合同签订后送达本中心)后退还，不计利息。</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 xml:space="preserve">4. </w:t>
      </w:r>
      <w:r>
        <w:rPr>
          <w:rFonts w:ascii="宋体" w:hAnsi="宋体" w:cs="宋体"/>
          <w:kern w:val="0"/>
          <w:szCs w:val="21"/>
          <w:highlight w:val="none"/>
        </w:rPr>
        <w:t>中标人应在中标通知书发出</w:t>
      </w:r>
      <w:r>
        <w:rPr>
          <w:rFonts w:hint="eastAsia" w:ascii="宋体" w:hAnsi="宋体" w:cs="宋体"/>
          <w:kern w:val="0"/>
          <w:szCs w:val="21"/>
          <w:highlight w:val="none"/>
        </w:rPr>
        <w:t>之日起</w:t>
      </w:r>
      <w:r>
        <w:rPr>
          <w:rFonts w:hint="eastAsia" w:ascii="宋体" w:hAnsi="宋体"/>
          <w:szCs w:val="21"/>
          <w:highlight w:val="none"/>
          <w:u w:val="single"/>
        </w:rPr>
        <w:t>25</w:t>
      </w:r>
      <w:r>
        <w:rPr>
          <w:rFonts w:hint="eastAsia" w:ascii="宋体" w:hAnsi="宋体"/>
          <w:szCs w:val="21"/>
          <w:highlight w:val="none"/>
        </w:rPr>
        <w:t>日内与采购人签订合同。</w:t>
      </w:r>
      <w:r>
        <w:rPr>
          <w:rFonts w:hint="eastAsia" w:hAnsi="宋体"/>
          <w:bCs/>
          <w:highlight w:val="none"/>
        </w:rPr>
        <w:t>采购需求另有要求的，按照其要求执行。</w:t>
      </w:r>
    </w:p>
    <w:p>
      <w:pPr>
        <w:pStyle w:val="31"/>
        <w:spacing w:line="400" w:lineRule="exact"/>
        <w:ind w:firstLine="420" w:firstLineChars="200"/>
        <w:rPr>
          <w:rFonts w:hAnsi="宋体"/>
          <w:highlight w:val="none"/>
        </w:rPr>
      </w:pPr>
      <w:r>
        <w:rPr>
          <w:rFonts w:hint="eastAsia"/>
          <w:highlight w:val="none"/>
        </w:rPr>
        <w:t>5.投标保证金不计息。</w:t>
      </w:r>
    </w:p>
    <w:p>
      <w:pPr>
        <w:snapToGrid w:val="0"/>
        <w:spacing w:line="360" w:lineRule="exact"/>
        <w:ind w:firstLine="413" w:firstLineChars="196"/>
        <w:jc w:val="left"/>
        <w:rPr>
          <w:rFonts w:ascii="宋体" w:hAnsi="宋体"/>
          <w:b/>
          <w:bCs/>
          <w:szCs w:val="21"/>
          <w:highlight w:val="none"/>
        </w:rPr>
      </w:pPr>
      <w:r>
        <w:rPr>
          <w:rFonts w:hint="eastAsia" w:ascii="宋体" w:hAnsi="宋体"/>
          <w:b/>
          <w:bCs/>
          <w:szCs w:val="21"/>
          <w:highlight w:val="none"/>
        </w:rPr>
        <w:t>6.投标人有下列情形之一的，投标保证金将不予退还：</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（1）投标人在投标有效期内撤回投标文件的；</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（2）投标人在投标过程中弄虚作假，提供虚假材料的；</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（3）中标人无正当理由不与采购人签订合同的；</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（4）</w:t>
      </w:r>
      <w:r>
        <w:rPr>
          <w:rFonts w:hint="eastAsia" w:ascii="宋体" w:hAnsi="宋体"/>
          <w:bCs/>
          <w:spacing w:val="-6"/>
          <w:szCs w:val="21"/>
          <w:highlight w:val="none"/>
        </w:rPr>
        <w:t>将中标项目转让给他人或者在投标文件中未说明且未经招标采购人同意，将中标项目分包给他人的；</w:t>
      </w:r>
    </w:p>
    <w:p>
      <w:pPr>
        <w:snapToGrid w:val="0"/>
        <w:spacing w:line="360" w:lineRule="exact"/>
        <w:ind w:firstLine="411" w:firstLineChars="196"/>
        <w:rPr>
          <w:rFonts w:ascii="宋体" w:hAnsi="宋体"/>
          <w:b/>
          <w:szCs w:val="21"/>
          <w:highlight w:val="none"/>
        </w:rPr>
      </w:pPr>
      <w:r>
        <w:rPr>
          <w:rFonts w:hint="eastAsia" w:ascii="宋体" w:hAnsi="宋体"/>
          <w:szCs w:val="21"/>
          <w:highlight w:val="none"/>
        </w:rPr>
        <w:t>（5）拒绝履行合同义务的；</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（6）其他严重扰乱招投标程序的。</w:t>
      </w:r>
    </w:p>
    <w:p>
      <w:pPr>
        <w:snapToGrid w:val="0"/>
        <w:spacing w:line="360" w:lineRule="exact"/>
        <w:ind w:firstLine="421" w:firstLineChars="200"/>
        <w:rPr>
          <w:rFonts w:ascii="宋体" w:hAnsi="宋体"/>
          <w:b/>
          <w:szCs w:val="21"/>
          <w:highlight w:val="none"/>
        </w:rPr>
      </w:pPr>
      <w:r>
        <w:rPr>
          <w:rFonts w:hint="eastAsia" w:ascii="宋体" w:hAnsi="宋体"/>
          <w:b/>
          <w:szCs w:val="21"/>
          <w:highlight w:val="none"/>
        </w:rPr>
        <w:t>（六）投标文件的签署和份数</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 投标文件份数：见投标人须知及前附表。</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3.投标文件须由投标人在规定位置盖章并由法定代表人或法定代表人的授权委托人签字或签章，投标人应写全称。</w:t>
      </w:r>
    </w:p>
    <w:p>
      <w:pPr>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4.投标文件不得涂改，若有修改错漏处，须加盖单位公章或者法定代表人或授权委托人签字或签章。投标文件扫描不清晰或乱码或表达不清所引起的后果由投标人负责。</w:t>
      </w:r>
    </w:p>
    <w:p>
      <w:pPr>
        <w:snapToGrid w:val="0"/>
        <w:spacing w:beforeLines="50" w:line="360" w:lineRule="exact"/>
        <w:ind w:firstLine="309" w:firstLineChars="147"/>
        <w:jc w:val="left"/>
        <w:outlineLvl w:val="0"/>
        <w:rPr>
          <w:rFonts w:ascii="宋体" w:hAnsi="宋体"/>
          <w:b/>
          <w:szCs w:val="21"/>
          <w:highlight w:val="none"/>
        </w:rPr>
      </w:pPr>
      <w:r>
        <w:rPr>
          <w:rFonts w:hint="eastAsia" w:ascii="宋体" w:hAnsi="宋体"/>
          <w:b/>
          <w:szCs w:val="21"/>
          <w:highlight w:val="none"/>
        </w:rPr>
        <w:t>（七）</w:t>
      </w:r>
      <w:r>
        <w:rPr>
          <w:rFonts w:hint="eastAsia"/>
          <w:b/>
          <w:highlight w:val="none"/>
        </w:rPr>
        <w:t>投标文件的上传、提交、修改、撤回和解密</w:t>
      </w:r>
    </w:p>
    <w:p>
      <w:pPr>
        <w:adjustRightInd w:val="0"/>
        <w:snapToGrid w:val="0"/>
        <w:spacing w:line="400" w:lineRule="exact"/>
        <w:ind w:firstLine="420"/>
        <w:jc w:val="left"/>
        <w:rPr>
          <w:b/>
          <w:highlight w:val="none"/>
        </w:rPr>
      </w:pPr>
      <w:r>
        <w:rPr>
          <w:rFonts w:hint="eastAsia" w:hAnsi="宋体"/>
          <w:highlight w:val="none"/>
        </w:rPr>
        <w:t>▲</w:t>
      </w:r>
      <w:r>
        <w:rPr>
          <w:rFonts w:hint="eastAsia" w:ascii="宋体" w:hAnsi="宋体"/>
          <w:szCs w:val="21"/>
          <w:highlight w:val="none"/>
        </w:rPr>
        <w:t xml:space="preserve">1. </w:t>
      </w:r>
      <w:r>
        <w:rPr>
          <w:rFonts w:hint="eastAsia"/>
          <w:b/>
          <w:highlight w:val="none"/>
        </w:rPr>
        <w:t>投标文件的上传、提交：见投标人须知及前附表。</w:t>
      </w:r>
    </w:p>
    <w:p>
      <w:pPr>
        <w:adjustRightInd w:val="0"/>
        <w:snapToGrid w:val="0"/>
        <w:spacing w:line="400" w:lineRule="exact"/>
        <w:ind w:firstLine="420"/>
        <w:jc w:val="left"/>
        <w:rPr>
          <w:rFonts w:ascii="宋体" w:hAnsi="宋体"/>
          <w:szCs w:val="21"/>
          <w:highlight w:val="none"/>
        </w:rPr>
      </w:pPr>
      <w:r>
        <w:rPr>
          <w:rFonts w:hint="eastAsia" w:ascii="宋体" w:hAnsi="宋体"/>
          <w:szCs w:val="21"/>
          <w:highlight w:val="none"/>
        </w:rPr>
        <w:t>2.</w:t>
      </w:r>
      <w:r>
        <w:rPr>
          <w:rFonts w:hint="eastAsia" w:ascii="宋体" w:hAnsi="宋体" w:cs="仿宋_GB2312"/>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spacing w:val="-4"/>
          <w:szCs w:val="21"/>
          <w:highlight w:val="none"/>
        </w:rPr>
      </w:pPr>
      <w:r>
        <w:rPr>
          <w:rFonts w:hint="eastAsia" w:ascii="宋体" w:hAnsi="宋体"/>
          <w:spacing w:val="-4"/>
          <w:szCs w:val="21"/>
          <w:highlight w:val="none"/>
        </w:rPr>
        <w:t>3.</w:t>
      </w:r>
      <w:r>
        <w:rPr>
          <w:rFonts w:hint="eastAsia" w:ascii="宋体"/>
          <w:snapToGrid w:val="0"/>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ascii="宋体" w:hAnsi="宋体"/>
          <w:spacing w:val="-4"/>
          <w:szCs w:val="21"/>
          <w:highlight w:val="none"/>
        </w:rPr>
      </w:pPr>
      <w:r>
        <w:rPr>
          <w:rFonts w:hint="eastAsia" w:ascii="宋体" w:hAnsi="宋体"/>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ascii="宋体" w:hAnsi="宋体"/>
          <w:b/>
          <w:szCs w:val="21"/>
          <w:highlight w:val="none"/>
        </w:rPr>
      </w:pPr>
      <w:r>
        <w:rPr>
          <w:rFonts w:hint="eastAsia" w:ascii="宋体" w:hAnsi="宋体"/>
          <w:b/>
          <w:szCs w:val="21"/>
          <w:highlight w:val="none"/>
        </w:rPr>
        <w:t>（八）投标无效的情形</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1.在符合性审查和资格性审查时，如发现下列情形之一的，投标文件将被视为无效：</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（1）超越了按照法律法规规定必须获得行政许可或者行政审批的经营范围的；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（2）资格证明文件不全的，或者不符合招标文件标明的资格要求的；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（3）投标文件无法定代表人（负责人）或其授权委托代理人</w:t>
      </w:r>
      <w:r>
        <w:rPr>
          <w:rFonts w:ascii="宋体" w:hAnsi="宋体" w:eastAsia="宋体"/>
          <w:spacing w:val="-4"/>
          <w:sz w:val="21"/>
          <w:szCs w:val="21"/>
          <w:highlight w:val="none"/>
        </w:rPr>
        <w:t>签字或签章</w:t>
      </w:r>
      <w:r>
        <w:rPr>
          <w:rFonts w:hint="eastAsia" w:ascii="宋体" w:hAnsi="宋体" w:eastAsia="宋体"/>
          <w:spacing w:val="-4"/>
          <w:sz w:val="21"/>
          <w:szCs w:val="21"/>
          <w:highlight w:val="none"/>
        </w:rPr>
        <w:t>，或未提供法定代表人（负责人）授权委托书、投标声明书或者填写项目不齐全的；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（4）投标代表人未能出具身份证明或与法定代表人（负责人）授权委托人身份不符的；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（5）项目不齐全或者内容虚假的；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（6）投标文件的实质性内容未使用中文表述、意思表述不明确、前后矛盾或者使用计量单位不符合投标文件要求的（经评标委员会认定并允许其当场更正的笔误除外）；</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（7）投标有效期、交付使用时间、质保期等商务条款不能满足招标文件要求的；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（8）未实质性响应招标文件要求或者投标文件有招标方不能接受的附加条件的；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（9）</w:t>
      </w:r>
      <w:r>
        <w:rPr>
          <w:rFonts w:ascii="宋体" w:hAnsi="宋体" w:eastAsia="宋体"/>
          <w:spacing w:val="-4"/>
          <w:sz w:val="21"/>
          <w:szCs w:val="21"/>
          <w:highlight w:val="none"/>
        </w:rPr>
        <w:t>未按照招标文件的规定提交投标保证金的</w:t>
      </w:r>
      <w:r>
        <w:rPr>
          <w:rFonts w:hint="eastAsia" w:ascii="宋体" w:hAnsi="宋体" w:eastAsia="宋体"/>
          <w:spacing w:val="-4"/>
          <w:sz w:val="21"/>
          <w:szCs w:val="21"/>
          <w:highlight w:val="none"/>
        </w:rPr>
        <w:t>（说明：评标时，评标委员会将以本中心财务室编制的《采购文件购买名单及保证金收缴情况表》作为评审依据）。</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2.在技术评审时，如发现下列情形之一的，投标文件将被视为无效：</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（1）未提供或未如实提供投标货物的技术参数，或者投标文件标明的响应或偏离与事实不符或虚假投标的；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（2）明显不符合招标文件要求的规格型号、质量标准，或者与招标文件中的技术指标、主要功能项目发生实质性偏离的；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（3）标星号“</w:t>
      </w:r>
      <w:r>
        <w:rPr>
          <w:rFonts w:hint="eastAsia" w:ascii="宋体" w:hAnsi="宋体" w:cs="宋体"/>
          <w:kern w:val="0"/>
          <w:sz w:val="21"/>
          <w:szCs w:val="21"/>
          <w:highlight w:val="none"/>
        </w:rPr>
        <w:t>▲</w:t>
      </w:r>
      <w:r>
        <w:rPr>
          <w:rFonts w:hint="eastAsia" w:ascii="宋体" w:hAnsi="宋体" w:eastAsia="宋体"/>
          <w:spacing w:val="-4"/>
          <w:sz w:val="21"/>
          <w:szCs w:val="21"/>
          <w:highlight w:val="none"/>
        </w:rPr>
        <w:t>”的技术、性能指标发生负偏离达</w:t>
      </w:r>
      <w:r>
        <w:rPr>
          <w:rFonts w:hint="eastAsia" w:ascii="宋体" w:hAnsi="宋体" w:eastAsia="宋体"/>
          <w:spacing w:val="-4"/>
          <w:sz w:val="21"/>
          <w:szCs w:val="21"/>
          <w:highlight w:val="none"/>
          <w:u w:val="single"/>
        </w:rPr>
        <w:t xml:space="preserve">  1  </w:t>
      </w:r>
      <w:r>
        <w:rPr>
          <w:rFonts w:hint="eastAsia" w:ascii="宋体" w:hAnsi="宋体" w:eastAsia="宋体"/>
          <w:spacing w:val="-4"/>
          <w:sz w:val="21"/>
          <w:szCs w:val="21"/>
          <w:highlight w:val="none"/>
        </w:rPr>
        <w:t>项（含）以上的；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（4）投标技术方案不明确，存在一个或一个以上备选（替换）投标方案的；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（5）与其他参加本次投标供应商的投标文件（技术文件）的文字表述内容差错相同二处以上的。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3.在报价评审时，如发现下列情形之一的，投标文件将被视为无效：</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（1）未采用人民币报价或者未按照招标文件标明的币种报价的；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（2）报价超出最高限价，或者超出采购预算金额，采购人不能支付的；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（3）投标报价具有选择性，或者开标价格与投标文件承诺的优惠（折扣）价格不一致的。</w:t>
      </w:r>
    </w:p>
    <w:p>
      <w:pPr>
        <w:adjustRightInd w:val="0"/>
        <w:snapToGrid w:val="0"/>
        <w:spacing w:line="400" w:lineRule="exact"/>
        <w:ind w:firstLine="420" w:firstLineChars="200"/>
        <w:jc w:val="left"/>
        <w:rPr>
          <w:rFonts w:ascii="宋体" w:hAnsi="宋体" w:cs="仿宋_GB2312"/>
          <w:kern w:val="0"/>
          <w:szCs w:val="21"/>
          <w:highlight w:val="none"/>
          <w:lang w:val="zh-CN"/>
        </w:rPr>
      </w:pPr>
      <w:bookmarkStart w:id="10" w:name="_Toc40864952"/>
      <w:bookmarkStart w:id="11" w:name="_Toc40864676"/>
      <w:bookmarkStart w:id="12" w:name="_Toc40865068"/>
      <w:r>
        <w:rPr>
          <w:rFonts w:hint="eastAsia" w:ascii="宋体" w:hAnsi="宋体" w:cs="仿宋_GB2312"/>
          <w:kern w:val="0"/>
          <w:szCs w:val="21"/>
          <w:highlight w:val="none"/>
          <w:lang w:val="zh-CN"/>
        </w:rPr>
        <w:t>（4）评标委员会在评审中，经启动异常低价审查程序后供应商未能</w:t>
      </w:r>
      <w:r>
        <w:rPr>
          <w:rFonts w:hint="eastAsia"/>
          <w:bCs/>
          <w:highlight w:val="none"/>
        </w:rPr>
        <w:t>证明其报价合理性的</w:t>
      </w:r>
      <w:r>
        <w:rPr>
          <w:rFonts w:hint="eastAsia" w:ascii="宋体" w:hAnsi="宋体" w:cs="仿宋_GB2312"/>
          <w:kern w:val="0"/>
          <w:szCs w:val="21"/>
          <w:highlight w:val="none"/>
          <w:lang w:val="zh-CN"/>
        </w:rPr>
        <w:t>。</w:t>
      </w:r>
      <w:bookmarkEnd w:id="10"/>
      <w:bookmarkEnd w:id="11"/>
      <w:bookmarkEnd w:id="12"/>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4.有下列情形之一的视为投标人相互串通投标，投标文件将被视为无效:</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（1）不同投标人的投标文件由同一单位或者个人编制；或不同投标人报名的IP地址一致的；</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（2）不同投标人委托同一单位或者个人办理投标事宜；</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（3）不同投标人的投标文件载明的项目管理成员或者联系人员为同一人；</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（4）不同投标人的投标文件异常一致或投标报价呈规律性差异；</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（5）不同投标人的投标文件相互混装；</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hint="eastAsia" w:ascii="宋体" w:hAnsi="宋体" w:eastAsia="宋体"/>
          <w:spacing w:val="-4"/>
          <w:sz w:val="21"/>
          <w:szCs w:val="21"/>
          <w:highlight w:val="none"/>
        </w:rPr>
        <w:t>（6）不同投标人的投标保证金从同一个单位或者个人账户转出。</w:t>
      </w:r>
    </w:p>
    <w:p>
      <w:pPr>
        <w:pStyle w:val="23"/>
        <w:adjustRightInd w:val="0"/>
        <w:snapToGrid w:val="0"/>
        <w:spacing w:line="400" w:lineRule="exact"/>
        <w:ind w:firstLine="395" w:firstLineChars="196"/>
        <w:rPr>
          <w:rFonts w:ascii="宋体" w:hAnsi="宋体" w:eastAsia="宋体"/>
          <w:bCs/>
          <w:sz w:val="21"/>
          <w:szCs w:val="21"/>
          <w:highlight w:val="none"/>
        </w:rPr>
      </w:pPr>
      <w:r>
        <w:rPr>
          <w:rFonts w:ascii="宋体" w:hAnsi="宋体" w:eastAsia="宋体"/>
          <w:spacing w:val="-4"/>
          <w:sz w:val="21"/>
          <w:szCs w:val="21"/>
          <w:highlight w:val="none"/>
        </w:rPr>
        <w:t>5</w:t>
      </w:r>
      <w:r>
        <w:rPr>
          <w:rFonts w:hint="eastAsia" w:ascii="宋体" w:hAnsi="宋体" w:eastAsia="宋体"/>
          <w:spacing w:val="-4"/>
          <w:sz w:val="21"/>
          <w:szCs w:val="21"/>
          <w:highlight w:val="none"/>
        </w:rPr>
        <w:t>.</w:t>
      </w:r>
      <w:r>
        <w:rPr>
          <w:rFonts w:hint="eastAsia" w:ascii="宋体" w:hAnsi="宋体" w:eastAsia="宋体"/>
          <w:bCs/>
          <w:sz w:val="21"/>
          <w:szCs w:val="21"/>
          <w:highlight w:val="none"/>
        </w:rPr>
        <w:t>其他投标无效的情形：</w:t>
      </w:r>
    </w:p>
    <w:p>
      <w:pPr>
        <w:pStyle w:val="23"/>
        <w:adjustRightInd w:val="0"/>
        <w:snapToGrid w:val="0"/>
        <w:spacing w:line="400" w:lineRule="exact"/>
        <w:ind w:firstLine="413" w:firstLineChars="196"/>
        <w:rPr>
          <w:rFonts w:ascii="宋体" w:hAnsi="宋体" w:eastAsia="宋体"/>
          <w:b/>
          <w:bCs/>
          <w:sz w:val="21"/>
          <w:szCs w:val="21"/>
          <w:highlight w:val="none"/>
        </w:rPr>
      </w:pPr>
      <w:r>
        <w:rPr>
          <w:rFonts w:hint="eastAsia" w:ascii="宋体" w:hAnsi="宋体" w:eastAsia="宋体"/>
          <w:b/>
          <w:bCs/>
          <w:sz w:val="21"/>
          <w:szCs w:val="21"/>
          <w:highlight w:val="none"/>
        </w:rPr>
        <w:t>（1）</w:t>
      </w:r>
      <w:r>
        <w:rPr>
          <w:rFonts w:ascii="宋体" w:hAnsi="宋体" w:eastAsia="宋体"/>
          <w:b/>
          <w:bCs/>
          <w:sz w:val="21"/>
          <w:szCs w:val="21"/>
          <w:highlight w:val="none"/>
        </w:rPr>
        <w:t>投标文件未按招标文件要求签署</w:t>
      </w:r>
      <w:r>
        <w:rPr>
          <w:rFonts w:hint="eastAsia" w:ascii="宋体" w:hAnsi="宋体" w:eastAsia="宋体"/>
          <w:b/>
          <w:bCs/>
          <w:sz w:val="21"/>
          <w:szCs w:val="21"/>
          <w:highlight w:val="none"/>
        </w:rPr>
        <w:t>或</w:t>
      </w:r>
      <w:r>
        <w:rPr>
          <w:rFonts w:ascii="宋体" w:hAnsi="宋体" w:eastAsia="宋体"/>
          <w:b/>
          <w:bCs/>
          <w:sz w:val="21"/>
          <w:szCs w:val="21"/>
          <w:highlight w:val="none"/>
        </w:rPr>
        <w:t>CA电子签章的；</w:t>
      </w:r>
    </w:p>
    <w:p>
      <w:pPr>
        <w:pStyle w:val="23"/>
        <w:adjustRightInd w:val="0"/>
        <w:snapToGrid w:val="0"/>
        <w:spacing w:line="400" w:lineRule="exact"/>
        <w:ind w:firstLine="413" w:firstLineChars="196"/>
        <w:rPr>
          <w:rFonts w:ascii="宋体" w:hAnsi="宋体" w:eastAsia="宋体"/>
          <w:b/>
          <w:bCs/>
          <w:sz w:val="21"/>
          <w:szCs w:val="21"/>
          <w:highlight w:val="none"/>
        </w:rPr>
      </w:pPr>
      <w:r>
        <w:rPr>
          <w:rFonts w:hint="eastAsia" w:ascii="宋体" w:hAnsi="宋体" w:eastAsia="宋体"/>
          <w:b/>
          <w:bCs/>
          <w:sz w:val="21"/>
          <w:szCs w:val="21"/>
          <w:highlight w:val="none"/>
        </w:rPr>
        <w:t>（2）</w:t>
      </w:r>
      <w:r>
        <w:rPr>
          <w:rFonts w:ascii="宋体" w:hAnsi="宋体" w:eastAsia="宋体"/>
          <w:b/>
          <w:bCs/>
          <w:sz w:val="21"/>
          <w:szCs w:val="21"/>
          <w:highlight w:val="none"/>
        </w:rPr>
        <w:t>供应商提交两份或两份以上内容不同的投标文件；</w:t>
      </w:r>
    </w:p>
    <w:p>
      <w:pPr>
        <w:pStyle w:val="31"/>
        <w:adjustRightInd w:val="0"/>
        <w:snapToGrid w:val="0"/>
        <w:spacing w:line="400" w:lineRule="exact"/>
        <w:ind w:firstLine="421" w:firstLineChars="200"/>
        <w:rPr>
          <w:rFonts w:hAnsi="宋体"/>
          <w:b/>
          <w:bCs/>
          <w:highlight w:val="none"/>
        </w:rPr>
      </w:pPr>
      <w:r>
        <w:rPr>
          <w:rFonts w:hint="eastAsia" w:hAnsi="宋体"/>
          <w:b/>
          <w:bCs/>
          <w:highlight w:val="none"/>
        </w:rPr>
        <w:t>（3）</w:t>
      </w:r>
      <w:r>
        <w:rPr>
          <w:rFonts w:hAnsi="宋体"/>
          <w:b/>
          <w:bCs/>
          <w:highlight w:val="none"/>
        </w:rPr>
        <w:t>投标供应商在线制作投标文件时</w:t>
      </w:r>
      <w:r>
        <w:rPr>
          <w:rFonts w:hint="eastAsia" w:hAnsi="宋体"/>
          <w:b/>
          <w:bCs/>
          <w:highlight w:val="none"/>
        </w:rPr>
        <w:t>填写的报价金额</w:t>
      </w:r>
      <w:r>
        <w:rPr>
          <w:rFonts w:hAnsi="宋体"/>
          <w:b/>
          <w:bCs/>
          <w:highlight w:val="none"/>
        </w:rPr>
        <w:t>与解密后“电子加密投标文件”中《开标一览表》填写的金额不一致并拒绝按招标文件要求接受调整的；</w:t>
      </w:r>
    </w:p>
    <w:p>
      <w:pPr>
        <w:pStyle w:val="23"/>
        <w:snapToGrid w:val="0"/>
        <w:spacing w:line="360" w:lineRule="exact"/>
        <w:ind w:firstLine="413" w:firstLineChars="196"/>
        <w:outlineLvl w:val="0"/>
        <w:rPr>
          <w:rFonts w:ascii="宋体" w:hAnsi="宋体" w:eastAsia="宋体"/>
          <w:spacing w:val="-4"/>
          <w:sz w:val="21"/>
          <w:szCs w:val="21"/>
          <w:highlight w:val="none"/>
        </w:rPr>
      </w:pPr>
      <w:r>
        <w:rPr>
          <w:rFonts w:hint="eastAsia" w:ascii="宋体" w:hAnsi="宋体" w:eastAsia="宋体" w:cs="Courier New"/>
          <w:b/>
          <w:bCs/>
          <w:sz w:val="21"/>
          <w:szCs w:val="21"/>
          <w:highlight w:val="none"/>
        </w:rPr>
        <w:t>（4）</w:t>
      </w:r>
      <w:r>
        <w:rPr>
          <w:rFonts w:ascii="宋体" w:hAnsi="宋体" w:eastAsia="宋体" w:cs="Courier New"/>
          <w:b/>
          <w:bCs/>
          <w:sz w:val="21"/>
          <w:szCs w:val="21"/>
          <w:highlight w:val="none"/>
        </w:rPr>
        <w:t>法律、法规和招标文件规定的其他无效情形（或出现重大偏差）。</w:t>
      </w:r>
    </w:p>
    <w:p>
      <w:pPr>
        <w:pStyle w:val="23"/>
        <w:snapToGrid w:val="0"/>
        <w:spacing w:line="360" w:lineRule="exact"/>
        <w:ind w:firstLine="395" w:firstLineChars="196"/>
        <w:outlineLvl w:val="0"/>
        <w:rPr>
          <w:rFonts w:ascii="宋体" w:hAnsi="宋体" w:eastAsia="宋体"/>
          <w:spacing w:val="-4"/>
          <w:sz w:val="21"/>
          <w:szCs w:val="21"/>
          <w:highlight w:val="none"/>
        </w:rPr>
      </w:pPr>
      <w:r>
        <w:rPr>
          <w:rFonts w:ascii="宋体" w:hAnsi="宋体" w:eastAsia="宋体"/>
          <w:spacing w:val="-4"/>
          <w:sz w:val="21"/>
          <w:szCs w:val="21"/>
          <w:highlight w:val="none"/>
        </w:rPr>
        <w:t>6</w:t>
      </w:r>
      <w:r>
        <w:rPr>
          <w:rFonts w:hint="eastAsia" w:ascii="宋体" w:hAnsi="宋体" w:eastAsia="宋体"/>
          <w:spacing w:val="-4"/>
          <w:sz w:val="21"/>
          <w:szCs w:val="21"/>
          <w:highlight w:val="none"/>
        </w:rPr>
        <w:t>.被拒绝的投标文件为无效。</w:t>
      </w:r>
    </w:p>
    <w:p>
      <w:pPr>
        <w:pStyle w:val="23"/>
        <w:snapToGrid w:val="0"/>
        <w:spacing w:line="360" w:lineRule="exact"/>
        <w:ind w:firstLine="413" w:firstLineChars="196"/>
        <w:outlineLvl w:val="0"/>
        <w:rPr>
          <w:rFonts w:ascii="宋体" w:hAnsi="宋体" w:eastAsia="宋体"/>
          <w:b/>
          <w:sz w:val="21"/>
          <w:szCs w:val="21"/>
          <w:highlight w:val="none"/>
        </w:rPr>
      </w:pPr>
    </w:p>
    <w:p>
      <w:pPr>
        <w:pStyle w:val="23"/>
        <w:snapToGrid w:val="0"/>
        <w:spacing w:line="360" w:lineRule="exact"/>
        <w:ind w:firstLine="413" w:firstLineChars="196"/>
        <w:outlineLvl w:val="0"/>
        <w:rPr>
          <w:rFonts w:ascii="宋体" w:hAnsi="宋体" w:eastAsia="宋体"/>
          <w:b/>
          <w:snapToGrid w:val="0"/>
          <w:sz w:val="21"/>
          <w:szCs w:val="21"/>
          <w:highlight w:val="none"/>
        </w:rPr>
      </w:pPr>
      <w:r>
        <w:rPr>
          <w:rFonts w:hint="eastAsia" w:ascii="宋体" w:hAnsi="宋体" w:eastAsia="宋体"/>
          <w:b/>
          <w:sz w:val="21"/>
          <w:szCs w:val="21"/>
          <w:highlight w:val="none"/>
        </w:rPr>
        <w:t>四、开标</w:t>
      </w:r>
    </w:p>
    <w:p>
      <w:pPr>
        <w:pStyle w:val="31"/>
        <w:snapToGrid w:val="0"/>
        <w:spacing w:line="360" w:lineRule="exact"/>
        <w:ind w:firstLine="413" w:firstLineChars="196"/>
        <w:outlineLvl w:val="0"/>
        <w:rPr>
          <w:rFonts w:hAnsi="宋体"/>
          <w:b/>
          <w:highlight w:val="none"/>
        </w:rPr>
      </w:pPr>
      <w:r>
        <w:rPr>
          <w:rFonts w:hint="eastAsia" w:hAnsi="宋体"/>
          <w:b/>
          <w:highlight w:val="none"/>
        </w:rPr>
        <w:t>（一）开标准备</w:t>
      </w:r>
    </w:p>
    <w:p>
      <w:pPr>
        <w:pStyle w:val="31"/>
        <w:snapToGrid w:val="0"/>
        <w:spacing w:line="360" w:lineRule="exact"/>
        <w:ind w:firstLine="420" w:firstLineChars="200"/>
        <w:rPr>
          <w:rFonts w:hAnsi="宋体"/>
          <w:bCs/>
          <w:highlight w:val="none"/>
        </w:rPr>
      </w:pPr>
      <w:r>
        <w:rPr>
          <w:rFonts w:hint="eastAsia" w:hAnsi="宋体"/>
          <w:bCs/>
          <w:highlight w:val="none"/>
        </w:rPr>
        <w:t>本中心将</w:t>
      </w:r>
      <w:r>
        <w:rPr>
          <w:rFonts w:hint="eastAsia"/>
          <w:sz w:val="22"/>
          <w:highlight w:val="none"/>
        </w:rPr>
        <w:t>按招标文件规定的时间、地点通过“广西政府采购云平台”组织开标、开启投标文件，所有供应商均应当准时在线参加。投</w:t>
      </w:r>
      <w:r>
        <w:rPr>
          <w:sz w:val="22"/>
          <w:highlight w:val="none"/>
        </w:rPr>
        <w:t>标供应商因未在线参加开标而导致投标文件无法按时解密等一切后果由供应商自</w:t>
      </w:r>
      <w:r>
        <w:rPr>
          <w:rFonts w:hint="eastAsia"/>
          <w:sz w:val="22"/>
          <w:highlight w:val="none"/>
        </w:rPr>
        <w:t>行</w:t>
      </w:r>
      <w:r>
        <w:rPr>
          <w:sz w:val="22"/>
          <w:highlight w:val="none"/>
        </w:rPr>
        <w:t>承担。</w:t>
      </w:r>
    </w:p>
    <w:p>
      <w:pPr>
        <w:pStyle w:val="31"/>
        <w:snapToGrid w:val="0"/>
        <w:spacing w:line="360" w:lineRule="exact"/>
        <w:ind w:firstLine="413" w:firstLineChars="196"/>
        <w:outlineLvl w:val="0"/>
        <w:rPr>
          <w:rFonts w:hAnsi="宋体"/>
          <w:b/>
          <w:highlight w:val="none"/>
        </w:rPr>
      </w:pPr>
      <w:r>
        <w:rPr>
          <w:rFonts w:hint="eastAsia" w:hAnsi="宋体"/>
          <w:b/>
          <w:highlight w:val="none"/>
        </w:rPr>
        <w:t>（二） 开标程序：</w:t>
      </w:r>
    </w:p>
    <w:p>
      <w:pPr>
        <w:pStyle w:val="31"/>
        <w:adjustRightInd w:val="0"/>
        <w:snapToGrid w:val="0"/>
        <w:spacing w:line="400" w:lineRule="exact"/>
        <w:ind w:firstLine="420" w:firstLineChars="200"/>
        <w:rPr>
          <w:rFonts w:hAnsi="宋体"/>
          <w:highlight w:val="none"/>
        </w:rPr>
      </w:pPr>
      <w:r>
        <w:rPr>
          <w:rFonts w:hint="eastAsia" w:hAnsi="宋体"/>
          <w:highlight w:val="none"/>
        </w:rPr>
        <w:t>1.电子开标会由本中心主持</w:t>
      </w:r>
    </w:p>
    <w:p>
      <w:pPr>
        <w:pStyle w:val="31"/>
        <w:adjustRightInd w:val="0"/>
        <w:snapToGrid w:val="0"/>
        <w:spacing w:line="400" w:lineRule="exact"/>
        <w:ind w:firstLine="420" w:firstLineChars="200"/>
        <w:rPr>
          <w:highlight w:val="none"/>
        </w:rPr>
      </w:pPr>
      <w:r>
        <w:rPr>
          <w:rFonts w:hint="eastAsia" w:hAnsi="宋体"/>
          <w:highlight w:val="none"/>
        </w:rPr>
        <w:t>2.本中心工作人员</w:t>
      </w:r>
      <w:r>
        <w:rPr>
          <w:rFonts w:hint="eastAsia"/>
          <w:highlight w:val="none"/>
        </w:rPr>
        <w:t>向各投标供应商发出电子加密投标文件【开始解密】通知，由供应商按招标文件规定的时间内自行进行投标文件解密。</w:t>
      </w:r>
      <w:r>
        <w:rPr>
          <w:rFonts w:hint="eastAsia"/>
          <w:snapToGrid w:val="0"/>
          <w:highlight w:val="none"/>
        </w:rPr>
        <w:t>投标供应商未在规定时间内完成解密的，系统默认自动放弃。</w:t>
      </w:r>
    </w:p>
    <w:p>
      <w:pPr>
        <w:pStyle w:val="31"/>
        <w:adjustRightInd w:val="0"/>
        <w:snapToGrid w:val="0"/>
        <w:spacing w:line="400" w:lineRule="exact"/>
        <w:ind w:firstLine="420" w:firstLineChars="200"/>
        <w:rPr>
          <w:rFonts w:hAnsi="宋体"/>
          <w:highlight w:val="none"/>
        </w:rPr>
      </w:pPr>
      <w:r>
        <w:rPr>
          <w:rFonts w:hint="eastAsia" w:hAnsi="宋体"/>
          <w:highlight w:val="none"/>
        </w:rPr>
        <w:t>3.</w:t>
      </w:r>
      <w:r>
        <w:rPr>
          <w:rFonts w:hAnsi="宋体"/>
          <w:highlight w:val="none"/>
        </w:rPr>
        <w:t>投标文件解密结束，开启</w:t>
      </w:r>
      <w:r>
        <w:rPr>
          <w:rFonts w:hint="eastAsia" w:hAnsi="宋体"/>
          <w:highlight w:val="none"/>
        </w:rPr>
        <w:t>报价文件。投标供应商在线制作投标文件时填写的报价金额</w:t>
      </w:r>
      <w:r>
        <w:rPr>
          <w:rFonts w:hAnsi="宋体"/>
          <w:highlight w:val="none"/>
        </w:rPr>
        <w:t>与解密后“电子加密投标文件”中《开标一览表》填写的金额不一致的，以解密后“电子加密投标文件”中《开标一览表》填写的金额为准，投标供应商拒绝接受此调整的，按无效投标处理。</w:t>
      </w:r>
    </w:p>
    <w:p>
      <w:pPr>
        <w:pStyle w:val="31"/>
        <w:adjustRightInd w:val="0"/>
        <w:snapToGrid w:val="0"/>
        <w:spacing w:line="400" w:lineRule="exact"/>
        <w:ind w:firstLine="420" w:firstLineChars="200"/>
        <w:rPr>
          <w:rFonts w:hAnsi="宋体"/>
          <w:highlight w:val="none"/>
        </w:rPr>
      </w:pPr>
      <w:r>
        <w:rPr>
          <w:rFonts w:hint="eastAsia" w:hAnsi="宋体"/>
          <w:highlight w:val="none"/>
        </w:rPr>
        <w:t>4.进入</w:t>
      </w:r>
      <w:r>
        <w:rPr>
          <w:rFonts w:hAnsi="宋体"/>
          <w:highlight w:val="none"/>
        </w:rPr>
        <w:t>资格文件</w:t>
      </w:r>
      <w:r>
        <w:rPr>
          <w:rFonts w:hint="eastAsia" w:hAnsi="宋体"/>
          <w:highlight w:val="none"/>
        </w:rPr>
        <w:t>审查环节</w:t>
      </w:r>
      <w:r>
        <w:rPr>
          <w:rFonts w:hAnsi="宋体"/>
          <w:highlight w:val="none"/>
        </w:rPr>
        <w:t>，</w:t>
      </w:r>
      <w:r>
        <w:rPr>
          <w:rFonts w:hint="eastAsia" w:hAnsi="宋体"/>
          <w:highlight w:val="none"/>
        </w:rPr>
        <w:t>本中心或者招标采购单位</w:t>
      </w:r>
      <w:r>
        <w:rPr>
          <w:rFonts w:hAnsi="宋体"/>
          <w:highlight w:val="none"/>
        </w:rPr>
        <w:t>依法对投标供应商的资格进行审查。</w:t>
      </w:r>
    </w:p>
    <w:p>
      <w:pPr>
        <w:pStyle w:val="31"/>
        <w:adjustRightInd w:val="0"/>
        <w:snapToGrid w:val="0"/>
        <w:spacing w:line="400" w:lineRule="exact"/>
        <w:ind w:firstLine="420" w:firstLineChars="200"/>
        <w:rPr>
          <w:rFonts w:hAnsi="宋体"/>
          <w:highlight w:val="none"/>
        </w:rPr>
      </w:pPr>
      <w:r>
        <w:rPr>
          <w:rFonts w:hint="eastAsia" w:hAnsi="宋体"/>
          <w:highlight w:val="none"/>
        </w:rPr>
        <w:t>5.</w:t>
      </w:r>
      <w:r>
        <w:rPr>
          <w:rFonts w:hAnsi="宋体"/>
          <w:highlight w:val="none"/>
        </w:rPr>
        <w:t>开启资格审查通过的投标供应商的商务技术文件进入符合性审查及商务技术评审</w:t>
      </w:r>
      <w:r>
        <w:rPr>
          <w:rFonts w:hint="eastAsia" w:hAnsi="宋体"/>
          <w:highlight w:val="none"/>
        </w:rPr>
        <w:t>。</w:t>
      </w:r>
    </w:p>
    <w:p>
      <w:pPr>
        <w:pStyle w:val="31"/>
        <w:adjustRightInd w:val="0"/>
        <w:snapToGrid w:val="0"/>
        <w:spacing w:line="400" w:lineRule="exact"/>
        <w:ind w:firstLine="420"/>
        <w:rPr>
          <w:rFonts w:hAnsi="宋体"/>
          <w:highlight w:val="none"/>
        </w:rPr>
      </w:pPr>
      <w:r>
        <w:rPr>
          <w:rFonts w:hint="eastAsia" w:hAnsi="宋体"/>
          <w:b/>
          <w:bCs/>
          <w:highlight w:val="none"/>
        </w:rPr>
        <w:t>注：</w:t>
      </w:r>
      <w:r>
        <w:rPr>
          <w:rFonts w:hint="eastAsia" w:hAnsi="宋体"/>
          <w:highlight w:val="none"/>
        </w:rPr>
        <w:t>①当整个招标项目的投标人不足3家的不开标，本中心将按政府采购管理的有关规定处理。</w:t>
      </w:r>
    </w:p>
    <w:p>
      <w:pPr>
        <w:pStyle w:val="31"/>
        <w:adjustRightInd w:val="0"/>
        <w:snapToGrid w:val="0"/>
        <w:spacing w:line="400" w:lineRule="exact"/>
        <w:ind w:firstLine="840" w:firstLineChars="400"/>
        <w:rPr>
          <w:rFonts w:hAnsi="宋体"/>
          <w:highlight w:val="none"/>
        </w:rPr>
      </w:pPr>
      <w:r>
        <w:rPr>
          <w:rFonts w:hint="eastAsia" w:hAnsi="宋体"/>
          <w:highlight w:val="none"/>
        </w:rPr>
        <w:t>②开标后,某分标投标人不足3家的，本中心将按政府采购管理的有关规定处理。</w:t>
      </w:r>
    </w:p>
    <w:p>
      <w:pPr>
        <w:pStyle w:val="31"/>
        <w:snapToGrid w:val="0"/>
        <w:spacing w:line="360" w:lineRule="exact"/>
        <w:ind w:left="689" w:leftChars="228" w:hanging="210" w:hangingChars="100"/>
        <w:rPr>
          <w:rFonts w:hAnsi="宋体"/>
          <w:highlight w:val="none"/>
        </w:rPr>
      </w:pPr>
      <w:r>
        <w:rPr>
          <w:rFonts w:hAnsi="宋体"/>
          <w:b/>
          <w:bCs/>
          <w:highlight w:val="none"/>
        </w:rPr>
        <w:t>特别说明：如遇“广西政府采购云平台”电子化开标或评审程序调整的，按调整后程序执行。</w:t>
      </w:r>
    </w:p>
    <w:p>
      <w:pPr>
        <w:pStyle w:val="31"/>
        <w:snapToGrid w:val="0"/>
        <w:spacing w:line="360" w:lineRule="exact"/>
        <w:ind w:left="771" w:leftChars="267" w:hanging="210" w:hangingChars="100"/>
        <w:outlineLvl w:val="1"/>
        <w:rPr>
          <w:rFonts w:hAnsi="宋体"/>
          <w:b/>
          <w:highlight w:val="none"/>
        </w:rPr>
      </w:pPr>
      <w:r>
        <w:rPr>
          <w:rFonts w:hint="eastAsia" w:hAnsi="宋体"/>
          <w:b/>
          <w:highlight w:val="none"/>
        </w:rPr>
        <w:t>五、</w:t>
      </w:r>
      <w:r>
        <w:rPr>
          <w:rFonts w:hint="eastAsia" w:hAnsi="宋体"/>
          <w:b/>
          <w:bCs/>
          <w:highlight w:val="none"/>
        </w:rPr>
        <w:t>资格审查</w:t>
      </w:r>
    </w:p>
    <w:p>
      <w:pPr>
        <w:pStyle w:val="31"/>
        <w:snapToGrid w:val="0"/>
        <w:spacing w:line="360" w:lineRule="exact"/>
        <w:ind w:left="771" w:leftChars="267" w:hanging="210" w:hangingChars="100"/>
        <w:outlineLvl w:val="1"/>
        <w:rPr>
          <w:rFonts w:hAnsi="宋体"/>
          <w:b/>
          <w:highlight w:val="none"/>
        </w:rPr>
      </w:pPr>
      <w:r>
        <w:rPr>
          <w:rFonts w:hint="eastAsia"/>
          <w:highlight w:val="none"/>
        </w:rPr>
        <w:t>采购人</w:t>
      </w:r>
      <w:r>
        <w:rPr>
          <w:rFonts w:hint="eastAsia"/>
          <w:spacing w:val="-4"/>
          <w:highlight w:val="none"/>
        </w:rPr>
        <w:t>或本中心工作人员</w:t>
      </w:r>
      <w:r>
        <w:rPr>
          <w:rFonts w:hint="eastAsia"/>
          <w:highlight w:val="none"/>
        </w:rPr>
        <w:t>依法对投标人的资格进行审查。合格投标人不足3家的，不得评标。</w:t>
      </w:r>
    </w:p>
    <w:p>
      <w:pPr>
        <w:pStyle w:val="31"/>
        <w:snapToGrid w:val="0"/>
        <w:spacing w:line="360" w:lineRule="exact"/>
        <w:ind w:left="771" w:leftChars="267" w:hanging="210" w:hangingChars="100"/>
        <w:outlineLvl w:val="1"/>
        <w:rPr>
          <w:rFonts w:hAnsi="宋体"/>
          <w:b/>
          <w:highlight w:val="none"/>
        </w:rPr>
      </w:pPr>
      <w:r>
        <w:rPr>
          <w:rFonts w:hint="eastAsia" w:hAnsi="宋体"/>
          <w:b/>
          <w:highlight w:val="none"/>
        </w:rPr>
        <w:t>六、评标</w:t>
      </w:r>
    </w:p>
    <w:p>
      <w:pPr>
        <w:pStyle w:val="31"/>
        <w:snapToGrid w:val="0"/>
        <w:spacing w:line="360" w:lineRule="exact"/>
        <w:ind w:left="689" w:leftChars="228" w:hanging="210" w:hangingChars="100"/>
        <w:rPr>
          <w:rFonts w:hAnsi="宋体"/>
          <w:b/>
          <w:highlight w:val="none"/>
        </w:rPr>
      </w:pPr>
      <w:r>
        <w:rPr>
          <w:rFonts w:hint="eastAsia" w:hAnsi="宋体"/>
          <w:b/>
          <w:highlight w:val="none"/>
        </w:rPr>
        <w:t>（一）组建评标委员会</w:t>
      </w:r>
    </w:p>
    <w:p>
      <w:pPr>
        <w:pStyle w:val="31"/>
        <w:snapToGrid w:val="0"/>
        <w:spacing w:line="360" w:lineRule="exact"/>
        <w:ind w:firstLine="420" w:firstLineChars="200"/>
        <w:rPr>
          <w:spacing w:val="-4"/>
          <w:highlight w:val="none"/>
        </w:rPr>
      </w:pPr>
      <w:r>
        <w:rPr>
          <w:rFonts w:hint="eastAsia" w:hAnsi="宋体"/>
          <w:bCs/>
          <w:highlight w:val="none"/>
        </w:rPr>
        <w:t>本招标采购项目的</w:t>
      </w:r>
      <w:r>
        <w:rPr>
          <w:spacing w:val="-4"/>
          <w:highlight w:val="none"/>
        </w:rPr>
        <w:t>评标委员会由采购人代表和评审专家组成，成员人数应当为5人以上单数，其中评审专家不得少于成员总数的三分之二。</w:t>
      </w:r>
    </w:p>
    <w:p>
      <w:pPr>
        <w:pStyle w:val="31"/>
        <w:snapToGrid w:val="0"/>
        <w:spacing w:line="360" w:lineRule="exact"/>
        <w:ind w:left="689" w:leftChars="228" w:hanging="210" w:hangingChars="100"/>
        <w:rPr>
          <w:rFonts w:hAnsi="宋体"/>
          <w:b/>
          <w:highlight w:val="none"/>
        </w:rPr>
      </w:pPr>
      <w:r>
        <w:rPr>
          <w:rFonts w:hint="eastAsia" w:hAnsi="宋体"/>
          <w:b/>
          <w:highlight w:val="none"/>
        </w:rPr>
        <w:t>（二）评标的方式</w:t>
      </w:r>
    </w:p>
    <w:p>
      <w:pPr>
        <w:pStyle w:val="31"/>
        <w:snapToGrid w:val="0"/>
        <w:spacing w:line="360" w:lineRule="exact"/>
        <w:ind w:left="689" w:leftChars="228" w:hanging="210" w:hangingChars="100"/>
        <w:rPr>
          <w:rFonts w:hAnsi="宋体"/>
          <w:highlight w:val="none"/>
        </w:rPr>
      </w:pPr>
      <w:r>
        <w:rPr>
          <w:rFonts w:hint="eastAsia" w:hAnsi="宋体"/>
          <w:highlight w:val="none"/>
        </w:rPr>
        <w:t>本项目采用不公开方式评标，评标的依据为招标文件和投标文件。</w:t>
      </w:r>
    </w:p>
    <w:p>
      <w:pPr>
        <w:pStyle w:val="31"/>
        <w:snapToGrid w:val="0"/>
        <w:spacing w:line="360" w:lineRule="exact"/>
        <w:ind w:left="689" w:leftChars="228" w:hanging="210" w:hangingChars="100"/>
        <w:rPr>
          <w:rFonts w:hAnsi="宋体"/>
          <w:b/>
          <w:highlight w:val="none"/>
        </w:rPr>
      </w:pPr>
      <w:r>
        <w:rPr>
          <w:rFonts w:hint="eastAsia" w:hAnsi="宋体"/>
          <w:b/>
          <w:highlight w:val="none"/>
        </w:rPr>
        <w:t>（三）</w:t>
      </w:r>
      <w:r>
        <w:rPr>
          <w:rFonts w:hint="eastAsia" w:hAnsi="宋体"/>
          <w:b/>
          <w:bCs/>
          <w:highlight w:val="none"/>
        </w:rPr>
        <w:t>评标程序</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评标委员会仅对通过资格审查的投标文件进行后续评审，程序如下：</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（1）符合性审查：评标委员会审查投标文件是否实质性响应招标文件要求。未通过审查的投标，不进入详细评审。</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（3）商务与技术评审：评标委员会依据评分标准，对通过符合性审查的投标进行详细评审。</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（4）报价评审</w:t>
      </w:r>
    </w:p>
    <w:p>
      <w:pPr>
        <w:snapToGrid w:val="0"/>
        <w:spacing w:line="360" w:lineRule="exact"/>
        <w:ind w:left="420" w:leftChars="200" w:firstLine="210" w:firstLineChars="100"/>
        <w:rPr>
          <w:rFonts w:ascii="宋体" w:hAnsi="宋体"/>
          <w:szCs w:val="21"/>
          <w:highlight w:val="none"/>
        </w:rPr>
      </w:pPr>
      <w:r>
        <w:rPr>
          <w:rFonts w:ascii="宋体" w:hAnsi="宋体"/>
          <w:szCs w:val="21"/>
          <w:highlight w:val="none"/>
        </w:rPr>
        <w:t>a)</w:t>
      </w:r>
      <w:r>
        <w:rPr>
          <w:rFonts w:hint="eastAsia" w:ascii="宋体" w:hAnsi="宋体"/>
          <w:szCs w:val="21"/>
          <w:highlight w:val="none"/>
        </w:rPr>
        <w:t xml:space="preserve"> 报价符合性审查：评标委员会审查投标报价是否符合招标文件关于报价的格式、币种、范围（如报价是否完全响应并覆盖招标文件“采购需求”及“货物</w:t>
      </w:r>
      <w:r>
        <w:rPr>
          <w:rFonts w:ascii="宋体" w:hAnsi="宋体"/>
          <w:szCs w:val="21"/>
          <w:highlight w:val="none"/>
        </w:rPr>
        <w:t>/</w:t>
      </w:r>
      <w:r>
        <w:rPr>
          <w:rFonts w:hint="eastAsia" w:ascii="宋体" w:hAnsi="宋体"/>
          <w:szCs w:val="21"/>
          <w:highlight w:val="none"/>
        </w:rPr>
        <w:t>服务</w:t>
      </w:r>
      <w:r>
        <w:rPr>
          <w:rFonts w:ascii="宋体" w:hAnsi="宋体"/>
          <w:szCs w:val="21"/>
          <w:highlight w:val="none"/>
        </w:rPr>
        <w:t>”</w:t>
      </w:r>
      <w:r>
        <w:rPr>
          <w:rFonts w:hint="eastAsia" w:ascii="宋体" w:hAnsi="宋体"/>
          <w:szCs w:val="21"/>
          <w:highlight w:val="none"/>
        </w:rPr>
        <w:t>清单中所列全部内容、是否超采购预算或最高限价）等基础要求。</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w:t>
      </w:r>
      <w:r>
        <w:rPr>
          <w:rFonts w:ascii="宋体" w:hAnsi="宋体"/>
          <w:szCs w:val="21"/>
          <w:highlight w:val="none"/>
        </w:rPr>
        <w:t>b)</w:t>
      </w:r>
      <w:r>
        <w:rPr>
          <w:rFonts w:hint="eastAsia" w:ascii="宋体" w:hAnsi="宋体"/>
          <w:szCs w:val="21"/>
          <w:highlight w:val="none"/>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１）报价低于全部通过符合性审查投标人投标报价平均值50%的；</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２）报价低于通过符合性审查的次低报价投标人投标报价50%的；</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３）报价低于采购项目最高限价45%的；</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４）评标委员会基于专业判断，认为投标人报价过低，有可能影响产品质量或者不能诚信履约的其他情形。</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snapToGrid w:val="0"/>
        <w:spacing w:line="360" w:lineRule="exact"/>
        <w:ind w:firstLine="420" w:firstLineChars="200"/>
        <w:rPr>
          <w:rFonts w:ascii="宋体" w:hAnsi="宋体"/>
          <w:szCs w:val="21"/>
          <w:highlight w:val="none"/>
        </w:rPr>
      </w:pPr>
      <w:r>
        <w:rPr>
          <w:rFonts w:hint="eastAsia" w:ascii="宋体" w:hAnsi="宋体"/>
          <w:szCs w:val="21"/>
          <w:highlight w:val="none"/>
        </w:rPr>
        <w:t>　</w:t>
      </w:r>
      <w:r>
        <w:rPr>
          <w:rFonts w:ascii="宋体" w:hAnsi="宋体"/>
          <w:szCs w:val="21"/>
          <w:highlight w:val="none"/>
        </w:rPr>
        <w:t>c)</w:t>
      </w:r>
      <w:r>
        <w:rPr>
          <w:rFonts w:hint="eastAsia" w:ascii="宋体" w:hAnsi="宋体"/>
          <w:szCs w:val="21"/>
          <w:highlight w:val="none"/>
        </w:rPr>
        <w:t xml:space="preserve"> 价格评分：对通过上述全部审查的有效报价，由系统按招标文件规定计算价格分。</w:t>
      </w:r>
    </w:p>
    <w:p>
      <w:pPr>
        <w:snapToGrid w:val="0"/>
        <w:spacing w:line="360" w:lineRule="exact"/>
        <w:ind w:firstLine="420" w:firstLineChars="200"/>
        <w:outlineLvl w:val="0"/>
        <w:rPr>
          <w:rFonts w:ascii="宋体" w:hAnsi="宋体"/>
          <w:szCs w:val="21"/>
          <w:highlight w:val="none"/>
        </w:rPr>
      </w:pPr>
      <w:r>
        <w:rPr>
          <w:rFonts w:hint="eastAsia" w:ascii="宋体" w:hAnsi="宋体"/>
          <w:szCs w:val="21"/>
          <w:highlight w:val="none"/>
        </w:rPr>
        <w:t>（5）评分汇总与推荐：评标委员会在评审系统内完成评审后，系统将自动计算、汇总得分并生成排序结果。评标委员会据此集体审议推荐中标候选人，并对《评标报告》予以确认。</w:t>
      </w:r>
    </w:p>
    <w:p>
      <w:pPr>
        <w:pStyle w:val="31"/>
        <w:snapToGrid w:val="0"/>
        <w:spacing w:line="360" w:lineRule="exact"/>
        <w:ind w:left="689" w:leftChars="228" w:hanging="210" w:hangingChars="100"/>
        <w:outlineLvl w:val="0"/>
        <w:rPr>
          <w:rFonts w:hAnsi="宋体"/>
          <w:b/>
          <w:highlight w:val="none"/>
        </w:rPr>
      </w:pPr>
      <w:r>
        <w:rPr>
          <w:rFonts w:hint="eastAsia" w:hAnsi="宋体"/>
          <w:b/>
          <w:bCs/>
          <w:highlight w:val="none"/>
        </w:rPr>
        <w:t>（四）</w:t>
      </w:r>
      <w:r>
        <w:rPr>
          <w:rFonts w:hint="eastAsia" w:hAnsi="宋体"/>
          <w:b/>
          <w:highlight w:val="none"/>
        </w:rPr>
        <w:t>错误修正</w:t>
      </w:r>
    </w:p>
    <w:p>
      <w:pPr>
        <w:pStyle w:val="31"/>
        <w:snapToGrid w:val="0"/>
        <w:spacing w:line="360" w:lineRule="exact"/>
        <w:ind w:left="689" w:leftChars="228" w:hanging="210" w:hangingChars="100"/>
        <w:rPr>
          <w:rFonts w:hAnsi="宋体"/>
          <w:highlight w:val="none"/>
        </w:rPr>
      </w:pPr>
      <w:r>
        <w:rPr>
          <w:rFonts w:hint="eastAsia" w:hAnsi="宋体"/>
          <w:highlight w:val="none"/>
        </w:rPr>
        <w:t>投标文件如果出现计算或表达上的错误，修正错误的原则如下：</w:t>
      </w:r>
    </w:p>
    <w:p>
      <w:pPr>
        <w:pStyle w:val="31"/>
        <w:snapToGrid w:val="0"/>
        <w:spacing w:line="360" w:lineRule="exact"/>
        <w:ind w:firstLine="420" w:firstLineChars="200"/>
        <w:rPr>
          <w:highlight w:val="none"/>
        </w:rPr>
      </w:pPr>
      <w:r>
        <w:rPr>
          <w:rFonts w:hint="eastAsia"/>
          <w:highlight w:val="none"/>
        </w:rPr>
        <w:t>1.投标文件中开标一览表（报价表）内容与投标文件中相应内容不一致的，以开标一览表（报价表）为准；</w:t>
      </w:r>
    </w:p>
    <w:p>
      <w:pPr>
        <w:pStyle w:val="31"/>
        <w:snapToGrid w:val="0"/>
        <w:spacing w:line="360" w:lineRule="exact"/>
        <w:ind w:firstLine="420" w:firstLineChars="200"/>
        <w:rPr>
          <w:highlight w:val="none"/>
        </w:rPr>
      </w:pPr>
      <w:r>
        <w:rPr>
          <w:rFonts w:hint="eastAsia"/>
          <w:highlight w:val="none"/>
        </w:rPr>
        <w:t>2.大写金额和小写金额不一致的，以大写金额为准；</w:t>
      </w:r>
    </w:p>
    <w:p>
      <w:pPr>
        <w:pStyle w:val="31"/>
        <w:snapToGrid w:val="0"/>
        <w:spacing w:line="360" w:lineRule="exact"/>
        <w:ind w:firstLine="420" w:firstLineChars="200"/>
        <w:rPr>
          <w:highlight w:val="none"/>
        </w:rPr>
      </w:pPr>
      <w:r>
        <w:rPr>
          <w:rFonts w:hint="eastAsia"/>
          <w:highlight w:val="none"/>
        </w:rPr>
        <w:t>3.单价金额小数点或者百分比有明显错位的，以开标一览表的总价为准，并修改单价；</w:t>
      </w:r>
    </w:p>
    <w:p>
      <w:pPr>
        <w:pStyle w:val="31"/>
        <w:snapToGrid w:val="0"/>
        <w:spacing w:line="360" w:lineRule="exact"/>
        <w:ind w:firstLine="420" w:firstLineChars="200"/>
        <w:rPr>
          <w:highlight w:val="none"/>
        </w:rPr>
      </w:pPr>
      <w:r>
        <w:rPr>
          <w:rFonts w:hint="eastAsia"/>
          <w:highlight w:val="none"/>
        </w:rPr>
        <w:t>4.总价金额与按单价汇总金额不一致的，以单价金额计算结果为准。</w:t>
      </w:r>
    </w:p>
    <w:p>
      <w:pPr>
        <w:pStyle w:val="31"/>
        <w:snapToGrid w:val="0"/>
        <w:spacing w:line="360" w:lineRule="exact"/>
        <w:ind w:firstLine="420" w:firstLineChars="200"/>
        <w:rPr>
          <w:highlight w:val="none"/>
        </w:rPr>
      </w:pPr>
      <w:r>
        <w:rPr>
          <w:rFonts w:hint="eastAsia"/>
          <w:highlight w:val="none"/>
        </w:rPr>
        <w:t>5.对不同文字文本投标文件的解释发生异议的，以中文文本为准。</w:t>
      </w:r>
    </w:p>
    <w:p>
      <w:pPr>
        <w:pStyle w:val="31"/>
        <w:snapToGrid w:val="0"/>
        <w:spacing w:line="360" w:lineRule="exact"/>
        <w:ind w:firstLine="420" w:firstLineChars="200"/>
        <w:rPr>
          <w:rFonts w:hAnsi="宋体"/>
          <w:highlight w:val="none"/>
        </w:rPr>
      </w:pPr>
      <w:r>
        <w:rPr>
          <w:rFonts w:hint="eastAsia"/>
          <w:highlight w:val="none"/>
        </w:rPr>
        <w:t>同时出现两种以上不一致的，按照前款规定的顺序修正。</w:t>
      </w:r>
    </w:p>
    <w:p>
      <w:pPr>
        <w:pStyle w:val="31"/>
        <w:snapToGrid w:val="0"/>
        <w:spacing w:line="360" w:lineRule="exact"/>
        <w:ind w:firstLine="421" w:firstLineChars="200"/>
        <w:rPr>
          <w:rFonts w:hAnsi="宋体"/>
          <w:b/>
          <w:bCs/>
          <w:highlight w:val="none"/>
        </w:rPr>
      </w:pPr>
      <w:r>
        <w:rPr>
          <w:rFonts w:hint="eastAsia" w:hAnsi="宋体"/>
          <w:b/>
          <w:bCs/>
          <w:highlight w:val="none"/>
        </w:rPr>
        <w:t>按上述修正错误的原则及方法调整或修正投标文件的投标报价，投标人同意并</w:t>
      </w:r>
      <w:r>
        <w:rPr>
          <w:rFonts w:hAnsi="宋体"/>
          <w:b/>
          <w:bCs/>
          <w:highlight w:val="none"/>
        </w:rPr>
        <w:t>签字或签章</w:t>
      </w:r>
      <w:r>
        <w:rPr>
          <w:rFonts w:hint="eastAsia" w:hAnsi="宋体"/>
          <w:b/>
          <w:bCs/>
          <w:highlight w:val="none"/>
        </w:rPr>
        <w:t>确认后，调整后的投标报价对投标人具有约束作用。如果投标人不接受修正后的报价，则其投标将作为无效投标处理。</w:t>
      </w:r>
    </w:p>
    <w:p>
      <w:pPr>
        <w:pStyle w:val="31"/>
        <w:tabs>
          <w:tab w:val="left" w:pos="630"/>
        </w:tabs>
        <w:snapToGrid w:val="0"/>
        <w:spacing w:line="360" w:lineRule="exact"/>
        <w:ind w:firstLine="413" w:firstLineChars="196"/>
        <w:outlineLvl w:val="0"/>
        <w:rPr>
          <w:rFonts w:hAnsi="宋体"/>
          <w:b/>
          <w:highlight w:val="none"/>
        </w:rPr>
      </w:pPr>
      <w:r>
        <w:rPr>
          <w:rFonts w:hint="eastAsia" w:hAnsi="宋体"/>
          <w:b/>
          <w:highlight w:val="none"/>
        </w:rPr>
        <w:t>（五）评标原则和评标方法</w:t>
      </w:r>
    </w:p>
    <w:p>
      <w:pPr>
        <w:pStyle w:val="31"/>
        <w:snapToGrid w:val="0"/>
        <w:spacing w:line="440" w:lineRule="exact"/>
        <w:ind w:firstLine="420" w:firstLineChars="200"/>
        <w:rPr>
          <w:rFonts w:hAnsi="宋体"/>
          <w:highlight w:val="none"/>
        </w:rPr>
      </w:pPr>
      <w:r>
        <w:rPr>
          <w:rFonts w:hint="eastAsia" w:hAnsi="宋体"/>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1"/>
        <w:snapToGrid w:val="0"/>
        <w:spacing w:line="440" w:lineRule="exact"/>
        <w:ind w:firstLine="420" w:firstLineChars="200"/>
        <w:rPr>
          <w:rFonts w:hAnsi="宋体"/>
          <w:highlight w:val="none"/>
        </w:rPr>
      </w:pPr>
      <w:r>
        <w:rPr>
          <w:rFonts w:hint="eastAsia" w:hAnsi="宋体"/>
          <w:highlight w:val="none"/>
        </w:rPr>
        <w:t>2.评标方法。本项目评标方法是</w:t>
      </w:r>
      <w:r>
        <w:rPr>
          <w:rFonts w:hint="eastAsia" w:hAnsi="宋体"/>
          <w:b/>
          <w:highlight w:val="none"/>
          <w:u w:val="single"/>
        </w:rPr>
        <w:t>综合评分法</w:t>
      </w:r>
      <w:r>
        <w:rPr>
          <w:rFonts w:hint="eastAsia" w:hAnsi="宋体"/>
          <w:highlight w:val="none"/>
        </w:rPr>
        <w:t>，具体评标内容及评分标准等详见第四章：评标方法</w:t>
      </w:r>
      <w:r>
        <w:rPr>
          <w:rFonts w:hAnsi="宋体"/>
          <w:highlight w:val="none"/>
        </w:rPr>
        <w:t>及评分标准</w:t>
      </w:r>
      <w:r>
        <w:rPr>
          <w:rFonts w:hint="eastAsia" w:hAnsi="宋体"/>
          <w:highlight w:val="none"/>
        </w:rPr>
        <w:t>。</w:t>
      </w:r>
    </w:p>
    <w:p>
      <w:pPr>
        <w:pStyle w:val="31"/>
        <w:snapToGrid w:val="0"/>
        <w:spacing w:line="440" w:lineRule="exact"/>
        <w:ind w:firstLine="413" w:firstLineChars="196"/>
        <w:outlineLvl w:val="0"/>
        <w:rPr>
          <w:rFonts w:hAnsi="宋体"/>
          <w:b/>
          <w:highlight w:val="none"/>
        </w:rPr>
      </w:pPr>
      <w:r>
        <w:rPr>
          <w:rFonts w:hint="eastAsia" w:hAnsi="宋体"/>
          <w:b/>
          <w:highlight w:val="none"/>
        </w:rPr>
        <w:t>（六）评标过程的监控</w:t>
      </w:r>
    </w:p>
    <w:p>
      <w:pPr>
        <w:pStyle w:val="31"/>
        <w:snapToGrid w:val="0"/>
        <w:spacing w:line="440" w:lineRule="exact"/>
        <w:ind w:firstLine="420" w:firstLineChars="200"/>
        <w:rPr>
          <w:rFonts w:hAnsi="宋体"/>
          <w:highlight w:val="none"/>
        </w:rPr>
      </w:pPr>
      <w:r>
        <w:rPr>
          <w:rFonts w:hint="eastAsia" w:hAnsi="宋体"/>
          <w:highlight w:val="none"/>
        </w:rPr>
        <w:t>本项目评标过程实行全程录音、录像监控，投标人在评标过程中所进行的试图影响评标结果的不公正活动，可能导致其投标被拒绝。</w:t>
      </w:r>
    </w:p>
    <w:p>
      <w:pPr>
        <w:pStyle w:val="31"/>
        <w:snapToGrid w:val="0"/>
        <w:spacing w:line="440" w:lineRule="exact"/>
        <w:ind w:firstLine="413" w:firstLineChars="196"/>
        <w:outlineLvl w:val="1"/>
        <w:rPr>
          <w:rFonts w:hAnsi="宋体"/>
          <w:b/>
          <w:highlight w:val="none"/>
        </w:rPr>
      </w:pPr>
      <w:r>
        <w:rPr>
          <w:rFonts w:hint="eastAsia" w:hAnsi="宋体"/>
          <w:b/>
          <w:highlight w:val="none"/>
        </w:rPr>
        <w:t>七、评标结果</w:t>
      </w:r>
    </w:p>
    <w:p>
      <w:pPr>
        <w:pStyle w:val="31"/>
        <w:spacing w:line="440" w:lineRule="exact"/>
        <w:ind w:firstLine="420"/>
        <w:rPr>
          <w:rFonts w:hAnsi="宋体"/>
          <w:highlight w:val="none"/>
        </w:rPr>
      </w:pPr>
      <w:r>
        <w:rPr>
          <w:rFonts w:hint="eastAsia" w:hAnsi="宋体"/>
          <w:highlight w:val="none"/>
        </w:rPr>
        <w:t>（一）本中心将在评标结束后2个工作日内将评标报告送采购人，采购人在5个工作日内按照评标报告中推荐的中标候选供应商顺序确定中标供应商。</w:t>
      </w:r>
    </w:p>
    <w:p>
      <w:pPr>
        <w:pStyle w:val="31"/>
        <w:spacing w:line="440" w:lineRule="exact"/>
        <w:ind w:firstLine="420"/>
        <w:rPr>
          <w:rFonts w:hAnsi="宋体"/>
          <w:highlight w:val="none"/>
        </w:rPr>
      </w:pPr>
      <w:r>
        <w:rPr>
          <w:rFonts w:hint="eastAsia" w:hAnsi="宋体"/>
          <w:highlight w:val="none"/>
        </w:rPr>
        <w:t>（二）中标供应商确定后，本中心在中国政府采购网、广西财政网、</w:t>
      </w:r>
      <w:r>
        <w:rPr>
          <w:rFonts w:hint="eastAsia"/>
          <w:highlight w:val="none"/>
        </w:rPr>
        <w:t>广西壮族自治区政府采购中心网站</w:t>
      </w:r>
      <w:r>
        <w:rPr>
          <w:rFonts w:hint="eastAsia" w:hAnsi="宋体"/>
          <w:highlight w:val="none"/>
        </w:rPr>
        <w:t>发布中标结果公告。</w:t>
      </w:r>
    </w:p>
    <w:p>
      <w:pPr>
        <w:pStyle w:val="31"/>
        <w:spacing w:line="440" w:lineRule="exact"/>
        <w:ind w:firstLine="420"/>
        <w:rPr>
          <w:rFonts w:hAnsi="宋体"/>
          <w:highlight w:val="none"/>
        </w:rPr>
      </w:pPr>
      <w:r>
        <w:rPr>
          <w:rFonts w:hint="eastAsia" w:hAnsi="宋体"/>
          <w:highlight w:val="none"/>
        </w:rPr>
        <w:t>（三）</w:t>
      </w:r>
      <w:r>
        <w:rPr>
          <w:rFonts w:hint="eastAsia"/>
          <w:highlight w:val="none"/>
        </w:rPr>
        <w:t>在发布中标结果公告的同时，本中心向中标供应商发出中标通知书。</w:t>
      </w:r>
    </w:p>
    <w:p>
      <w:pPr>
        <w:pStyle w:val="31"/>
        <w:spacing w:line="440" w:lineRule="exact"/>
        <w:ind w:firstLine="420" w:firstLineChars="200"/>
        <w:rPr>
          <w:rFonts w:hAnsi="宋体"/>
          <w:bCs/>
          <w:highlight w:val="none"/>
        </w:rPr>
      </w:pPr>
      <w:r>
        <w:rPr>
          <w:rFonts w:hint="eastAsia" w:hAnsi="宋体"/>
          <w:highlight w:val="none"/>
        </w:rPr>
        <w:t>（四）</w:t>
      </w:r>
      <w:r>
        <w:rPr>
          <w:rFonts w:hint="eastAsia" w:hAnsi="宋体"/>
          <w:bCs/>
          <w:highlight w:val="none"/>
        </w:rPr>
        <w:t>投标人认为招标文件、招标过程和中标结果使自己的权益受到损害的，可以在知道或者应知其权益受到损害之日起七个工作日内，以书面形式向本中心提出质疑，并及时索要书面回执。</w:t>
      </w:r>
    </w:p>
    <w:p>
      <w:pPr>
        <w:pStyle w:val="31"/>
        <w:spacing w:line="440" w:lineRule="exact"/>
        <w:ind w:firstLine="420"/>
        <w:rPr>
          <w:rFonts w:hAnsi="宋体"/>
          <w:highlight w:val="none"/>
        </w:rPr>
      </w:pPr>
      <w:r>
        <w:rPr>
          <w:rFonts w:hint="eastAsia" w:hAnsi="宋体"/>
          <w:highlight w:val="none"/>
        </w:rPr>
        <w:t>（五）</w:t>
      </w:r>
      <w:r>
        <w:rPr>
          <w:rFonts w:hint="eastAsia" w:hAnsi="宋体"/>
          <w:bCs/>
          <w:highlight w:val="none"/>
        </w:rPr>
        <w:t>本中心应当按照有关规定就采购人委托授权范围内的事项在收到投标人的书面质疑后七个工作日内做出答复，但答复的内容不得涉及商业秘密。</w:t>
      </w:r>
    </w:p>
    <w:p>
      <w:pPr>
        <w:pStyle w:val="31"/>
        <w:snapToGrid w:val="0"/>
        <w:spacing w:line="440" w:lineRule="exact"/>
        <w:ind w:firstLine="413" w:firstLineChars="196"/>
        <w:outlineLvl w:val="1"/>
        <w:rPr>
          <w:rFonts w:hAnsi="宋体"/>
          <w:b/>
          <w:highlight w:val="none"/>
        </w:rPr>
      </w:pPr>
      <w:r>
        <w:rPr>
          <w:rFonts w:hint="eastAsia" w:hAnsi="宋体"/>
          <w:b/>
          <w:highlight w:val="none"/>
        </w:rPr>
        <w:t>八、签订合同</w:t>
      </w:r>
    </w:p>
    <w:p>
      <w:pPr>
        <w:pStyle w:val="31"/>
        <w:snapToGrid w:val="0"/>
        <w:spacing w:line="440" w:lineRule="exact"/>
        <w:ind w:firstLine="413" w:firstLineChars="196"/>
        <w:outlineLvl w:val="1"/>
        <w:rPr>
          <w:rFonts w:hAnsi="宋体"/>
          <w:b/>
          <w:highlight w:val="none"/>
        </w:rPr>
      </w:pPr>
      <w:r>
        <w:rPr>
          <w:rFonts w:hint="eastAsia" w:hAnsi="宋体"/>
          <w:b/>
          <w:highlight w:val="none"/>
        </w:rPr>
        <w:t>（一）合同授予标准</w:t>
      </w:r>
    </w:p>
    <w:p>
      <w:pPr>
        <w:pStyle w:val="31"/>
        <w:spacing w:line="440" w:lineRule="exact"/>
        <w:ind w:firstLine="420"/>
        <w:rPr>
          <w:rFonts w:hAnsi="宋体"/>
          <w:highlight w:val="none"/>
        </w:rPr>
      </w:pPr>
      <w:r>
        <w:rPr>
          <w:rFonts w:hint="eastAsia" w:hAnsi="宋体"/>
          <w:highlight w:val="none"/>
        </w:rPr>
        <w:t>合同将授予被确定投标文件满足招标文件全部实质性要求，具备履行合同能力，评审得分最高，综合评分排名第一的供应商。</w:t>
      </w:r>
    </w:p>
    <w:p>
      <w:pPr>
        <w:pStyle w:val="31"/>
        <w:snapToGrid w:val="0"/>
        <w:spacing w:line="440" w:lineRule="exact"/>
        <w:ind w:firstLine="413" w:firstLineChars="196"/>
        <w:outlineLvl w:val="1"/>
        <w:rPr>
          <w:rFonts w:hAnsi="宋体"/>
          <w:highlight w:val="none"/>
        </w:rPr>
      </w:pPr>
      <w:r>
        <w:rPr>
          <w:rFonts w:hint="eastAsia" w:hAnsi="宋体"/>
          <w:b/>
          <w:highlight w:val="none"/>
        </w:rPr>
        <w:t>（二）签订合同</w:t>
      </w:r>
    </w:p>
    <w:p>
      <w:pPr>
        <w:pStyle w:val="31"/>
        <w:spacing w:line="440" w:lineRule="exact"/>
        <w:ind w:firstLine="420"/>
        <w:rPr>
          <w:rFonts w:hAnsi="宋体"/>
          <w:highlight w:val="none"/>
        </w:rPr>
      </w:pPr>
      <w:r>
        <w:rPr>
          <w:rFonts w:hint="eastAsia" w:hAnsi="宋体"/>
          <w:highlight w:val="none"/>
        </w:rPr>
        <w:t>（1）</w:t>
      </w:r>
      <w:r>
        <w:rPr>
          <w:rFonts w:hint="eastAsia"/>
          <w:highlight w:val="none"/>
        </w:rPr>
        <w:t>投标人接到中标通知书后，应按中标通知书规定的时间、地点与采购人签订合同。中标人无正当理由不得放弃中标。</w:t>
      </w:r>
    </w:p>
    <w:p>
      <w:pPr>
        <w:pStyle w:val="31"/>
        <w:spacing w:line="440" w:lineRule="exact"/>
        <w:ind w:firstLine="420"/>
        <w:rPr>
          <w:rFonts w:hAnsi="宋体"/>
          <w:highlight w:val="none"/>
        </w:rPr>
      </w:pPr>
      <w:r>
        <w:rPr>
          <w:rFonts w:hint="eastAsia" w:hAnsi="宋体"/>
          <w:highlight w:val="none"/>
        </w:rPr>
        <w:t>（2）如中标供应商不按中标通知书的规定签订合同，则按中标供应商违约处理，本中心将没收中标供应商投标的全部投标保证金。</w:t>
      </w:r>
    </w:p>
    <w:p>
      <w:pPr>
        <w:pStyle w:val="31"/>
        <w:spacing w:line="440" w:lineRule="exact"/>
        <w:ind w:firstLine="420" w:firstLineChars="200"/>
        <w:rPr>
          <w:b/>
          <w:highlight w:val="none"/>
        </w:rPr>
      </w:pPr>
      <w:r>
        <w:rPr>
          <w:rFonts w:hint="eastAsia" w:hAnsi="宋体"/>
          <w:highlight w:val="none"/>
        </w:rPr>
        <w:t>（3）中标供应商拒绝与采购人签订合同或因不可抗力或者自身原因不能履行采购合同的，采购人可以与中标供应商之后排名第一的中标候选供应商签订采购合同，以此类推,也可以重新招标。</w:t>
      </w:r>
      <w:r>
        <w:rPr>
          <w:highlight w:val="none"/>
        </w:rPr>
        <w:t>中标供应商放弃中标项目，拒绝与采购人签订合同的，其投标保证金</w:t>
      </w:r>
      <w:r>
        <w:rPr>
          <w:rFonts w:hint="eastAsia"/>
          <w:highlight w:val="none"/>
        </w:rPr>
        <w:t>将不予退还，</w:t>
      </w:r>
      <w:r>
        <w:rPr>
          <w:highlight w:val="none"/>
        </w:rPr>
        <w:t>并上缴国库，</w:t>
      </w:r>
      <w:r>
        <w:rPr>
          <w:rFonts w:hint="eastAsia"/>
          <w:highlight w:val="none"/>
        </w:rPr>
        <w:t>给</w:t>
      </w:r>
      <w:r>
        <w:rPr>
          <w:highlight w:val="none"/>
        </w:rPr>
        <w:t>采购人造成损失的，还应当赔偿损失，并作为不良行为记录在案</w:t>
      </w:r>
      <w:r>
        <w:rPr>
          <w:rFonts w:hint="eastAsia" w:hAnsi="宋体"/>
          <w:highlight w:val="none"/>
        </w:rPr>
        <w:t>。</w:t>
      </w:r>
    </w:p>
    <w:p>
      <w:pPr>
        <w:pStyle w:val="31"/>
        <w:spacing w:line="440" w:lineRule="exact"/>
        <w:ind w:firstLine="413" w:firstLineChars="196"/>
        <w:rPr>
          <w:b/>
          <w:highlight w:val="none"/>
        </w:rPr>
      </w:pPr>
      <w:r>
        <w:rPr>
          <w:rFonts w:hint="eastAsia" w:hAnsi="宋体"/>
          <w:b/>
          <w:highlight w:val="none"/>
        </w:rPr>
        <w:t>九、其他事项</w:t>
      </w:r>
    </w:p>
    <w:p>
      <w:pPr>
        <w:pStyle w:val="31"/>
        <w:spacing w:line="440" w:lineRule="exact"/>
        <w:ind w:firstLine="206" w:firstLineChars="98"/>
        <w:rPr>
          <w:b/>
          <w:highlight w:val="none"/>
        </w:rPr>
      </w:pPr>
      <w:r>
        <w:rPr>
          <w:rFonts w:hint="eastAsia"/>
          <w:b/>
          <w:highlight w:val="none"/>
        </w:rPr>
        <w:t>（1）解释权：</w:t>
      </w:r>
      <w:r>
        <w:rPr>
          <w:rFonts w:hint="eastAsia"/>
          <w:spacing w:val="-4"/>
          <w:highlight w:val="none"/>
        </w:rPr>
        <w:t>本招标文件解释权属本中心。</w:t>
      </w:r>
    </w:p>
    <w:p>
      <w:pPr>
        <w:pStyle w:val="31"/>
        <w:spacing w:line="440" w:lineRule="exact"/>
        <w:ind w:firstLine="206" w:firstLineChars="98"/>
        <w:rPr>
          <w:highlight w:val="none"/>
        </w:rPr>
      </w:pPr>
      <w:r>
        <w:rPr>
          <w:rFonts w:hint="eastAsia"/>
          <w:b/>
          <w:highlight w:val="none"/>
        </w:rPr>
        <w:t>（2）有关事宜</w:t>
      </w:r>
    </w:p>
    <w:p>
      <w:pPr>
        <w:pStyle w:val="31"/>
        <w:spacing w:line="440" w:lineRule="exact"/>
        <w:ind w:firstLine="728" w:firstLineChars="347"/>
        <w:rPr>
          <w:highlight w:val="none"/>
        </w:rPr>
      </w:pPr>
      <w:bookmarkStart w:id="13" w:name="_Toc254970689"/>
      <w:bookmarkStart w:id="14" w:name="_Toc254970548"/>
      <w:r>
        <w:rPr>
          <w:rFonts w:hint="eastAsia"/>
          <w:highlight w:val="none"/>
        </w:rPr>
        <w:t>所有与本招标文件有关的函件请按下列通讯地址联系：</w:t>
      </w:r>
    </w:p>
    <w:p>
      <w:pPr>
        <w:pStyle w:val="31"/>
        <w:tabs>
          <w:tab w:val="left" w:pos="1990"/>
        </w:tabs>
        <w:spacing w:line="440" w:lineRule="exact"/>
        <w:ind w:firstLine="709"/>
        <w:rPr>
          <w:highlight w:val="none"/>
          <w:u w:val="single"/>
        </w:rPr>
      </w:pPr>
      <w:r>
        <w:rPr>
          <w:rFonts w:hint="eastAsia"/>
          <w:highlight w:val="none"/>
        </w:rPr>
        <w:t>邮政编码：530022</w:t>
      </w:r>
    </w:p>
    <w:p>
      <w:pPr>
        <w:pStyle w:val="31"/>
        <w:tabs>
          <w:tab w:val="left" w:pos="1990"/>
        </w:tabs>
        <w:spacing w:line="440" w:lineRule="exact"/>
        <w:ind w:firstLine="709"/>
        <w:rPr>
          <w:spacing w:val="-4"/>
          <w:highlight w:val="none"/>
        </w:rPr>
      </w:pPr>
      <w:r>
        <w:rPr>
          <w:rFonts w:hint="eastAsia"/>
          <w:highlight w:val="none"/>
        </w:rPr>
        <w:t xml:space="preserve">通讯地址：广西南宁市星湖路22号 </w:t>
      </w:r>
    </w:p>
    <w:p>
      <w:pPr>
        <w:pStyle w:val="31"/>
        <w:spacing w:line="440" w:lineRule="exact"/>
        <w:ind w:firstLine="707" w:firstLineChars="337"/>
        <w:rPr>
          <w:highlight w:val="none"/>
        </w:rPr>
      </w:pPr>
      <w:r>
        <w:rPr>
          <w:rFonts w:hint="eastAsia"/>
          <w:highlight w:val="none"/>
        </w:rPr>
        <w:t>电    话：0771-8600434</w:t>
      </w:r>
    </w:p>
    <w:p>
      <w:pPr>
        <w:pStyle w:val="31"/>
        <w:spacing w:line="360" w:lineRule="exact"/>
        <w:ind w:firstLine="824"/>
        <w:rPr>
          <w:highlight w:val="none"/>
        </w:rPr>
      </w:pPr>
    </w:p>
    <w:p>
      <w:pPr>
        <w:pStyle w:val="31"/>
        <w:snapToGrid w:val="0"/>
        <w:spacing w:before="120" w:after="120"/>
        <w:jc w:val="center"/>
        <w:outlineLvl w:val="0"/>
        <w:rPr>
          <w:rFonts w:ascii="黑体" w:eastAsia="黑体"/>
          <w:b/>
          <w:sz w:val="44"/>
          <w:szCs w:val="44"/>
          <w:highlight w:val="none"/>
        </w:rPr>
      </w:pPr>
      <w:r>
        <w:rPr>
          <w:rFonts w:hint="eastAsia" w:ascii="黑体" w:eastAsia="黑体"/>
          <w:b/>
          <w:sz w:val="44"/>
          <w:szCs w:val="44"/>
          <w:highlight w:val="none"/>
        </w:rPr>
        <w:br w:type="page"/>
      </w:r>
    </w:p>
    <w:p>
      <w:pPr>
        <w:pStyle w:val="31"/>
        <w:snapToGrid w:val="0"/>
        <w:spacing w:before="120" w:after="120"/>
        <w:jc w:val="center"/>
        <w:outlineLvl w:val="0"/>
        <w:rPr>
          <w:rFonts w:ascii="黑体" w:eastAsia="黑体"/>
          <w:b/>
          <w:sz w:val="32"/>
          <w:szCs w:val="32"/>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8"/>
        <w:rPr>
          <w:highlight w:val="none"/>
        </w:rPr>
      </w:pPr>
    </w:p>
    <w:bookmarkEnd w:id="13"/>
    <w:bookmarkEnd w:id="14"/>
    <w:p>
      <w:pPr>
        <w:pStyle w:val="31"/>
        <w:snapToGrid w:val="0"/>
        <w:spacing w:before="120" w:after="120"/>
        <w:jc w:val="center"/>
        <w:outlineLvl w:val="0"/>
        <w:rPr>
          <w:rFonts w:ascii="黑体" w:eastAsia="黑体"/>
          <w:b/>
          <w:sz w:val="44"/>
          <w:szCs w:val="44"/>
          <w:highlight w:val="none"/>
        </w:rPr>
      </w:pPr>
      <w:r>
        <w:rPr>
          <w:rFonts w:hint="eastAsia" w:ascii="仿宋_GB2312" w:eastAsia="仿宋_GB2312"/>
          <w:b/>
          <w:sz w:val="44"/>
          <w:szCs w:val="44"/>
          <w:highlight w:val="none"/>
        </w:rPr>
        <w:t>第四章  评标方法及评分标准</w:t>
      </w:r>
    </w:p>
    <w:p>
      <w:pPr>
        <w:spacing w:line="340" w:lineRule="exact"/>
        <w:ind w:firstLine="420" w:firstLineChars="200"/>
        <w:jc w:val="center"/>
        <w:rPr>
          <w:bCs/>
          <w:highlight w:val="none"/>
        </w:rPr>
      </w:pPr>
      <w:r>
        <w:rPr>
          <w:bCs/>
          <w:highlight w:val="none"/>
        </w:rPr>
        <w:br w:type="page"/>
      </w:r>
    </w:p>
    <w:p>
      <w:pPr>
        <w:spacing w:line="340" w:lineRule="exact"/>
        <w:ind w:firstLine="642" w:firstLineChars="200"/>
        <w:jc w:val="center"/>
        <w:rPr>
          <w:rFonts w:hint="eastAsia" w:ascii="仿宋_GB2312" w:hAnsi="宋体" w:eastAsia="仿宋_GB2312"/>
          <w:b/>
          <w:sz w:val="32"/>
          <w:szCs w:val="32"/>
          <w:highlight w:val="none"/>
        </w:rPr>
      </w:pPr>
    </w:p>
    <w:p>
      <w:pPr>
        <w:spacing w:line="340" w:lineRule="exact"/>
        <w:ind w:firstLine="642" w:firstLineChars="200"/>
        <w:jc w:val="center"/>
        <w:rPr>
          <w:rFonts w:ascii="仿宋_GB2312" w:hAnsi="宋体" w:eastAsia="仿宋_GB2312"/>
          <w:b/>
          <w:sz w:val="32"/>
          <w:szCs w:val="32"/>
          <w:highlight w:val="none"/>
        </w:rPr>
      </w:pPr>
      <w:r>
        <w:rPr>
          <w:rFonts w:hint="eastAsia" w:ascii="仿宋_GB2312" w:hAnsi="宋体" w:eastAsia="仿宋_GB2312"/>
          <w:b/>
          <w:sz w:val="32"/>
          <w:szCs w:val="32"/>
          <w:highlight w:val="none"/>
        </w:rPr>
        <w:t>评标方法</w:t>
      </w:r>
      <w:r>
        <w:rPr>
          <w:rFonts w:ascii="仿宋_GB2312" w:hAnsi="宋体" w:eastAsia="仿宋_GB2312"/>
          <w:b/>
          <w:sz w:val="32"/>
          <w:szCs w:val="32"/>
          <w:highlight w:val="none"/>
        </w:rPr>
        <w:t>及评分标准</w:t>
      </w:r>
    </w:p>
    <w:p>
      <w:pPr>
        <w:pStyle w:val="31"/>
        <w:spacing w:line="360" w:lineRule="exact"/>
        <w:ind w:firstLine="516" w:firstLineChars="245"/>
        <w:rPr>
          <w:rFonts w:hAnsi="宋体"/>
          <w:b/>
          <w:highlight w:val="none"/>
        </w:rPr>
      </w:pPr>
      <w:r>
        <w:rPr>
          <w:rFonts w:hint="eastAsia" w:hAnsi="宋体"/>
          <w:b/>
          <w:highlight w:val="none"/>
        </w:rPr>
        <w:t>一、评标原则</w:t>
      </w:r>
    </w:p>
    <w:p>
      <w:pPr>
        <w:pStyle w:val="31"/>
        <w:spacing w:line="360" w:lineRule="exact"/>
        <w:ind w:firstLine="483" w:firstLineChars="230"/>
        <w:rPr>
          <w:rFonts w:hAnsi="宋体"/>
          <w:bCs/>
          <w:szCs w:val="20"/>
          <w:highlight w:val="none"/>
        </w:rPr>
      </w:pPr>
      <w:r>
        <w:rPr>
          <w:rFonts w:hint="eastAsia" w:hAnsi="宋体"/>
          <w:bCs/>
          <w:highlight w:val="none"/>
        </w:rPr>
        <w:t>(一)评委组成：本招标采购项目的</w:t>
      </w:r>
      <w:r>
        <w:rPr>
          <w:rFonts w:hint="eastAsia"/>
          <w:spacing w:val="-4"/>
          <w:highlight w:val="none"/>
        </w:rPr>
        <w:t>评标委员会由采购人代表和评审专家组成，成员人数应当为5人以上单数，其中评审专家不得少于成员总数的三分之二。</w:t>
      </w:r>
    </w:p>
    <w:p>
      <w:pPr>
        <w:pStyle w:val="31"/>
        <w:spacing w:line="360" w:lineRule="exact"/>
        <w:ind w:firstLine="499" w:firstLineChars="238"/>
        <w:rPr>
          <w:rFonts w:hAnsi="宋体"/>
          <w:bCs/>
          <w:highlight w:val="none"/>
        </w:rPr>
      </w:pPr>
      <w:r>
        <w:rPr>
          <w:rFonts w:hint="eastAsia" w:hAnsi="宋体"/>
          <w:bCs/>
          <w:highlight w:val="none"/>
        </w:rPr>
        <w:t>(二)评标依据：</w:t>
      </w:r>
      <w:r>
        <w:rPr>
          <w:rFonts w:hAnsi="宋体"/>
          <w:bCs/>
          <w:highlight w:val="none"/>
        </w:rPr>
        <w:t>评委将以招投标文件为评标依据，对投标人的投标内容按百分制打分。</w:t>
      </w:r>
    </w:p>
    <w:p>
      <w:pPr>
        <w:pStyle w:val="31"/>
        <w:spacing w:line="360" w:lineRule="exact"/>
        <w:ind w:firstLine="510" w:firstLineChars="243"/>
        <w:rPr>
          <w:rFonts w:hAnsi="宋体"/>
          <w:bCs/>
          <w:highlight w:val="none"/>
        </w:rPr>
      </w:pPr>
      <w:r>
        <w:rPr>
          <w:rFonts w:hint="eastAsia" w:hAnsi="宋体"/>
          <w:bCs/>
          <w:highlight w:val="none"/>
        </w:rPr>
        <w:t>(三)评标方式：以封闭方式进行。</w:t>
      </w:r>
    </w:p>
    <w:p>
      <w:pPr>
        <w:pStyle w:val="8"/>
        <w:spacing w:line="360" w:lineRule="exact"/>
        <w:jc w:val="left"/>
        <w:rPr>
          <w:rFonts w:ascii="宋体" w:hAnsi="宋体" w:eastAsia="宋体" w:cs="宋体"/>
          <w:color w:val="FF0000"/>
          <w:sz w:val="21"/>
          <w:szCs w:val="21"/>
          <w:highlight w:val="none"/>
        </w:rPr>
      </w:pPr>
      <w:r>
        <w:rPr>
          <w:rFonts w:hint="eastAsia" w:ascii="宋体" w:hAnsi="宋体" w:eastAsia="宋体" w:cs="宋体"/>
          <w:sz w:val="21"/>
          <w:szCs w:val="21"/>
          <w:highlight w:val="none"/>
        </w:rPr>
        <w:t>（四）无效投标处理原则：在评标过程中，包括在异常低价认定程序中被认定为无效的投标，其投标文件不再进入后续评审阶段，也不参与得分计算与汇总排名。</w:t>
      </w:r>
    </w:p>
    <w:p>
      <w:pPr>
        <w:pStyle w:val="31"/>
        <w:spacing w:line="360" w:lineRule="exact"/>
        <w:ind w:firstLine="510" w:firstLineChars="243"/>
        <w:rPr>
          <w:rFonts w:hAnsi="宋体"/>
          <w:b/>
          <w:highlight w:val="none"/>
        </w:rPr>
      </w:pPr>
      <w:r>
        <w:rPr>
          <w:rFonts w:hint="eastAsia" w:hAnsi="宋体"/>
          <w:bCs/>
          <w:highlight w:val="none"/>
        </w:rPr>
        <w:t>二</w:t>
      </w:r>
      <w:r>
        <w:rPr>
          <w:rFonts w:hint="eastAsia" w:hAnsi="宋体"/>
          <w:b/>
          <w:highlight w:val="none"/>
        </w:rPr>
        <w:t>、评标方法</w:t>
      </w:r>
    </w:p>
    <w:p>
      <w:pPr>
        <w:pStyle w:val="31"/>
        <w:spacing w:line="360" w:lineRule="exact"/>
        <w:ind w:firstLine="420" w:firstLineChars="200"/>
        <w:outlineLvl w:val="0"/>
        <w:rPr>
          <w:rFonts w:hAnsi="宋体"/>
          <w:highlight w:val="none"/>
        </w:rPr>
      </w:pPr>
      <w:r>
        <w:rPr>
          <w:rFonts w:hint="eastAsia" w:hAnsi="宋体"/>
          <w:highlight w:val="none"/>
        </w:rPr>
        <w:t>（一）对进入详评的，采用百分制综合评分法。</w:t>
      </w:r>
    </w:p>
    <w:p>
      <w:pPr>
        <w:pStyle w:val="31"/>
        <w:spacing w:line="360" w:lineRule="exact"/>
        <w:ind w:firstLine="420" w:firstLineChars="200"/>
        <w:outlineLvl w:val="0"/>
        <w:rPr>
          <w:rFonts w:hAnsi="宋体"/>
          <w:highlight w:val="none"/>
        </w:rPr>
      </w:pPr>
      <w:r>
        <w:rPr>
          <w:rFonts w:hint="eastAsia" w:hAnsi="宋体"/>
          <w:highlight w:val="none"/>
        </w:rPr>
        <w:t>（二）计分办法（按四舍五入取至百分位）：</w:t>
      </w:r>
    </w:p>
    <w:p>
      <w:pPr>
        <w:pStyle w:val="31"/>
        <w:spacing w:line="360" w:lineRule="exact"/>
        <w:ind w:firstLine="501" w:firstLineChars="238"/>
        <w:rPr>
          <w:b/>
          <w:highlight w:val="none"/>
        </w:rPr>
      </w:pPr>
      <w:r>
        <w:rPr>
          <w:rFonts w:hint="eastAsia"/>
          <w:b/>
          <w:highlight w:val="none"/>
        </w:rPr>
        <w:t>1、价格分</w:t>
      </w:r>
      <w:r>
        <w:rPr>
          <w:rFonts w:hint="eastAsia" w:hAnsi="宋体"/>
          <w:b/>
          <w:bCs/>
          <w:spacing w:val="-8"/>
          <w:highlight w:val="none"/>
        </w:rPr>
        <w:t>………………………………………………………………………………………</w:t>
      </w:r>
      <w:r>
        <w:rPr>
          <w:rFonts w:hint="eastAsia"/>
          <w:b/>
          <w:highlight w:val="none"/>
        </w:rPr>
        <w:t>20分</w:t>
      </w:r>
    </w:p>
    <w:p>
      <w:pPr>
        <w:pStyle w:val="226"/>
        <w:adjustRightInd w:val="0"/>
        <w:snapToGrid w:val="0"/>
        <w:spacing w:line="360" w:lineRule="exact"/>
        <w:ind w:firstLine="378" w:firstLineChars="180"/>
        <w:rPr>
          <w:highlight w:val="none"/>
        </w:rPr>
      </w:pPr>
      <w:r>
        <w:rPr>
          <w:rFonts w:hint="eastAsia"/>
          <w:highlight w:val="none"/>
        </w:rPr>
        <w:t>（1）</w:t>
      </w:r>
      <w:r>
        <w:rPr>
          <w:rFonts w:hint="eastAsia"/>
          <w:color w:val="000000"/>
          <w:highlight w:val="none"/>
        </w:rPr>
        <w:t>投标服务提供单位</w:t>
      </w:r>
      <w:r>
        <w:rPr>
          <w:rFonts w:hint="eastAsia" w:ascii="Times New Roman" w:hAnsi="Times New Roman"/>
          <w:bCs/>
          <w:highlight w:val="none"/>
        </w:rPr>
        <w:t>符合《政府采购促进中小企业发展管理办法》（财库〔2020〕46号）规定条件且按该办法中规定的格式提供了《中小企业声明函》的小型和微型企业参与投标，对其投标报价给予10</w:t>
      </w:r>
      <w:r>
        <w:rPr>
          <w:rFonts w:ascii="Times New Roman" w:hAnsi="Times New Roman"/>
          <w:bCs/>
          <w:highlight w:val="none"/>
        </w:rPr>
        <w:t>%</w:t>
      </w:r>
      <w:r>
        <w:rPr>
          <w:rFonts w:hint="eastAsia" w:ascii="Times New Roman" w:hAnsi="Times New Roman"/>
          <w:bCs/>
          <w:highlight w:val="none"/>
        </w:rPr>
        <w:t>的扣除，</w:t>
      </w:r>
      <w:r>
        <w:rPr>
          <w:rFonts w:hint="eastAsia"/>
          <w:highlight w:val="none"/>
        </w:rPr>
        <w:t>扣除后的价格为评标价，即评标价=投标价×（1-10%）；除上述情况外，评标价=投标价。</w:t>
      </w:r>
    </w:p>
    <w:p>
      <w:pPr>
        <w:pStyle w:val="31"/>
        <w:spacing w:line="360" w:lineRule="exact"/>
        <w:ind w:firstLine="420" w:firstLineChars="200"/>
        <w:outlineLvl w:val="0"/>
        <w:rPr>
          <w:highlight w:val="none"/>
        </w:rPr>
      </w:pPr>
      <w:r>
        <w:rPr>
          <w:rFonts w:hint="eastAsia" w:hAnsi="宋体" w:cs="宋体"/>
          <w:color w:val="000000"/>
          <w:highlight w:val="none"/>
        </w:rPr>
        <w:t>投标服务提供企业</w:t>
      </w:r>
      <w:r>
        <w:rPr>
          <w:rFonts w:hint="eastAsia"/>
          <w:highlight w:val="none"/>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r>
        <w:rPr>
          <w:rFonts w:hint="eastAsia" w:hAnsi="宋体" w:cs="宋体"/>
          <w:color w:val="000000"/>
          <w:highlight w:val="none"/>
        </w:rPr>
        <w:t>，不再提供《中小企业声明函》。</w:t>
      </w:r>
    </w:p>
    <w:p>
      <w:pPr>
        <w:pStyle w:val="31"/>
        <w:spacing w:line="360" w:lineRule="exact"/>
        <w:ind w:firstLine="420" w:firstLineChars="200"/>
        <w:outlineLvl w:val="0"/>
        <w:rPr>
          <w:highlight w:val="none"/>
        </w:rPr>
      </w:pPr>
      <w:r>
        <w:rPr>
          <w:rFonts w:hint="eastAsia" w:hAnsi="宋体" w:cs="宋体"/>
          <w:color w:val="000000"/>
          <w:highlight w:val="none"/>
        </w:rPr>
        <w:t>投标服务提供企业</w:t>
      </w:r>
      <w:r>
        <w:rPr>
          <w:rFonts w:hint="eastAsia"/>
          <w:highlight w:val="none"/>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w:t>
      </w:r>
      <w:r>
        <w:rPr>
          <w:rFonts w:hint="eastAsia" w:hAnsi="宋体" w:cs="宋体"/>
          <w:color w:val="000000"/>
          <w:highlight w:val="none"/>
        </w:rPr>
        <w:t>，</w:t>
      </w:r>
      <w:r>
        <w:rPr>
          <w:rFonts w:hint="eastAsia"/>
          <w:highlight w:val="none"/>
        </w:rPr>
        <w:t>并对声明的真实性负责，</w:t>
      </w:r>
      <w:r>
        <w:rPr>
          <w:rFonts w:hint="eastAsia" w:hAnsi="宋体" w:cs="宋体"/>
          <w:color w:val="000000"/>
          <w:highlight w:val="none"/>
        </w:rPr>
        <w:t>不再提供《中小企业声明函》</w:t>
      </w:r>
      <w:r>
        <w:rPr>
          <w:rFonts w:hint="eastAsia"/>
          <w:highlight w:val="none"/>
        </w:rPr>
        <w:t>。</w:t>
      </w:r>
    </w:p>
    <w:p>
      <w:pPr>
        <w:pStyle w:val="31"/>
        <w:spacing w:line="360" w:lineRule="exact"/>
        <w:ind w:firstLine="210" w:firstLineChars="100"/>
        <w:outlineLvl w:val="0"/>
        <w:rPr>
          <w:rFonts w:hAnsi="宋体"/>
          <w:highlight w:val="none"/>
        </w:rPr>
      </w:pPr>
      <w:r>
        <w:rPr>
          <w:rFonts w:hint="eastAsia" w:hAnsi="宋体"/>
          <w:highlight w:val="none"/>
        </w:rPr>
        <w:t xml:space="preserve"> （2）以</w:t>
      </w:r>
      <w:r>
        <w:rPr>
          <w:rFonts w:hint="eastAsia"/>
          <w:highlight w:val="none"/>
        </w:rPr>
        <w:t>满足招标文件要求且评标价最低的投标人的评标价为评标基准价，其价格分为20</w:t>
      </w:r>
      <w:r>
        <w:rPr>
          <w:rFonts w:hint="eastAsia" w:hAnsi="宋体" w:cs="宋体"/>
          <w:szCs w:val="24"/>
          <w:highlight w:val="none"/>
        </w:rPr>
        <w:t>分</w:t>
      </w:r>
      <w:r>
        <w:rPr>
          <w:rFonts w:hint="eastAsia" w:ascii="Times New Roman" w:hAnsi="Times New Roman"/>
          <w:szCs w:val="24"/>
          <w:highlight w:val="none"/>
        </w:rPr>
        <w:t>。</w:t>
      </w:r>
    </w:p>
    <w:p>
      <w:pPr>
        <w:pStyle w:val="31"/>
        <w:spacing w:line="360" w:lineRule="exact"/>
        <w:outlineLvl w:val="0"/>
        <w:rPr>
          <w:b/>
          <w:highlight w:val="none"/>
        </w:rPr>
      </w:pPr>
      <w:r>
        <w:rPr>
          <w:rFonts w:hint="eastAsia"/>
          <w:highlight w:val="none"/>
        </w:rPr>
        <w:t>（3）某投标人报价分 = 投标人最低评标价（金额）/某投标人评标价（金额）×20分。</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2.服务方案分……………………………………………………………………………6</w:t>
      </w:r>
      <w:r>
        <w:rPr>
          <w:rFonts w:hint="eastAsia" w:ascii="宋体" w:hAnsi="宋体"/>
          <w:b/>
          <w:bCs/>
          <w:color w:val="000000"/>
          <w:szCs w:val="21"/>
          <w:highlight w:val="none"/>
          <w:lang w:val="en-US" w:eastAsia="zh-CN"/>
        </w:rPr>
        <w:t>5</w:t>
      </w:r>
      <w:r>
        <w:rPr>
          <w:rFonts w:hint="eastAsia" w:ascii="宋体" w:hAnsi="宋体"/>
          <w:b/>
          <w:bCs/>
          <w:color w:val="000000"/>
          <w:szCs w:val="21"/>
          <w:highlight w:val="none"/>
        </w:rPr>
        <w:t>分</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 xml:space="preserve">（1）总体服务方案及承诺（满分5分）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结合采购需求，提出相应的管理措施及人员配置清单（内部管理构架、管理运作机制、激励机制、监督机制、自我约束机制、信息反馈处理机制等），以及拟开展的工作计划（工作流程，长远计划和短期安排等）。</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一档（1分）：总体服务方案适用本项目采购需求，无亮点、无针对性，内容简略，未展开阐述；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二档（3分）：总体服务方案完全适用本项目采购需求，能够针对采购需求设置提出整体服务措施、物业管理目标及工作计划并展开详细的阐述，管理目标清晰，服务措施、工作计划可以落地执行。；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总体服务方案完全适用并优于采购需求，对于管理目标有详细明确的阐述分析，能分析本项目各岗位的要点、难点，服务管理岗位机构设置符合实际需求，能针对项目特点制定详细的管理工作方案，方案架构完整，各项服务措施及工作计划详细、切实可行、有亮点。</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 xml:space="preserve">（2）管理规章制度及档案建立（满分5分） </w:t>
      </w:r>
    </w:p>
    <w:p>
      <w:pPr>
        <w:pStyle w:val="658"/>
        <w:spacing w:before="0" w:after="0" w:line="360" w:lineRule="exact"/>
        <w:ind w:firstLine="421" w:firstLineChars="200"/>
        <w:rPr>
          <w:rFonts w:ascii="宋体" w:hAnsi="宋体"/>
          <w:color w:val="000000"/>
          <w:sz w:val="21"/>
          <w:szCs w:val="21"/>
          <w:highlight w:val="none"/>
        </w:rPr>
      </w:pPr>
      <w:r>
        <w:rPr>
          <w:rFonts w:hint="eastAsia" w:ascii="宋体" w:hAnsi="宋体"/>
          <w:color w:val="000000"/>
          <w:sz w:val="21"/>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一档（1分）：为本项目建立有相关的规章管理制度与档案管理制度，但不完全适用本项目采购需求，无针对性，内容简略，未展开阐述。</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二档（3分）：为本项目建立完善的规章管理制度与档案管理制度，其中包括档案资料的收集、档案资料的管理制度、档案资料的运用等，制度严谨，能匹配和覆盖本项目采购需求。</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为本项目建立完善、详细、切实可行的规章管理制度与档案管理制度，能够结合本项目实际需求，设置专门的安全保障制度条款，有切实可行的针对性；有严格的档案收集、储存、使用等管理制度，所有档案进行数字化管理，便于档案查找、核验及存储。</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（3）卫生保洁管理方案（满分</w:t>
      </w:r>
      <w:r>
        <w:rPr>
          <w:rFonts w:hint="eastAsia" w:ascii="宋体" w:hAnsi="宋体"/>
          <w:b/>
          <w:bCs/>
          <w:color w:val="000000"/>
          <w:szCs w:val="21"/>
          <w:highlight w:val="none"/>
          <w:lang w:val="en-US" w:eastAsia="zh-CN"/>
        </w:rPr>
        <w:t>7</w:t>
      </w:r>
      <w:r>
        <w:rPr>
          <w:rFonts w:hint="eastAsia" w:ascii="宋体" w:hAnsi="宋体"/>
          <w:b/>
          <w:bCs/>
          <w:color w:val="000000"/>
          <w:szCs w:val="21"/>
          <w:highlight w:val="none"/>
        </w:rPr>
        <w:t xml:space="preserve">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结合项目的实际情况，提出拟采取的管理方式（内部管理构架、管理运作机制、激励机制、监督机制、自我约束机制、信息反馈处理机制等），以及拟开展的工作计划（工作流程，长远计划和短期安排等）。</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一档（1分）：提供了服务方案，对服务内容描述不完全，方案总体简略。</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w:t>
      </w:r>
      <w:r>
        <w:rPr>
          <w:rFonts w:hint="eastAsia" w:ascii="宋体" w:hAnsi="宋体"/>
          <w:color w:val="000000"/>
          <w:szCs w:val="21"/>
          <w:highlight w:val="none"/>
          <w:lang w:val="en-US" w:eastAsia="zh-CN"/>
        </w:rPr>
        <w:t>4</w:t>
      </w:r>
      <w:r>
        <w:rPr>
          <w:rFonts w:hint="eastAsia" w:ascii="宋体" w:hAnsi="宋体"/>
          <w:color w:val="000000"/>
          <w:szCs w:val="21"/>
          <w:highlight w:val="none"/>
        </w:rPr>
        <w:t>分）：服务方案完整，对服务工作的重点、难点有了解，方案可以落地执行。</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w:t>
      </w:r>
      <w:r>
        <w:rPr>
          <w:rFonts w:hint="eastAsia" w:ascii="宋体" w:hAnsi="宋体"/>
          <w:color w:val="000000"/>
          <w:szCs w:val="21"/>
          <w:highlight w:val="none"/>
          <w:lang w:val="en-US" w:eastAsia="zh-CN"/>
        </w:rPr>
        <w:t>7</w:t>
      </w:r>
      <w:r>
        <w:rPr>
          <w:rFonts w:hint="eastAsia" w:ascii="宋体" w:hAnsi="宋体"/>
          <w:color w:val="000000"/>
          <w:szCs w:val="21"/>
          <w:highlight w:val="none"/>
        </w:rPr>
        <w:t>分）：服务方案完整具体详细，对服务工作的重点、难点有充分的了解，针对本项目提出了对采购人有帮助的合理化建议，方案有特色、有亮点并切实可行。</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（4）秩序维护及学生管理方案（满分8分）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针对本项目实际情况及特点提出公共秩序维护方案、学生意外事件应急处理方案、安全防范工作措施、重点部位、区域巡检计划、交通车辆管理方案等。</w:t>
      </w:r>
    </w:p>
    <w:p>
      <w:pPr>
        <w:pStyle w:val="658"/>
        <w:spacing w:before="0" w:after="0" w:line="360" w:lineRule="exact"/>
        <w:ind w:firstLine="421" w:firstLineChars="200"/>
        <w:rPr>
          <w:rFonts w:ascii="宋体" w:hAnsi="宋体"/>
          <w:color w:val="000000"/>
          <w:sz w:val="21"/>
          <w:szCs w:val="21"/>
          <w:highlight w:val="none"/>
        </w:rPr>
      </w:pPr>
      <w:r>
        <w:rPr>
          <w:rFonts w:hint="eastAsia" w:ascii="宋体" w:hAnsi="宋体"/>
          <w:color w:val="000000"/>
          <w:sz w:val="21"/>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一档（2分）：建立相关的校园安全管理方案，方案完整，满足项目服务需求；每工作班次全校性不间断巡逻4次及以上。</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5分）：校园安全管理方案完全满足项目服务需求；秩序维护管理方案可以落地执行，针对学生管理及治安管理等方面制订切实可操作的应急方案（包括但不限于：全国（校）性的考试、新生入学、学生军训、校运动会、毕业典礼、应急演练、校庆、重要会议、突发公共事件、设备设施管理等），方案详细，完善、有切实的可行性。每班次全校性不间断巡逻5次及以上。</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8分）：在满足二档的基础上校园安全管理方案有创新有亮点，秩序维护管理方案详细、完善、可以落地执行，针对学生管理及治安管理等方面制订切实可操作的应急方案（包括但不限于：全国（校）性的考试、新生入学、学生军训、校运动会、毕业典礼、应急演练、校庆、重要会议、突发公共事件、设备设施管理等），管理方案详细，完善、具有切实的可行性，人员科学地安排、设备、响应时间等方面能高效高质地应对突发事件，能结合所属区域的实际情况做出有针对性的方案。每班次全校性不间断巡逻6次及以上。</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（5）学生宿舍管理方案（满分</w:t>
      </w:r>
      <w:r>
        <w:rPr>
          <w:rFonts w:hint="eastAsia" w:ascii="宋体" w:hAnsi="宋体"/>
          <w:b/>
          <w:bCs/>
          <w:color w:val="000000"/>
          <w:szCs w:val="21"/>
          <w:highlight w:val="none"/>
          <w:lang w:val="en-US" w:eastAsia="zh-CN"/>
        </w:rPr>
        <w:t>5</w:t>
      </w:r>
      <w:r>
        <w:rPr>
          <w:rFonts w:hint="eastAsia" w:ascii="宋体" w:hAnsi="宋体"/>
          <w:b/>
          <w:bCs/>
          <w:color w:val="000000"/>
          <w:szCs w:val="21"/>
          <w:highlight w:val="none"/>
        </w:rPr>
        <w:t xml:space="preserve">分）  </w:t>
      </w:r>
    </w:p>
    <w:p>
      <w:pPr>
        <w:pStyle w:val="658"/>
        <w:spacing w:before="0" w:after="0" w:line="360" w:lineRule="exact"/>
        <w:ind w:firstLine="421" w:firstLineChars="200"/>
        <w:rPr>
          <w:rFonts w:ascii="宋体" w:hAnsi="宋体"/>
          <w:color w:val="000000"/>
          <w:sz w:val="21"/>
          <w:szCs w:val="21"/>
          <w:highlight w:val="none"/>
        </w:rPr>
      </w:pPr>
      <w:r>
        <w:rPr>
          <w:rFonts w:hint="eastAsia" w:ascii="宋体" w:hAnsi="宋体"/>
          <w:color w:val="000000"/>
          <w:sz w:val="21"/>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一档（1分）：建立有相关的学生宿舍管理方案，方案内容简略。</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w:t>
      </w:r>
      <w:r>
        <w:rPr>
          <w:rFonts w:hint="eastAsia" w:ascii="宋体" w:hAnsi="宋体"/>
          <w:color w:val="000000"/>
          <w:szCs w:val="21"/>
          <w:highlight w:val="none"/>
          <w:lang w:val="en-US" w:eastAsia="zh-CN"/>
        </w:rPr>
        <w:t>3</w:t>
      </w:r>
      <w:r>
        <w:rPr>
          <w:rFonts w:hint="eastAsia" w:ascii="宋体" w:hAnsi="宋体"/>
          <w:color w:val="000000"/>
          <w:szCs w:val="21"/>
          <w:highlight w:val="none"/>
        </w:rPr>
        <w:t>分）：服务方案有针对性，方案包含有项目人员组成、人员培训计划、质量目标、应急保障方案、廉洁承诺文件等，方案详细，具有可行性、可操作性。</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w:t>
      </w:r>
      <w:r>
        <w:rPr>
          <w:rFonts w:hint="eastAsia" w:ascii="宋体" w:hAnsi="宋体"/>
          <w:color w:val="000000"/>
          <w:szCs w:val="21"/>
          <w:highlight w:val="none"/>
          <w:lang w:val="en-US" w:eastAsia="zh-CN"/>
        </w:rPr>
        <w:t>5</w:t>
      </w:r>
      <w:r>
        <w:rPr>
          <w:rFonts w:hint="eastAsia" w:ascii="宋体" w:hAnsi="宋体"/>
          <w:color w:val="000000"/>
          <w:szCs w:val="21"/>
          <w:highlight w:val="none"/>
        </w:rPr>
        <w:t>分）：服务方案有具体详细的针对性，方案包含有项目人员组成、人员培训计划、质量目标、服务承诺、应急保障方案、廉洁承诺文件、学生公寓安全巡查制度、协助校方开展学生违纪教育、勤工助学方案、预防校园暴力等方案，服务方案和保障措施详细、考虑周全完整、具有切实的可行性、可操作性，服务方式有特色、有亮点。</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（6）综合维修服务方案（满分5分）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结合项目的实际情况，提出拟采取的管理方式（内部管理构架、管理运作机制、激励机制、监督机制、自我约束机制、信息反馈处理机制等），以及拟开展的工作计划（工作流程，长远计划和短期安排等）。</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一档（1分）：提供了服务方案，对服务内容有描述，方案总体简略。</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二档（3分）：服务方案完整详细，对服务工作的重点、难点有了解。</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三档（5分）：服务方案完整具体详细，有可行性，对服务工作重点、难点有充分地了解，针对本项目提出了对采购人有帮助的合理化建议，方案有特色、有亮点。</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 xml:space="preserve">（7）绿化养护服务方案（满分5分）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结合项目的实际情况，提出拟采取的管理方式（内部管理构架、管理运作机制、激励机制、监督机制、自我约束机制、信息反馈处理机制等），以及拟开展的工作计划（工作流程，长远计划和短期安排等）。</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一档（1分）：提供了服务方案，对服务内容有描述，方案简略。</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二档（3分）：服务方案完整，对服务工作的重点、难点有了解。</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三档（5分）：服务方案完整详细，对服务工作的重点、难点有充分了解，针对本项目提出了对采购人有帮助的合理化建议，方案有特色、有亮点。</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 xml:space="preserve">（8）人员配置及管理方案（满分10分）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管理人员的配备（包括：</w:t>
      </w:r>
      <w:r>
        <w:rPr>
          <w:rFonts w:hint="eastAsia" w:ascii="宋体" w:hAnsi="宋体"/>
          <w:color w:val="000000"/>
          <w:szCs w:val="21"/>
          <w:highlight w:val="none"/>
          <w:lang w:eastAsia="zh-CN"/>
        </w:rPr>
        <w:t>物业主管</w:t>
      </w:r>
      <w:r>
        <w:rPr>
          <w:rFonts w:hint="eastAsia" w:ascii="宋体" w:hAnsi="宋体"/>
          <w:color w:val="000000"/>
          <w:szCs w:val="21"/>
          <w:highlight w:val="none"/>
        </w:rPr>
        <w:t>简历，各类人员数量，文化素质和专业素质、各岗人员的配置）；管理人员的培训；管理人员的管理（包括：录用及考核，淘汰机制，协调关系，服务意识）。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由评委根据人员岗位设置合理情况综合考虑，进行打分。</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一档（4分）：人员配置满足采购需求，但未提供详细的培训计划和管理方案。</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二档（7分）：人员配置合理，培训计划完整，管理人员具备相关经验。</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三档（10分）：人员配置详细得当、具有可行性，培训计划科学合理，管理人员具备丰富经验。</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 xml:space="preserve">（9）突发事件应急方案（满分5分）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结合项目的实际情况，提出拟采取的管理方式（包括但不限于针对打架斗殴、消防火灾、内涝、食物中毒、学生心理问题等突发公共事件应急服务处置方案、内部管理构架、管理运作机制、激励机制、监督机制、自我约束机制、信息反馈处理机制等），以及拟开展的工作计划（工作流程，长远计划和短期安排等）。</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一档（1分）：应急响应时间7分钟以内（含7分钟），每年组织1次应急演练，应急方案简略。</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二档（3分）：应急响应时间5分钟以内（含5分钟），每半年组织1次应急演练，应急方案完整。</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三档（5分）：应急响应时间3分钟以内（含3分钟），每季度组织1次应急演练，并提供全面、详细、有切实可操作的应急方案和演练记录。</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（10）信息化管理分（满分5分）</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一档（1分）：提供信息化管理方案，有人员管理系统等模块。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二档（3分）：提供完善的信息化管理方案，包括人员管理、设备管理、服务反馈等模块。</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三档（5分）：提供智能化管理方案，如智能安防系统、智能巡检系统、智能报修系统等，并有实际应用案例。 </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（11）环保节能分（满分5分）</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未提供或不满足最低进档要求的得0分。</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一档（1分）：提供环保节能措施，如垃圾分类、节能灯具使用等。</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二档（3分）：在一档的基础上提供完善的环保节能措施，包括节水、节电、绿化养护等方案。</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三档（5分）：提供创新性的环保节能措施，如雨水回收系统、太阳能利用等，并有实际应用案例。</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3.业绩分………………………………………………………………………………</w:t>
      </w:r>
      <w:r>
        <w:rPr>
          <w:rFonts w:hint="eastAsia" w:ascii="宋体" w:hAnsi="宋体"/>
          <w:b/>
          <w:bCs/>
          <w:color w:val="000000"/>
          <w:szCs w:val="21"/>
          <w:highlight w:val="none"/>
          <w:lang w:val="en-US" w:eastAsia="zh-CN"/>
        </w:rPr>
        <w:t>6</w:t>
      </w:r>
      <w:r>
        <w:rPr>
          <w:rFonts w:hint="eastAsia" w:ascii="宋体" w:hAnsi="宋体"/>
          <w:b/>
          <w:bCs/>
          <w:color w:val="000000"/>
          <w:szCs w:val="21"/>
          <w:highlight w:val="none"/>
        </w:rPr>
        <w:t xml:space="preserve">分 </w:t>
      </w:r>
    </w:p>
    <w:p>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2023年1月1日以来承接的综合物业服务项目业绩（必须包含秩序维护、保洁服务、宿舍管理、</w:t>
      </w:r>
      <w:r>
        <w:rPr>
          <w:rFonts w:hint="eastAsia" w:ascii="宋体" w:hAnsi="宋体"/>
          <w:color w:val="000000"/>
          <w:szCs w:val="21"/>
          <w:highlight w:val="none"/>
          <w:lang w:val="en-US" w:eastAsia="zh-CN"/>
        </w:rPr>
        <w:t>教官、消防监控、</w:t>
      </w:r>
      <w:r>
        <w:rPr>
          <w:rFonts w:hint="eastAsia" w:ascii="宋体" w:hAnsi="宋体"/>
          <w:color w:val="000000"/>
          <w:szCs w:val="21"/>
          <w:highlight w:val="none"/>
        </w:rPr>
        <w:t>绿化、维修</w:t>
      </w:r>
      <w:r>
        <w:rPr>
          <w:rFonts w:hint="eastAsia" w:ascii="宋体" w:hAnsi="宋体"/>
          <w:color w:val="000000"/>
          <w:szCs w:val="21"/>
          <w:highlight w:val="none"/>
          <w:lang w:eastAsia="zh-CN"/>
        </w:rPr>
        <w:t>七</w:t>
      </w:r>
      <w:r>
        <w:rPr>
          <w:rFonts w:hint="eastAsia" w:ascii="宋体" w:hAnsi="宋体"/>
          <w:color w:val="000000"/>
          <w:szCs w:val="21"/>
          <w:highlight w:val="none"/>
        </w:rPr>
        <w:t>项内容中的任意三项），每个得1分，满分</w:t>
      </w:r>
      <w:r>
        <w:rPr>
          <w:rFonts w:hint="eastAsia" w:ascii="宋体" w:hAnsi="宋体"/>
          <w:color w:val="000000"/>
          <w:szCs w:val="21"/>
          <w:highlight w:val="none"/>
          <w:lang w:val="en-US" w:eastAsia="zh-CN"/>
        </w:rPr>
        <w:t>6</w:t>
      </w:r>
      <w:r>
        <w:rPr>
          <w:rFonts w:hint="eastAsia" w:ascii="宋体" w:hAnsi="宋体"/>
          <w:color w:val="000000"/>
          <w:szCs w:val="21"/>
          <w:highlight w:val="none"/>
        </w:rPr>
        <w:t>分（附合同关键页或中标/成交通知书或验收报告等证明文件，含合同项目名称、合同金额、签订合同双方的落款盖章和合同期限等，</w:t>
      </w:r>
      <w:r>
        <w:rPr>
          <w:rFonts w:hint="eastAsia" w:ascii="宋体" w:hAnsi="宋体"/>
          <w:color w:val="000000"/>
          <w:kern w:val="0"/>
          <w:szCs w:val="21"/>
          <w:highlight w:val="none"/>
        </w:rPr>
        <w:t>同一单位项目多次中标的不重复计分</w:t>
      </w:r>
      <w:r>
        <w:rPr>
          <w:rFonts w:hint="eastAsia" w:ascii="宋体" w:hAnsi="宋体"/>
          <w:color w:val="000000"/>
          <w:szCs w:val="21"/>
          <w:highlight w:val="none"/>
        </w:rPr>
        <w:t>，原件备查。）</w:t>
      </w:r>
    </w:p>
    <w:p>
      <w:pPr>
        <w:spacing w:line="360" w:lineRule="exact"/>
        <w:ind w:firstLine="421" w:firstLineChars="200"/>
        <w:rPr>
          <w:rFonts w:ascii="宋体" w:hAnsi="宋体"/>
          <w:b/>
          <w:bCs/>
          <w:color w:val="000000"/>
          <w:szCs w:val="21"/>
          <w:highlight w:val="none"/>
        </w:rPr>
      </w:pPr>
      <w:r>
        <w:rPr>
          <w:rFonts w:hint="eastAsia" w:ascii="宋体" w:hAnsi="宋体"/>
          <w:b/>
          <w:bCs/>
          <w:color w:val="000000"/>
          <w:szCs w:val="21"/>
          <w:highlight w:val="none"/>
        </w:rPr>
        <w:t>4.信誉及综合实力分…………………………………………………………………</w:t>
      </w:r>
      <w:r>
        <w:rPr>
          <w:rFonts w:hint="eastAsia" w:ascii="宋体" w:hAnsi="宋体"/>
          <w:b/>
          <w:bCs/>
          <w:color w:val="000000"/>
          <w:szCs w:val="21"/>
          <w:highlight w:val="none"/>
          <w:lang w:val="en-US" w:eastAsia="zh-CN"/>
        </w:rPr>
        <w:t>9</w:t>
      </w:r>
      <w:r>
        <w:rPr>
          <w:rFonts w:hint="eastAsia" w:ascii="宋体" w:hAnsi="宋体"/>
          <w:b/>
          <w:bCs/>
          <w:color w:val="000000"/>
          <w:szCs w:val="21"/>
          <w:highlight w:val="none"/>
        </w:rPr>
        <w:t>分</w:t>
      </w:r>
    </w:p>
    <w:p>
      <w:pPr>
        <w:spacing w:line="360" w:lineRule="exact"/>
        <w:ind w:firstLine="420" w:firstLineChars="200"/>
        <w:rPr>
          <w:color w:val="000000"/>
          <w:highlight w:val="none"/>
        </w:rPr>
      </w:pPr>
      <w:r>
        <w:rPr>
          <w:rFonts w:hint="eastAsia"/>
          <w:color w:val="000000"/>
          <w:highlight w:val="none"/>
        </w:rPr>
        <w:t>（1）供应商通过ISO9001质量管理体系认证、ISO14001环境管理体系认证、ISO45001职业健康与安全管理体系认证，每通过一项得</w:t>
      </w:r>
      <w:r>
        <w:rPr>
          <w:rFonts w:hint="eastAsia"/>
          <w:color w:val="000000"/>
          <w:highlight w:val="none"/>
          <w:lang w:val="en-US" w:eastAsia="zh-CN"/>
        </w:rPr>
        <w:t>2</w:t>
      </w:r>
      <w:r>
        <w:rPr>
          <w:rFonts w:hint="eastAsia"/>
          <w:color w:val="000000"/>
          <w:highlight w:val="none"/>
        </w:rPr>
        <w:t>分，满分</w:t>
      </w:r>
      <w:r>
        <w:rPr>
          <w:rFonts w:hint="eastAsia"/>
          <w:color w:val="000000"/>
          <w:highlight w:val="none"/>
          <w:lang w:val="en-US" w:eastAsia="zh-CN"/>
        </w:rPr>
        <w:t>6</w:t>
      </w:r>
      <w:r>
        <w:rPr>
          <w:rFonts w:hint="eastAsia"/>
          <w:color w:val="000000"/>
          <w:highlight w:val="none"/>
        </w:rPr>
        <w:t>分。（须提供有效期内相关认证证书复印件，原件备查）。</w:t>
      </w:r>
    </w:p>
    <w:p>
      <w:pPr>
        <w:spacing w:line="360" w:lineRule="exact"/>
        <w:ind w:firstLine="420" w:firstLineChars="200"/>
        <w:rPr>
          <w:rFonts w:ascii="宋体" w:hAnsi="宋体"/>
          <w:color w:val="000000"/>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2</w:t>
      </w:r>
      <w:r>
        <w:rPr>
          <w:rFonts w:hint="eastAsia" w:ascii="宋体" w:hAnsi="宋体"/>
          <w:color w:val="000000"/>
          <w:szCs w:val="21"/>
          <w:highlight w:val="none"/>
        </w:rPr>
        <w:t>）</w:t>
      </w:r>
      <w:r>
        <w:rPr>
          <w:rFonts w:hint="eastAsia"/>
          <w:highlight w:val="none"/>
          <w:lang w:val="en-US" w:eastAsia="zh-CN"/>
        </w:rPr>
        <w:t>物业主管</w:t>
      </w:r>
      <w:r>
        <w:rPr>
          <w:rFonts w:hint="eastAsia" w:ascii="宋体" w:hAnsi="宋体"/>
          <w:color w:val="000000"/>
          <w:szCs w:val="21"/>
          <w:highlight w:val="none"/>
        </w:rPr>
        <w:t>具备</w:t>
      </w:r>
      <w:r>
        <w:rPr>
          <w:rFonts w:hint="eastAsia"/>
          <w:highlight w:val="none"/>
          <w:lang w:eastAsia="zh-CN"/>
        </w:rPr>
        <w:t>本科或以上学历</w:t>
      </w:r>
      <w:r>
        <w:rPr>
          <w:rFonts w:hint="eastAsia" w:ascii="宋体" w:hAnsi="宋体"/>
          <w:color w:val="000000"/>
          <w:szCs w:val="21"/>
          <w:highlight w:val="none"/>
        </w:rPr>
        <w:t>得1分；获得人社部门备案的第三方机构颁发的《物业管理师》职业技能等级证三级（高级工）的得2分；满分3分。</w:t>
      </w:r>
      <w:r>
        <w:rPr>
          <w:rFonts w:hint="eastAsia" w:ascii="宋体" w:hAnsi="宋体"/>
          <w:bCs/>
          <w:color w:val="000000"/>
          <w:szCs w:val="21"/>
          <w:highlight w:val="none"/>
        </w:rPr>
        <w:t>（提供相关证件复印件，原件备查。）</w:t>
      </w:r>
    </w:p>
    <w:p>
      <w:pPr>
        <w:adjustRightInd w:val="0"/>
        <w:snapToGrid w:val="0"/>
        <w:spacing w:line="360" w:lineRule="exact"/>
        <w:ind w:firstLine="284" w:firstLineChars="135"/>
        <w:outlineLvl w:val="0"/>
        <w:rPr>
          <w:rFonts w:ascii="宋体" w:hAnsi="宋体" w:cs="宋体"/>
          <w:b/>
          <w:szCs w:val="21"/>
          <w:highlight w:val="none"/>
        </w:rPr>
      </w:pPr>
      <w:r>
        <w:rPr>
          <w:rFonts w:hint="eastAsia" w:ascii="宋体" w:hAnsi="宋体" w:cs="宋体"/>
          <w:b/>
          <w:kern w:val="0"/>
          <w:szCs w:val="21"/>
          <w:highlight w:val="none"/>
        </w:rPr>
        <w:t>（三）总得分 = 1 + 2 + 3 + 4</w:t>
      </w:r>
    </w:p>
    <w:p>
      <w:pPr>
        <w:spacing w:line="360" w:lineRule="exact"/>
        <w:ind w:firstLine="421" w:firstLineChars="200"/>
        <w:rPr>
          <w:b/>
          <w:bCs/>
          <w:highlight w:val="none"/>
        </w:rPr>
      </w:pPr>
      <w:r>
        <w:rPr>
          <w:rFonts w:hint="eastAsia"/>
          <w:b/>
          <w:bCs/>
          <w:highlight w:val="none"/>
        </w:rPr>
        <w:t>三、中标候选人推荐原则</w:t>
      </w:r>
    </w:p>
    <w:p>
      <w:pPr>
        <w:spacing w:line="360" w:lineRule="exact"/>
        <w:ind w:firstLine="420" w:firstLineChars="200"/>
        <w:jc w:val="left"/>
        <w:rPr>
          <w:bCs/>
          <w:highlight w:val="none"/>
        </w:rPr>
      </w:pPr>
      <w:r>
        <w:rPr>
          <w:rFonts w:hint="eastAsia"/>
          <w:bCs/>
          <w:highlight w:val="none"/>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审委员会推荐排名第一的中标候选人为中标人。</w:t>
      </w:r>
    </w:p>
    <w:p>
      <w:pPr>
        <w:spacing w:before="120" w:after="120" w:line="360" w:lineRule="exact"/>
        <w:ind w:firstLine="420" w:firstLineChars="200"/>
        <w:jc w:val="left"/>
        <w:outlineLvl w:val="0"/>
        <w:rPr>
          <w:rFonts w:ascii="黑体" w:eastAsia="黑体"/>
          <w:b/>
          <w:sz w:val="44"/>
          <w:szCs w:val="44"/>
          <w:highlight w:val="none"/>
        </w:rPr>
      </w:pPr>
      <w:r>
        <w:rPr>
          <w:rFonts w:hint="eastAsia"/>
          <w:bCs/>
          <w:highlight w:val="none"/>
        </w:rPr>
        <w:t>（二）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r>
        <w:rPr>
          <w:rFonts w:ascii="黑体" w:eastAsia="黑体"/>
          <w:b/>
          <w:sz w:val="44"/>
          <w:szCs w:val="44"/>
          <w:highlight w:val="none"/>
        </w:rPr>
        <w:br w:type="page"/>
      </w:r>
    </w:p>
    <w:p>
      <w:pPr>
        <w:rPr>
          <w:rFonts w:ascii="黑体" w:eastAsia="黑体"/>
          <w:b/>
          <w:sz w:val="44"/>
          <w:szCs w:val="44"/>
          <w:highlight w:val="none"/>
        </w:rPr>
      </w:pPr>
    </w:p>
    <w:p>
      <w:pPr>
        <w:pStyle w:val="7"/>
        <w:rPr>
          <w:rFonts w:ascii="黑体" w:eastAsia="黑体"/>
          <w:sz w:val="44"/>
          <w:szCs w:val="44"/>
          <w:highlight w:val="none"/>
        </w:rPr>
      </w:pPr>
    </w:p>
    <w:p>
      <w:pPr>
        <w:rPr>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jc w:val="center"/>
        <w:rPr>
          <w:rFonts w:ascii="宋体" w:hAnsi="宋体"/>
          <w:b/>
          <w:dstrike/>
          <w:sz w:val="36"/>
          <w:szCs w:val="36"/>
          <w:highlight w:val="none"/>
        </w:rPr>
      </w:pPr>
      <w:r>
        <w:rPr>
          <w:rFonts w:hint="eastAsia" w:ascii="仿宋_GB2312" w:eastAsia="仿宋_GB2312"/>
          <w:b/>
          <w:sz w:val="36"/>
          <w:szCs w:val="36"/>
          <w:highlight w:val="none"/>
        </w:rPr>
        <w:t>第五章    政府采购合同主要条款</w:t>
      </w:r>
    </w:p>
    <w:p>
      <w:pPr>
        <w:pStyle w:val="31"/>
        <w:snapToGrid w:val="0"/>
        <w:spacing w:before="120" w:after="120"/>
        <w:jc w:val="center"/>
        <w:outlineLvl w:val="0"/>
        <w:rPr>
          <w:rFonts w:ascii="黑体" w:eastAsia="黑体"/>
          <w:b/>
          <w:sz w:val="44"/>
          <w:szCs w:val="44"/>
          <w:highlight w:val="none"/>
        </w:rPr>
      </w:pPr>
    </w:p>
    <w:p>
      <w:pPr>
        <w:pStyle w:val="31"/>
        <w:jc w:val="center"/>
        <w:rPr>
          <w:highlight w:val="none"/>
        </w:rPr>
      </w:pPr>
      <w:r>
        <w:rPr>
          <w:highlight w:val="none"/>
        </w:rPr>
        <w:br w:type="page"/>
      </w:r>
    </w:p>
    <w:p>
      <w:pPr>
        <w:pStyle w:val="31"/>
        <w:jc w:val="center"/>
        <w:rPr>
          <w:highlight w:val="none"/>
        </w:rPr>
      </w:pPr>
    </w:p>
    <w:p>
      <w:pPr>
        <w:pStyle w:val="31"/>
        <w:jc w:val="center"/>
        <w:rPr>
          <w:highlight w:val="none"/>
        </w:rPr>
      </w:pPr>
    </w:p>
    <w:p>
      <w:pPr>
        <w:pStyle w:val="31"/>
        <w:jc w:val="center"/>
        <w:rPr>
          <w:rFonts w:hAnsi="宋体"/>
          <w:b/>
          <w:sz w:val="52"/>
          <w:szCs w:val="52"/>
          <w:highlight w:val="none"/>
        </w:rPr>
      </w:pPr>
      <w:r>
        <w:rPr>
          <w:rFonts w:hint="eastAsia" w:hAnsi="宋体"/>
          <w:b/>
          <w:sz w:val="52"/>
          <w:szCs w:val="52"/>
          <w:highlight w:val="none"/>
        </w:rPr>
        <w:t>广西壮族自治区政府采购合同</w:t>
      </w:r>
    </w:p>
    <w:p>
      <w:pPr>
        <w:pStyle w:val="31"/>
        <w:rPr>
          <w:rFonts w:hAnsi="宋体"/>
          <w:highlight w:val="none"/>
        </w:rPr>
      </w:pPr>
    </w:p>
    <w:p>
      <w:pPr>
        <w:pStyle w:val="31"/>
        <w:rPr>
          <w:rFonts w:hAnsi="宋体"/>
          <w:highlight w:val="none"/>
        </w:rPr>
      </w:pPr>
    </w:p>
    <w:p>
      <w:pPr>
        <w:pStyle w:val="31"/>
        <w:rPr>
          <w:rFonts w:hAnsi="宋体"/>
          <w:highlight w:val="none"/>
        </w:rPr>
      </w:pPr>
    </w:p>
    <w:p>
      <w:pPr>
        <w:pStyle w:val="31"/>
        <w:rPr>
          <w:rFonts w:hAnsi="宋体"/>
          <w:highlight w:val="none"/>
        </w:rPr>
      </w:pPr>
    </w:p>
    <w:p>
      <w:pPr>
        <w:pStyle w:val="31"/>
        <w:ind w:firstLine="1590" w:firstLineChars="495"/>
        <w:rPr>
          <w:rFonts w:hAnsi="宋体"/>
          <w:b/>
          <w:sz w:val="32"/>
          <w:szCs w:val="32"/>
          <w:highlight w:val="none"/>
          <w:u w:val="single"/>
        </w:rPr>
      </w:pPr>
      <w:r>
        <w:rPr>
          <w:rFonts w:hint="eastAsia" w:hAnsi="宋体"/>
          <w:b/>
          <w:sz w:val="32"/>
          <w:szCs w:val="32"/>
          <w:highlight w:val="none"/>
        </w:rPr>
        <w:t>合同名称：</w:t>
      </w:r>
    </w:p>
    <w:p>
      <w:pPr>
        <w:pStyle w:val="31"/>
        <w:ind w:firstLine="1590" w:firstLineChars="495"/>
        <w:rPr>
          <w:rFonts w:hAnsi="宋体"/>
          <w:b/>
          <w:sz w:val="32"/>
          <w:szCs w:val="32"/>
          <w:highlight w:val="none"/>
        </w:rPr>
      </w:pPr>
    </w:p>
    <w:p>
      <w:pPr>
        <w:pStyle w:val="31"/>
        <w:ind w:firstLine="1590" w:firstLineChars="495"/>
        <w:rPr>
          <w:rFonts w:hAnsi="宋体"/>
          <w:b/>
          <w:sz w:val="32"/>
          <w:szCs w:val="32"/>
          <w:highlight w:val="none"/>
          <w:u w:val="single"/>
        </w:rPr>
      </w:pPr>
      <w:r>
        <w:rPr>
          <w:rFonts w:hint="eastAsia" w:hAnsi="宋体"/>
          <w:b/>
          <w:sz w:val="32"/>
          <w:szCs w:val="32"/>
          <w:highlight w:val="none"/>
        </w:rPr>
        <w:t>合同编号：</w:t>
      </w:r>
    </w:p>
    <w:p>
      <w:pPr>
        <w:pStyle w:val="31"/>
        <w:jc w:val="center"/>
        <w:rPr>
          <w:rFonts w:hAnsi="宋体"/>
          <w:highlight w:val="none"/>
        </w:rPr>
      </w:pPr>
    </w:p>
    <w:p>
      <w:pPr>
        <w:pStyle w:val="31"/>
        <w:jc w:val="center"/>
        <w:rPr>
          <w:rFonts w:hAnsi="宋体"/>
          <w:highlight w:val="none"/>
        </w:rPr>
      </w:pPr>
    </w:p>
    <w:p>
      <w:pPr>
        <w:pStyle w:val="31"/>
        <w:jc w:val="center"/>
        <w:rPr>
          <w:rFonts w:hAnsi="宋体"/>
          <w:highlight w:val="none"/>
        </w:rPr>
      </w:pPr>
    </w:p>
    <w:p>
      <w:pPr>
        <w:pStyle w:val="31"/>
        <w:spacing w:afterLines="50" w:line="340" w:lineRule="exact"/>
        <w:ind w:firstLine="1590" w:firstLineChars="495"/>
        <w:rPr>
          <w:rFonts w:hAnsi="宋体"/>
          <w:b/>
          <w:sz w:val="32"/>
          <w:szCs w:val="32"/>
          <w:highlight w:val="none"/>
          <w:u w:val="single"/>
        </w:rPr>
      </w:pPr>
      <w:r>
        <w:rPr>
          <w:rFonts w:hint="eastAsia" w:hAnsi="宋体"/>
          <w:b/>
          <w:sz w:val="32"/>
          <w:szCs w:val="32"/>
          <w:highlight w:val="none"/>
        </w:rPr>
        <w:t>采购单位（甲方）</w:t>
      </w:r>
    </w:p>
    <w:p>
      <w:pPr>
        <w:pStyle w:val="31"/>
        <w:spacing w:line="340" w:lineRule="exact"/>
        <w:ind w:firstLine="1590" w:firstLineChars="495"/>
        <w:rPr>
          <w:rFonts w:hAnsi="宋体"/>
          <w:b/>
          <w:sz w:val="32"/>
          <w:szCs w:val="32"/>
          <w:highlight w:val="none"/>
          <w:u w:val="single"/>
        </w:rPr>
      </w:pPr>
      <w:r>
        <w:rPr>
          <w:rFonts w:hint="eastAsia" w:hAnsi="宋体"/>
          <w:b/>
          <w:sz w:val="32"/>
          <w:szCs w:val="32"/>
          <w:highlight w:val="none"/>
        </w:rPr>
        <w:t>住   所：</w:t>
      </w:r>
    </w:p>
    <w:p>
      <w:pPr>
        <w:pStyle w:val="31"/>
        <w:spacing w:line="340" w:lineRule="exact"/>
        <w:ind w:firstLine="1590" w:firstLineChars="495"/>
        <w:rPr>
          <w:rFonts w:hAnsi="宋体"/>
          <w:b/>
          <w:sz w:val="32"/>
          <w:szCs w:val="32"/>
          <w:highlight w:val="none"/>
        </w:rPr>
      </w:pPr>
    </w:p>
    <w:p>
      <w:pPr>
        <w:pStyle w:val="31"/>
        <w:spacing w:line="340" w:lineRule="exact"/>
        <w:ind w:firstLine="1590" w:firstLineChars="495"/>
        <w:rPr>
          <w:rFonts w:hAnsi="宋体"/>
          <w:b/>
          <w:sz w:val="32"/>
          <w:szCs w:val="32"/>
          <w:highlight w:val="none"/>
        </w:rPr>
      </w:pPr>
    </w:p>
    <w:p>
      <w:pPr>
        <w:pStyle w:val="31"/>
        <w:spacing w:afterLines="50" w:line="340" w:lineRule="exact"/>
        <w:ind w:firstLine="1590" w:firstLineChars="495"/>
        <w:rPr>
          <w:rFonts w:hAnsi="宋体"/>
          <w:b/>
          <w:sz w:val="32"/>
          <w:szCs w:val="32"/>
          <w:highlight w:val="none"/>
          <w:u w:val="single"/>
        </w:rPr>
      </w:pPr>
      <w:r>
        <w:rPr>
          <w:rFonts w:hint="eastAsia" w:hAnsi="宋体"/>
          <w:b/>
          <w:sz w:val="32"/>
          <w:szCs w:val="32"/>
          <w:highlight w:val="none"/>
        </w:rPr>
        <w:t>供 应 商（乙方）</w:t>
      </w:r>
    </w:p>
    <w:p>
      <w:pPr>
        <w:pStyle w:val="31"/>
        <w:spacing w:line="340" w:lineRule="exact"/>
        <w:ind w:firstLine="1590" w:firstLineChars="495"/>
        <w:rPr>
          <w:rFonts w:hAnsi="宋体"/>
          <w:b/>
          <w:sz w:val="32"/>
          <w:szCs w:val="32"/>
          <w:highlight w:val="none"/>
          <w:u w:val="single"/>
        </w:rPr>
      </w:pPr>
      <w:r>
        <w:rPr>
          <w:rFonts w:hint="eastAsia" w:hAnsi="宋体"/>
          <w:b/>
          <w:sz w:val="32"/>
          <w:szCs w:val="32"/>
          <w:highlight w:val="none"/>
        </w:rPr>
        <w:t>住   所：</w:t>
      </w:r>
    </w:p>
    <w:p>
      <w:pPr>
        <w:pStyle w:val="31"/>
        <w:spacing w:line="340" w:lineRule="exact"/>
        <w:ind w:firstLine="1590" w:firstLineChars="495"/>
        <w:rPr>
          <w:rFonts w:hAnsi="宋体"/>
          <w:b/>
          <w:sz w:val="32"/>
          <w:szCs w:val="32"/>
          <w:highlight w:val="none"/>
        </w:rPr>
      </w:pPr>
    </w:p>
    <w:p>
      <w:pPr>
        <w:pStyle w:val="31"/>
        <w:jc w:val="center"/>
        <w:rPr>
          <w:rFonts w:hAnsi="宋体"/>
          <w:highlight w:val="none"/>
        </w:rPr>
      </w:pPr>
    </w:p>
    <w:p>
      <w:pPr>
        <w:pStyle w:val="31"/>
        <w:jc w:val="center"/>
        <w:rPr>
          <w:rFonts w:hAnsi="宋体"/>
          <w:highlight w:val="none"/>
        </w:rPr>
      </w:pPr>
    </w:p>
    <w:p>
      <w:pPr>
        <w:pStyle w:val="31"/>
        <w:jc w:val="center"/>
        <w:rPr>
          <w:rFonts w:hAnsi="宋体"/>
          <w:highlight w:val="none"/>
        </w:rPr>
      </w:pPr>
    </w:p>
    <w:p>
      <w:pPr>
        <w:pStyle w:val="31"/>
        <w:ind w:firstLine="1590" w:firstLineChars="495"/>
        <w:rPr>
          <w:rFonts w:hAnsi="宋体"/>
          <w:b/>
          <w:sz w:val="32"/>
          <w:szCs w:val="32"/>
          <w:highlight w:val="none"/>
          <w:u w:val="single"/>
        </w:rPr>
      </w:pPr>
      <w:r>
        <w:rPr>
          <w:rFonts w:hint="eastAsia" w:hAnsi="宋体"/>
          <w:b/>
          <w:sz w:val="32"/>
          <w:szCs w:val="32"/>
          <w:highlight w:val="none"/>
        </w:rPr>
        <w:t>签订合同地点：</w:t>
      </w:r>
    </w:p>
    <w:p>
      <w:pPr>
        <w:pStyle w:val="31"/>
        <w:ind w:firstLine="1590" w:firstLineChars="495"/>
        <w:rPr>
          <w:rFonts w:hAnsi="宋体"/>
          <w:b/>
          <w:sz w:val="32"/>
          <w:szCs w:val="32"/>
          <w:highlight w:val="none"/>
        </w:rPr>
      </w:pPr>
    </w:p>
    <w:p>
      <w:pPr>
        <w:pStyle w:val="31"/>
        <w:ind w:firstLine="1590" w:firstLineChars="495"/>
        <w:rPr>
          <w:rFonts w:hAnsi="宋体"/>
          <w:b/>
          <w:sz w:val="32"/>
          <w:szCs w:val="32"/>
          <w:highlight w:val="none"/>
        </w:rPr>
      </w:pPr>
      <w:r>
        <w:rPr>
          <w:rFonts w:hint="eastAsia" w:hAnsi="宋体"/>
          <w:b/>
          <w:sz w:val="32"/>
          <w:szCs w:val="32"/>
          <w:highlight w:val="none"/>
        </w:rPr>
        <w:t>签订合同时间：</w:t>
      </w:r>
    </w:p>
    <w:p>
      <w:pPr>
        <w:pStyle w:val="31"/>
        <w:jc w:val="center"/>
        <w:rPr>
          <w:rFonts w:hAnsi="宋体"/>
          <w:highlight w:val="none"/>
        </w:rPr>
      </w:pPr>
    </w:p>
    <w:p>
      <w:pPr>
        <w:pStyle w:val="31"/>
        <w:jc w:val="center"/>
        <w:rPr>
          <w:rFonts w:hAnsi="宋体"/>
          <w:highlight w:val="none"/>
        </w:rPr>
      </w:pPr>
    </w:p>
    <w:p>
      <w:pPr>
        <w:pStyle w:val="31"/>
        <w:jc w:val="center"/>
        <w:rPr>
          <w:highlight w:val="none"/>
        </w:rPr>
      </w:pPr>
    </w:p>
    <w:p>
      <w:pPr>
        <w:pStyle w:val="31"/>
        <w:jc w:val="center"/>
        <w:rPr>
          <w:rFonts w:hAnsi="宋体"/>
          <w:highlight w:val="none"/>
        </w:rPr>
      </w:pPr>
    </w:p>
    <w:p>
      <w:pPr>
        <w:pStyle w:val="31"/>
        <w:spacing w:line="420" w:lineRule="exact"/>
        <w:jc w:val="center"/>
        <w:rPr>
          <w:rFonts w:hAnsi="宋体"/>
          <w:highlight w:val="none"/>
        </w:rPr>
      </w:pPr>
      <w:r>
        <w:rPr>
          <w:rFonts w:hint="eastAsia" w:hAnsi="宋体"/>
          <w:highlight w:val="none"/>
        </w:rPr>
        <w:t>合同使用说明：根据《中华人民共和国政府采购法》、《中华人民共和国民法典》等法律、法规规定，</w:t>
      </w:r>
    </w:p>
    <w:p>
      <w:pPr>
        <w:pStyle w:val="31"/>
        <w:snapToGrid w:val="0"/>
        <w:spacing w:before="120" w:after="120"/>
        <w:jc w:val="center"/>
        <w:outlineLvl w:val="0"/>
        <w:rPr>
          <w:rFonts w:hAnsi="宋体"/>
          <w:highlight w:val="none"/>
        </w:rPr>
      </w:pPr>
      <w:r>
        <w:rPr>
          <w:rFonts w:hint="eastAsia" w:hAnsi="宋体"/>
          <w:highlight w:val="none"/>
        </w:rPr>
        <w:t xml:space="preserve">        按照招标文件规定条款和中标供应商投标文件及其承诺，甲乙双方签订本合同。</w:t>
      </w:r>
    </w:p>
    <w:p>
      <w:pPr>
        <w:pStyle w:val="31"/>
        <w:snapToGrid w:val="0"/>
        <w:spacing w:before="120" w:after="120"/>
        <w:jc w:val="center"/>
        <w:outlineLvl w:val="0"/>
        <w:rPr>
          <w:rFonts w:hAnsi="宋体"/>
          <w:highlight w:val="none"/>
        </w:rPr>
      </w:pPr>
    </w:p>
    <w:p>
      <w:pPr>
        <w:pStyle w:val="31"/>
        <w:snapToGrid w:val="0"/>
        <w:spacing w:before="120" w:after="120"/>
        <w:jc w:val="center"/>
        <w:outlineLvl w:val="0"/>
        <w:rPr>
          <w:rFonts w:hAnsi="宋体"/>
          <w:highlight w:val="none"/>
        </w:rPr>
      </w:pPr>
    </w:p>
    <w:p>
      <w:pPr>
        <w:pageBreakBefore/>
        <w:spacing w:line="300" w:lineRule="atLeast"/>
        <w:jc w:val="center"/>
        <w:rPr>
          <w:rFonts w:hAnsi="宋体"/>
          <w:b/>
          <w:color w:val="000000"/>
          <w:sz w:val="32"/>
          <w:highlight w:val="none"/>
        </w:rPr>
      </w:pPr>
      <w:bookmarkStart w:id="15" w:name="_Toc58146566"/>
      <w:r>
        <w:rPr>
          <w:rFonts w:hint="eastAsia" w:hAnsi="宋体"/>
          <w:b/>
          <w:color w:val="000000"/>
          <w:sz w:val="32"/>
          <w:highlight w:val="none"/>
        </w:rPr>
        <w:t>合同书（格式）</w:t>
      </w:r>
    </w:p>
    <w:p>
      <w:pPr>
        <w:widowControl/>
        <w:spacing w:line="400" w:lineRule="exact"/>
        <w:ind w:firstLine="421" w:firstLineChars="200"/>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甲方：</w:t>
      </w:r>
    </w:p>
    <w:p>
      <w:pPr>
        <w:widowControl/>
        <w:spacing w:line="400" w:lineRule="exact"/>
        <w:jc w:val="left"/>
        <w:rPr>
          <w:rFonts w:ascii="宋体" w:hAnsi="宋体" w:cs="宋体"/>
          <w:color w:val="000000"/>
          <w:kern w:val="0"/>
          <w:szCs w:val="21"/>
          <w:highlight w:val="none"/>
          <w:u w:val="single"/>
        </w:rPr>
      </w:pPr>
      <w:r>
        <w:rPr>
          <w:rFonts w:hint="eastAsia" w:ascii="宋体" w:hAnsi="宋体" w:cs="宋体"/>
          <w:b/>
          <w:bCs/>
          <w:color w:val="000000"/>
          <w:kern w:val="0"/>
          <w:szCs w:val="21"/>
          <w:highlight w:val="none"/>
        </w:rPr>
        <w:t>  乙方：</w:t>
      </w:r>
    </w:p>
    <w:p>
      <w:pPr>
        <w:widowControl/>
        <w:spacing w:line="400" w:lineRule="exact"/>
        <w:jc w:val="left"/>
        <w:rPr>
          <w:rFonts w:ascii="宋体" w:hAnsi="宋体" w:cs="宋体"/>
          <w:color w:val="000000"/>
          <w:kern w:val="0"/>
          <w:szCs w:val="21"/>
          <w:highlight w:val="none"/>
          <w:u w:val="single"/>
        </w:rPr>
      </w:pPr>
      <w:r>
        <w:rPr>
          <w:rFonts w:hint="eastAsia" w:ascii="宋体" w:hAnsi="宋体" w:cs="宋体"/>
          <w:color w:val="000000"/>
          <w:kern w:val="0"/>
          <w:szCs w:val="21"/>
          <w:highlight w:val="none"/>
        </w:rPr>
        <w:t>根据国家和地方政府有关物业管理的法律、法规和政策规定，甲、乙双方本着自愿、平等原则，就服务事宜充分协商一致，特签订本合同，以资信守履行。</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第一条</w:t>
      </w:r>
      <w:r>
        <w:rPr>
          <w:rFonts w:hint="eastAsia" w:ascii="宋体" w:hAnsi="宋体" w:cs="宋体"/>
          <w:color w:val="000000"/>
          <w:kern w:val="0"/>
          <w:szCs w:val="21"/>
          <w:highlight w:val="none"/>
        </w:rPr>
        <w:t xml:space="preserve"> 甲方聘请乙方提供物业管理服务。</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第二条 </w:t>
      </w:r>
      <w:r>
        <w:rPr>
          <w:rFonts w:hint="eastAsia" w:ascii="宋体" w:hAnsi="宋体" w:cs="宋体"/>
          <w:color w:val="000000"/>
          <w:kern w:val="0"/>
          <w:szCs w:val="21"/>
          <w:highlight w:val="none"/>
        </w:rPr>
        <w:t>服务区域基本情况如下：</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建筑面积，占地面积；具体物业范围及构成细目见本项目招标文件中第二章《招标项目采购需求》的相关内容。</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第三条</w:t>
      </w:r>
      <w:r>
        <w:rPr>
          <w:rFonts w:hint="eastAsia" w:ascii="宋体" w:hAnsi="宋体" w:cs="宋体"/>
          <w:color w:val="000000"/>
          <w:kern w:val="0"/>
          <w:szCs w:val="21"/>
          <w:highlight w:val="none"/>
        </w:rPr>
        <w:t xml:space="preserve"> 乙方提供的物业管理服务包括以下内容： </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（一）；</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（二）</w:t>
      </w:r>
      <w:r>
        <w:rPr>
          <w:rFonts w:hint="eastAsia" w:ascii="宋体" w:hAnsi="宋体"/>
          <w:color w:val="000000"/>
          <w:szCs w:val="21"/>
          <w:highlight w:val="none"/>
        </w:rPr>
        <w:t>；</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（三）具体服务内容包含招标文件的《招标项目采购需求》、投标文件的《服务方案》和乙方的所有承诺服务内容；</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第四条 </w:t>
      </w:r>
      <w:r>
        <w:rPr>
          <w:rFonts w:hint="eastAsia" w:ascii="宋体" w:hAnsi="宋体" w:cs="宋体"/>
          <w:color w:val="000000"/>
          <w:kern w:val="0"/>
          <w:szCs w:val="21"/>
          <w:highlight w:val="none"/>
        </w:rPr>
        <w:t>乙方提供的服务质量标准按国家和地方政府的规定和本合同约定的物业服务质量要求及乙方在投标文件中的承诺执行。</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本合同约定的服务质量要求见本项目招标文件中《招标项目采购需求》。</w:t>
      </w:r>
    </w:p>
    <w:p>
      <w:pPr>
        <w:widowControl/>
        <w:spacing w:line="400" w:lineRule="exact"/>
        <w:ind w:firstLine="423" w:firstLineChars="201"/>
        <w:jc w:val="left"/>
        <w:rPr>
          <w:rFonts w:ascii="宋体" w:hAnsi="宋体" w:cs="宋体"/>
          <w:color w:val="000000"/>
          <w:kern w:val="0"/>
          <w:szCs w:val="21"/>
          <w:highlight w:val="none"/>
          <w:u w:val="single"/>
        </w:rPr>
      </w:pPr>
      <w:r>
        <w:rPr>
          <w:rFonts w:hint="eastAsia" w:ascii="宋体" w:hAnsi="宋体" w:cs="宋体"/>
          <w:b/>
          <w:bCs/>
          <w:color w:val="000000"/>
          <w:kern w:val="0"/>
          <w:szCs w:val="21"/>
          <w:highlight w:val="none"/>
        </w:rPr>
        <w:t xml:space="preserve">第五条  </w:t>
      </w:r>
      <w:r>
        <w:rPr>
          <w:rFonts w:hint="eastAsia" w:ascii="宋体" w:hAnsi="宋体" w:cs="宋体"/>
          <w:color w:val="000000"/>
          <w:kern w:val="0"/>
          <w:szCs w:val="21"/>
          <w:highlight w:val="none"/>
        </w:rPr>
        <w:t>合同金额：</w:t>
      </w:r>
      <w:r>
        <w:rPr>
          <w:rFonts w:hint="eastAsia" w:ascii="宋体" w:hAnsi="宋体" w:cs="宋体"/>
          <w:color w:val="000000"/>
          <w:kern w:val="0"/>
          <w:szCs w:val="21"/>
          <w:highlight w:val="none"/>
          <w:u w:val="single"/>
        </w:rPr>
        <w:t xml:space="preserve">                        （￥               ）；</w:t>
      </w:r>
    </w:p>
    <w:p>
      <w:pPr>
        <w:widowControl/>
        <w:spacing w:line="400" w:lineRule="exact"/>
        <w:ind w:firstLine="422" w:firstLineChars="201"/>
        <w:jc w:val="left"/>
        <w:rPr>
          <w:rFonts w:ascii="宋体" w:hAnsi="宋体" w:cs="宋体"/>
          <w:b/>
          <w:color w:val="000000"/>
          <w:kern w:val="0"/>
          <w:szCs w:val="21"/>
          <w:highlight w:val="none"/>
        </w:rPr>
      </w:pPr>
      <w:r>
        <w:rPr>
          <w:rFonts w:hint="eastAsia" w:ascii="宋体" w:hAnsi="宋体" w:cs="宋体"/>
          <w:color w:val="000000"/>
          <w:kern w:val="0"/>
          <w:szCs w:val="21"/>
          <w:highlight w:val="none"/>
        </w:rPr>
        <w:t>服务期：</w:t>
      </w:r>
      <w:r>
        <w:rPr>
          <w:rFonts w:hint="eastAsia" w:ascii="宋体" w:hAnsi="宋体" w:cs="宋体"/>
          <w:color w:val="000000"/>
          <w:kern w:val="0"/>
          <w:szCs w:val="21"/>
          <w:highlight w:val="none"/>
          <w:u w:val="single"/>
        </w:rPr>
        <w:t xml:space="preserve">       年  月    日</w:t>
      </w:r>
      <w:r>
        <w:rPr>
          <w:rFonts w:hint="eastAsia" w:ascii="宋体" w:hAnsi="宋体" w:cs="宋体"/>
          <w:color w:val="000000"/>
          <w:kern w:val="0"/>
          <w:szCs w:val="21"/>
          <w:highlight w:val="none"/>
        </w:rPr>
        <w:t>至</w:t>
      </w:r>
      <w:r>
        <w:rPr>
          <w:rFonts w:hint="eastAsia" w:ascii="宋体" w:hAnsi="宋体" w:cs="宋体"/>
          <w:color w:val="000000"/>
          <w:kern w:val="0"/>
          <w:szCs w:val="21"/>
          <w:highlight w:val="none"/>
          <w:u w:val="single"/>
        </w:rPr>
        <w:t xml:space="preserve">      年   月    日      </w:t>
      </w:r>
      <w:r>
        <w:rPr>
          <w:rFonts w:hint="eastAsia" w:ascii="宋体" w:hAnsi="宋体" w:cs="宋体"/>
          <w:color w:val="000000"/>
          <w:kern w:val="0"/>
          <w:szCs w:val="21"/>
          <w:highlight w:val="none"/>
        </w:rPr>
        <w:t>。</w:t>
      </w:r>
    </w:p>
    <w:p>
      <w:pPr>
        <w:pStyle w:val="20"/>
        <w:spacing w:line="400" w:lineRule="exact"/>
        <w:rPr>
          <w:color w:val="000000"/>
          <w:sz w:val="21"/>
          <w:szCs w:val="21"/>
          <w:highlight w:val="none"/>
        </w:rPr>
      </w:pPr>
      <w:r>
        <w:rPr>
          <w:rFonts w:hint="eastAsia" w:ascii="宋体" w:hAnsi="宋体" w:cs="宋体"/>
          <w:color w:val="000000"/>
          <w:sz w:val="21"/>
          <w:szCs w:val="21"/>
          <w:highlight w:val="none"/>
        </w:rPr>
        <w:t xml:space="preserve">    付款方式</w:t>
      </w:r>
      <w:r>
        <w:rPr>
          <w:rFonts w:hint="eastAsia" w:ascii="宋体" w:hAnsi="宋体" w:cs="宋体"/>
          <w:color w:val="000000"/>
          <w:sz w:val="21"/>
          <w:szCs w:val="21"/>
          <w:highlight w:val="none"/>
          <w:u w:val="single"/>
        </w:rPr>
        <w:t>：。</w:t>
      </w:r>
    </w:p>
    <w:p>
      <w:pPr>
        <w:widowControl/>
        <w:adjustRightInd w:val="0"/>
        <w:snapToGrid w:val="0"/>
        <w:spacing w:line="400" w:lineRule="exact"/>
        <w:ind w:firstLine="425" w:firstLineChars="202"/>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第六条 </w:t>
      </w:r>
      <w:r>
        <w:rPr>
          <w:rFonts w:hint="eastAsia" w:ascii="宋体" w:hAnsi="宋体" w:cs="宋体"/>
          <w:color w:val="000000"/>
          <w:kern w:val="0"/>
          <w:szCs w:val="21"/>
          <w:highlight w:val="none"/>
        </w:rPr>
        <w:t>甲方权利义务</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（一）审定乙方管理服务方案和工作计划，听取乙方管理情况报告，监督检查乙方各项方案和计划的实施；</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（二）协调、处理本合同生效前发生的遗留问题；</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（三）法律、法规、政策规定的其他权利、义务。</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第七条 </w:t>
      </w:r>
      <w:r>
        <w:rPr>
          <w:rFonts w:hint="eastAsia" w:ascii="宋体" w:hAnsi="宋体" w:cs="宋体"/>
          <w:color w:val="000000"/>
          <w:kern w:val="0"/>
          <w:szCs w:val="21"/>
          <w:highlight w:val="none"/>
        </w:rPr>
        <w:t>乙方权利义务</w:t>
      </w:r>
    </w:p>
    <w:p>
      <w:pPr>
        <w:widowControl/>
        <w:spacing w:line="400" w:lineRule="exact"/>
        <w:ind w:firstLine="424" w:firstLineChars="202"/>
        <w:jc w:val="left"/>
        <w:rPr>
          <w:rFonts w:ascii="宋体" w:hAnsi="宋体" w:cs="宋体"/>
          <w:color w:val="000000"/>
          <w:kern w:val="0"/>
          <w:szCs w:val="21"/>
          <w:highlight w:val="none"/>
        </w:rPr>
      </w:pPr>
      <w:r>
        <w:rPr>
          <w:rFonts w:hint="eastAsia" w:ascii="宋体" w:hAnsi="宋体" w:cs="宋体"/>
          <w:color w:val="000000"/>
          <w:kern w:val="0"/>
          <w:szCs w:val="21"/>
          <w:highlight w:val="none"/>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line="400" w:lineRule="exact"/>
        <w:ind w:firstLine="424" w:firstLineChars="202"/>
        <w:jc w:val="left"/>
        <w:rPr>
          <w:rFonts w:ascii="宋体" w:hAnsi="宋体" w:cs="宋体"/>
          <w:color w:val="000000"/>
          <w:kern w:val="0"/>
          <w:szCs w:val="21"/>
          <w:highlight w:val="none"/>
        </w:rPr>
      </w:pPr>
      <w:r>
        <w:rPr>
          <w:rFonts w:hint="eastAsia" w:ascii="宋体" w:hAnsi="宋体" w:cs="宋体"/>
          <w:color w:val="000000"/>
          <w:kern w:val="0"/>
          <w:szCs w:val="21"/>
          <w:highlight w:val="none"/>
        </w:rPr>
        <w:t>（二）法律、法规、政策规定的其他权利、义务。</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第八条</w:t>
      </w:r>
      <w:r>
        <w:rPr>
          <w:rFonts w:hint="eastAsia" w:ascii="宋体" w:hAnsi="宋体" w:cs="宋体"/>
          <w:color w:val="000000"/>
          <w:kern w:val="0"/>
          <w:szCs w:val="21"/>
          <w:highlight w:val="none"/>
        </w:rPr>
        <w:t xml:space="preserve"> 违约责任</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 xml:space="preserve">（一）乙方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  </w:t>
      </w:r>
    </w:p>
    <w:p>
      <w:pPr>
        <w:widowControl/>
        <w:spacing w:line="400" w:lineRule="exact"/>
        <w:ind w:firstLine="422" w:firstLineChars="201"/>
        <w:jc w:val="left"/>
        <w:rPr>
          <w:rFonts w:ascii="宋体" w:hAnsi="宋体" w:cs="宋体"/>
          <w:color w:val="000000"/>
          <w:kern w:val="0"/>
          <w:szCs w:val="21"/>
          <w:highlight w:val="none"/>
        </w:rPr>
      </w:pPr>
      <w:r>
        <w:rPr>
          <w:rFonts w:hint="eastAsia" w:ascii="宋体" w:hAnsi="宋体" w:cs="宋体"/>
          <w:color w:val="000000"/>
          <w:kern w:val="0"/>
          <w:szCs w:val="21"/>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widowControl/>
        <w:spacing w:line="400" w:lineRule="exact"/>
        <w:ind w:firstLine="283" w:firstLineChars="135"/>
        <w:jc w:val="left"/>
        <w:rPr>
          <w:rFonts w:ascii="宋体" w:hAnsi="宋体" w:cs="宋体"/>
          <w:color w:val="000000"/>
          <w:kern w:val="0"/>
          <w:szCs w:val="21"/>
          <w:highlight w:val="none"/>
        </w:rPr>
      </w:pPr>
      <w:r>
        <w:rPr>
          <w:rFonts w:hint="eastAsia" w:ascii="宋体" w:hAnsi="宋体" w:cs="宋体"/>
          <w:color w:val="000000"/>
          <w:kern w:val="0"/>
          <w:szCs w:val="21"/>
          <w:highlight w:val="none"/>
        </w:rPr>
        <w:t>（三）除合同约定外，乙方不得将本合同项目转包或分包给第三方，否则甲方有权单方终止本合同，乙方应承担因此给甲方造成的经济损失，包括但不限于依法应重新招标产生的各项费用、甲方向乙方追偿而支出的律师费、诉讼费等。</w:t>
      </w:r>
    </w:p>
    <w:p>
      <w:pPr>
        <w:widowControl/>
        <w:spacing w:line="400" w:lineRule="exact"/>
        <w:ind w:firstLine="421" w:firstLineChars="200"/>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第九条 </w:t>
      </w:r>
      <w:r>
        <w:rPr>
          <w:rFonts w:hint="eastAsia" w:hAnsi="宋体"/>
          <w:color w:val="000000"/>
          <w:highlight w:val="none"/>
        </w:rPr>
        <w:t>双方在履行合同中所发生的一切争议，应通过协商解决。如协商不成，向</w:t>
      </w:r>
      <w:r>
        <w:rPr>
          <w:rFonts w:hint="eastAsia" w:ascii="宋体" w:hAnsi="宋体"/>
          <w:color w:val="000000"/>
          <w:szCs w:val="21"/>
          <w:highlight w:val="none"/>
        </w:rPr>
        <w:t>甲方所在地人民法院提起诉讼</w:t>
      </w:r>
      <w:r>
        <w:rPr>
          <w:rFonts w:hint="eastAsia" w:hAnsi="宋体"/>
          <w:color w:val="000000"/>
          <w:highlight w:val="none"/>
        </w:rPr>
        <w:t>。</w:t>
      </w:r>
    </w:p>
    <w:p>
      <w:pPr>
        <w:pStyle w:val="31"/>
        <w:spacing w:line="400" w:lineRule="exact"/>
        <w:ind w:firstLine="358" w:firstLineChars="170"/>
        <w:rPr>
          <w:rFonts w:hAnsi="宋体" w:cs="Times New Roman"/>
          <w:color w:val="000000"/>
          <w:szCs w:val="20"/>
          <w:highlight w:val="none"/>
        </w:rPr>
      </w:pPr>
      <w:r>
        <w:rPr>
          <w:rFonts w:hint="eastAsia" w:hAnsi="宋体" w:cs="宋体"/>
          <w:b/>
          <w:bCs/>
          <w:color w:val="000000"/>
          <w:kern w:val="0"/>
          <w:highlight w:val="none"/>
        </w:rPr>
        <w:t xml:space="preserve">第十条 </w:t>
      </w:r>
      <w:r>
        <w:rPr>
          <w:rFonts w:hint="eastAsia" w:hAnsi="宋体"/>
          <w:color w:val="000000"/>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1"/>
        <w:spacing w:line="400" w:lineRule="exact"/>
        <w:rPr>
          <w:rFonts w:hAnsi="宋体"/>
          <w:color w:val="000000"/>
          <w:highlight w:val="none"/>
        </w:rPr>
      </w:pPr>
      <w:r>
        <w:rPr>
          <w:rFonts w:hint="eastAsia" w:hAnsi="宋体"/>
          <w:color w:val="000000"/>
          <w:highlight w:val="none"/>
        </w:rPr>
        <w:t>不可抗力事件发生后，应立即通知对方，并寄送有关权威机构出具的证明。</w:t>
      </w:r>
    </w:p>
    <w:p>
      <w:pPr>
        <w:pStyle w:val="31"/>
        <w:spacing w:line="400" w:lineRule="exact"/>
        <w:rPr>
          <w:rFonts w:cs="宋体"/>
          <w:color w:val="000000"/>
          <w:kern w:val="0"/>
          <w:highlight w:val="none"/>
        </w:rPr>
      </w:pPr>
      <w:r>
        <w:rPr>
          <w:rFonts w:hint="eastAsia"/>
          <w:color w:val="000000"/>
          <w:highlight w:val="none"/>
        </w:rPr>
        <w:t>不可抗力事件延续120天以上，双方应通过友好协商，确定是否继续履行合同。</w:t>
      </w:r>
    </w:p>
    <w:p>
      <w:pPr>
        <w:pStyle w:val="31"/>
        <w:spacing w:line="400" w:lineRule="exact"/>
        <w:rPr>
          <w:rFonts w:hAnsi="宋体" w:cs="Times New Roman"/>
          <w:color w:val="000000"/>
          <w:szCs w:val="20"/>
          <w:highlight w:val="none"/>
        </w:rPr>
      </w:pPr>
      <w:r>
        <w:rPr>
          <w:rFonts w:hint="eastAsia" w:hAnsi="宋体"/>
          <w:b/>
          <w:bCs/>
          <w:color w:val="000000"/>
          <w:highlight w:val="none"/>
        </w:rPr>
        <w:t xml:space="preserve">第十一条 </w:t>
      </w:r>
      <w:r>
        <w:rPr>
          <w:rFonts w:hint="eastAsia" w:hAnsi="宋体" w:cs="宋体"/>
          <w:color w:val="000000"/>
          <w:kern w:val="0"/>
          <w:highlight w:val="none"/>
        </w:rPr>
        <w:t>本合同附件为合同有效组成部分。凡本合同及附件未规定的事宜以及合同词语，均以有关法律、法规、政策规定为准。</w:t>
      </w:r>
    </w:p>
    <w:p>
      <w:pPr>
        <w:widowControl/>
        <w:spacing w:line="400" w:lineRule="exact"/>
        <w:ind w:firstLine="423" w:firstLineChars="201"/>
        <w:jc w:val="left"/>
        <w:rPr>
          <w:rFonts w:ascii="宋体" w:hAnsi="宋体" w:cs="宋体"/>
          <w:color w:val="000000"/>
          <w:kern w:val="0"/>
          <w:szCs w:val="21"/>
          <w:highlight w:val="none"/>
        </w:rPr>
      </w:pPr>
      <w:r>
        <w:rPr>
          <w:rFonts w:hint="eastAsia" w:ascii="宋体" w:hAnsi="宋体" w:cs="宋体"/>
          <w:b/>
          <w:bCs/>
          <w:color w:val="000000"/>
          <w:kern w:val="0"/>
          <w:szCs w:val="21"/>
          <w:highlight w:val="none"/>
        </w:rPr>
        <w:t xml:space="preserve">第十二条 </w:t>
      </w:r>
      <w:r>
        <w:rPr>
          <w:rFonts w:hint="eastAsia" w:ascii="宋体" w:hAnsi="宋体" w:cs="宋体"/>
          <w:color w:val="000000"/>
          <w:kern w:val="0"/>
          <w:szCs w:val="21"/>
          <w:highlight w:val="none"/>
        </w:rPr>
        <w:t>本合同未尽事宜由甲、乙方双方另行协商签订补充协议，补充协议与本合同具有同等效力。</w:t>
      </w:r>
    </w:p>
    <w:p>
      <w:pPr>
        <w:snapToGrid w:val="0"/>
        <w:spacing w:line="400" w:lineRule="exact"/>
        <w:ind w:firstLine="421" w:firstLineChars="200"/>
        <w:rPr>
          <w:rFonts w:ascii="宋体" w:hAnsi="宋体"/>
          <w:color w:val="000000"/>
          <w:szCs w:val="21"/>
          <w:highlight w:val="none"/>
        </w:rPr>
      </w:pPr>
      <w:r>
        <w:rPr>
          <w:rFonts w:hint="eastAsia" w:ascii="宋体" w:hAnsi="宋体" w:cs="宋体"/>
          <w:b/>
          <w:bCs/>
          <w:color w:val="000000"/>
          <w:kern w:val="0"/>
          <w:szCs w:val="21"/>
          <w:highlight w:val="none"/>
        </w:rPr>
        <w:t xml:space="preserve">第十三条 </w:t>
      </w:r>
      <w:r>
        <w:rPr>
          <w:rFonts w:hint="eastAsia" w:ascii="宋体" w:hAnsi="宋体"/>
          <w:color w:val="000000"/>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31"/>
        <w:spacing w:line="400" w:lineRule="exact"/>
        <w:rPr>
          <w:rFonts w:hAnsi="宋体"/>
          <w:b/>
          <w:bCs/>
          <w:color w:val="000000"/>
          <w:highlight w:val="none"/>
        </w:rPr>
      </w:pPr>
      <w:r>
        <w:rPr>
          <w:rFonts w:hint="eastAsia" w:hAnsi="宋体"/>
          <w:b/>
          <w:bCs/>
          <w:color w:val="000000"/>
          <w:highlight w:val="none"/>
        </w:rPr>
        <w:t>第十四 条签订本合同依据</w:t>
      </w:r>
    </w:p>
    <w:p>
      <w:pPr>
        <w:pStyle w:val="31"/>
        <w:spacing w:line="400" w:lineRule="exact"/>
        <w:rPr>
          <w:rFonts w:hAnsi="宋体"/>
          <w:color w:val="000000"/>
          <w:highlight w:val="none"/>
        </w:rPr>
      </w:pPr>
      <w:r>
        <w:rPr>
          <w:rFonts w:hint="eastAsia" w:hAnsi="宋体" w:cs="宋体"/>
          <w:color w:val="000000"/>
          <w:kern w:val="0"/>
          <w:highlight w:val="none"/>
        </w:rPr>
        <w:t>（一）</w:t>
      </w:r>
      <w:r>
        <w:rPr>
          <w:rFonts w:hint="eastAsia" w:hAnsi="宋体"/>
          <w:color w:val="000000"/>
          <w:highlight w:val="none"/>
        </w:rPr>
        <w:t>政府采购招标文件；</w:t>
      </w:r>
    </w:p>
    <w:p>
      <w:pPr>
        <w:pStyle w:val="31"/>
        <w:spacing w:line="400" w:lineRule="exact"/>
        <w:rPr>
          <w:rFonts w:hAnsi="宋体"/>
          <w:color w:val="000000"/>
          <w:highlight w:val="none"/>
        </w:rPr>
      </w:pPr>
      <w:r>
        <w:rPr>
          <w:rFonts w:hint="eastAsia" w:hAnsi="宋体" w:cs="宋体"/>
          <w:color w:val="000000"/>
          <w:kern w:val="0"/>
          <w:highlight w:val="none"/>
        </w:rPr>
        <w:t>（二）</w:t>
      </w:r>
      <w:r>
        <w:rPr>
          <w:rFonts w:hint="eastAsia" w:hAnsi="宋体"/>
          <w:color w:val="000000"/>
          <w:highlight w:val="none"/>
        </w:rPr>
        <w:t>乙方提供的采购投标文件；</w:t>
      </w:r>
    </w:p>
    <w:p>
      <w:pPr>
        <w:pStyle w:val="31"/>
        <w:spacing w:line="400" w:lineRule="exact"/>
        <w:rPr>
          <w:rFonts w:hAnsi="宋体"/>
          <w:color w:val="000000"/>
          <w:highlight w:val="none"/>
        </w:rPr>
      </w:pPr>
      <w:r>
        <w:rPr>
          <w:rFonts w:hint="eastAsia" w:hAnsi="宋体" w:cs="宋体"/>
          <w:color w:val="000000"/>
          <w:kern w:val="0"/>
          <w:highlight w:val="none"/>
        </w:rPr>
        <w:t>（三）</w:t>
      </w:r>
      <w:r>
        <w:rPr>
          <w:rFonts w:hint="eastAsia" w:hAnsi="宋体"/>
          <w:color w:val="000000"/>
          <w:highlight w:val="none"/>
        </w:rPr>
        <w:t>投标承诺书；</w:t>
      </w:r>
    </w:p>
    <w:p>
      <w:pPr>
        <w:pStyle w:val="31"/>
        <w:spacing w:line="400" w:lineRule="exact"/>
        <w:rPr>
          <w:rFonts w:hAnsi="宋体"/>
          <w:color w:val="000000"/>
          <w:highlight w:val="none"/>
        </w:rPr>
      </w:pPr>
      <w:r>
        <w:rPr>
          <w:rFonts w:hint="eastAsia" w:hAnsi="宋体" w:cs="宋体"/>
          <w:color w:val="000000"/>
          <w:kern w:val="0"/>
          <w:highlight w:val="none"/>
        </w:rPr>
        <w:t>（四）</w:t>
      </w:r>
      <w:r>
        <w:rPr>
          <w:rFonts w:hint="eastAsia" w:hAnsi="宋体"/>
          <w:color w:val="000000"/>
          <w:highlight w:val="none"/>
        </w:rPr>
        <w:t>中标通知书。</w:t>
      </w:r>
    </w:p>
    <w:p>
      <w:pPr>
        <w:adjustRightInd w:val="0"/>
        <w:snapToGrid w:val="0"/>
        <w:spacing w:line="360" w:lineRule="exact"/>
        <w:ind w:firstLine="423" w:firstLineChars="201"/>
        <w:rPr>
          <w:rFonts w:ascii="宋体" w:hAnsi="宋体"/>
          <w:highlight w:val="none"/>
        </w:rPr>
      </w:pPr>
      <w:r>
        <w:rPr>
          <w:rFonts w:hint="eastAsia" w:ascii="宋体" w:hAnsi="宋体" w:cs="宋体"/>
          <w:b/>
          <w:bCs/>
          <w:color w:val="000000"/>
          <w:kern w:val="0"/>
          <w:szCs w:val="21"/>
          <w:highlight w:val="none"/>
        </w:rPr>
        <w:t xml:space="preserve">第十五条 </w:t>
      </w:r>
      <w:r>
        <w:rPr>
          <w:rFonts w:hint="eastAsia" w:ascii="宋体" w:hAnsi="宋体"/>
          <w:highlight w:val="none"/>
        </w:rPr>
        <w:t>本合同一式六份，具有同等法律效力。</w:t>
      </w:r>
      <w:r>
        <w:rPr>
          <w:rFonts w:hint="eastAsia" w:ascii="宋体" w:hAnsi="宋体"/>
          <w:spacing w:val="4"/>
          <w:highlight w:val="none"/>
        </w:rPr>
        <w:t>广西区财政厅政府采购监督管理处、广西壮族自治区政府采购中心</w:t>
      </w:r>
      <w:r>
        <w:rPr>
          <w:rFonts w:hint="eastAsia" w:ascii="宋体" w:hAnsi="宋体"/>
          <w:highlight w:val="none"/>
        </w:rPr>
        <w:t>各一份，甲方三份，乙方一份。</w:t>
      </w:r>
    </w:p>
    <w:p>
      <w:pPr>
        <w:adjustRightInd w:val="0"/>
        <w:snapToGrid w:val="0"/>
        <w:spacing w:line="360" w:lineRule="exact"/>
        <w:ind w:firstLine="423" w:firstLineChars="201"/>
        <w:rPr>
          <w:rFonts w:ascii="宋体" w:hAnsi="宋体"/>
          <w:highlight w:val="none"/>
        </w:rPr>
      </w:pPr>
      <w:r>
        <w:rPr>
          <w:rFonts w:hint="eastAsia" w:ascii="宋体" w:hAnsi="宋体"/>
          <w:b/>
          <w:bCs/>
          <w:highlight w:val="none"/>
        </w:rPr>
        <w:t>本合同甲乙双方签字盖章后生效，自签订之日起七个工作日内，采购人应当将合同通过广西政府采购云平台上传完成合同网上公示。</w:t>
      </w:r>
    </w:p>
    <w:p>
      <w:pPr>
        <w:snapToGrid w:val="0"/>
        <w:spacing w:line="400" w:lineRule="exact"/>
        <w:ind w:firstLine="420" w:firstLineChars="200"/>
        <w:rPr>
          <w:rFonts w:ascii="宋体" w:hAnsi="宋体"/>
          <w:color w:val="000000"/>
          <w:szCs w:val="21"/>
          <w:highlight w:val="none"/>
        </w:rPr>
      </w:pPr>
    </w:p>
    <w:p>
      <w:pPr>
        <w:pStyle w:val="655"/>
        <w:spacing w:line="400" w:lineRule="exact"/>
        <w:ind w:firstLine="480"/>
        <w:rPr>
          <w:color w:val="000000"/>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p>
          <w:p>
            <w:pPr>
              <w:snapToGrid w:val="0"/>
              <w:spacing w:line="400" w:lineRule="exact"/>
              <w:rPr>
                <w:rFonts w:ascii="宋体" w:hAnsi="宋体"/>
                <w:color w:val="000000"/>
                <w:szCs w:val="21"/>
                <w:highlight w:val="none"/>
              </w:rPr>
            </w:pPr>
            <w:r>
              <w:rPr>
                <w:rFonts w:hint="eastAsia" w:ascii="宋体" w:hAnsi="宋体"/>
                <w:color w:val="000000"/>
                <w:szCs w:val="21"/>
                <w:highlight w:val="none"/>
              </w:rPr>
              <w:t>甲方（章）           年   月   日</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p>
          <w:p>
            <w:pPr>
              <w:snapToGrid w:val="0"/>
              <w:spacing w:line="400" w:lineRule="exact"/>
              <w:rPr>
                <w:rFonts w:ascii="宋体" w:hAnsi="宋体"/>
                <w:color w:val="000000"/>
                <w:szCs w:val="21"/>
                <w:highlight w:val="none"/>
              </w:rPr>
            </w:pPr>
            <w:r>
              <w:rPr>
                <w:rFonts w:hint="eastAsia" w:ascii="宋体" w:hAnsi="宋体"/>
                <w:color w:val="000000"/>
                <w:szCs w:val="21"/>
                <w:highlight w:val="none"/>
              </w:rPr>
              <w:t>乙方（章）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288" w:type="dxa"/>
            <w:gridSpan w:val="2"/>
            <w:tcBorders>
              <w:top w:val="single" w:color="auto" w:sz="4" w:space="0"/>
              <w:left w:val="single" w:color="auto" w:sz="4" w:space="0"/>
              <w:bottom w:val="single" w:color="auto" w:sz="4" w:space="0"/>
              <w:right w:val="single" w:color="auto" w:sz="4" w:space="0"/>
            </w:tcBorders>
          </w:tcPr>
          <w:p>
            <w:pPr>
              <w:snapToGrid w:val="0"/>
              <w:spacing w:line="400" w:lineRule="exact"/>
              <w:rPr>
                <w:rFonts w:ascii="宋体" w:hAnsi="宋体"/>
                <w:color w:val="000000"/>
                <w:szCs w:val="21"/>
                <w:highlight w:val="none"/>
              </w:rPr>
            </w:pPr>
            <w:r>
              <w:rPr>
                <w:rFonts w:hint="eastAsia" w:ascii="宋体" w:hAnsi="宋体"/>
                <w:color w:val="000000"/>
                <w:szCs w:val="21"/>
                <w:highlight w:val="none"/>
              </w:rPr>
              <w:t>经办人：</w:t>
            </w:r>
          </w:p>
          <w:p>
            <w:pPr>
              <w:snapToGrid w:val="0"/>
              <w:spacing w:line="400" w:lineRule="exact"/>
              <w:ind w:firstLine="630" w:firstLineChars="300"/>
              <w:jc w:val="right"/>
              <w:rPr>
                <w:rFonts w:ascii="宋体" w:hAnsi="宋体"/>
                <w:color w:val="000000"/>
                <w:szCs w:val="21"/>
                <w:highlight w:val="none"/>
              </w:rPr>
            </w:pPr>
            <w:r>
              <w:rPr>
                <w:rFonts w:hint="eastAsia" w:ascii="宋体" w:hAnsi="宋体"/>
                <w:color w:val="000000"/>
                <w:szCs w:val="21"/>
                <w:highlight w:val="none"/>
              </w:rPr>
              <w:t>年    月    日</w:t>
            </w:r>
          </w:p>
        </w:tc>
      </w:tr>
      <w:bookmarkEnd w:id="15"/>
    </w:tbl>
    <w:p>
      <w:pPr>
        <w:pStyle w:val="31"/>
        <w:snapToGrid w:val="0"/>
        <w:spacing w:before="120" w:after="120"/>
        <w:jc w:val="center"/>
        <w:outlineLvl w:val="0"/>
        <w:rPr>
          <w:rFonts w:ascii="黑体" w:eastAsia="黑体"/>
          <w:b/>
          <w:sz w:val="44"/>
          <w:szCs w:val="44"/>
          <w:highlight w:val="none"/>
        </w:rPr>
      </w:pPr>
      <w:r>
        <w:rPr>
          <w:rFonts w:ascii="黑体" w:eastAsia="黑体"/>
          <w:b/>
          <w:sz w:val="44"/>
          <w:szCs w:val="44"/>
          <w:highlight w:val="none"/>
        </w:rPr>
        <w:br w:type="page"/>
      </w: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p>
    <w:p>
      <w:pPr>
        <w:pStyle w:val="31"/>
        <w:snapToGrid w:val="0"/>
        <w:spacing w:before="120" w:after="120"/>
        <w:jc w:val="center"/>
        <w:outlineLvl w:val="0"/>
        <w:rPr>
          <w:rFonts w:ascii="黑体" w:eastAsia="黑体"/>
          <w:b/>
          <w:sz w:val="44"/>
          <w:szCs w:val="44"/>
          <w:highlight w:val="none"/>
        </w:rPr>
      </w:pPr>
      <w:r>
        <w:rPr>
          <w:rFonts w:hint="eastAsia" w:ascii="仿宋_GB2312" w:eastAsia="仿宋_GB2312"/>
          <w:b/>
          <w:sz w:val="44"/>
          <w:szCs w:val="44"/>
          <w:highlight w:val="none"/>
        </w:rPr>
        <w:t>第六章　投标文件格式</w:t>
      </w:r>
    </w:p>
    <w:p>
      <w:pPr>
        <w:snapToGrid w:val="0"/>
        <w:spacing w:before="50" w:after="50"/>
        <w:outlineLvl w:val="1"/>
        <w:rPr>
          <w:rFonts w:ascii="仿宋_GB2312" w:eastAsia="仿宋_GB2312"/>
          <w:sz w:val="32"/>
          <w:szCs w:val="20"/>
          <w:highlight w:val="none"/>
        </w:rPr>
      </w:pPr>
      <w:r>
        <w:rPr>
          <w:rFonts w:ascii="仿宋_GB2312" w:eastAsia="仿宋_GB2312"/>
          <w:sz w:val="32"/>
          <w:szCs w:val="20"/>
          <w:highlight w:val="none"/>
        </w:rPr>
        <w:br w:type="page"/>
      </w:r>
      <w:bookmarkStart w:id="16" w:name="_Toc254970697"/>
      <w:bookmarkStart w:id="17" w:name="_Toc254970556"/>
    </w:p>
    <w:p>
      <w:pPr>
        <w:snapToGrid w:val="0"/>
        <w:spacing w:before="50" w:after="50"/>
        <w:outlineLvl w:val="1"/>
        <w:rPr>
          <w:rFonts w:ascii="仿宋_GB2312" w:eastAsia="仿宋_GB2312"/>
          <w:sz w:val="32"/>
          <w:szCs w:val="20"/>
          <w:highlight w:val="none"/>
        </w:rPr>
      </w:pPr>
    </w:p>
    <w:p>
      <w:pPr>
        <w:snapToGrid w:val="0"/>
        <w:spacing w:before="50" w:after="50"/>
        <w:outlineLvl w:val="1"/>
        <w:rPr>
          <w:rFonts w:ascii="宋体"/>
          <w:b/>
          <w:bCs/>
          <w:szCs w:val="21"/>
          <w:highlight w:val="none"/>
        </w:rPr>
      </w:pPr>
    </w:p>
    <w:bookmarkEnd w:id="16"/>
    <w:bookmarkEnd w:id="17"/>
    <w:p>
      <w:pPr>
        <w:snapToGrid w:val="0"/>
        <w:spacing w:beforeLines="50" w:after="50" w:line="360" w:lineRule="exact"/>
        <w:jc w:val="center"/>
        <w:outlineLvl w:val="1"/>
        <w:rPr>
          <w:rFonts w:ascii="仿宋_GB2312" w:hAnsi="宋体" w:eastAsia="仿宋_GB2312"/>
          <w:b/>
          <w:bCs/>
          <w:sz w:val="32"/>
          <w:szCs w:val="32"/>
          <w:highlight w:val="none"/>
        </w:rPr>
      </w:pPr>
      <w:r>
        <w:rPr>
          <w:rFonts w:hint="eastAsia" w:ascii="仿宋_GB2312" w:hAnsi="宋体" w:eastAsia="仿宋_GB2312"/>
          <w:b/>
          <w:sz w:val="32"/>
          <w:szCs w:val="32"/>
          <w:highlight w:val="none"/>
        </w:rPr>
        <w:t>投标文件格式</w:t>
      </w:r>
    </w:p>
    <w:p>
      <w:pPr>
        <w:snapToGrid w:val="0"/>
        <w:spacing w:beforeLines="50" w:after="50" w:line="360" w:lineRule="exact"/>
        <w:jc w:val="center"/>
        <w:outlineLvl w:val="0"/>
        <w:rPr>
          <w:rFonts w:ascii="宋体" w:hAnsi="宋体"/>
          <w:b/>
          <w:bCs/>
          <w:szCs w:val="21"/>
          <w:highlight w:val="none"/>
        </w:rPr>
      </w:pPr>
      <w:r>
        <w:rPr>
          <w:rFonts w:hint="eastAsia" w:ascii="宋体" w:hAnsi="宋体"/>
          <w:b/>
          <w:bCs/>
          <w:szCs w:val="21"/>
          <w:highlight w:val="none"/>
        </w:rPr>
        <w:t>一、</w:t>
      </w:r>
      <w:r>
        <w:rPr>
          <w:rFonts w:hint="eastAsia" w:ascii="宋体" w:hAnsi="宋体"/>
          <w:b/>
          <w:szCs w:val="21"/>
          <w:highlight w:val="none"/>
        </w:rPr>
        <w:t>投标文件封面</w:t>
      </w:r>
      <w:r>
        <w:rPr>
          <w:rFonts w:hint="eastAsia" w:ascii="宋体" w:hAnsi="宋体"/>
          <w:b/>
          <w:bCs/>
          <w:szCs w:val="21"/>
          <w:highlight w:val="none"/>
        </w:rPr>
        <w:t>格式</w:t>
      </w:r>
    </w:p>
    <w:p>
      <w:pPr>
        <w:snapToGrid w:val="0"/>
        <w:spacing w:beforeLines="50" w:after="50" w:line="360" w:lineRule="exact"/>
        <w:rPr>
          <w:rFonts w:ascii="宋体" w:hAnsi="宋体"/>
          <w:b/>
          <w:szCs w:val="21"/>
          <w:highlight w:val="none"/>
        </w:rPr>
      </w:pPr>
    </w:p>
    <w:p>
      <w:pPr>
        <w:snapToGrid w:val="0"/>
        <w:spacing w:beforeLines="50" w:after="50" w:line="360" w:lineRule="exact"/>
        <w:rPr>
          <w:rFonts w:ascii="仿宋_GB2312" w:hAnsi="宋体" w:eastAsia="仿宋_GB2312"/>
          <w:sz w:val="24"/>
          <w:highlight w:val="none"/>
        </w:rPr>
      </w:pPr>
    </w:p>
    <w:p>
      <w:pPr>
        <w:snapToGrid w:val="0"/>
        <w:spacing w:beforeLines="50" w:after="50" w:line="360" w:lineRule="exact"/>
        <w:rPr>
          <w:rFonts w:ascii="仿宋_GB2312" w:hAnsi="宋体" w:eastAsia="仿宋_GB2312"/>
          <w:bCs/>
          <w:sz w:val="24"/>
          <w:highlight w:val="none"/>
        </w:rPr>
      </w:pPr>
    </w:p>
    <w:p>
      <w:pPr>
        <w:snapToGrid w:val="0"/>
        <w:spacing w:beforeLines="50" w:after="50" w:line="360" w:lineRule="exact"/>
        <w:jc w:val="center"/>
        <w:rPr>
          <w:rFonts w:ascii="宋体" w:hAnsi="宋体"/>
          <w:b/>
          <w:bCs/>
          <w:sz w:val="32"/>
          <w:szCs w:val="32"/>
          <w:highlight w:val="none"/>
        </w:rPr>
      </w:pPr>
      <w:r>
        <w:rPr>
          <w:rFonts w:hint="eastAsia" w:ascii="宋体" w:hAnsi="宋体"/>
          <w:b/>
          <w:bCs/>
          <w:sz w:val="32"/>
          <w:szCs w:val="32"/>
          <w:highlight w:val="none"/>
        </w:rPr>
        <w:t>投标文件</w:t>
      </w:r>
    </w:p>
    <w:p>
      <w:pPr>
        <w:snapToGrid w:val="0"/>
        <w:spacing w:beforeLines="50" w:after="50" w:line="360" w:lineRule="exact"/>
        <w:rPr>
          <w:rFonts w:ascii="仿宋_GB2312" w:hAnsi="宋体" w:eastAsia="仿宋_GB2312"/>
          <w:bCs/>
          <w:sz w:val="24"/>
          <w:highlight w:val="none"/>
        </w:rPr>
      </w:pPr>
    </w:p>
    <w:p>
      <w:pPr>
        <w:snapToGrid w:val="0"/>
        <w:spacing w:beforeLines="50" w:after="50" w:line="360" w:lineRule="exact"/>
        <w:ind w:firstLine="630" w:firstLineChars="300"/>
        <w:rPr>
          <w:rFonts w:ascii="宋体" w:hAnsi="宋体"/>
          <w:bCs/>
          <w:szCs w:val="21"/>
          <w:highlight w:val="none"/>
        </w:rPr>
      </w:pPr>
      <w:r>
        <w:rPr>
          <w:rFonts w:hint="eastAsia" w:ascii="宋体" w:hAnsi="宋体"/>
          <w:bCs/>
          <w:szCs w:val="21"/>
          <w:highlight w:val="none"/>
        </w:rPr>
        <w:t xml:space="preserve">项目名称： </w:t>
      </w:r>
    </w:p>
    <w:p>
      <w:pPr>
        <w:snapToGrid w:val="0"/>
        <w:spacing w:beforeLines="50" w:after="50" w:line="360" w:lineRule="exact"/>
        <w:ind w:firstLine="630" w:firstLineChars="300"/>
        <w:rPr>
          <w:rFonts w:ascii="宋体" w:hAnsi="宋体"/>
          <w:bCs/>
          <w:szCs w:val="21"/>
          <w:highlight w:val="none"/>
        </w:rPr>
      </w:pPr>
      <w:r>
        <w:rPr>
          <w:rFonts w:hint="eastAsia" w:ascii="宋体" w:hAnsi="宋体"/>
          <w:bCs/>
          <w:szCs w:val="21"/>
          <w:highlight w:val="none"/>
        </w:rPr>
        <w:t xml:space="preserve">项目编号： </w:t>
      </w:r>
    </w:p>
    <w:p>
      <w:pPr>
        <w:snapToGrid w:val="0"/>
        <w:spacing w:beforeLines="50" w:after="50" w:line="360" w:lineRule="exact"/>
        <w:ind w:firstLine="630" w:firstLineChars="300"/>
        <w:rPr>
          <w:rFonts w:ascii="宋体" w:hAnsi="宋体"/>
          <w:bCs/>
          <w:szCs w:val="21"/>
          <w:highlight w:val="none"/>
        </w:rPr>
      </w:pPr>
      <w:r>
        <w:rPr>
          <w:rFonts w:hint="eastAsia" w:ascii="宋体" w:hAnsi="宋体"/>
          <w:bCs/>
          <w:szCs w:val="21"/>
          <w:highlight w:val="none"/>
        </w:rPr>
        <w:t>所投分标：本项目/分标</w:t>
      </w:r>
    </w:p>
    <w:p>
      <w:pPr>
        <w:snapToGrid w:val="0"/>
        <w:spacing w:beforeLines="50" w:after="50" w:line="360" w:lineRule="exact"/>
        <w:ind w:firstLine="630" w:firstLineChars="300"/>
        <w:rPr>
          <w:rFonts w:ascii="宋体" w:hAnsi="宋体"/>
          <w:bCs/>
          <w:szCs w:val="21"/>
          <w:highlight w:val="none"/>
        </w:rPr>
      </w:pPr>
      <w:r>
        <w:rPr>
          <w:rFonts w:hint="eastAsia" w:ascii="宋体" w:hAnsi="宋体"/>
          <w:bCs/>
          <w:szCs w:val="21"/>
          <w:highlight w:val="none"/>
        </w:rPr>
        <w:t>投标人名称：（盖章）</w:t>
      </w:r>
    </w:p>
    <w:p>
      <w:pPr>
        <w:snapToGrid w:val="0"/>
        <w:spacing w:beforeLines="50" w:after="50" w:line="360" w:lineRule="exact"/>
        <w:ind w:firstLine="630" w:firstLineChars="300"/>
        <w:rPr>
          <w:rFonts w:ascii="宋体" w:hAnsi="宋体"/>
          <w:bCs/>
          <w:szCs w:val="21"/>
          <w:highlight w:val="none"/>
        </w:rPr>
      </w:pPr>
      <w:r>
        <w:rPr>
          <w:rFonts w:hint="eastAsia" w:ascii="宋体" w:hAnsi="宋体"/>
          <w:bCs/>
          <w:szCs w:val="21"/>
          <w:highlight w:val="none"/>
        </w:rPr>
        <w:t>投标人地址：</w:t>
      </w:r>
    </w:p>
    <w:p>
      <w:pPr>
        <w:snapToGrid w:val="0"/>
        <w:spacing w:beforeLines="50" w:after="50" w:line="360" w:lineRule="exact"/>
        <w:jc w:val="center"/>
        <w:outlineLvl w:val="1"/>
        <w:rPr>
          <w:rFonts w:ascii="宋体" w:hAnsi="宋体"/>
          <w:szCs w:val="21"/>
          <w:highlight w:val="none"/>
        </w:rPr>
      </w:pPr>
      <w:r>
        <w:rPr>
          <w:rFonts w:hint="eastAsia" w:ascii="仿宋_GB2312" w:hAnsi="宋体" w:eastAsia="仿宋_GB2312"/>
          <w:sz w:val="24"/>
          <w:highlight w:val="none"/>
        </w:rPr>
        <w:t xml:space="preserve">                        年  月  日</w:t>
      </w:r>
    </w:p>
    <w:p>
      <w:pPr>
        <w:snapToGrid w:val="0"/>
        <w:spacing w:beforeLines="50" w:after="50" w:line="360" w:lineRule="exact"/>
        <w:jc w:val="center"/>
        <w:outlineLvl w:val="1"/>
        <w:rPr>
          <w:rFonts w:ascii="宋体" w:hAnsi="宋体"/>
          <w:bCs/>
          <w:szCs w:val="21"/>
          <w:highlight w:val="none"/>
        </w:rPr>
      </w:pPr>
      <w:bookmarkStart w:id="18" w:name="_Toc254970557"/>
      <w:bookmarkStart w:id="19" w:name="_Toc254970698"/>
    </w:p>
    <w:p>
      <w:pPr>
        <w:snapToGrid w:val="0"/>
        <w:spacing w:beforeLines="50" w:after="50" w:line="360" w:lineRule="exact"/>
        <w:outlineLvl w:val="1"/>
        <w:rPr>
          <w:rFonts w:ascii="黑体" w:hAnsi="宋体" w:eastAsia="黑体"/>
          <w:bCs/>
          <w:sz w:val="24"/>
          <w:highlight w:val="none"/>
        </w:rPr>
      </w:pPr>
      <w:r>
        <w:rPr>
          <w:rFonts w:hint="eastAsia" w:ascii="宋体" w:hAnsi="宋体"/>
          <w:bCs/>
          <w:szCs w:val="21"/>
          <w:highlight w:val="none"/>
        </w:rPr>
        <w:t>[注：</w:t>
      </w:r>
      <w:r>
        <w:rPr>
          <w:rFonts w:hint="eastAsia" w:ascii="宋体"/>
          <w:szCs w:val="21"/>
          <w:highlight w:val="none"/>
        </w:rPr>
        <w:t>投标文件由</w:t>
      </w:r>
      <w:r>
        <w:rPr>
          <w:rFonts w:hint="eastAsia" w:ascii="宋体"/>
          <w:b/>
          <w:bCs/>
          <w:szCs w:val="21"/>
          <w:highlight w:val="none"/>
        </w:rPr>
        <w:t>资格文件、资信及商务文件、技术文件、投标报价文件</w:t>
      </w:r>
      <w:r>
        <w:rPr>
          <w:rFonts w:hint="eastAsia" w:ascii="宋体"/>
          <w:b/>
          <w:szCs w:val="21"/>
          <w:highlight w:val="none"/>
        </w:rPr>
        <w:t>四部份</w:t>
      </w:r>
      <w:r>
        <w:rPr>
          <w:rFonts w:hint="eastAsia" w:ascii="宋体"/>
          <w:szCs w:val="21"/>
          <w:highlight w:val="none"/>
        </w:rPr>
        <w:t>组成</w:t>
      </w:r>
      <w:r>
        <w:rPr>
          <w:rFonts w:hint="eastAsia" w:ascii="宋体" w:hAnsi="宋体"/>
          <w:bCs/>
          <w:szCs w:val="21"/>
          <w:highlight w:val="none"/>
        </w:rPr>
        <w:t>]</w:t>
      </w: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p>
    <w:p>
      <w:pPr>
        <w:pStyle w:val="2"/>
        <w:ind w:firstLine="320"/>
        <w:rPr>
          <w:rFonts w:ascii="黑体" w:hAnsi="宋体" w:eastAsia="黑体"/>
          <w:bCs/>
          <w:sz w:val="32"/>
          <w:szCs w:val="32"/>
          <w:highlight w:val="none"/>
        </w:rPr>
      </w:pPr>
    </w:p>
    <w:p>
      <w:pPr>
        <w:pStyle w:val="2"/>
        <w:ind w:firstLine="320"/>
        <w:rPr>
          <w:rFonts w:ascii="黑体" w:hAnsi="宋体" w:eastAsia="黑体"/>
          <w:bCs/>
          <w:sz w:val="32"/>
          <w:szCs w:val="32"/>
          <w:highlight w:val="none"/>
        </w:rPr>
      </w:pPr>
    </w:p>
    <w:p>
      <w:pPr>
        <w:snapToGrid w:val="0"/>
        <w:spacing w:beforeLines="50" w:after="50" w:line="360" w:lineRule="exact"/>
        <w:jc w:val="center"/>
        <w:outlineLvl w:val="0"/>
        <w:rPr>
          <w:rFonts w:ascii="黑体" w:hAnsi="宋体" w:eastAsia="黑体"/>
          <w:bCs/>
          <w:sz w:val="32"/>
          <w:szCs w:val="32"/>
          <w:highlight w:val="none"/>
        </w:rPr>
      </w:pPr>
      <w:r>
        <w:rPr>
          <w:rFonts w:hint="eastAsia" w:ascii="黑体" w:hAnsi="宋体" w:eastAsia="黑体"/>
          <w:bCs/>
          <w:sz w:val="32"/>
          <w:szCs w:val="32"/>
          <w:highlight w:val="none"/>
        </w:rPr>
        <w:t>二、投标文件目录</w:t>
      </w:r>
    </w:p>
    <w:p>
      <w:pPr>
        <w:snapToGrid w:val="0"/>
        <w:spacing w:beforeLines="50" w:after="50" w:line="360" w:lineRule="exact"/>
        <w:jc w:val="center"/>
        <w:outlineLvl w:val="1"/>
        <w:rPr>
          <w:rFonts w:ascii="宋体" w:hAnsi="宋体"/>
          <w:bCs/>
          <w:szCs w:val="21"/>
          <w:highlight w:val="none"/>
        </w:rPr>
      </w:pP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1.资格文件：</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（1）</w:t>
      </w:r>
      <w:r>
        <w:rPr>
          <w:rFonts w:hint="eastAsia" w:ascii="宋体" w:hAnsi="宋体"/>
          <w:szCs w:val="21"/>
          <w:highlight w:val="none"/>
        </w:rPr>
        <w:t>有效的营业执照等证明文件复印件；</w:t>
      </w:r>
    </w:p>
    <w:p>
      <w:pPr>
        <w:pStyle w:val="31"/>
        <w:adjustRightInd w:val="0"/>
        <w:snapToGrid w:val="0"/>
        <w:spacing w:line="400" w:lineRule="exact"/>
        <w:ind w:firstLine="424" w:firstLineChars="202"/>
        <w:rPr>
          <w:rFonts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snapToGrid w:val="0"/>
        <w:spacing w:line="360" w:lineRule="exact"/>
        <w:ind w:firstLine="424" w:firstLineChars="202"/>
        <w:jc w:val="left"/>
        <w:rPr>
          <w:rFonts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Ansi="宋体"/>
          <w:b/>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2.资信及商务文件：</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（1）投标保证金的相关证明扫描件或其他电子文件（</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（2）投标声明书 (格式见第六章)（必须提供）</w:t>
      </w:r>
      <w:r>
        <w:rPr>
          <w:rFonts w:hint="eastAsia" w:ascii="宋体" w:hAnsi="宋体"/>
          <w:szCs w:val="21"/>
          <w:highlight w:val="none"/>
        </w:rPr>
        <w:t>；</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（3）法定代表人授权委托书和委托代理人身份证扫描件或其他电子文件（格式见第六章)（必须提供）</w:t>
      </w:r>
      <w:r>
        <w:rPr>
          <w:rFonts w:hint="eastAsia" w:ascii="宋体" w:hAnsi="宋体"/>
          <w:szCs w:val="21"/>
          <w:highlight w:val="none"/>
        </w:rPr>
        <w:t>；（格式见第六章)；</w:t>
      </w:r>
      <w:r>
        <w:rPr>
          <w:rFonts w:hint="eastAsia" w:ascii="宋体" w:hAnsi="宋体"/>
          <w:b/>
          <w:szCs w:val="21"/>
          <w:highlight w:val="none"/>
        </w:rPr>
        <w:t>当法定代表人参加投标时，必须提供法定代表人身份证扫描件或其他电子文件</w:t>
      </w:r>
      <w:r>
        <w:rPr>
          <w:rFonts w:hint="eastAsia" w:ascii="宋体" w:hAnsi="宋体"/>
          <w:szCs w:val="21"/>
          <w:highlight w:val="none"/>
        </w:rPr>
        <w:t>；</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（4）投标截止之日前半年内投标人连续三个月的依法缴纳税费或依法免缴税费的证明（扫描件或其他电子文件，格式自拟）（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无纳税记录的，应提供由投标人所在地主管国税或地税部门出具的《依法纳税或依法免税证明》（格式自拟，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（5）投标截止之日前半年内投标人连续三个月的依法缴纳社保费的缴费凭证</w:t>
      </w:r>
      <w:r>
        <w:rPr>
          <w:rFonts w:hint="eastAsia" w:ascii="宋体" w:hAnsi="宋体"/>
          <w:szCs w:val="21"/>
          <w:highlight w:val="none"/>
        </w:rPr>
        <w:t>（</w:t>
      </w:r>
      <w:r>
        <w:rPr>
          <w:rFonts w:hint="eastAsia" w:ascii="宋体" w:hAnsi="宋体"/>
          <w:b/>
          <w:szCs w:val="21"/>
          <w:highlight w:val="none"/>
        </w:rPr>
        <w:t>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无缴费记录的，应提供由投标人所在地社保部门出具的《依法缴纳或依法免缴社保费证明》（格式自拟，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line="360" w:lineRule="exact"/>
        <w:ind w:firstLine="421" w:firstLineChars="200"/>
        <w:jc w:val="left"/>
        <w:rPr>
          <w:rFonts w:hAnsi="宋体"/>
          <w:b/>
          <w:szCs w:val="21"/>
          <w:highlight w:val="none"/>
        </w:rPr>
      </w:pPr>
      <w:r>
        <w:rPr>
          <w:rFonts w:hint="eastAsia" w:hAnsi="宋体"/>
          <w:b/>
          <w:szCs w:val="21"/>
          <w:highlight w:val="none"/>
        </w:rPr>
        <w:t>（6）财务状况报告（</w:t>
      </w:r>
      <w:r>
        <w:rPr>
          <w:rFonts w:hint="eastAsia" w:hAnsi="宋体"/>
          <w:b/>
          <w:szCs w:val="21"/>
          <w:highlight w:val="none"/>
          <w:u w:val="single"/>
        </w:rPr>
        <w:t>格式自拟，必须提供</w:t>
      </w:r>
      <w:r>
        <w:rPr>
          <w:rFonts w:hint="eastAsia" w:hAnsi="宋体"/>
          <w:b/>
          <w:szCs w:val="21"/>
          <w:highlight w:val="none"/>
        </w:rPr>
        <w:t>）；</w:t>
      </w:r>
    </w:p>
    <w:p>
      <w:pPr>
        <w:snapToGrid w:val="0"/>
        <w:spacing w:line="360" w:lineRule="exact"/>
        <w:ind w:firstLine="413" w:firstLineChars="196"/>
        <w:jc w:val="left"/>
        <w:rPr>
          <w:rFonts w:hAnsi="宋体"/>
          <w:szCs w:val="21"/>
          <w:highlight w:val="none"/>
        </w:rPr>
      </w:pPr>
      <w:r>
        <w:rPr>
          <w:rFonts w:hint="eastAsia" w:hAnsi="宋体" w:cs="宋体"/>
          <w:b/>
          <w:kern w:val="0"/>
          <w:szCs w:val="21"/>
          <w:highlight w:val="none"/>
        </w:rPr>
        <w:t>（7）</w:t>
      </w:r>
      <w:r>
        <w:rPr>
          <w:rFonts w:hint="eastAsia" w:hAnsi="宋体"/>
          <w:b/>
          <w:szCs w:val="21"/>
          <w:highlight w:val="none"/>
        </w:rPr>
        <w:t>具备履行合同所必需的设备和专业技术能力的证明材料（</w:t>
      </w:r>
      <w:r>
        <w:rPr>
          <w:rFonts w:hint="eastAsia" w:hAnsi="宋体"/>
          <w:b/>
          <w:szCs w:val="21"/>
          <w:highlight w:val="none"/>
          <w:u w:val="single"/>
        </w:rPr>
        <w:t>内容、格式自拟，必须提供</w:t>
      </w:r>
      <w:r>
        <w:rPr>
          <w:rFonts w:hint="eastAsia" w:hAnsi="宋体"/>
          <w:b/>
          <w:szCs w:val="21"/>
          <w:highlight w:val="none"/>
        </w:rPr>
        <w:t>）</w:t>
      </w:r>
      <w:r>
        <w:rPr>
          <w:rFonts w:hint="eastAsia" w:hAnsi="宋体" w:cs="宋体"/>
          <w:b/>
          <w:kern w:val="0"/>
          <w:szCs w:val="21"/>
          <w:highlight w:val="none"/>
        </w:rPr>
        <w:t>；</w:t>
      </w:r>
    </w:p>
    <w:p>
      <w:pPr>
        <w:snapToGrid w:val="0"/>
        <w:spacing w:line="360" w:lineRule="exact"/>
        <w:ind w:firstLine="413" w:firstLineChars="196"/>
        <w:jc w:val="left"/>
        <w:rPr>
          <w:rFonts w:hAnsi="宋体"/>
          <w:b/>
          <w:szCs w:val="21"/>
          <w:highlight w:val="none"/>
        </w:rPr>
      </w:pPr>
      <w:r>
        <w:rPr>
          <w:rFonts w:hint="eastAsia" w:hAnsi="宋体"/>
          <w:b/>
          <w:szCs w:val="21"/>
          <w:highlight w:val="none"/>
        </w:rPr>
        <w:t>（8）商务响应表</w:t>
      </w:r>
      <w:r>
        <w:rPr>
          <w:rFonts w:hint="eastAsia" w:hAnsi="宋体"/>
          <w:szCs w:val="21"/>
          <w:highlight w:val="none"/>
        </w:rPr>
        <w:t>（格式见第六章）</w:t>
      </w:r>
      <w:r>
        <w:rPr>
          <w:rFonts w:hint="eastAsia" w:hAnsi="宋体"/>
          <w:b/>
          <w:szCs w:val="21"/>
          <w:highlight w:val="none"/>
        </w:rPr>
        <w:t>（</w:t>
      </w:r>
      <w:r>
        <w:rPr>
          <w:rFonts w:hint="eastAsia" w:hAnsi="宋体"/>
          <w:b/>
          <w:szCs w:val="21"/>
          <w:highlight w:val="none"/>
          <w:u w:val="single"/>
        </w:rPr>
        <w:t>必须提供</w:t>
      </w:r>
      <w:r>
        <w:rPr>
          <w:rFonts w:hint="eastAsia" w:hAnsi="宋体"/>
          <w:b/>
          <w:szCs w:val="21"/>
          <w:highlight w:val="none"/>
        </w:rPr>
        <w:t>）；</w:t>
      </w:r>
    </w:p>
    <w:p>
      <w:pPr>
        <w:snapToGrid w:val="0"/>
        <w:spacing w:line="360" w:lineRule="exact"/>
        <w:jc w:val="left"/>
        <w:rPr>
          <w:rFonts w:hAnsi="宋体"/>
          <w:b/>
          <w:szCs w:val="21"/>
          <w:highlight w:val="none"/>
        </w:rPr>
      </w:pPr>
      <w:r>
        <w:rPr>
          <w:rFonts w:hint="eastAsia" w:hAnsi="宋体"/>
          <w:highlight w:val="none"/>
        </w:rPr>
        <w:t>▲</w:t>
      </w:r>
      <w:r>
        <w:rPr>
          <w:rFonts w:hint="eastAsia" w:hAnsi="宋体"/>
          <w:szCs w:val="21"/>
          <w:highlight w:val="none"/>
        </w:rPr>
        <w:t>（9）</w:t>
      </w:r>
      <w:r>
        <w:rPr>
          <w:rFonts w:hint="eastAsia" w:hAnsi="宋体"/>
          <w:b/>
          <w:szCs w:val="21"/>
          <w:highlight w:val="none"/>
        </w:rPr>
        <w:t>招标项目采购需求中要求必须提供的材料等；</w:t>
      </w:r>
    </w:p>
    <w:p>
      <w:pPr>
        <w:snapToGrid w:val="0"/>
        <w:spacing w:line="360" w:lineRule="exact"/>
        <w:ind w:firstLine="411" w:firstLineChars="196"/>
        <w:jc w:val="left"/>
        <w:rPr>
          <w:rFonts w:hAnsi="宋体"/>
          <w:b/>
          <w:szCs w:val="21"/>
          <w:highlight w:val="none"/>
        </w:rPr>
      </w:pPr>
      <w:r>
        <w:rPr>
          <w:rFonts w:hint="eastAsia" w:hAnsi="宋体"/>
          <w:szCs w:val="21"/>
          <w:highlight w:val="none"/>
        </w:rPr>
        <w:t>（10）具备法律、行政法规规定的其他条件的证明材料</w:t>
      </w:r>
      <w:r>
        <w:rPr>
          <w:rFonts w:hint="eastAsia" w:hAnsi="宋体"/>
          <w:b/>
          <w:szCs w:val="21"/>
          <w:highlight w:val="none"/>
        </w:rPr>
        <w:t>(如有规定,则必须提供)。</w:t>
      </w:r>
    </w:p>
    <w:p>
      <w:pPr>
        <w:snapToGrid w:val="0"/>
        <w:spacing w:line="360" w:lineRule="exact"/>
        <w:ind w:firstLine="413" w:firstLineChars="196"/>
        <w:jc w:val="left"/>
        <w:rPr>
          <w:rFonts w:hAnsi="宋体"/>
          <w:b/>
          <w:szCs w:val="21"/>
          <w:highlight w:val="none"/>
        </w:rPr>
      </w:pPr>
      <w:r>
        <w:rPr>
          <w:rFonts w:hint="eastAsia" w:hAnsi="宋体"/>
          <w:b/>
          <w:bCs/>
          <w:szCs w:val="21"/>
          <w:highlight w:val="none"/>
        </w:rPr>
        <w:t>可作为投标人资信评分的资质证明材料</w:t>
      </w:r>
      <w:r>
        <w:rPr>
          <w:rFonts w:hint="eastAsia" w:ascii="宋体" w:hAnsi="宋体" w:cs="宋体"/>
          <w:b/>
          <w:bCs/>
          <w:color w:val="000000"/>
          <w:szCs w:val="21"/>
          <w:highlight w:val="none"/>
        </w:rPr>
        <w:t>【以下可选】</w:t>
      </w:r>
    </w:p>
    <w:p>
      <w:pPr>
        <w:snapToGrid w:val="0"/>
        <w:spacing w:line="360" w:lineRule="exact"/>
        <w:ind w:left="937" w:leftChars="196" w:hanging="525" w:hangingChars="250"/>
        <w:jc w:val="left"/>
        <w:rPr>
          <w:rFonts w:hAnsi="宋体"/>
          <w:szCs w:val="21"/>
          <w:highlight w:val="none"/>
        </w:rPr>
      </w:pPr>
      <w:r>
        <w:rPr>
          <w:rFonts w:hint="eastAsia" w:hAnsi="宋体"/>
          <w:szCs w:val="21"/>
          <w:highlight w:val="none"/>
        </w:rPr>
        <w:t>（11）</w:t>
      </w:r>
      <w:r>
        <w:rPr>
          <w:rFonts w:hint="eastAsia" w:ascii="宋体" w:hAnsi="宋体" w:cs="宋体"/>
          <w:color w:val="000000"/>
          <w:szCs w:val="21"/>
          <w:highlight w:val="none"/>
        </w:rPr>
        <w:t>类似案例成功的业绩（投标人同类项目实施情况一览表、合同扫描件、用户验收报告、用户评价）；</w:t>
      </w:r>
    </w:p>
    <w:p>
      <w:pPr>
        <w:pStyle w:val="41"/>
        <w:snapToGrid w:val="0"/>
        <w:spacing w:line="360" w:lineRule="exact"/>
        <w:ind w:left="97" w:leftChars="46" w:firstLine="421" w:firstLineChars="200"/>
        <w:jc w:val="center"/>
        <w:rPr>
          <w:rFonts w:ascii="宋体" w:hAnsi="宋体"/>
          <w:b/>
          <w:bCs/>
          <w:sz w:val="21"/>
          <w:szCs w:val="21"/>
          <w:highlight w:val="none"/>
        </w:rPr>
      </w:pPr>
      <w:r>
        <w:rPr>
          <w:rFonts w:hint="eastAsia" w:ascii="宋体" w:hAnsi="宋体"/>
          <w:b/>
          <w:bCs/>
          <w:sz w:val="21"/>
          <w:szCs w:val="21"/>
          <w:highlight w:val="none"/>
        </w:rPr>
        <w:t>投标人同类项目实施情况一览表格式</w:t>
      </w:r>
    </w:p>
    <w:tbl>
      <w:tblPr>
        <w:tblStyle w:val="53"/>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p>
            <w:pPr>
              <w:snapToGrid w:val="0"/>
              <w:spacing w:line="360" w:lineRule="exact"/>
              <w:jc w:val="center"/>
              <w:rPr>
                <w:rFonts w:ascii="宋体" w:hAnsi="宋体"/>
                <w:szCs w:val="21"/>
                <w:highlight w:val="none"/>
              </w:rPr>
            </w:pPr>
            <w:r>
              <w:rPr>
                <w:rFonts w:hint="eastAsia" w:ascii="宋体" w:hAnsi="宋体"/>
                <w:szCs w:val="21"/>
                <w:highlight w:val="none"/>
              </w:rPr>
              <w:t>金额</w:t>
            </w:r>
          </w:p>
          <w:p>
            <w:pPr>
              <w:snapToGrid w:val="0"/>
              <w:spacing w:line="360" w:lineRule="exact"/>
              <w:jc w:val="center"/>
              <w:rPr>
                <w:rFonts w:ascii="宋体" w:hAnsi="宋体"/>
                <w:szCs w:val="21"/>
                <w:highlight w:val="none"/>
              </w:rPr>
            </w:pPr>
            <w:r>
              <w:rPr>
                <w:rFonts w:hint="eastAsia" w:ascii="宋体" w:hAnsi="宋体"/>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采购单位联系人及</w:t>
            </w:r>
          </w:p>
          <w:p>
            <w:pPr>
              <w:snapToGrid w:val="0"/>
              <w:spacing w:line="360" w:lineRule="exact"/>
              <w:jc w:val="center"/>
              <w:rPr>
                <w:rFonts w:ascii="宋体" w:hAnsi="宋体"/>
                <w:szCs w:val="21"/>
                <w:highlight w:val="none"/>
              </w:rPr>
            </w:pPr>
            <w:r>
              <w:rPr>
                <w:rFonts w:hint="eastAsia" w:ascii="宋体" w:hAnsi="宋体"/>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ascii="宋体" w:hAnsi="宋体"/>
                <w:szCs w:val="21"/>
                <w:highlight w:val="none"/>
              </w:rPr>
            </w:pPr>
            <w:r>
              <w:rPr>
                <w:rFonts w:hint="eastAsia" w:ascii="宋体" w:hAnsi="宋体"/>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tcPr>
          <w:p>
            <w:pPr>
              <w:snapToGrid w:val="0"/>
              <w:spacing w:line="360" w:lineRule="exact"/>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tcPr>
          <w:p>
            <w:pPr>
              <w:snapToGrid w:val="0"/>
              <w:spacing w:before="50" w:afterLines="50" w:line="360" w:lineRule="exact"/>
              <w:jc w:val="left"/>
              <w:rPr>
                <w:rFonts w:ascii="宋体" w:hAnsi="宋体"/>
                <w:szCs w:val="21"/>
                <w:highlight w:val="none"/>
              </w:rPr>
            </w:pPr>
          </w:p>
        </w:tc>
      </w:tr>
    </w:tbl>
    <w:p>
      <w:pPr>
        <w:pStyle w:val="17"/>
        <w:snapToGrid w:val="0"/>
        <w:spacing w:line="360" w:lineRule="exact"/>
        <w:rPr>
          <w:rFonts w:ascii="宋体" w:hAnsi="宋体" w:eastAsia="宋体"/>
          <w:sz w:val="21"/>
          <w:szCs w:val="21"/>
          <w:highlight w:val="none"/>
          <w:u w:val="single"/>
        </w:rPr>
      </w:pPr>
      <w:r>
        <w:rPr>
          <w:rFonts w:hint="eastAsia" w:ascii="宋体" w:hAnsi="宋体" w:eastAsia="宋体"/>
          <w:sz w:val="21"/>
          <w:szCs w:val="21"/>
          <w:highlight w:val="none"/>
        </w:rPr>
        <w:t>法定代表人(负责人) 或委托代理人签字：</w:t>
      </w:r>
      <w:r>
        <w:rPr>
          <w:rFonts w:hint="eastAsia" w:ascii="宋体" w:hAnsi="宋体" w:eastAsia="宋体"/>
          <w:sz w:val="21"/>
          <w:szCs w:val="21"/>
          <w:highlight w:val="none"/>
          <w:u w:val="single"/>
        </w:rPr>
        <w:t>　　　　　</w:t>
      </w:r>
    </w:p>
    <w:p>
      <w:pPr>
        <w:snapToGrid w:val="0"/>
        <w:spacing w:line="360" w:lineRule="exact"/>
        <w:ind w:left="937" w:leftChars="196" w:hanging="525" w:hangingChars="250"/>
        <w:jc w:val="left"/>
        <w:rPr>
          <w:rFonts w:ascii="宋体" w:hAnsi="宋体"/>
          <w:szCs w:val="21"/>
          <w:highlight w:val="none"/>
        </w:rPr>
      </w:pPr>
      <w:r>
        <w:rPr>
          <w:rFonts w:hint="eastAsia" w:ascii="宋体" w:hAnsi="宋体"/>
          <w:szCs w:val="21"/>
          <w:highlight w:val="none"/>
        </w:rPr>
        <w:t>投标人公章：                                           年    月  日</w:t>
      </w:r>
    </w:p>
    <w:p>
      <w:pPr>
        <w:pStyle w:val="10"/>
        <w:rPr>
          <w:highlight w:val="none"/>
        </w:rPr>
      </w:pPr>
    </w:p>
    <w:p>
      <w:pPr>
        <w:snapToGrid w:val="0"/>
        <w:spacing w:line="360" w:lineRule="exact"/>
        <w:ind w:firstLine="420" w:firstLineChars="200"/>
        <w:jc w:val="left"/>
        <w:rPr>
          <w:rFonts w:hAnsi="宋体"/>
          <w:szCs w:val="21"/>
          <w:highlight w:val="none"/>
        </w:rPr>
      </w:pPr>
      <w:r>
        <w:rPr>
          <w:rFonts w:hint="eastAsia" w:hAnsi="宋体"/>
          <w:bCs/>
          <w:szCs w:val="21"/>
          <w:highlight w:val="none"/>
        </w:rPr>
        <w:t>（12）</w:t>
      </w:r>
      <w:r>
        <w:rPr>
          <w:rFonts w:hint="eastAsia" w:hAnsi="宋体"/>
          <w:szCs w:val="21"/>
          <w:highlight w:val="none"/>
        </w:rPr>
        <w:t>其他特殊资质证书（如本地化服务能力等）；</w:t>
      </w:r>
    </w:p>
    <w:p>
      <w:pPr>
        <w:snapToGrid w:val="0"/>
        <w:spacing w:line="360" w:lineRule="exact"/>
        <w:ind w:firstLine="411" w:firstLineChars="196"/>
        <w:jc w:val="left"/>
        <w:rPr>
          <w:rFonts w:hAnsi="宋体"/>
          <w:szCs w:val="21"/>
          <w:highlight w:val="none"/>
        </w:rPr>
      </w:pPr>
      <w:r>
        <w:rPr>
          <w:rFonts w:hint="eastAsia" w:hAnsi="宋体"/>
          <w:szCs w:val="21"/>
          <w:highlight w:val="none"/>
        </w:rPr>
        <w:t>（13）投标人质量管理和质量保证体系等方面的认证证书；</w:t>
      </w:r>
    </w:p>
    <w:p>
      <w:pPr>
        <w:snapToGrid w:val="0"/>
        <w:spacing w:line="360" w:lineRule="exact"/>
        <w:ind w:firstLine="411" w:firstLineChars="196"/>
        <w:jc w:val="left"/>
        <w:rPr>
          <w:rFonts w:hAnsi="宋体"/>
          <w:szCs w:val="21"/>
          <w:highlight w:val="none"/>
        </w:rPr>
      </w:pPr>
      <w:r>
        <w:rPr>
          <w:rFonts w:hint="eastAsia" w:hAnsi="宋体"/>
          <w:szCs w:val="21"/>
          <w:highlight w:val="none"/>
        </w:rPr>
        <w:t>（14）投标人认为可以证明其能力或业绩的其他材料；</w:t>
      </w:r>
    </w:p>
    <w:p>
      <w:pPr>
        <w:snapToGrid w:val="0"/>
        <w:spacing w:line="360" w:lineRule="exact"/>
        <w:ind w:firstLine="411" w:firstLineChars="196"/>
        <w:jc w:val="left"/>
        <w:rPr>
          <w:rFonts w:hAnsi="宋体"/>
          <w:szCs w:val="21"/>
          <w:highlight w:val="none"/>
        </w:rPr>
      </w:pPr>
      <w:r>
        <w:rPr>
          <w:rFonts w:hint="eastAsia" w:hAnsi="宋体"/>
          <w:szCs w:val="21"/>
          <w:highlight w:val="none"/>
        </w:rPr>
        <w:t>（15）</w:t>
      </w:r>
      <w:r>
        <w:rPr>
          <w:rFonts w:hint="eastAsia" w:ascii="宋体" w:hAnsi="宋体" w:cs="宋体"/>
          <w:color w:val="000000"/>
          <w:szCs w:val="21"/>
          <w:highlight w:val="none"/>
        </w:rPr>
        <w:t>投标人关于服务升级及本单位债务纠纷、违法违规记录等方面的情况（内容见投标声明书）</w:t>
      </w:r>
      <w:r>
        <w:rPr>
          <w:rFonts w:hint="eastAsia" w:hAnsi="宋体"/>
          <w:szCs w:val="21"/>
          <w:highlight w:val="none"/>
        </w:rPr>
        <w:t>；</w:t>
      </w:r>
    </w:p>
    <w:p>
      <w:pPr>
        <w:adjustRightInd w:val="0"/>
        <w:snapToGrid w:val="0"/>
        <w:spacing w:line="440" w:lineRule="exact"/>
        <w:ind w:left="3368" w:leftChars="200" w:hanging="2948" w:hangingChars="1404"/>
        <w:jc w:val="left"/>
        <w:rPr>
          <w:rFonts w:ascii="宋体" w:hAnsi="宋体"/>
          <w:szCs w:val="21"/>
          <w:highlight w:val="none"/>
        </w:rPr>
      </w:pPr>
      <w:r>
        <w:rPr>
          <w:rFonts w:hint="eastAsia" w:hAnsi="宋体"/>
          <w:szCs w:val="21"/>
          <w:highlight w:val="none"/>
        </w:rPr>
        <w:t>（16）投标人情况介绍</w:t>
      </w:r>
      <w:r>
        <w:rPr>
          <w:rFonts w:hint="eastAsia" w:ascii="宋体" w:hAnsi="宋体"/>
          <w:szCs w:val="21"/>
          <w:highlight w:val="none"/>
        </w:rPr>
        <w:t>；</w:t>
      </w:r>
    </w:p>
    <w:p>
      <w:pPr>
        <w:snapToGrid w:val="0"/>
        <w:spacing w:line="360" w:lineRule="exact"/>
        <w:ind w:firstLine="411" w:firstLineChars="196"/>
        <w:jc w:val="left"/>
        <w:rPr>
          <w:rFonts w:hAnsi="宋体"/>
          <w:szCs w:val="21"/>
          <w:highlight w:val="none"/>
        </w:rPr>
      </w:pPr>
      <w:r>
        <w:rPr>
          <w:rFonts w:hint="eastAsia" w:hAnsi="宋体"/>
          <w:szCs w:val="21"/>
          <w:highlight w:val="none"/>
        </w:rPr>
        <w:t>（17）</w:t>
      </w:r>
      <w:r>
        <w:rPr>
          <w:rFonts w:hint="eastAsia" w:ascii="宋体" w:hAnsi="宋体"/>
          <w:szCs w:val="21"/>
          <w:highlight w:val="none"/>
        </w:rPr>
        <w:t>中小企业声明函（格式见第六章，如有请提供）</w:t>
      </w:r>
      <w:r>
        <w:rPr>
          <w:rFonts w:hint="eastAsia" w:hAnsi="宋体"/>
          <w:szCs w:val="21"/>
          <w:highlight w:val="none"/>
        </w:rPr>
        <w:t>。</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3.技术文件</w:t>
      </w:r>
    </w:p>
    <w:p>
      <w:pPr>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（1）服务类项目的投标技术文件</w:t>
      </w:r>
      <w:r>
        <w:rPr>
          <w:rFonts w:hint="eastAsia" w:ascii="宋体" w:hAnsi="宋体" w:cs="宋体"/>
          <w:b/>
          <w:bCs/>
          <w:color w:val="000000"/>
          <w:szCs w:val="21"/>
          <w:highlight w:val="none"/>
        </w:rPr>
        <w:t>（服务方案，内容和格式见第六章要求，必须提供）</w:t>
      </w:r>
      <w:r>
        <w:rPr>
          <w:rFonts w:hint="eastAsia" w:ascii="宋体" w:hAnsi="宋体" w:cs="宋体"/>
          <w:color w:val="000000"/>
          <w:szCs w:val="21"/>
          <w:highlight w:val="none"/>
        </w:rPr>
        <w:t>；</w:t>
      </w:r>
    </w:p>
    <w:p>
      <w:pPr>
        <w:snapToGrid w:val="0"/>
        <w:spacing w:line="380" w:lineRule="exact"/>
        <w:ind w:firstLine="421" w:firstLineChars="200"/>
        <w:jc w:val="left"/>
        <w:rPr>
          <w:rFonts w:ascii="宋体" w:hAnsi="宋体" w:cs="宋体"/>
          <w:b/>
          <w:bCs/>
          <w:color w:val="000000"/>
          <w:szCs w:val="21"/>
          <w:highlight w:val="none"/>
        </w:rPr>
      </w:pPr>
      <w:r>
        <w:rPr>
          <w:rFonts w:hint="eastAsia" w:ascii="宋体" w:hAnsi="宋体" w:cs="宋体"/>
          <w:b/>
          <w:bCs/>
          <w:color w:val="000000"/>
          <w:szCs w:val="21"/>
          <w:highlight w:val="none"/>
        </w:rPr>
        <w:t>▲（2）招标项目采购需求中要求必须提供的材料。</w:t>
      </w:r>
    </w:p>
    <w:p>
      <w:pPr>
        <w:snapToGrid w:val="0"/>
        <w:spacing w:beforeLines="50" w:line="360" w:lineRule="exact"/>
        <w:ind w:firstLine="413" w:firstLineChars="196"/>
        <w:jc w:val="left"/>
        <w:rPr>
          <w:rFonts w:ascii="宋体" w:hAnsi="宋体"/>
          <w:b/>
          <w:szCs w:val="21"/>
          <w:highlight w:val="none"/>
        </w:rPr>
      </w:pPr>
      <w:r>
        <w:rPr>
          <w:rFonts w:hint="eastAsia" w:ascii="宋体" w:hAnsi="宋体"/>
          <w:b/>
          <w:szCs w:val="21"/>
          <w:highlight w:val="none"/>
        </w:rPr>
        <w:t>4.报价文件：</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（1）投标函（</w:t>
      </w:r>
      <w:r>
        <w:rPr>
          <w:rFonts w:hint="eastAsia" w:ascii="宋体" w:hAnsi="宋体"/>
          <w:b/>
          <w:szCs w:val="21"/>
          <w:highlight w:val="none"/>
        </w:rPr>
        <w:t>必须提供</w:t>
      </w:r>
      <w:r>
        <w:rPr>
          <w:rFonts w:hint="eastAsia" w:ascii="宋体" w:hAnsi="宋体"/>
          <w:szCs w:val="21"/>
          <w:highlight w:val="none"/>
        </w:rPr>
        <w:t xml:space="preserve">，格式见第六章）； </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（2）投标报价明细表（</w:t>
      </w:r>
      <w:r>
        <w:rPr>
          <w:rFonts w:hint="eastAsia" w:ascii="宋体" w:hAnsi="宋体"/>
          <w:b/>
          <w:szCs w:val="21"/>
          <w:highlight w:val="none"/>
        </w:rPr>
        <w:t>必须提供</w:t>
      </w:r>
      <w:r>
        <w:rPr>
          <w:rFonts w:hint="eastAsia" w:ascii="宋体" w:hAnsi="宋体"/>
          <w:szCs w:val="21"/>
          <w:highlight w:val="none"/>
        </w:rPr>
        <w:t>，格式见第六章）；</w:t>
      </w:r>
    </w:p>
    <w:p>
      <w:pPr>
        <w:tabs>
          <w:tab w:val="left" w:pos="3870"/>
          <w:tab w:val="left" w:pos="4085"/>
        </w:tabs>
        <w:snapToGrid w:val="0"/>
        <w:spacing w:line="360" w:lineRule="exact"/>
        <w:ind w:firstLine="420" w:firstLineChars="200"/>
        <w:jc w:val="left"/>
        <w:rPr>
          <w:rFonts w:ascii="宋体" w:hAnsi="宋体"/>
          <w:szCs w:val="21"/>
          <w:highlight w:val="none"/>
        </w:rPr>
      </w:pPr>
      <w:r>
        <w:rPr>
          <w:rFonts w:hint="eastAsia" w:ascii="宋体" w:hAnsi="宋体"/>
          <w:szCs w:val="21"/>
          <w:highlight w:val="none"/>
        </w:rPr>
        <w:t>（3）投标人针对报价需要说明的其他文件和说明（格式自拟，如有可提供）；</w:t>
      </w:r>
    </w:p>
    <w:p>
      <w:pPr>
        <w:tabs>
          <w:tab w:val="left" w:pos="3870"/>
          <w:tab w:val="left" w:pos="4085"/>
        </w:tabs>
        <w:snapToGrid w:val="0"/>
        <w:spacing w:line="360" w:lineRule="exact"/>
        <w:ind w:firstLine="420" w:firstLineChars="200"/>
        <w:jc w:val="left"/>
        <w:rPr>
          <w:rFonts w:ascii="宋体" w:hAnsi="宋体" w:eastAsia="等线"/>
          <w:szCs w:val="21"/>
          <w:highlight w:val="none"/>
        </w:rPr>
      </w:pPr>
      <w:r>
        <w:rPr>
          <w:rFonts w:hint="eastAsia" w:ascii="宋体" w:hAnsi="宋体"/>
          <w:szCs w:val="21"/>
          <w:highlight w:val="none"/>
        </w:rPr>
        <w:t>（4）开标一览表（</w:t>
      </w:r>
      <w:r>
        <w:rPr>
          <w:rFonts w:hint="eastAsia" w:ascii="宋体" w:hAnsi="宋体"/>
          <w:b/>
          <w:szCs w:val="21"/>
          <w:highlight w:val="none"/>
        </w:rPr>
        <w:t>必须提供</w:t>
      </w:r>
      <w:r>
        <w:rPr>
          <w:rFonts w:hint="eastAsia" w:ascii="宋体" w:hAnsi="宋体"/>
          <w:szCs w:val="21"/>
          <w:highlight w:val="none"/>
        </w:rPr>
        <w:t>,格式见第六章）。</w:t>
      </w:r>
    </w:p>
    <w:p>
      <w:pPr>
        <w:pStyle w:val="48"/>
        <w:spacing w:line="36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b/>
          <w:bCs/>
          <w:szCs w:val="21"/>
          <w:highlight w:val="none"/>
        </w:rPr>
        <w:t>注：法定代表人授权委托书、投标声明书、投标函、开标一览表必须按</w:t>
      </w:r>
      <w:r>
        <w:rPr>
          <w:rFonts w:hint="eastAsia" w:ascii="宋体" w:hAnsi="宋体"/>
          <w:b/>
          <w:szCs w:val="21"/>
          <w:highlight w:val="none"/>
        </w:rPr>
        <w:t>招标文件格式要求</w:t>
      </w:r>
      <w:r>
        <w:rPr>
          <w:rFonts w:ascii="宋体" w:hAnsi="宋体"/>
          <w:b/>
          <w:szCs w:val="21"/>
          <w:highlight w:val="none"/>
        </w:rPr>
        <w:t>签字或签章</w:t>
      </w:r>
      <w:r>
        <w:rPr>
          <w:rFonts w:hint="eastAsia" w:ascii="宋体" w:hAnsi="宋体"/>
          <w:b/>
          <w:bCs/>
          <w:szCs w:val="21"/>
          <w:highlight w:val="none"/>
        </w:rPr>
        <w:t>并加盖单位公章。</w:t>
      </w:r>
    </w:p>
    <w:p>
      <w:pPr>
        <w:pStyle w:val="48"/>
        <w:spacing w:line="360" w:lineRule="exact"/>
        <w:ind w:firstLine="420" w:firstLineChars="200"/>
        <w:rPr>
          <w:rFonts w:ascii="宋体" w:hAnsi="宋体"/>
          <w:szCs w:val="21"/>
          <w:highlight w:val="none"/>
        </w:rPr>
      </w:pPr>
    </w:p>
    <w:p>
      <w:pPr>
        <w:snapToGrid w:val="0"/>
        <w:spacing w:before="50" w:afterLines="50" w:line="360" w:lineRule="exact"/>
        <w:ind w:firstLine="3895" w:firstLineChars="1617"/>
        <w:jc w:val="left"/>
        <w:rPr>
          <w:rFonts w:ascii="宋体" w:hAnsi="宋体"/>
          <w:b/>
          <w:sz w:val="24"/>
          <w:highlight w:val="none"/>
        </w:rPr>
      </w:pPr>
    </w:p>
    <w:p>
      <w:pPr>
        <w:snapToGrid w:val="0"/>
        <w:spacing w:before="50" w:afterLines="50" w:line="360" w:lineRule="exact"/>
        <w:ind w:firstLine="3895" w:firstLineChars="1617"/>
        <w:jc w:val="left"/>
        <w:rPr>
          <w:rFonts w:ascii="宋体" w:hAnsi="宋体"/>
          <w:b/>
          <w:sz w:val="24"/>
          <w:highlight w:val="none"/>
        </w:rPr>
      </w:pPr>
    </w:p>
    <w:p>
      <w:pPr>
        <w:snapToGrid w:val="0"/>
        <w:spacing w:before="50" w:afterLines="50" w:line="360" w:lineRule="exact"/>
        <w:ind w:firstLine="3895" w:firstLineChars="1617"/>
        <w:jc w:val="left"/>
        <w:rPr>
          <w:rFonts w:ascii="宋体" w:hAnsi="宋体"/>
          <w:b/>
          <w:sz w:val="24"/>
          <w:highlight w:val="none"/>
        </w:rPr>
      </w:pPr>
    </w:p>
    <w:p>
      <w:pPr>
        <w:snapToGrid w:val="0"/>
        <w:spacing w:before="50" w:afterLines="50" w:line="360" w:lineRule="exact"/>
        <w:ind w:firstLine="3895" w:firstLineChars="1617"/>
        <w:jc w:val="left"/>
        <w:rPr>
          <w:rFonts w:ascii="宋体" w:hAnsi="宋体"/>
          <w:b/>
          <w:sz w:val="24"/>
          <w:highlight w:val="none"/>
        </w:rPr>
      </w:pPr>
    </w:p>
    <w:p>
      <w:pPr>
        <w:snapToGrid w:val="0"/>
        <w:spacing w:before="50" w:afterLines="50" w:line="360" w:lineRule="exact"/>
        <w:ind w:firstLine="3895" w:firstLineChars="1617"/>
        <w:jc w:val="left"/>
        <w:rPr>
          <w:rFonts w:ascii="宋体" w:hAnsi="宋体"/>
          <w:b/>
          <w:sz w:val="24"/>
          <w:highlight w:val="none"/>
        </w:rPr>
      </w:pPr>
    </w:p>
    <w:p>
      <w:pPr>
        <w:snapToGrid w:val="0"/>
        <w:spacing w:before="50" w:afterLines="50" w:line="360" w:lineRule="exact"/>
        <w:ind w:firstLine="3895" w:firstLineChars="1617"/>
        <w:jc w:val="left"/>
        <w:outlineLvl w:val="0"/>
        <w:rPr>
          <w:rFonts w:ascii="宋体" w:hAnsi="宋体"/>
          <w:b/>
          <w:sz w:val="24"/>
          <w:highlight w:val="none"/>
        </w:rPr>
      </w:pPr>
    </w:p>
    <w:p>
      <w:pPr>
        <w:snapToGrid w:val="0"/>
        <w:spacing w:before="50" w:afterLines="50" w:line="360" w:lineRule="exact"/>
        <w:ind w:firstLine="3895" w:firstLineChars="1617"/>
        <w:jc w:val="left"/>
        <w:outlineLvl w:val="0"/>
        <w:rPr>
          <w:rFonts w:ascii="宋体" w:hAnsi="宋体"/>
          <w:b/>
          <w:sz w:val="24"/>
          <w:highlight w:val="none"/>
        </w:rPr>
      </w:pPr>
      <w:r>
        <w:rPr>
          <w:rFonts w:hint="eastAsia" w:ascii="宋体" w:hAnsi="宋体"/>
          <w:b/>
          <w:sz w:val="24"/>
          <w:highlight w:val="none"/>
        </w:rPr>
        <w:t>三、投标文件格式</w:t>
      </w:r>
    </w:p>
    <w:p>
      <w:pPr>
        <w:snapToGrid w:val="0"/>
        <w:spacing w:before="50" w:afterLines="50" w:line="360" w:lineRule="exact"/>
        <w:jc w:val="left"/>
        <w:outlineLvl w:val="0"/>
        <w:rPr>
          <w:rFonts w:ascii="宋体" w:hAnsi="宋体"/>
          <w:b/>
          <w:szCs w:val="21"/>
          <w:highlight w:val="none"/>
        </w:rPr>
      </w:pPr>
    </w:p>
    <w:p>
      <w:pPr>
        <w:snapToGrid w:val="0"/>
        <w:spacing w:before="50" w:afterLines="50" w:line="360" w:lineRule="exact"/>
        <w:jc w:val="left"/>
        <w:outlineLvl w:val="0"/>
        <w:rPr>
          <w:rFonts w:ascii="宋体" w:hAnsi="宋体"/>
          <w:b/>
          <w:bCs/>
          <w:szCs w:val="21"/>
          <w:highlight w:val="none"/>
        </w:rPr>
      </w:pPr>
      <w:r>
        <w:rPr>
          <w:rFonts w:hint="eastAsia" w:ascii="宋体" w:hAnsi="宋体"/>
          <w:b/>
          <w:szCs w:val="21"/>
          <w:highlight w:val="none"/>
        </w:rPr>
        <w:t xml:space="preserve">  一）</w:t>
      </w:r>
      <w:r>
        <w:rPr>
          <w:rFonts w:hint="eastAsia" w:ascii="宋体" w:hAnsi="宋体"/>
          <w:b/>
          <w:bCs/>
          <w:szCs w:val="21"/>
          <w:highlight w:val="none"/>
        </w:rPr>
        <w:t>资格文件部分（格式）</w:t>
      </w:r>
    </w:p>
    <w:p>
      <w:pPr>
        <w:snapToGrid w:val="0"/>
        <w:spacing w:line="360" w:lineRule="exact"/>
        <w:ind w:firstLine="413" w:firstLineChars="196"/>
        <w:jc w:val="left"/>
        <w:rPr>
          <w:rFonts w:ascii="宋体" w:hAnsi="宋体"/>
          <w:szCs w:val="21"/>
          <w:highlight w:val="none"/>
        </w:rPr>
      </w:pPr>
      <w:r>
        <w:rPr>
          <w:rFonts w:hint="eastAsia" w:ascii="宋体" w:hAnsi="宋体"/>
          <w:b/>
          <w:szCs w:val="21"/>
          <w:highlight w:val="none"/>
        </w:rPr>
        <w:t>（1）</w:t>
      </w:r>
      <w:r>
        <w:rPr>
          <w:rFonts w:hint="eastAsia" w:ascii="宋体" w:hAnsi="宋体"/>
          <w:szCs w:val="21"/>
          <w:highlight w:val="none"/>
        </w:rPr>
        <w:t>有效的营业执照等证明文件复印件；</w:t>
      </w:r>
    </w:p>
    <w:p>
      <w:pPr>
        <w:pStyle w:val="31"/>
        <w:adjustRightInd w:val="0"/>
        <w:snapToGrid w:val="0"/>
        <w:spacing w:line="400" w:lineRule="exact"/>
        <w:ind w:firstLine="424" w:firstLineChars="202"/>
        <w:rPr>
          <w:rFonts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snapToGrid w:val="0"/>
        <w:spacing w:line="360" w:lineRule="exact"/>
        <w:ind w:firstLine="424" w:firstLineChars="202"/>
        <w:jc w:val="left"/>
        <w:rPr>
          <w:rFonts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szCs w:val="21"/>
          <w:highlight w:val="none"/>
        </w:rPr>
      </w:pPr>
      <w:r>
        <w:rPr>
          <w:rFonts w:hint="eastAsia" w:ascii="宋体" w:hAnsi="宋体"/>
          <w:b/>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ascii="宋体" w:hAnsi="宋体"/>
          <w:b/>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ascii="宋体" w:hAnsi="宋体" w:cs="宋体"/>
          <w:b/>
          <w:kern w:val="0"/>
          <w:sz w:val="28"/>
          <w:szCs w:val="28"/>
          <w:highlight w:val="none"/>
        </w:rPr>
      </w:pPr>
    </w:p>
    <w:p>
      <w:pPr>
        <w:snapToGrid w:val="0"/>
        <w:spacing w:line="360" w:lineRule="exact"/>
        <w:jc w:val="center"/>
        <w:rPr>
          <w:rFonts w:ascii="宋体" w:hAnsi="宋体" w:cs="宋体"/>
          <w:b/>
          <w:kern w:val="0"/>
          <w:sz w:val="28"/>
          <w:szCs w:val="28"/>
          <w:highlight w:val="none"/>
        </w:rPr>
      </w:pPr>
    </w:p>
    <w:p>
      <w:pPr>
        <w:pStyle w:val="37"/>
        <w:rPr>
          <w:rFonts w:ascii="宋体" w:hAnsi="宋体" w:cs="宋体"/>
          <w:b/>
          <w:kern w:val="0"/>
          <w:sz w:val="28"/>
          <w:szCs w:val="28"/>
          <w:highlight w:val="none"/>
        </w:rPr>
      </w:pPr>
    </w:p>
    <w:p>
      <w:pPr>
        <w:rPr>
          <w:highlight w:val="none"/>
        </w:rPr>
      </w:pPr>
    </w:p>
    <w:p>
      <w:pPr>
        <w:snapToGrid w:val="0"/>
        <w:spacing w:line="360" w:lineRule="exact"/>
        <w:jc w:val="center"/>
        <w:rPr>
          <w:rFonts w:ascii="宋体" w:hAnsi="宋体" w:cs="宋体"/>
          <w:b/>
          <w:kern w:val="0"/>
          <w:sz w:val="28"/>
          <w:szCs w:val="28"/>
          <w:highlight w:val="none"/>
        </w:rPr>
      </w:pPr>
      <w:r>
        <w:rPr>
          <w:rFonts w:hint="eastAsia" w:ascii="宋体" w:hAnsi="宋体" w:cs="宋体"/>
          <w:b/>
          <w:kern w:val="0"/>
          <w:sz w:val="28"/>
          <w:szCs w:val="28"/>
          <w:highlight w:val="none"/>
        </w:rPr>
        <w:t>参加政府采购活动前三年内在经营活动中没有重大违法记录的书面声明</w:t>
      </w:r>
    </w:p>
    <w:p>
      <w:pPr>
        <w:snapToGrid w:val="0"/>
        <w:spacing w:line="360" w:lineRule="exact"/>
        <w:jc w:val="center"/>
        <w:rPr>
          <w:rFonts w:ascii="宋体" w:hAnsi="宋体"/>
          <w:b/>
          <w:szCs w:val="21"/>
          <w:highlight w:val="none"/>
        </w:rPr>
      </w:pPr>
      <w:r>
        <w:rPr>
          <w:rFonts w:hint="eastAsia" w:ascii="宋体" w:hAnsi="宋体"/>
          <w:b/>
          <w:szCs w:val="21"/>
          <w:highlight w:val="none"/>
        </w:rPr>
        <w:t>（格式自拟，必须提供）</w:t>
      </w:r>
    </w:p>
    <w:p>
      <w:pPr>
        <w:snapToGrid w:val="0"/>
        <w:spacing w:line="360" w:lineRule="exact"/>
        <w:ind w:firstLine="413" w:firstLineChars="196"/>
        <w:jc w:val="center"/>
        <w:rPr>
          <w:rFonts w:ascii="宋体" w:hAnsi="宋体"/>
          <w:b/>
          <w:szCs w:val="21"/>
          <w:highlight w:val="none"/>
        </w:rPr>
      </w:pPr>
    </w:p>
    <w:p>
      <w:pPr>
        <w:snapToGrid w:val="0"/>
        <w:spacing w:line="360" w:lineRule="exact"/>
        <w:ind w:firstLine="413" w:firstLineChars="196"/>
        <w:jc w:val="center"/>
        <w:rPr>
          <w:rFonts w:ascii="宋体" w:hAnsi="宋体"/>
          <w:b/>
          <w:szCs w:val="21"/>
          <w:highlight w:val="none"/>
        </w:rPr>
      </w:pPr>
    </w:p>
    <w:p>
      <w:pPr>
        <w:snapToGrid w:val="0"/>
        <w:spacing w:line="360" w:lineRule="exact"/>
        <w:ind w:firstLine="413" w:firstLineChars="196"/>
        <w:jc w:val="center"/>
        <w:rPr>
          <w:rFonts w:ascii="宋体" w:hAnsi="宋体"/>
          <w:b/>
          <w:szCs w:val="21"/>
          <w:highlight w:val="none"/>
        </w:rPr>
      </w:pPr>
    </w:p>
    <w:p>
      <w:pPr>
        <w:snapToGrid w:val="0"/>
        <w:spacing w:line="360" w:lineRule="exact"/>
        <w:ind w:firstLine="413" w:firstLineChars="196"/>
        <w:jc w:val="center"/>
        <w:rPr>
          <w:rFonts w:ascii="宋体" w:hAnsi="宋体"/>
          <w:b/>
          <w:szCs w:val="21"/>
          <w:highlight w:val="none"/>
        </w:rPr>
      </w:pPr>
    </w:p>
    <w:bookmarkEnd w:id="18"/>
    <w:bookmarkEnd w:id="19"/>
    <w:p>
      <w:pPr>
        <w:snapToGrid w:val="0"/>
        <w:spacing w:line="360" w:lineRule="exact"/>
        <w:ind w:firstLine="567" w:firstLineChars="270"/>
        <w:jc w:val="left"/>
        <w:rPr>
          <w:rFonts w:ascii="宋体" w:hAnsi="宋体" w:cs="宋体"/>
          <w:kern w:val="0"/>
          <w:szCs w:val="21"/>
          <w:highlight w:val="none"/>
        </w:rPr>
      </w:pPr>
      <w:r>
        <w:rPr>
          <w:rFonts w:hint="eastAsia" w:ascii="宋体" w:hAnsi="宋体" w:cs="宋体"/>
          <w:kern w:val="0"/>
          <w:szCs w:val="21"/>
          <w:highlight w:val="none"/>
        </w:rPr>
        <w:t>说明：1.投标人应按照相关法规规定如实做出声明。</w:t>
      </w:r>
    </w:p>
    <w:p>
      <w:pPr>
        <w:snapToGrid w:val="0"/>
        <w:spacing w:line="360" w:lineRule="exact"/>
        <w:ind w:firstLine="1134" w:firstLineChars="540"/>
        <w:jc w:val="left"/>
        <w:rPr>
          <w:rFonts w:ascii="宋体" w:hAnsi="宋体" w:cs="宋体"/>
          <w:kern w:val="0"/>
          <w:szCs w:val="21"/>
          <w:highlight w:val="none"/>
        </w:rPr>
      </w:pPr>
      <w:r>
        <w:rPr>
          <w:rFonts w:hint="eastAsia" w:ascii="宋体" w:hAnsi="宋体" w:cs="宋体"/>
          <w:kern w:val="0"/>
          <w:szCs w:val="21"/>
          <w:highlight w:val="none"/>
        </w:rPr>
        <w:t>2.按照采购文件的规定盖章（自然人投标的无需盖章，需要签字）。</w:t>
      </w:r>
    </w:p>
    <w:p>
      <w:pPr>
        <w:snapToGrid w:val="0"/>
        <w:spacing w:line="360" w:lineRule="exact"/>
        <w:ind w:firstLine="1134" w:firstLineChars="540"/>
        <w:jc w:val="left"/>
        <w:rPr>
          <w:rFonts w:ascii="宋体" w:hAnsi="宋体" w:cs="宋体"/>
          <w:kern w:val="0"/>
          <w:szCs w:val="21"/>
          <w:highlight w:val="none"/>
        </w:rPr>
      </w:pPr>
      <w:r>
        <w:rPr>
          <w:rFonts w:hint="eastAsia" w:ascii="宋体" w:hAnsi="宋体" w:cs="宋体"/>
          <w:kern w:val="0"/>
          <w:szCs w:val="21"/>
          <w:highlight w:val="none"/>
        </w:rPr>
        <w:t>3.如果是联合体投标，联合体各方均需提供上述声明。</w:t>
      </w:r>
    </w:p>
    <w:p>
      <w:pPr>
        <w:snapToGrid w:val="0"/>
        <w:spacing w:before="50" w:afterLines="50" w:line="360" w:lineRule="exact"/>
        <w:jc w:val="left"/>
        <w:outlineLvl w:val="0"/>
        <w:rPr>
          <w:rFonts w:ascii="宋体" w:hAnsi="宋体"/>
          <w:b/>
          <w:szCs w:val="21"/>
          <w:highlight w:val="none"/>
        </w:rPr>
      </w:pPr>
    </w:p>
    <w:p>
      <w:pPr>
        <w:snapToGrid w:val="0"/>
        <w:spacing w:before="50" w:afterLines="50" w:line="360" w:lineRule="exact"/>
        <w:jc w:val="left"/>
        <w:outlineLvl w:val="0"/>
        <w:rPr>
          <w:rFonts w:ascii="宋体" w:hAnsi="宋体"/>
          <w:b/>
          <w:szCs w:val="21"/>
          <w:highlight w:val="none"/>
        </w:rPr>
      </w:pPr>
    </w:p>
    <w:p>
      <w:pPr>
        <w:snapToGrid w:val="0"/>
        <w:spacing w:before="50" w:afterLines="50" w:line="360" w:lineRule="exact"/>
        <w:jc w:val="left"/>
        <w:outlineLvl w:val="0"/>
        <w:rPr>
          <w:rFonts w:ascii="宋体" w:hAnsi="宋体"/>
          <w:b/>
          <w:szCs w:val="21"/>
          <w:highlight w:val="none"/>
        </w:rPr>
      </w:pPr>
    </w:p>
    <w:p>
      <w:pPr>
        <w:snapToGrid w:val="0"/>
        <w:spacing w:before="50" w:afterLines="50" w:line="360" w:lineRule="exact"/>
        <w:jc w:val="left"/>
        <w:outlineLvl w:val="0"/>
        <w:rPr>
          <w:rFonts w:ascii="宋体" w:hAnsi="宋体"/>
          <w:b/>
          <w:szCs w:val="21"/>
          <w:highlight w:val="none"/>
        </w:rPr>
      </w:pPr>
    </w:p>
    <w:p>
      <w:pPr>
        <w:snapToGrid w:val="0"/>
        <w:spacing w:before="50" w:afterLines="50" w:line="360" w:lineRule="exact"/>
        <w:jc w:val="left"/>
        <w:outlineLvl w:val="0"/>
        <w:rPr>
          <w:rFonts w:ascii="宋体" w:hAnsi="宋体"/>
          <w:b/>
          <w:szCs w:val="21"/>
          <w:highlight w:val="none"/>
        </w:rPr>
      </w:pPr>
      <w:r>
        <w:rPr>
          <w:rFonts w:hint="eastAsia" w:ascii="宋体" w:hAnsi="宋体"/>
          <w:b/>
          <w:szCs w:val="21"/>
          <w:highlight w:val="none"/>
        </w:rPr>
        <w:t>二）</w:t>
      </w:r>
      <w:r>
        <w:rPr>
          <w:rFonts w:hint="eastAsia" w:ascii="宋体" w:hAnsi="宋体"/>
          <w:b/>
          <w:bCs/>
          <w:szCs w:val="21"/>
          <w:highlight w:val="none"/>
        </w:rPr>
        <w:t>资信及商务文件部分（格式）</w:t>
      </w:r>
    </w:p>
    <w:p>
      <w:pPr>
        <w:snapToGrid w:val="0"/>
        <w:spacing w:before="50" w:afterLines="50" w:line="360" w:lineRule="exact"/>
        <w:ind w:firstLine="204" w:firstLineChars="97"/>
        <w:jc w:val="left"/>
        <w:rPr>
          <w:rFonts w:ascii="宋体" w:hAnsi="宋体"/>
          <w:b/>
          <w:szCs w:val="21"/>
          <w:highlight w:val="none"/>
        </w:rPr>
      </w:pPr>
      <w:r>
        <w:rPr>
          <w:rFonts w:hint="eastAsia" w:ascii="宋体" w:hAnsi="宋体"/>
          <w:b/>
          <w:bCs/>
          <w:szCs w:val="21"/>
          <w:highlight w:val="none"/>
        </w:rPr>
        <w:t>（1）</w:t>
      </w:r>
      <w:r>
        <w:rPr>
          <w:rFonts w:hint="eastAsia" w:ascii="宋体" w:hAnsi="宋体"/>
          <w:szCs w:val="21"/>
          <w:highlight w:val="none"/>
        </w:rPr>
        <w:t>投标保证金的相关证明扫描件或其他电子文件</w:t>
      </w:r>
    </w:p>
    <w:p>
      <w:pPr>
        <w:snapToGrid w:val="0"/>
        <w:spacing w:before="50" w:afterLines="50" w:line="360" w:lineRule="exact"/>
        <w:ind w:firstLine="204" w:firstLineChars="97"/>
        <w:jc w:val="left"/>
        <w:rPr>
          <w:rFonts w:ascii="宋体" w:hAnsi="宋体"/>
          <w:b/>
          <w:szCs w:val="21"/>
          <w:highlight w:val="none"/>
        </w:rPr>
      </w:pPr>
    </w:p>
    <w:p>
      <w:pPr>
        <w:snapToGrid w:val="0"/>
        <w:spacing w:before="50" w:afterLines="50" w:line="360" w:lineRule="exact"/>
        <w:ind w:firstLine="204" w:firstLineChars="97"/>
        <w:jc w:val="left"/>
        <w:rPr>
          <w:rFonts w:ascii="宋体" w:hAnsi="宋体"/>
          <w:b/>
          <w:szCs w:val="21"/>
          <w:highlight w:val="none"/>
        </w:rPr>
      </w:pPr>
      <w:r>
        <w:rPr>
          <w:rFonts w:hint="eastAsia" w:ascii="宋体" w:hAnsi="宋体"/>
          <w:b/>
          <w:szCs w:val="21"/>
          <w:highlight w:val="none"/>
        </w:rPr>
        <w:t>（2）投标声明书格式：</w:t>
      </w:r>
    </w:p>
    <w:p>
      <w:pPr>
        <w:snapToGrid w:val="0"/>
        <w:spacing w:beforeLines="50" w:after="50" w:line="360" w:lineRule="exact"/>
        <w:jc w:val="center"/>
        <w:rPr>
          <w:rFonts w:ascii="宋体" w:hAnsi="宋体" w:cs="宋体"/>
          <w:b/>
          <w:color w:val="000000"/>
          <w:sz w:val="30"/>
          <w:szCs w:val="30"/>
          <w:highlight w:val="none"/>
        </w:rPr>
      </w:pPr>
      <w:r>
        <w:rPr>
          <w:rFonts w:hint="eastAsia" w:ascii="宋体" w:hAnsi="宋体" w:cs="宋体"/>
          <w:b/>
          <w:color w:val="000000"/>
          <w:sz w:val="30"/>
          <w:szCs w:val="30"/>
          <w:highlight w:val="none"/>
        </w:rPr>
        <w:t>投标声明书</w:t>
      </w:r>
    </w:p>
    <w:p>
      <w:pPr>
        <w:snapToGrid w:val="0"/>
        <w:spacing w:beforeLines="50" w:after="50" w:line="340" w:lineRule="exact"/>
        <w:rPr>
          <w:rFonts w:ascii="宋体" w:hAnsi="宋体" w:cs="宋体"/>
          <w:color w:val="000000"/>
          <w:szCs w:val="21"/>
          <w:highlight w:val="none"/>
        </w:rPr>
      </w:pPr>
      <w:r>
        <w:rPr>
          <w:rFonts w:hint="eastAsia" w:ascii="宋体" w:hAnsi="宋体" w:cs="宋体"/>
          <w:color w:val="000000"/>
          <w:szCs w:val="21"/>
          <w:highlight w:val="none"/>
        </w:rPr>
        <w:t>致：</w:t>
      </w:r>
      <w:r>
        <w:rPr>
          <w:rFonts w:hint="eastAsia" w:ascii="宋体" w:hAnsi="宋体" w:cs="宋体"/>
          <w:color w:val="000000"/>
          <w:szCs w:val="21"/>
          <w:highlight w:val="none"/>
          <w:u w:val="single"/>
        </w:rPr>
        <w:t>广西壮族自治区政府采购中心</w:t>
      </w:r>
      <w:r>
        <w:rPr>
          <w:rFonts w:hint="eastAsia" w:ascii="宋体" w:hAnsi="宋体" w:cs="宋体"/>
          <w:color w:val="000000"/>
          <w:szCs w:val="21"/>
          <w:highlight w:val="none"/>
        </w:rPr>
        <w:t>：</w:t>
      </w:r>
    </w:p>
    <w:p>
      <w:pPr>
        <w:snapToGrid w:val="0"/>
        <w:spacing w:beforeLines="50" w:after="50" w:line="34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（投标人名称）系中华人民共和国合法企业，经营地址。</w:t>
      </w:r>
    </w:p>
    <w:p>
      <w:pPr>
        <w:snapToGrid w:val="0"/>
        <w:spacing w:beforeLines="50" w:after="50" w:line="34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我（姓名）系（投标人名称）的法定代表人，我方愿意参加贵方组织的项目的投标，为便于贵方公正、择优地确定中标人及其投标产品和服务，我方就本次投标有关事项郑重声明如下：</w:t>
      </w:r>
    </w:p>
    <w:p>
      <w:pPr>
        <w:snapToGrid w:val="0"/>
        <w:spacing w:line="34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1.我方向贵方提交的所有投标文件、资料都是准确的和真实的。</w:t>
      </w:r>
    </w:p>
    <w:p>
      <w:pPr>
        <w:snapToGrid w:val="0"/>
        <w:spacing w:beforeLines="50" w:line="34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2.我方不是采购人的附属机构；在获知本项目采购信息后，与采购人聘请的为此项目提供咨询服务的公司及其附属机构没有任何联系。</w:t>
      </w:r>
    </w:p>
    <w:p>
      <w:pPr>
        <w:snapToGrid w:val="0"/>
        <w:spacing w:beforeLines="50" w:line="340" w:lineRule="exact"/>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3.我方此次向贵方提供的服务为：</w:t>
      </w:r>
      <w:r>
        <w:rPr>
          <w:rFonts w:hint="eastAsia" w:ascii="宋体" w:hAnsi="宋体" w:cs="宋体"/>
          <w:color w:val="000000"/>
          <w:szCs w:val="21"/>
          <w:highlight w:val="none"/>
          <w:u w:val="single"/>
        </w:rPr>
        <w:t>　　　　　　　　　　　　　　　　　　　　　　　　</w:t>
      </w:r>
    </w:p>
    <w:p>
      <w:pPr>
        <w:snapToGrid w:val="0"/>
        <w:spacing w:beforeLines="50" w:line="340" w:lineRule="exact"/>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4.我方诚意提请贵方关注：</w:t>
      </w:r>
      <w:r>
        <w:rPr>
          <w:rFonts w:hint="eastAsia" w:ascii="宋体" w:hAnsi="宋体" w:cs="宋体"/>
          <w:color w:val="000000"/>
          <w:szCs w:val="21"/>
          <w:highlight w:val="none"/>
          <w:u w:val="single"/>
        </w:rPr>
        <w:t>　　　　　　　　　　　　　　　　　　　　　　　　</w:t>
      </w:r>
    </w:p>
    <w:p>
      <w:pPr>
        <w:ind w:firstLine="420" w:firstLineChars="200"/>
        <w:rPr>
          <w:rFonts w:ascii="宋体" w:hAnsi="宋体" w:cs="宋体"/>
          <w:color w:val="000000"/>
          <w:szCs w:val="21"/>
          <w:highlight w:val="none"/>
        </w:rPr>
      </w:pPr>
      <w:r>
        <w:rPr>
          <w:rFonts w:hint="eastAsia" w:ascii="宋体" w:hAnsi="宋体" w:cs="宋体"/>
          <w:color w:val="000000"/>
          <w:szCs w:val="21"/>
          <w:highlight w:val="none"/>
        </w:rPr>
        <w:t>5.我方参加政府采购活动前三年内在经营活动中重大违法记录和不良信用记录情况：</w:t>
      </w:r>
    </w:p>
    <w:p>
      <w:pPr>
        <w:snapToGrid w:val="0"/>
        <w:spacing w:beforeLines="50" w:line="340" w:lineRule="exact"/>
        <w:rPr>
          <w:rFonts w:ascii="宋体" w:hAnsi="宋体" w:cs="宋体"/>
          <w:color w:val="000000"/>
          <w:szCs w:val="21"/>
          <w:highlight w:val="none"/>
          <w:u w:val="single"/>
        </w:rPr>
      </w:pPr>
      <w:r>
        <w:rPr>
          <w:rFonts w:hint="eastAsia" w:ascii="宋体" w:hAnsi="宋体" w:cs="宋体"/>
          <w:b/>
          <w:color w:val="000000"/>
          <w:szCs w:val="21"/>
          <w:highlight w:val="none"/>
          <w:u w:val="single"/>
        </w:rPr>
        <w:t>　　　　　　</w:t>
      </w:r>
      <w:r>
        <w:rPr>
          <w:rFonts w:hint="eastAsia" w:ascii="宋体" w:hAnsi="宋体" w:cs="宋体"/>
          <w:color w:val="000000"/>
          <w:szCs w:val="21"/>
          <w:highlight w:val="none"/>
          <w:u w:val="single"/>
        </w:rPr>
        <w:t>　　　　　　　　　　　　　　　　　　　　　</w:t>
      </w:r>
    </w:p>
    <w:p>
      <w:pPr>
        <w:snapToGrid w:val="0"/>
        <w:spacing w:beforeLines="50" w:line="34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6.以上事项如有虚假或隐瞒，我方愿意承担一切后果。</w:t>
      </w:r>
    </w:p>
    <w:p>
      <w:pPr>
        <w:snapToGrid w:val="0"/>
        <w:spacing w:beforeLines="50" w:line="340" w:lineRule="exact"/>
        <w:jc w:val="center"/>
        <w:rPr>
          <w:rFonts w:ascii="宋体" w:hAnsi="宋体" w:cs="宋体"/>
          <w:color w:val="000000"/>
          <w:szCs w:val="21"/>
          <w:highlight w:val="none"/>
        </w:rPr>
      </w:pPr>
    </w:p>
    <w:p>
      <w:pPr>
        <w:snapToGrid w:val="0"/>
        <w:spacing w:beforeLines="50" w:line="340" w:lineRule="exact"/>
        <w:jc w:val="center"/>
        <w:rPr>
          <w:rFonts w:ascii="宋体" w:hAnsi="宋体" w:cs="宋体"/>
          <w:color w:val="000000"/>
          <w:szCs w:val="21"/>
          <w:highlight w:val="none"/>
          <w:u w:val="single"/>
        </w:rPr>
      </w:pPr>
      <w:r>
        <w:rPr>
          <w:rFonts w:hint="eastAsia" w:ascii="宋体" w:hAnsi="宋体" w:cs="宋体"/>
          <w:color w:val="000000"/>
          <w:szCs w:val="21"/>
          <w:highlight w:val="none"/>
        </w:rPr>
        <w:t>法定代表人或委托代理人签字或签章：</w:t>
      </w:r>
    </w:p>
    <w:p>
      <w:pPr>
        <w:snapToGrid w:val="0"/>
        <w:spacing w:beforeLines="50" w:after="50" w:line="340" w:lineRule="exact"/>
        <w:rPr>
          <w:rFonts w:ascii="宋体" w:hAnsi="宋体" w:cs="宋体"/>
          <w:color w:val="000000"/>
          <w:szCs w:val="21"/>
          <w:highlight w:val="none"/>
        </w:rPr>
      </w:pPr>
      <w:r>
        <w:rPr>
          <w:rFonts w:hint="eastAsia" w:ascii="宋体" w:hAnsi="宋体" w:cs="宋体"/>
          <w:color w:val="000000"/>
          <w:szCs w:val="21"/>
          <w:highlight w:val="none"/>
        </w:rPr>
        <w:t>投标人公章：</w:t>
      </w:r>
    </w:p>
    <w:p>
      <w:pPr>
        <w:snapToGrid w:val="0"/>
        <w:spacing w:beforeLines="50" w:after="50" w:line="340" w:lineRule="exact"/>
        <w:ind w:firstLine="210" w:firstLineChars="100"/>
        <w:rPr>
          <w:rFonts w:ascii="宋体" w:hAnsi="宋体" w:cs="宋体"/>
          <w:color w:val="000000"/>
          <w:szCs w:val="21"/>
          <w:highlight w:val="none"/>
        </w:rPr>
      </w:pPr>
      <w:r>
        <w:rPr>
          <w:rFonts w:hint="eastAsia" w:ascii="宋体" w:hAnsi="宋体" w:cs="宋体"/>
          <w:color w:val="000000"/>
          <w:szCs w:val="21"/>
          <w:highlight w:val="none"/>
        </w:rPr>
        <w:t xml:space="preserve">                                          年    月    日</w:t>
      </w:r>
    </w:p>
    <w:p>
      <w:pPr>
        <w:widowControl/>
        <w:spacing w:before="100" w:beforeAutospacing="1" w:after="100" w:afterAutospacing="1" w:line="432" w:lineRule="auto"/>
        <w:ind w:firstLine="413" w:firstLineChars="196"/>
        <w:jc w:val="left"/>
        <w:rPr>
          <w:rFonts w:ascii="宋体" w:hAnsi="宋体" w:cs="宋体"/>
          <w:b/>
          <w:color w:val="000000"/>
          <w:szCs w:val="21"/>
          <w:highlight w:val="none"/>
          <w:u w:val="single"/>
        </w:rPr>
      </w:pPr>
      <w:r>
        <w:rPr>
          <w:rFonts w:hint="eastAsia" w:ascii="宋体" w:hAnsi="宋体" w:cs="宋体"/>
          <w:b/>
          <w:color w:val="000000"/>
          <w:szCs w:val="21"/>
          <w:highlight w:val="none"/>
          <w:u w:val="single"/>
        </w:rPr>
        <w:t>（重大违法记录，是指供应商因违法经营受到刑事处罚或者责令停产停业、吊销许可证或者执照、较大数额罚款等行政处罚。）</w:t>
      </w:r>
    </w:p>
    <w:p>
      <w:pPr>
        <w:snapToGrid w:val="0"/>
        <w:spacing w:before="50" w:afterLines="50" w:line="340" w:lineRule="exact"/>
        <w:jc w:val="left"/>
        <w:rPr>
          <w:rFonts w:ascii="宋体" w:hAnsi="宋体"/>
          <w:b/>
          <w:szCs w:val="21"/>
          <w:highlight w:val="none"/>
        </w:rPr>
      </w:pPr>
    </w:p>
    <w:p>
      <w:pPr>
        <w:pStyle w:val="37"/>
        <w:rPr>
          <w:rFonts w:ascii="宋体" w:hAnsi="宋体"/>
          <w:b/>
          <w:szCs w:val="21"/>
          <w:highlight w:val="none"/>
        </w:rPr>
      </w:pPr>
    </w:p>
    <w:p>
      <w:pPr>
        <w:rPr>
          <w:rFonts w:ascii="宋体" w:hAnsi="宋体"/>
          <w:b/>
          <w:szCs w:val="21"/>
          <w:highlight w:val="none"/>
        </w:rPr>
      </w:pPr>
    </w:p>
    <w:p>
      <w:pPr>
        <w:pStyle w:val="37"/>
        <w:rPr>
          <w:rFonts w:ascii="宋体" w:hAnsi="宋体"/>
          <w:b/>
          <w:szCs w:val="21"/>
          <w:highlight w:val="none"/>
        </w:rPr>
      </w:pPr>
    </w:p>
    <w:p>
      <w:pPr>
        <w:rPr>
          <w:rFonts w:ascii="宋体" w:hAnsi="宋体"/>
          <w:b/>
          <w:szCs w:val="21"/>
          <w:highlight w:val="none"/>
        </w:rPr>
      </w:pPr>
    </w:p>
    <w:p>
      <w:pPr>
        <w:pStyle w:val="37"/>
        <w:rPr>
          <w:rFonts w:ascii="宋体" w:hAnsi="宋体"/>
          <w:b/>
          <w:szCs w:val="21"/>
          <w:highlight w:val="none"/>
        </w:rPr>
      </w:pPr>
    </w:p>
    <w:p>
      <w:pPr>
        <w:rPr>
          <w:rFonts w:ascii="宋体" w:hAnsi="宋体"/>
          <w:b/>
          <w:szCs w:val="21"/>
          <w:highlight w:val="none"/>
        </w:rPr>
      </w:pPr>
    </w:p>
    <w:p>
      <w:pPr>
        <w:pStyle w:val="37"/>
        <w:rPr>
          <w:highlight w:val="none"/>
        </w:rPr>
      </w:pPr>
    </w:p>
    <w:p>
      <w:pPr>
        <w:snapToGrid w:val="0"/>
        <w:spacing w:before="50" w:afterLines="50" w:line="340" w:lineRule="exact"/>
        <w:jc w:val="left"/>
        <w:rPr>
          <w:rFonts w:ascii="宋体" w:hAnsi="宋体"/>
          <w:b/>
          <w:szCs w:val="21"/>
          <w:highlight w:val="none"/>
        </w:rPr>
      </w:pPr>
      <w:r>
        <w:rPr>
          <w:rFonts w:hint="eastAsia" w:ascii="宋体" w:hAnsi="宋体"/>
          <w:b/>
          <w:szCs w:val="21"/>
          <w:highlight w:val="none"/>
        </w:rPr>
        <w:t>（3）法定代表人授权委托书格式：</w:t>
      </w:r>
    </w:p>
    <w:p>
      <w:pPr>
        <w:snapToGrid w:val="0"/>
        <w:spacing w:beforeLines="50" w:after="50" w:line="340" w:lineRule="exact"/>
        <w:jc w:val="center"/>
        <w:rPr>
          <w:rFonts w:ascii="仿宋_GB2312" w:hAnsi="宋体" w:eastAsia="仿宋_GB2312"/>
          <w:b/>
          <w:sz w:val="30"/>
          <w:szCs w:val="30"/>
          <w:highlight w:val="none"/>
        </w:rPr>
      </w:pPr>
    </w:p>
    <w:p>
      <w:pPr>
        <w:snapToGrid w:val="0"/>
        <w:spacing w:beforeLines="50" w:after="50" w:line="340" w:lineRule="exact"/>
        <w:jc w:val="center"/>
        <w:rPr>
          <w:rFonts w:ascii="仿宋_GB2312" w:hAnsi="宋体" w:eastAsia="仿宋_GB2312"/>
          <w:b/>
          <w:sz w:val="30"/>
          <w:szCs w:val="30"/>
          <w:highlight w:val="none"/>
        </w:rPr>
      </w:pPr>
    </w:p>
    <w:p>
      <w:pPr>
        <w:snapToGrid w:val="0"/>
        <w:spacing w:beforeLines="50" w:after="50" w:line="340" w:lineRule="exact"/>
        <w:jc w:val="center"/>
        <w:rPr>
          <w:rFonts w:ascii="宋体" w:hAnsi="宋体" w:cs="宋体"/>
          <w:b/>
          <w:color w:val="000000"/>
          <w:sz w:val="30"/>
          <w:szCs w:val="30"/>
          <w:highlight w:val="none"/>
        </w:rPr>
      </w:pPr>
      <w:r>
        <w:rPr>
          <w:rFonts w:hint="eastAsia" w:ascii="宋体" w:hAnsi="宋体" w:cs="宋体"/>
          <w:b/>
          <w:color w:val="000000"/>
          <w:sz w:val="30"/>
          <w:szCs w:val="30"/>
          <w:highlight w:val="none"/>
        </w:rPr>
        <w:t>法定代表人授权委托书</w:t>
      </w:r>
    </w:p>
    <w:p>
      <w:pPr>
        <w:snapToGrid w:val="0"/>
        <w:spacing w:beforeLines="50" w:after="50" w:line="480" w:lineRule="auto"/>
        <w:rPr>
          <w:rFonts w:ascii="宋体" w:hAnsi="宋体" w:cs="宋体"/>
          <w:b/>
          <w:bCs/>
          <w:color w:val="000000"/>
          <w:szCs w:val="21"/>
          <w:highlight w:val="none"/>
        </w:rPr>
      </w:pPr>
      <w:r>
        <w:rPr>
          <w:rFonts w:hint="eastAsia" w:ascii="宋体" w:hAnsi="宋体" w:cs="宋体"/>
          <w:bCs/>
          <w:color w:val="000000"/>
          <w:szCs w:val="21"/>
          <w:highlight w:val="none"/>
        </w:rPr>
        <w:t>致：</w:t>
      </w:r>
      <w:r>
        <w:rPr>
          <w:rFonts w:hint="eastAsia" w:ascii="宋体" w:hAnsi="宋体" w:cs="宋体"/>
          <w:color w:val="000000"/>
          <w:szCs w:val="21"/>
          <w:highlight w:val="none"/>
          <w:u w:val="single"/>
        </w:rPr>
        <w:t>广西壮族自治区政府采购中心</w:t>
      </w:r>
      <w:r>
        <w:rPr>
          <w:rFonts w:hint="eastAsia" w:ascii="宋体" w:hAnsi="宋体" w:cs="宋体"/>
          <w:color w:val="000000"/>
          <w:szCs w:val="21"/>
          <w:highlight w:val="none"/>
        </w:rPr>
        <w:t>：</w:t>
      </w:r>
    </w:p>
    <w:p>
      <w:pPr>
        <w:snapToGrid w:val="0"/>
        <w:spacing w:beforeLines="50" w:after="50" w:line="480" w:lineRule="auto"/>
        <w:ind w:firstLine="630" w:firstLineChars="300"/>
        <w:rPr>
          <w:rFonts w:ascii="宋体" w:hAnsi="宋体" w:cs="宋体"/>
          <w:color w:val="000000"/>
          <w:szCs w:val="21"/>
          <w:highlight w:val="none"/>
        </w:rPr>
      </w:pPr>
      <w:r>
        <w:rPr>
          <w:rFonts w:hint="eastAsia" w:ascii="宋体" w:hAnsi="宋体" w:cs="宋体"/>
          <w:color w:val="000000"/>
          <w:szCs w:val="21"/>
          <w:highlight w:val="none"/>
        </w:rPr>
        <w:t>我（姓名）系（投标人名称）的法定代表人，现授权委托本单位在职职工（姓名）以我方的名义参加项目的投标活动，并代表我方全权办理针对上述项目的投标、开标、评标、签约等具体事务和签署相关文件。</w:t>
      </w:r>
    </w:p>
    <w:p>
      <w:pPr>
        <w:snapToGrid w:val="0"/>
        <w:spacing w:beforeLines="50" w:after="50" w:line="480" w:lineRule="auto"/>
        <w:rPr>
          <w:rFonts w:ascii="宋体" w:hAnsi="宋体" w:cs="宋体"/>
          <w:color w:val="000000"/>
          <w:szCs w:val="21"/>
          <w:highlight w:val="none"/>
        </w:rPr>
      </w:pPr>
      <w:r>
        <w:rPr>
          <w:rFonts w:hint="eastAsia" w:ascii="宋体" w:hAnsi="宋体" w:cs="宋体"/>
          <w:color w:val="000000"/>
          <w:szCs w:val="21"/>
          <w:highlight w:val="none"/>
        </w:rPr>
        <w:t xml:space="preserve">    我方对被授权人的签名事项负全部责任。</w:t>
      </w:r>
    </w:p>
    <w:p>
      <w:pPr>
        <w:snapToGrid w:val="0"/>
        <w:spacing w:beforeLines="50" w:after="50" w:line="480" w:lineRule="auto"/>
        <w:ind w:firstLine="480"/>
        <w:rPr>
          <w:rFonts w:ascii="宋体" w:hAnsi="宋体" w:cs="宋体"/>
          <w:color w:val="000000"/>
          <w:szCs w:val="21"/>
          <w:highlight w:val="none"/>
        </w:rPr>
      </w:pPr>
      <w:r>
        <w:rPr>
          <w:rFonts w:hint="eastAsia" w:ascii="宋体" w:hAnsi="宋体" w:cs="宋体"/>
          <w:color w:val="000000"/>
          <w:szCs w:val="21"/>
          <w:highlight w:val="none"/>
          <w:u w:val="single"/>
        </w:rPr>
        <w:t>在撤销授权的书面通知以前，本授权书一直有效。</w:t>
      </w:r>
      <w:r>
        <w:rPr>
          <w:rFonts w:hint="eastAsia" w:ascii="宋体" w:hAnsi="宋体" w:cs="宋体"/>
          <w:color w:val="000000"/>
          <w:szCs w:val="21"/>
          <w:highlight w:val="none"/>
        </w:rPr>
        <w:t>被授权人在授权书有效期内签署的所有文件不因授权的撤销而失效。</w:t>
      </w:r>
    </w:p>
    <w:p>
      <w:pPr>
        <w:snapToGrid w:val="0"/>
        <w:spacing w:beforeLines="50" w:after="50" w:line="480" w:lineRule="auto"/>
        <w:ind w:firstLine="480"/>
        <w:rPr>
          <w:rFonts w:ascii="宋体" w:hAnsi="宋体" w:cs="宋体"/>
          <w:color w:val="000000"/>
          <w:szCs w:val="21"/>
          <w:highlight w:val="none"/>
        </w:rPr>
      </w:pPr>
      <w:r>
        <w:rPr>
          <w:rFonts w:hint="eastAsia" w:ascii="宋体" w:hAnsi="宋体" w:cs="宋体"/>
          <w:color w:val="000000"/>
          <w:szCs w:val="21"/>
          <w:highlight w:val="none"/>
        </w:rPr>
        <w:t>被授权人无转委托权，特此委托。</w:t>
      </w:r>
    </w:p>
    <w:p>
      <w:pPr>
        <w:snapToGrid w:val="0"/>
        <w:spacing w:beforeLines="50" w:after="50" w:line="480" w:lineRule="auto"/>
        <w:rPr>
          <w:rFonts w:ascii="宋体" w:hAnsi="宋体" w:cs="宋体"/>
          <w:color w:val="000000"/>
          <w:szCs w:val="21"/>
          <w:highlight w:val="none"/>
          <w:u w:val="single"/>
        </w:rPr>
      </w:pPr>
      <w:r>
        <w:rPr>
          <w:rFonts w:hint="eastAsia" w:ascii="宋体" w:hAnsi="宋体" w:cs="宋体"/>
          <w:color w:val="000000"/>
          <w:szCs w:val="21"/>
          <w:highlight w:val="none"/>
        </w:rPr>
        <w:t>被授权人签名（或签章）：                 法定代表人签字（或签章）：</w:t>
      </w:r>
    </w:p>
    <w:p>
      <w:pPr>
        <w:snapToGrid w:val="0"/>
        <w:spacing w:beforeLines="50" w:after="50" w:line="480" w:lineRule="auto"/>
        <w:rPr>
          <w:rFonts w:ascii="宋体" w:hAnsi="宋体" w:cs="宋体"/>
          <w:color w:val="000000"/>
          <w:szCs w:val="21"/>
          <w:highlight w:val="none"/>
        </w:rPr>
      </w:pPr>
      <w:r>
        <w:rPr>
          <w:rFonts w:hint="eastAsia" w:ascii="宋体" w:hAnsi="宋体" w:cs="宋体"/>
          <w:color w:val="000000"/>
          <w:szCs w:val="21"/>
          <w:highlight w:val="none"/>
        </w:rPr>
        <w:t>所在部门职务：                          职务：</w:t>
      </w:r>
    </w:p>
    <w:p>
      <w:pPr>
        <w:snapToGrid w:val="0"/>
        <w:spacing w:beforeLines="50" w:after="50" w:line="480" w:lineRule="auto"/>
        <w:rPr>
          <w:rFonts w:ascii="宋体" w:hAnsi="宋体" w:cs="宋体"/>
          <w:color w:val="000000"/>
          <w:szCs w:val="21"/>
          <w:highlight w:val="none"/>
        </w:rPr>
      </w:pPr>
      <w:r>
        <w:rPr>
          <w:rFonts w:hint="eastAsia" w:ascii="宋体" w:hAnsi="宋体" w:cs="宋体"/>
          <w:color w:val="000000"/>
          <w:szCs w:val="21"/>
          <w:highlight w:val="none"/>
        </w:rPr>
        <w:t>被授权人身份证号码：</w:t>
      </w:r>
    </w:p>
    <w:p>
      <w:pPr>
        <w:snapToGrid w:val="0"/>
        <w:spacing w:beforeLines="50" w:after="50" w:line="480" w:lineRule="auto"/>
        <w:rPr>
          <w:rFonts w:ascii="宋体" w:hAnsi="宋体" w:cs="宋体"/>
          <w:color w:val="000000"/>
          <w:szCs w:val="21"/>
          <w:highlight w:val="none"/>
        </w:rPr>
      </w:pPr>
      <w:r>
        <w:rPr>
          <w:rFonts w:hint="eastAsia" w:ascii="宋体" w:hAnsi="宋体" w:cs="宋体"/>
          <w:color w:val="000000"/>
          <w:szCs w:val="21"/>
          <w:highlight w:val="none"/>
        </w:rPr>
        <w:t>贴附“委托代理人身份证复印件”（正反两面）</w:t>
      </w:r>
    </w:p>
    <w:p>
      <w:pPr>
        <w:snapToGrid w:val="0"/>
        <w:spacing w:beforeLines="50" w:after="50" w:line="480" w:lineRule="auto"/>
        <w:rPr>
          <w:rFonts w:ascii="宋体" w:hAnsi="宋体" w:cs="宋体"/>
          <w:color w:val="000000"/>
          <w:szCs w:val="21"/>
          <w:highlight w:val="none"/>
        </w:rPr>
      </w:pPr>
    </w:p>
    <w:p>
      <w:pPr>
        <w:snapToGrid w:val="0"/>
        <w:spacing w:beforeLines="50" w:after="50" w:line="480" w:lineRule="auto"/>
        <w:ind w:firstLine="4620" w:firstLineChars="2200"/>
        <w:rPr>
          <w:rFonts w:ascii="宋体" w:hAnsi="宋体" w:cs="宋体"/>
          <w:color w:val="000000"/>
          <w:szCs w:val="21"/>
          <w:highlight w:val="none"/>
          <w:u w:val="single"/>
        </w:rPr>
      </w:pPr>
      <w:r>
        <w:rPr>
          <w:rFonts w:hint="eastAsia" w:ascii="宋体" w:hAnsi="宋体" w:cs="宋体"/>
          <w:color w:val="000000"/>
          <w:szCs w:val="21"/>
          <w:highlight w:val="none"/>
        </w:rPr>
        <w:t xml:space="preserve">  投标人公章：</w:t>
      </w:r>
    </w:p>
    <w:p>
      <w:pPr>
        <w:snapToGrid w:val="0"/>
        <w:spacing w:beforeLines="50" w:after="50" w:line="480" w:lineRule="auto"/>
        <w:jc w:val="center"/>
        <w:rPr>
          <w:rFonts w:ascii="宋体" w:hAnsi="宋体" w:cs="宋体"/>
          <w:color w:val="000000"/>
          <w:szCs w:val="21"/>
          <w:highlight w:val="none"/>
        </w:rPr>
      </w:pPr>
      <w:r>
        <w:rPr>
          <w:rFonts w:hint="eastAsia" w:ascii="宋体" w:hAnsi="宋体" w:cs="宋体"/>
          <w:color w:val="000000"/>
          <w:szCs w:val="21"/>
          <w:highlight w:val="none"/>
        </w:rPr>
        <w:t>年月日</w:t>
      </w:r>
    </w:p>
    <w:p>
      <w:pPr>
        <w:snapToGrid w:val="0"/>
        <w:spacing w:beforeLines="100" w:afterLines="100" w:line="360" w:lineRule="exact"/>
        <w:ind w:firstLine="413" w:firstLineChars="196"/>
        <w:jc w:val="left"/>
        <w:rPr>
          <w:rFonts w:ascii="宋体" w:hAnsi="宋体"/>
          <w:b/>
          <w:szCs w:val="21"/>
          <w:highlight w:val="none"/>
        </w:rPr>
      </w:pPr>
    </w:p>
    <w:p>
      <w:pPr>
        <w:snapToGrid w:val="0"/>
        <w:spacing w:beforeLines="100" w:afterLines="100" w:line="360" w:lineRule="exact"/>
        <w:ind w:firstLine="413" w:firstLineChars="196"/>
        <w:jc w:val="left"/>
        <w:rPr>
          <w:rFonts w:ascii="宋体" w:hAnsi="宋体"/>
          <w:b/>
          <w:szCs w:val="21"/>
          <w:highlight w:val="none"/>
        </w:rPr>
      </w:pPr>
      <w:r>
        <w:rPr>
          <w:rFonts w:hint="eastAsia" w:ascii="宋体" w:hAnsi="宋体"/>
          <w:b/>
          <w:szCs w:val="21"/>
          <w:highlight w:val="none"/>
        </w:rPr>
        <w:t>（4）投标截止之日前半年内投标人连续三个月的依法缴纳税费或依法免缴税费的证明（扫描件或其他电子文件，格式自拟）（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无纳税记录的，应提供由投标人所在地主管国税或地税部门出具的《依法纳税或依法免税证明》（格式自拟，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beforeLines="100" w:afterLines="100" w:line="360" w:lineRule="exact"/>
        <w:ind w:firstLine="413" w:firstLineChars="196"/>
        <w:jc w:val="left"/>
        <w:rPr>
          <w:rFonts w:ascii="宋体" w:hAnsi="宋体"/>
          <w:b/>
          <w:szCs w:val="21"/>
          <w:highlight w:val="none"/>
        </w:rPr>
      </w:pPr>
      <w:r>
        <w:rPr>
          <w:rFonts w:hint="eastAsia" w:ascii="宋体" w:hAnsi="宋体"/>
          <w:b/>
          <w:szCs w:val="21"/>
          <w:highlight w:val="none"/>
        </w:rPr>
        <w:t>（5）投标截止之日前半年内投标人连续三个月的依法缴纳社保费的缴费凭证</w:t>
      </w:r>
      <w:r>
        <w:rPr>
          <w:rFonts w:hint="eastAsia" w:ascii="宋体" w:hAnsi="宋体"/>
          <w:szCs w:val="21"/>
          <w:highlight w:val="none"/>
        </w:rPr>
        <w:t>（</w:t>
      </w:r>
      <w:r>
        <w:rPr>
          <w:rFonts w:hint="eastAsia" w:ascii="宋体" w:hAnsi="宋体"/>
          <w:b/>
          <w:szCs w:val="21"/>
          <w:highlight w:val="none"/>
        </w:rPr>
        <w:t>扫描件或其他电子文件，格式自拟）（</w:t>
      </w:r>
      <w:r>
        <w:rPr>
          <w:rFonts w:hint="eastAsia" w:ascii="宋体" w:hAnsi="宋体"/>
          <w:b/>
          <w:szCs w:val="21"/>
          <w:highlight w:val="none"/>
          <w:u w:val="single"/>
        </w:rPr>
        <w:t>必须提供</w:t>
      </w:r>
      <w:r>
        <w:rPr>
          <w:rFonts w:hint="eastAsia" w:ascii="宋体" w:hAnsi="宋体"/>
          <w:b/>
          <w:szCs w:val="21"/>
          <w:highlight w:val="none"/>
        </w:rPr>
        <w:t>）；</w:t>
      </w:r>
      <w:r>
        <w:rPr>
          <w:rFonts w:hint="eastAsia" w:ascii="宋体" w:hAnsi="宋体"/>
          <w:szCs w:val="21"/>
          <w:highlight w:val="none"/>
        </w:rPr>
        <w:t>无缴费记录的，应提供由投标人所在地社保部门出具的《依法缴纳或依法免缴社保费证明》（格式自拟，</w:t>
      </w:r>
      <w:r>
        <w:rPr>
          <w:rFonts w:hint="eastAsia" w:ascii="宋体" w:hAnsi="宋体"/>
          <w:b/>
          <w:szCs w:val="21"/>
          <w:highlight w:val="none"/>
        </w:rPr>
        <w:t>扫描件或其他电子文件</w:t>
      </w:r>
      <w:r>
        <w:rPr>
          <w:rFonts w:hint="eastAsia" w:ascii="宋体" w:hAnsi="宋体"/>
          <w:szCs w:val="21"/>
          <w:highlight w:val="none"/>
        </w:rPr>
        <w:t>）。</w:t>
      </w:r>
    </w:p>
    <w:p>
      <w:pPr>
        <w:snapToGrid w:val="0"/>
        <w:spacing w:beforeLines="100" w:afterLines="100" w:line="360" w:lineRule="exact"/>
        <w:ind w:firstLine="421" w:firstLineChars="200"/>
        <w:jc w:val="left"/>
        <w:rPr>
          <w:rFonts w:hAnsi="宋体"/>
          <w:b/>
          <w:szCs w:val="21"/>
          <w:highlight w:val="none"/>
        </w:rPr>
      </w:pPr>
      <w:r>
        <w:rPr>
          <w:rFonts w:hint="eastAsia" w:hAnsi="宋体"/>
          <w:b/>
          <w:szCs w:val="21"/>
          <w:highlight w:val="none"/>
        </w:rPr>
        <w:t>（6）财务状况报告（</w:t>
      </w:r>
      <w:r>
        <w:rPr>
          <w:rFonts w:hint="eastAsia" w:hAnsi="宋体"/>
          <w:b/>
          <w:szCs w:val="21"/>
          <w:highlight w:val="none"/>
          <w:u w:val="single"/>
        </w:rPr>
        <w:t>格式自拟，必须提供</w:t>
      </w:r>
      <w:r>
        <w:rPr>
          <w:rFonts w:hint="eastAsia" w:hAnsi="宋体"/>
          <w:b/>
          <w:szCs w:val="21"/>
          <w:highlight w:val="none"/>
        </w:rPr>
        <w:t>）；</w:t>
      </w:r>
    </w:p>
    <w:p>
      <w:pPr>
        <w:snapToGrid w:val="0"/>
        <w:spacing w:beforeLines="100" w:afterLines="100" w:line="360" w:lineRule="exact"/>
        <w:ind w:firstLine="413" w:firstLineChars="196"/>
        <w:jc w:val="left"/>
        <w:rPr>
          <w:rFonts w:hAnsi="宋体"/>
          <w:szCs w:val="21"/>
          <w:highlight w:val="none"/>
        </w:rPr>
      </w:pPr>
      <w:r>
        <w:rPr>
          <w:rFonts w:hint="eastAsia" w:hAnsi="宋体" w:cs="宋体"/>
          <w:b/>
          <w:kern w:val="0"/>
          <w:szCs w:val="21"/>
          <w:highlight w:val="none"/>
        </w:rPr>
        <w:t>（7）</w:t>
      </w:r>
      <w:r>
        <w:rPr>
          <w:rFonts w:hint="eastAsia" w:hAnsi="宋体"/>
          <w:b/>
          <w:szCs w:val="21"/>
          <w:highlight w:val="none"/>
        </w:rPr>
        <w:t>具备履行合同所必需的设备和专业技术能力的证明材料（</w:t>
      </w:r>
      <w:r>
        <w:rPr>
          <w:rFonts w:hint="eastAsia" w:hAnsi="宋体"/>
          <w:b/>
          <w:szCs w:val="21"/>
          <w:highlight w:val="none"/>
          <w:u w:val="single"/>
        </w:rPr>
        <w:t>内容、格式自拟，必须提供</w:t>
      </w:r>
      <w:r>
        <w:rPr>
          <w:rFonts w:hint="eastAsia" w:hAnsi="宋体"/>
          <w:b/>
          <w:szCs w:val="21"/>
          <w:highlight w:val="none"/>
        </w:rPr>
        <w:t>）</w:t>
      </w:r>
      <w:r>
        <w:rPr>
          <w:rFonts w:hint="eastAsia" w:hAnsi="宋体" w:cs="宋体"/>
          <w:b/>
          <w:kern w:val="0"/>
          <w:szCs w:val="21"/>
          <w:highlight w:val="none"/>
        </w:rPr>
        <w:t>；</w:t>
      </w:r>
    </w:p>
    <w:p>
      <w:pPr>
        <w:snapToGrid w:val="0"/>
        <w:spacing w:before="50" w:line="360" w:lineRule="exact"/>
        <w:ind w:firstLine="421" w:firstLineChars="200"/>
        <w:jc w:val="left"/>
        <w:rPr>
          <w:rFonts w:ascii="宋体" w:hAnsi="宋体"/>
          <w:b/>
          <w:szCs w:val="21"/>
          <w:highlight w:val="none"/>
        </w:rPr>
      </w:pPr>
      <w:r>
        <w:rPr>
          <w:rFonts w:hint="eastAsia" w:ascii="宋体" w:hAnsi="宋体"/>
          <w:b/>
          <w:szCs w:val="21"/>
          <w:highlight w:val="none"/>
        </w:rPr>
        <w:t>（8）商务响应表格式：</w:t>
      </w:r>
    </w:p>
    <w:p>
      <w:pPr>
        <w:snapToGrid w:val="0"/>
        <w:spacing w:before="50" w:line="360" w:lineRule="exact"/>
        <w:jc w:val="center"/>
        <w:rPr>
          <w:rFonts w:ascii="宋体" w:hAnsi="宋体"/>
          <w:szCs w:val="21"/>
          <w:highlight w:val="none"/>
          <w:u w:val="single"/>
        </w:rPr>
      </w:pPr>
      <w:r>
        <w:rPr>
          <w:rFonts w:hint="eastAsia" w:ascii="宋体" w:hAnsi="宋体"/>
          <w:b/>
          <w:szCs w:val="21"/>
          <w:highlight w:val="none"/>
        </w:rPr>
        <w:t>商务响应表</w:t>
      </w:r>
    </w:p>
    <w:p>
      <w:pPr>
        <w:snapToGrid w:val="0"/>
        <w:spacing w:before="50" w:line="360" w:lineRule="exact"/>
        <w:jc w:val="left"/>
        <w:rPr>
          <w:rFonts w:ascii="宋体" w:hAnsi="宋体"/>
          <w:szCs w:val="21"/>
          <w:highlight w:val="none"/>
          <w:u w:val="single"/>
        </w:rPr>
      </w:pPr>
    </w:p>
    <w:tbl>
      <w:tblPr>
        <w:tblStyle w:val="5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tcPr>
          <w:p>
            <w:pPr>
              <w:snapToGrid w:val="0"/>
              <w:spacing w:beforeLines="50" w:line="360" w:lineRule="exact"/>
              <w:jc w:val="center"/>
              <w:rPr>
                <w:rFonts w:ascii="宋体" w:hAnsi="宋体"/>
                <w:szCs w:val="21"/>
                <w:highlight w:val="none"/>
              </w:rPr>
            </w:pPr>
            <w:r>
              <w:rPr>
                <w:rFonts w:hint="eastAsia" w:ascii="宋体" w:hAnsi="宋体"/>
                <w:szCs w:val="21"/>
                <w:highlight w:val="none"/>
              </w:rPr>
              <w:t>项号</w:t>
            </w:r>
          </w:p>
        </w:tc>
        <w:tc>
          <w:tcPr>
            <w:tcW w:w="2955" w:type="dxa"/>
            <w:tcBorders>
              <w:top w:val="single" w:color="auto" w:sz="4" w:space="0"/>
              <w:left w:val="single" w:color="auto" w:sz="4" w:space="0"/>
              <w:bottom w:val="single" w:color="auto" w:sz="4" w:space="0"/>
              <w:right w:val="single" w:color="auto" w:sz="4" w:space="0"/>
            </w:tcBorders>
            <w:noWrap/>
          </w:tcPr>
          <w:p>
            <w:pPr>
              <w:snapToGrid w:val="0"/>
              <w:spacing w:beforeLines="50" w:line="360" w:lineRule="exact"/>
              <w:jc w:val="center"/>
              <w:rPr>
                <w:rFonts w:ascii="宋体" w:hAnsi="宋体"/>
                <w:szCs w:val="21"/>
                <w:highlight w:val="none"/>
              </w:rPr>
            </w:pPr>
            <w:r>
              <w:rPr>
                <w:rFonts w:hint="eastAsia" w:ascii="宋体" w:hAnsi="宋体"/>
                <w:szCs w:val="21"/>
                <w:highlight w:val="none"/>
              </w:rPr>
              <w:t>招标文件要求</w:t>
            </w:r>
          </w:p>
        </w:tc>
        <w:tc>
          <w:tcPr>
            <w:tcW w:w="2625" w:type="dxa"/>
            <w:tcBorders>
              <w:top w:val="single" w:color="auto" w:sz="4" w:space="0"/>
              <w:left w:val="single" w:color="auto" w:sz="4" w:space="0"/>
              <w:bottom w:val="single" w:color="auto" w:sz="4" w:space="0"/>
              <w:right w:val="single" w:color="auto" w:sz="4" w:space="0"/>
            </w:tcBorders>
            <w:noWrap/>
          </w:tcPr>
          <w:p>
            <w:pPr>
              <w:snapToGrid w:val="0"/>
              <w:spacing w:beforeLines="50" w:line="360" w:lineRule="exact"/>
              <w:jc w:val="center"/>
              <w:rPr>
                <w:rFonts w:ascii="宋体" w:hAnsi="宋体"/>
                <w:szCs w:val="21"/>
                <w:highlight w:val="none"/>
              </w:rPr>
            </w:pPr>
            <w:r>
              <w:rPr>
                <w:rFonts w:hint="eastAsia" w:ascii="宋体" w:hAnsi="宋体"/>
                <w:szCs w:val="21"/>
                <w:highlight w:val="none"/>
              </w:rPr>
              <w:t>是否提供并响应</w:t>
            </w:r>
          </w:p>
        </w:tc>
        <w:tc>
          <w:tcPr>
            <w:tcW w:w="2340" w:type="dxa"/>
            <w:tcBorders>
              <w:top w:val="single" w:color="auto" w:sz="4" w:space="0"/>
              <w:left w:val="single" w:color="auto" w:sz="4" w:space="0"/>
              <w:bottom w:val="single" w:color="auto" w:sz="4" w:space="0"/>
              <w:right w:val="single" w:color="auto" w:sz="4" w:space="0"/>
            </w:tcBorders>
            <w:noWrap/>
          </w:tcPr>
          <w:p>
            <w:pPr>
              <w:snapToGrid w:val="0"/>
              <w:spacing w:beforeLines="50" w:line="360" w:lineRule="exact"/>
              <w:jc w:val="center"/>
              <w:rPr>
                <w:rFonts w:ascii="宋体" w:hAnsi="宋体"/>
                <w:szCs w:val="21"/>
                <w:highlight w:val="none"/>
              </w:rPr>
            </w:pPr>
            <w:r>
              <w:rPr>
                <w:rFonts w:hint="eastAsia" w:ascii="宋体" w:hAnsi="宋体"/>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r>
              <w:rPr>
                <w:rFonts w:hint="eastAsia" w:ascii="宋体" w:hAnsi="宋体"/>
                <w:szCs w:val="21"/>
                <w:highlight w:val="none"/>
              </w:rPr>
              <w:t>1</w:t>
            </w:r>
          </w:p>
        </w:tc>
        <w:tc>
          <w:tcPr>
            <w:tcW w:w="295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ign w:val="center"/>
          </w:tcPr>
          <w:p>
            <w:pPr>
              <w:snapToGrid w:val="0"/>
              <w:ind w:firstLine="315" w:firstLineChars="150"/>
              <w:rPr>
                <w:rFonts w:ascii="宋体" w:hAnsi="宋体"/>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cs="宋体"/>
                <w:kern w:val="0"/>
                <w:szCs w:val="21"/>
                <w:highlight w:val="none"/>
              </w:rPr>
            </w:pPr>
            <w:r>
              <w:rPr>
                <w:rFonts w:hint="eastAsia" w:ascii="宋体" w:hAnsi="宋体"/>
                <w:szCs w:val="21"/>
                <w:highlight w:val="none"/>
              </w:rPr>
              <w:t>2</w:t>
            </w:r>
          </w:p>
        </w:tc>
        <w:tc>
          <w:tcPr>
            <w:tcW w:w="295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cs="宋体"/>
                <w:kern w:val="0"/>
                <w:szCs w:val="21"/>
                <w:highlight w:val="none"/>
              </w:rPr>
            </w:pPr>
            <w:r>
              <w:rPr>
                <w:rFonts w:hint="eastAsia" w:ascii="宋体" w:hAnsi="宋体"/>
                <w:szCs w:val="21"/>
                <w:highlight w:val="none"/>
              </w:rPr>
              <w:t>3</w:t>
            </w:r>
          </w:p>
        </w:tc>
        <w:tc>
          <w:tcPr>
            <w:tcW w:w="295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ign w:val="center"/>
          </w:tcPr>
          <w:p>
            <w:pPr>
              <w:snapToGrid w:val="0"/>
              <w:ind w:left="43"/>
              <w:rPr>
                <w:rFonts w:ascii="宋体" w:hAnsi="宋体"/>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center"/>
          </w:tcPr>
          <w:p>
            <w:pPr>
              <w:snapToGrid w:val="0"/>
              <w:ind w:left="43"/>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r>
              <w:rPr>
                <w:rFonts w:hint="eastAsia" w:ascii="宋体" w:hAnsi="宋体"/>
                <w:szCs w:val="21"/>
                <w:highlight w:val="none"/>
              </w:rPr>
              <w:t>…</w:t>
            </w:r>
          </w:p>
        </w:tc>
        <w:tc>
          <w:tcPr>
            <w:tcW w:w="295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宋体" w:hAnsi="宋体"/>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szCs w:val="21"/>
                <w:highlight w:val="none"/>
              </w:rPr>
            </w:pPr>
          </w:p>
        </w:tc>
      </w:tr>
    </w:tbl>
    <w:p>
      <w:pPr>
        <w:snapToGrid w:val="0"/>
        <w:spacing w:before="50" w:after="50" w:line="360" w:lineRule="exact"/>
        <w:rPr>
          <w:rFonts w:ascii="宋体" w:hAnsi="宋体"/>
          <w:spacing w:val="20"/>
          <w:szCs w:val="21"/>
          <w:highlight w:val="none"/>
        </w:rPr>
      </w:pPr>
    </w:p>
    <w:p>
      <w:pPr>
        <w:snapToGrid w:val="0"/>
        <w:spacing w:before="50" w:after="50" w:line="360" w:lineRule="exact"/>
        <w:ind w:firstLine="210" w:firstLineChars="100"/>
        <w:rPr>
          <w:rFonts w:ascii="宋体" w:hAnsi="宋体"/>
          <w:spacing w:val="20"/>
          <w:szCs w:val="21"/>
          <w:highlight w:val="none"/>
          <w:u w:val="single"/>
        </w:rPr>
      </w:pPr>
      <w:r>
        <w:rPr>
          <w:rFonts w:hint="eastAsia" w:ascii="宋体" w:hAnsi="宋体"/>
          <w:szCs w:val="21"/>
          <w:highlight w:val="none"/>
        </w:rPr>
        <w:t>法定代表人或委托代理人签字或签章</w:t>
      </w:r>
      <w:r>
        <w:rPr>
          <w:rFonts w:hint="eastAsia" w:ascii="宋体" w:hAnsi="宋体"/>
          <w:spacing w:val="20"/>
          <w:szCs w:val="21"/>
          <w:highlight w:val="none"/>
        </w:rPr>
        <w:t>：</w:t>
      </w:r>
    </w:p>
    <w:p>
      <w:pPr>
        <w:snapToGrid w:val="0"/>
        <w:spacing w:line="360" w:lineRule="exact"/>
        <w:ind w:firstLine="245" w:firstLineChars="98"/>
        <w:jc w:val="left"/>
        <w:rPr>
          <w:rFonts w:ascii="宋体" w:hAnsi="宋体"/>
          <w:spacing w:val="20"/>
          <w:szCs w:val="21"/>
          <w:highlight w:val="none"/>
        </w:rPr>
      </w:pPr>
    </w:p>
    <w:p>
      <w:pPr>
        <w:snapToGrid w:val="0"/>
        <w:spacing w:line="360" w:lineRule="exact"/>
        <w:ind w:firstLine="245" w:firstLineChars="98"/>
        <w:jc w:val="left"/>
        <w:rPr>
          <w:rFonts w:ascii="宋体" w:hAnsi="宋体"/>
          <w:b/>
          <w:szCs w:val="21"/>
          <w:highlight w:val="none"/>
        </w:rPr>
      </w:pPr>
      <w:r>
        <w:rPr>
          <w:rFonts w:hint="eastAsia" w:ascii="宋体" w:hAnsi="宋体"/>
          <w:spacing w:val="20"/>
          <w:szCs w:val="21"/>
          <w:highlight w:val="none"/>
        </w:rPr>
        <w:t>投标人盖章：              日 期：</w:t>
      </w:r>
    </w:p>
    <w:p>
      <w:pPr>
        <w:snapToGrid w:val="0"/>
        <w:spacing w:line="360" w:lineRule="exact"/>
        <w:ind w:firstLine="206" w:firstLineChars="98"/>
        <w:jc w:val="left"/>
        <w:rPr>
          <w:rFonts w:ascii="宋体" w:hAnsi="宋体"/>
          <w:b/>
          <w:szCs w:val="21"/>
          <w:highlight w:val="none"/>
        </w:rPr>
      </w:pPr>
    </w:p>
    <w:p>
      <w:pPr>
        <w:snapToGrid w:val="0"/>
        <w:spacing w:line="360" w:lineRule="exact"/>
        <w:ind w:left="840" w:hanging="840" w:hangingChars="400"/>
        <w:jc w:val="left"/>
        <w:rPr>
          <w:rFonts w:ascii="宋体" w:hAnsi="宋体"/>
          <w:b/>
          <w:szCs w:val="21"/>
          <w:highlight w:val="none"/>
        </w:rPr>
      </w:pPr>
      <w:r>
        <w:rPr>
          <w:rFonts w:hAnsi="宋体"/>
          <w:highlight w:val="none"/>
        </w:rPr>
        <w:br w:type="page"/>
      </w:r>
      <w:r>
        <w:rPr>
          <w:rFonts w:hint="eastAsia" w:hAnsi="宋体"/>
          <w:highlight w:val="none"/>
        </w:rPr>
        <w:t>▲</w:t>
      </w:r>
      <w:r>
        <w:rPr>
          <w:rFonts w:hint="eastAsia" w:ascii="宋体" w:hAnsi="宋体"/>
          <w:b/>
          <w:szCs w:val="21"/>
          <w:highlight w:val="none"/>
        </w:rPr>
        <w:t>（9）招标项目采购需求中要求必须提供的材料等；</w:t>
      </w:r>
      <w:r>
        <w:rPr>
          <w:rFonts w:hint="eastAsia" w:ascii="宋体" w:hAnsi="宋体"/>
          <w:szCs w:val="21"/>
          <w:highlight w:val="none"/>
        </w:rPr>
        <w:t>（招标项目采购需求中要求必须提供的材料，据实提供）</w:t>
      </w:r>
    </w:p>
    <w:p>
      <w:pPr>
        <w:numPr>
          <w:ilvl w:val="0"/>
          <w:numId w:val="24"/>
        </w:numPr>
        <w:snapToGrid w:val="0"/>
        <w:spacing w:beforeLines="100" w:afterLines="100" w:line="360" w:lineRule="exact"/>
        <w:ind w:left="311"/>
        <w:jc w:val="left"/>
        <w:rPr>
          <w:rFonts w:ascii="宋体" w:hAnsi="宋体"/>
          <w:szCs w:val="21"/>
          <w:highlight w:val="none"/>
        </w:rPr>
      </w:pPr>
      <w:r>
        <w:rPr>
          <w:rFonts w:hint="eastAsia" w:ascii="宋体" w:hAnsi="宋体"/>
          <w:szCs w:val="21"/>
          <w:highlight w:val="none"/>
        </w:rPr>
        <w:t>具备法律、行政法规规定的其他条件的证明材料</w:t>
      </w:r>
      <w:r>
        <w:rPr>
          <w:rFonts w:hint="eastAsia" w:ascii="宋体" w:hAnsi="宋体"/>
          <w:b/>
          <w:szCs w:val="21"/>
          <w:highlight w:val="none"/>
        </w:rPr>
        <w:t>；</w:t>
      </w:r>
      <w:r>
        <w:rPr>
          <w:rFonts w:hint="eastAsia" w:ascii="宋体" w:hAnsi="宋体"/>
          <w:szCs w:val="21"/>
          <w:highlight w:val="none"/>
        </w:rPr>
        <w:t>（格式自拟）</w:t>
      </w:r>
    </w:p>
    <w:p>
      <w:pPr>
        <w:snapToGrid w:val="0"/>
        <w:spacing w:line="380" w:lineRule="exact"/>
        <w:ind w:firstLine="421" w:firstLineChars="200"/>
        <w:jc w:val="left"/>
        <w:rPr>
          <w:rFonts w:ascii="宋体" w:hAnsi="宋体" w:cs="宋体"/>
          <w:b/>
          <w:color w:val="000000"/>
          <w:szCs w:val="21"/>
          <w:highlight w:val="none"/>
        </w:rPr>
      </w:pPr>
      <w:r>
        <w:rPr>
          <w:rFonts w:hint="eastAsia" w:ascii="宋体" w:hAnsi="宋体" w:cs="宋体"/>
          <w:b/>
          <w:bCs/>
          <w:color w:val="000000"/>
          <w:szCs w:val="21"/>
          <w:highlight w:val="none"/>
        </w:rPr>
        <w:t>可作为投标人资信评分的资质证明材料【以下可选】</w:t>
      </w:r>
    </w:p>
    <w:p>
      <w:pPr>
        <w:adjustRightInd w:val="0"/>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（11）类似案例成功的业绩（投标人同类项目实施情况一览表、合同扫描件、用户验收报告、用户评价）；</w:t>
      </w:r>
    </w:p>
    <w:p>
      <w:pPr>
        <w:adjustRightInd w:val="0"/>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（12）其他特殊资质证书；</w:t>
      </w:r>
    </w:p>
    <w:p>
      <w:pPr>
        <w:adjustRightInd w:val="0"/>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（13）投标人质量管理和质量保证体系等方面的认证证书；</w:t>
      </w:r>
    </w:p>
    <w:p>
      <w:pPr>
        <w:adjustRightInd w:val="0"/>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（14）投标人认为可以证明其能力或业绩的其他材料；</w:t>
      </w:r>
    </w:p>
    <w:p>
      <w:pPr>
        <w:adjustRightInd w:val="0"/>
        <w:snapToGrid w:val="0"/>
        <w:spacing w:line="3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（15）投标人关于服务升级及本单位债务纠纷、违法违规记录等方面的情况（内容见投标声明书）；</w:t>
      </w:r>
    </w:p>
    <w:p>
      <w:pPr>
        <w:pStyle w:val="37"/>
        <w:ind w:firstLine="420" w:firstLineChars="200"/>
        <w:rPr>
          <w:highlight w:val="none"/>
        </w:rPr>
      </w:pPr>
      <w:r>
        <w:rPr>
          <w:rFonts w:hint="eastAsia" w:ascii="宋体" w:hAnsi="宋体" w:cs="宋体"/>
          <w:color w:val="000000"/>
          <w:sz w:val="21"/>
          <w:szCs w:val="21"/>
          <w:highlight w:val="none"/>
        </w:rPr>
        <w:t>（16）投标人情况介绍。（主要服务力量、经营业绩等，内容、格式自拟）；</w:t>
      </w:r>
    </w:p>
    <w:p>
      <w:pPr>
        <w:pStyle w:val="37"/>
        <w:ind w:firstLine="420" w:firstLineChars="200"/>
        <w:rPr>
          <w:highlight w:val="none"/>
        </w:rPr>
      </w:pPr>
      <w:r>
        <w:rPr>
          <w:rFonts w:hint="eastAsia" w:ascii="宋体" w:hAnsi="宋体" w:cs="宋体"/>
          <w:color w:val="000000"/>
          <w:sz w:val="21"/>
          <w:szCs w:val="21"/>
          <w:highlight w:val="none"/>
        </w:rPr>
        <w:t>（17）中小企业声明函（格式见第六章，如有请提供）。</w:t>
      </w:r>
    </w:p>
    <w:p>
      <w:pPr>
        <w:snapToGrid w:val="0"/>
        <w:spacing w:line="360" w:lineRule="exact"/>
        <w:ind w:firstLine="210" w:firstLineChars="100"/>
        <w:jc w:val="left"/>
        <w:rPr>
          <w:rFonts w:ascii="宋体" w:hAnsi="宋体" w:cs="宋体"/>
          <w:color w:val="000000"/>
          <w:szCs w:val="21"/>
          <w:highlight w:val="none"/>
        </w:rPr>
      </w:pPr>
    </w:p>
    <w:p>
      <w:pPr>
        <w:rPr>
          <w:rFonts w:hAnsi="宋体"/>
          <w:color w:val="FF0000"/>
          <w:szCs w:val="21"/>
          <w:highlight w:val="none"/>
        </w:rPr>
      </w:pPr>
      <w:r>
        <w:rPr>
          <w:rFonts w:hint="eastAsia" w:hAnsi="宋体"/>
          <w:color w:val="FF0000"/>
          <w:szCs w:val="21"/>
          <w:highlight w:val="none"/>
        </w:rPr>
        <w:br w:type="page"/>
      </w:r>
    </w:p>
    <w:p>
      <w:pPr>
        <w:snapToGrid w:val="0"/>
        <w:spacing w:beforeLines="100" w:afterLines="100" w:line="360" w:lineRule="exact"/>
        <w:ind w:firstLine="413" w:firstLineChars="196"/>
        <w:jc w:val="left"/>
        <w:rPr>
          <w:rFonts w:ascii="宋体" w:hAnsi="宋体"/>
          <w:b/>
          <w:bCs/>
          <w:szCs w:val="21"/>
          <w:highlight w:val="none"/>
        </w:rPr>
      </w:pPr>
      <w:r>
        <w:rPr>
          <w:rFonts w:ascii="宋体" w:hAnsi="宋体"/>
          <w:b/>
          <w:bCs/>
          <w:highlight w:val="none"/>
        </w:rPr>
        <w:t>中小企业声明函</w:t>
      </w:r>
      <w:r>
        <w:rPr>
          <w:rFonts w:hint="eastAsia" w:ascii="宋体" w:hAnsi="宋体"/>
          <w:b/>
          <w:bCs/>
          <w:highlight w:val="none"/>
        </w:rPr>
        <w:t>格式：</w:t>
      </w:r>
    </w:p>
    <w:p>
      <w:pPr>
        <w:widowControl/>
        <w:jc w:val="center"/>
        <w:rPr>
          <w:rFonts w:ascii="宋体" w:hAnsi="宋体" w:cs="宋体"/>
          <w:b/>
          <w:bCs/>
          <w:color w:val="000000"/>
          <w:kern w:val="0"/>
          <w:sz w:val="32"/>
          <w:szCs w:val="32"/>
          <w:highlight w:val="none"/>
        </w:rPr>
      </w:pPr>
    </w:p>
    <w:p>
      <w:pPr>
        <w:widowControl/>
        <w:jc w:val="center"/>
        <w:rPr>
          <w:rFonts w:ascii="宋体" w:hAnsi="宋体" w:cs="宋体"/>
          <w:color w:val="000000"/>
          <w:kern w:val="0"/>
          <w:sz w:val="32"/>
          <w:szCs w:val="32"/>
          <w:highlight w:val="none"/>
        </w:rPr>
      </w:pPr>
      <w:r>
        <w:rPr>
          <w:rFonts w:ascii="宋体" w:hAnsi="宋体" w:cs="宋体"/>
          <w:b/>
          <w:bCs/>
          <w:color w:val="000000"/>
          <w:kern w:val="0"/>
          <w:sz w:val="32"/>
          <w:szCs w:val="32"/>
          <w:highlight w:val="none"/>
        </w:rPr>
        <w:t>中小企业声明函（服务）</w:t>
      </w:r>
    </w:p>
    <w:p>
      <w:pPr>
        <w:widowControl/>
        <w:spacing w:line="500" w:lineRule="exact"/>
        <w:ind w:firstLine="420" w:firstLineChars="200"/>
        <w:jc w:val="left"/>
        <w:rPr>
          <w:rFonts w:ascii="宋体" w:hAnsi="宋体" w:cs="宋体"/>
          <w:color w:val="000000"/>
          <w:kern w:val="0"/>
          <w:szCs w:val="21"/>
          <w:highlight w:val="none"/>
        </w:rPr>
      </w:pPr>
      <w:r>
        <w:rPr>
          <w:rFonts w:ascii="宋体" w:hAnsi="宋体" w:cs="宋体"/>
          <w:color w:val="000000"/>
          <w:kern w:val="0"/>
          <w:szCs w:val="21"/>
          <w:highlight w:val="none"/>
        </w:rPr>
        <w:t>本公司（联合体）郑重声明，根据《政府采购促进中小企业发展管理办法》（财库﹝2020﹞46号）的规定，本公司 （联合体）参加</w:t>
      </w:r>
      <w:r>
        <w:rPr>
          <w:rFonts w:ascii="宋体" w:hAnsi="宋体" w:cs="宋体"/>
          <w:color w:val="000000"/>
          <w:kern w:val="0"/>
          <w:szCs w:val="21"/>
          <w:highlight w:val="none"/>
          <w:u w:val="single"/>
        </w:rPr>
        <w:t>（单位名称）</w:t>
      </w:r>
      <w:r>
        <w:rPr>
          <w:rFonts w:ascii="宋体" w:hAnsi="宋体" w:cs="宋体"/>
          <w:color w:val="000000"/>
          <w:kern w:val="0"/>
          <w:szCs w:val="21"/>
          <w:highlight w:val="none"/>
        </w:rPr>
        <w:t>的</w:t>
      </w:r>
      <w:r>
        <w:rPr>
          <w:rFonts w:ascii="宋体" w:hAnsi="宋体" w:cs="宋体"/>
          <w:color w:val="000000"/>
          <w:kern w:val="0"/>
          <w:szCs w:val="21"/>
          <w:highlight w:val="none"/>
          <w:u w:val="single"/>
        </w:rPr>
        <w:t>（项目名称）</w:t>
      </w:r>
      <w:r>
        <w:rPr>
          <w:rFonts w:ascii="宋体" w:hAnsi="宋体" w:cs="宋体"/>
          <w:color w:val="000000"/>
          <w:kern w:val="0"/>
          <w:szCs w:val="21"/>
          <w:highlight w:val="none"/>
        </w:rPr>
        <w:t xml:space="preserve">采购活动，服务全部由符合政策要求的中小企业承接。相关企业（含联合体中的中小企业、签订分包意向协议的中小企业）的具体情况如下： </w:t>
      </w:r>
    </w:p>
    <w:p>
      <w:pPr>
        <w:widowControl/>
        <w:spacing w:line="500" w:lineRule="exact"/>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ascii="宋体" w:hAnsi="宋体" w:cs="宋体"/>
          <w:color w:val="000000"/>
          <w:kern w:val="0"/>
          <w:szCs w:val="21"/>
          <w:highlight w:val="none"/>
          <w:u w:val="single"/>
        </w:rPr>
        <w:t>（标的名称）</w:t>
      </w:r>
      <w:r>
        <w:rPr>
          <w:rFonts w:ascii="宋体" w:hAnsi="宋体" w:cs="宋体"/>
          <w:color w:val="000000"/>
          <w:kern w:val="0"/>
          <w:szCs w:val="21"/>
          <w:highlight w:val="none"/>
        </w:rPr>
        <w:t>，属于</w:t>
      </w:r>
      <w:r>
        <w:rPr>
          <w:rFonts w:ascii="宋体" w:hAnsi="宋体" w:cs="宋体"/>
          <w:color w:val="000000"/>
          <w:kern w:val="0"/>
          <w:szCs w:val="21"/>
          <w:highlight w:val="none"/>
          <w:u w:val="single"/>
        </w:rPr>
        <w:t>（采购文件中明确的所属行业）</w:t>
      </w:r>
      <w:r>
        <w:rPr>
          <w:rFonts w:ascii="宋体" w:hAnsi="宋体" w:cs="宋体"/>
          <w:color w:val="000000"/>
          <w:kern w:val="0"/>
          <w:szCs w:val="21"/>
          <w:highlight w:val="none"/>
        </w:rPr>
        <w:t>；承接企业为</w:t>
      </w:r>
      <w:r>
        <w:rPr>
          <w:rFonts w:ascii="宋体" w:hAnsi="宋体" w:cs="宋体"/>
          <w:color w:val="000000"/>
          <w:kern w:val="0"/>
          <w:szCs w:val="21"/>
          <w:highlight w:val="none"/>
          <w:u w:val="single"/>
        </w:rPr>
        <w:t>（企业名称）</w:t>
      </w:r>
      <w:r>
        <w:rPr>
          <w:rFonts w:ascii="宋体" w:hAnsi="宋体" w:cs="宋体"/>
          <w:color w:val="000000"/>
          <w:kern w:val="0"/>
          <w:szCs w:val="21"/>
          <w:highlight w:val="none"/>
        </w:rPr>
        <w:t>，从业人员人，营业收入为万元，资产总额为万元，属于</w:t>
      </w:r>
      <w:r>
        <w:rPr>
          <w:rFonts w:ascii="宋体" w:hAnsi="宋体" w:cs="宋体"/>
          <w:color w:val="000000"/>
          <w:kern w:val="0"/>
          <w:szCs w:val="21"/>
          <w:highlight w:val="none"/>
          <w:u w:val="single"/>
        </w:rPr>
        <w:t>（中型企业、小型企业、微型企业）</w:t>
      </w:r>
      <w:r>
        <w:rPr>
          <w:rFonts w:ascii="宋体" w:hAnsi="宋体" w:cs="宋体"/>
          <w:color w:val="000000"/>
          <w:kern w:val="0"/>
          <w:szCs w:val="21"/>
          <w:highlight w:val="none"/>
        </w:rPr>
        <w:t>；</w:t>
      </w:r>
    </w:p>
    <w:p>
      <w:pPr>
        <w:widowControl/>
        <w:spacing w:line="500" w:lineRule="exact"/>
        <w:ind w:firstLine="420" w:firstLineChars="200"/>
        <w:jc w:val="left"/>
        <w:rPr>
          <w:rFonts w:ascii="宋体" w:hAnsi="宋体" w:cs="宋体"/>
          <w:color w:val="000000"/>
          <w:kern w:val="0"/>
          <w:szCs w:val="21"/>
          <w:highlight w:val="none"/>
        </w:rPr>
      </w:pPr>
      <w:r>
        <w:rPr>
          <w:rFonts w:ascii="宋体" w:hAnsi="宋体" w:cs="宋体"/>
          <w:color w:val="000000"/>
          <w:kern w:val="0"/>
          <w:szCs w:val="21"/>
          <w:highlight w:val="none"/>
        </w:rPr>
        <w:t xml:space="preserve"> 2.</w:t>
      </w:r>
      <w:r>
        <w:rPr>
          <w:rFonts w:ascii="宋体" w:hAnsi="宋体" w:cs="宋体"/>
          <w:color w:val="000000"/>
          <w:kern w:val="0"/>
          <w:szCs w:val="21"/>
          <w:highlight w:val="none"/>
          <w:u w:val="single"/>
        </w:rPr>
        <w:t>（标的名称）</w:t>
      </w:r>
      <w:r>
        <w:rPr>
          <w:rFonts w:ascii="宋体" w:hAnsi="宋体" w:cs="宋体"/>
          <w:color w:val="000000"/>
          <w:kern w:val="0"/>
          <w:szCs w:val="21"/>
          <w:highlight w:val="none"/>
        </w:rPr>
        <w:t>，属于</w:t>
      </w:r>
      <w:r>
        <w:rPr>
          <w:rFonts w:ascii="宋体" w:hAnsi="宋体" w:cs="宋体"/>
          <w:color w:val="000000"/>
          <w:kern w:val="0"/>
          <w:szCs w:val="21"/>
          <w:highlight w:val="none"/>
          <w:u w:val="single"/>
        </w:rPr>
        <w:t>（采购文件中明确的所属行业）</w:t>
      </w:r>
      <w:r>
        <w:rPr>
          <w:rFonts w:ascii="宋体" w:hAnsi="宋体" w:cs="宋体"/>
          <w:color w:val="000000"/>
          <w:kern w:val="0"/>
          <w:szCs w:val="21"/>
          <w:highlight w:val="none"/>
        </w:rPr>
        <w:t>；承接企业为</w:t>
      </w:r>
      <w:r>
        <w:rPr>
          <w:rFonts w:ascii="宋体" w:hAnsi="宋体" w:cs="宋体"/>
          <w:color w:val="000000"/>
          <w:kern w:val="0"/>
          <w:szCs w:val="21"/>
          <w:highlight w:val="none"/>
          <w:u w:val="single"/>
        </w:rPr>
        <w:t>（企业名称）</w:t>
      </w:r>
      <w:r>
        <w:rPr>
          <w:rFonts w:ascii="宋体" w:hAnsi="宋体" w:cs="宋体"/>
          <w:color w:val="000000"/>
          <w:kern w:val="0"/>
          <w:szCs w:val="21"/>
          <w:highlight w:val="none"/>
        </w:rPr>
        <w:t>，从业人员人，营业收入为万元，资产总额为万元，属于</w:t>
      </w:r>
      <w:r>
        <w:rPr>
          <w:rFonts w:ascii="宋体" w:hAnsi="宋体" w:cs="宋体"/>
          <w:color w:val="000000"/>
          <w:kern w:val="0"/>
          <w:szCs w:val="21"/>
          <w:highlight w:val="none"/>
          <w:u w:val="single"/>
        </w:rPr>
        <w:t>（中型企业、 小型企业、微型企业）</w:t>
      </w:r>
      <w:r>
        <w:rPr>
          <w:rFonts w:ascii="宋体" w:hAnsi="宋体" w:cs="宋体"/>
          <w:color w:val="000000"/>
          <w:kern w:val="0"/>
          <w:szCs w:val="21"/>
          <w:highlight w:val="none"/>
        </w:rPr>
        <w:t xml:space="preserve">； </w:t>
      </w:r>
    </w:p>
    <w:p>
      <w:pPr>
        <w:widowControl/>
        <w:spacing w:line="500" w:lineRule="exact"/>
        <w:ind w:firstLine="420" w:firstLineChars="200"/>
        <w:jc w:val="left"/>
        <w:rPr>
          <w:rFonts w:ascii="宋体" w:hAnsi="宋体" w:cs="宋体"/>
          <w:color w:val="000000"/>
          <w:kern w:val="0"/>
          <w:szCs w:val="21"/>
          <w:highlight w:val="none"/>
        </w:rPr>
      </w:pPr>
      <w:r>
        <w:rPr>
          <w:rFonts w:ascii="宋体" w:hAnsi="宋体" w:cs="宋体"/>
          <w:color w:val="000000"/>
          <w:kern w:val="0"/>
          <w:szCs w:val="21"/>
          <w:highlight w:val="none"/>
        </w:rPr>
        <w:t>……</w:t>
      </w:r>
    </w:p>
    <w:p>
      <w:pPr>
        <w:widowControl/>
        <w:spacing w:line="500" w:lineRule="exact"/>
        <w:ind w:firstLine="420" w:firstLineChars="200"/>
        <w:jc w:val="left"/>
        <w:rPr>
          <w:rFonts w:ascii="宋体" w:hAnsi="宋体" w:cs="宋体"/>
          <w:color w:val="000000"/>
          <w:kern w:val="0"/>
          <w:szCs w:val="21"/>
          <w:highlight w:val="none"/>
        </w:rPr>
      </w:pPr>
      <w:r>
        <w:rPr>
          <w:rFonts w:ascii="宋体" w:hAnsi="宋体" w:cs="宋体"/>
          <w:color w:val="000000"/>
          <w:kern w:val="0"/>
          <w:szCs w:val="21"/>
          <w:highlight w:val="none"/>
        </w:rPr>
        <w:t>以上企业，不属于大企业的分支机构，不存在控股股东为大企业的情形，也不存在与大企业的负责人为同一人的情形。</w:t>
      </w:r>
    </w:p>
    <w:p>
      <w:pPr>
        <w:widowControl/>
        <w:spacing w:line="500" w:lineRule="exact"/>
        <w:ind w:firstLine="420" w:firstLineChars="200"/>
        <w:jc w:val="left"/>
        <w:rPr>
          <w:rFonts w:ascii="宋体" w:hAnsi="宋体" w:cs="宋体"/>
          <w:color w:val="000000"/>
          <w:kern w:val="0"/>
          <w:sz w:val="24"/>
          <w:highlight w:val="none"/>
        </w:rPr>
      </w:pPr>
      <w:r>
        <w:rPr>
          <w:rFonts w:ascii="宋体" w:hAnsi="宋体" w:cs="宋体"/>
          <w:color w:val="000000"/>
          <w:kern w:val="0"/>
          <w:szCs w:val="21"/>
          <w:highlight w:val="none"/>
        </w:rPr>
        <w:t>本企业对上述声明内容的真实性负责。如有虚假，将依法承担相应责任。</w:t>
      </w:r>
    </w:p>
    <w:p>
      <w:pPr>
        <w:widowControl/>
        <w:jc w:val="left"/>
        <w:rPr>
          <w:rFonts w:ascii="宋体" w:hAnsi="宋体" w:cs="宋体"/>
          <w:color w:val="000000"/>
          <w:kern w:val="0"/>
          <w:sz w:val="24"/>
          <w:highlight w:val="none"/>
        </w:rPr>
      </w:pPr>
    </w:p>
    <w:p>
      <w:pPr>
        <w:widowControl/>
        <w:jc w:val="left"/>
        <w:rPr>
          <w:rFonts w:ascii="宋体" w:hAnsi="宋体" w:cs="宋体"/>
          <w:color w:val="000000"/>
          <w:kern w:val="0"/>
          <w:sz w:val="24"/>
          <w:highlight w:val="none"/>
        </w:rPr>
      </w:pPr>
    </w:p>
    <w:p>
      <w:pPr>
        <w:pStyle w:val="37"/>
        <w:rPr>
          <w:color w:val="000000"/>
          <w:highlight w:val="none"/>
        </w:rPr>
      </w:pPr>
    </w:p>
    <w:p>
      <w:pPr>
        <w:widowControl/>
        <w:jc w:val="right"/>
        <w:rPr>
          <w:rFonts w:ascii="宋体" w:hAnsi="宋体" w:cs="宋体"/>
          <w:color w:val="000000"/>
          <w:kern w:val="0"/>
          <w:szCs w:val="21"/>
          <w:highlight w:val="none"/>
        </w:rPr>
      </w:pPr>
      <w:r>
        <w:rPr>
          <w:rFonts w:ascii="宋体" w:hAnsi="宋体" w:cs="宋体"/>
          <w:color w:val="000000"/>
          <w:kern w:val="0"/>
          <w:szCs w:val="21"/>
          <w:highlight w:val="none"/>
        </w:rPr>
        <w:t xml:space="preserve">企业名称（盖章）： </w:t>
      </w:r>
    </w:p>
    <w:p>
      <w:pPr>
        <w:widowControl/>
        <w:jc w:val="right"/>
        <w:rPr>
          <w:rFonts w:ascii="宋体" w:hAnsi="宋体" w:cs="宋体"/>
          <w:color w:val="000000"/>
          <w:kern w:val="0"/>
          <w:szCs w:val="21"/>
          <w:highlight w:val="none"/>
        </w:rPr>
      </w:pPr>
    </w:p>
    <w:p>
      <w:pPr>
        <w:widowControl/>
        <w:jc w:val="right"/>
        <w:rPr>
          <w:color w:val="000000"/>
          <w:szCs w:val="21"/>
          <w:highlight w:val="none"/>
        </w:rPr>
      </w:pPr>
      <w:r>
        <w:rPr>
          <w:rFonts w:ascii="宋体" w:hAnsi="宋体" w:cs="宋体"/>
          <w:color w:val="000000"/>
          <w:kern w:val="0"/>
          <w:szCs w:val="21"/>
          <w:highlight w:val="none"/>
        </w:rPr>
        <w:t>日 期：</w:t>
      </w:r>
    </w:p>
    <w:p>
      <w:pPr>
        <w:pStyle w:val="401"/>
        <w:spacing w:after="0"/>
        <w:rPr>
          <w:rFonts w:cs="宋体"/>
          <w:color w:val="000000"/>
          <w:sz w:val="21"/>
          <w:szCs w:val="21"/>
          <w:highlight w:val="none"/>
        </w:rPr>
      </w:pPr>
    </w:p>
    <w:p>
      <w:pPr>
        <w:pStyle w:val="401"/>
        <w:spacing w:after="0"/>
        <w:rPr>
          <w:rFonts w:cs="宋体"/>
          <w:color w:val="000000"/>
          <w:highlight w:val="none"/>
        </w:rPr>
      </w:pPr>
    </w:p>
    <w:p>
      <w:pPr>
        <w:pStyle w:val="401"/>
        <w:adjustRightInd w:val="0"/>
        <w:snapToGrid w:val="0"/>
        <w:spacing w:after="0" w:line="360" w:lineRule="exact"/>
        <w:jc w:val="left"/>
        <w:rPr>
          <w:rFonts w:cs="宋体"/>
          <w:color w:val="000000"/>
          <w:sz w:val="18"/>
          <w:szCs w:val="18"/>
          <w:highlight w:val="none"/>
        </w:rPr>
      </w:pPr>
      <w:r>
        <w:rPr>
          <w:rFonts w:hint="eastAsia" w:cs="宋体"/>
          <w:color w:val="000000"/>
          <w:sz w:val="18"/>
          <w:szCs w:val="18"/>
          <w:highlight w:val="none"/>
        </w:rPr>
        <w:t>备注：</w:t>
      </w:r>
    </w:p>
    <w:p>
      <w:pPr>
        <w:pStyle w:val="401"/>
        <w:adjustRightInd w:val="0"/>
        <w:snapToGrid w:val="0"/>
        <w:spacing w:after="0" w:line="360" w:lineRule="exact"/>
        <w:jc w:val="left"/>
        <w:rPr>
          <w:rFonts w:cs="宋体"/>
          <w:color w:val="000000"/>
          <w:sz w:val="18"/>
          <w:szCs w:val="18"/>
          <w:highlight w:val="none"/>
        </w:rPr>
      </w:pPr>
      <w:r>
        <w:rPr>
          <w:rFonts w:hint="eastAsia" w:cs="宋体"/>
          <w:color w:val="000000"/>
          <w:sz w:val="18"/>
          <w:szCs w:val="18"/>
          <w:highlight w:val="none"/>
        </w:rPr>
        <w:t>1、从业人员、营业收入、资产总额填报上一年度数据，无上一年度数据的新成立企业可不填报。</w:t>
      </w:r>
    </w:p>
    <w:p>
      <w:pPr>
        <w:pStyle w:val="401"/>
        <w:adjustRightInd w:val="0"/>
        <w:snapToGrid w:val="0"/>
        <w:spacing w:after="0" w:line="360" w:lineRule="exact"/>
        <w:jc w:val="left"/>
        <w:rPr>
          <w:rFonts w:cs="宋体"/>
          <w:color w:val="000000"/>
          <w:sz w:val="18"/>
          <w:szCs w:val="18"/>
          <w:highlight w:val="none"/>
        </w:rPr>
      </w:pPr>
      <w:r>
        <w:rPr>
          <w:rFonts w:hint="eastAsia" w:cs="宋体"/>
          <w:color w:val="000000"/>
          <w:sz w:val="18"/>
          <w:szCs w:val="18"/>
          <w:highlight w:val="none"/>
        </w:rPr>
        <w:t>2、采购文件中明确的所属行业名称是根据《关于印发中小企业划型标准规定的通知》（工信部联企业[2011]300号）规定确定。</w:t>
      </w:r>
    </w:p>
    <w:p>
      <w:pPr>
        <w:pStyle w:val="401"/>
        <w:spacing w:after="0"/>
        <w:rPr>
          <w:sz w:val="21"/>
          <w:szCs w:val="21"/>
          <w:highlight w:val="none"/>
        </w:rPr>
      </w:pPr>
    </w:p>
    <w:p>
      <w:pPr>
        <w:pStyle w:val="401"/>
        <w:spacing w:after="0"/>
        <w:rPr>
          <w:sz w:val="21"/>
          <w:szCs w:val="21"/>
          <w:highlight w:val="none"/>
        </w:rPr>
      </w:pPr>
    </w:p>
    <w:p>
      <w:pPr>
        <w:snapToGrid w:val="0"/>
        <w:spacing w:line="360" w:lineRule="exact"/>
        <w:ind w:firstLine="206" w:firstLineChars="98"/>
        <w:jc w:val="left"/>
        <w:rPr>
          <w:rFonts w:ascii="宋体" w:hAnsi="宋体"/>
          <w:b/>
          <w:szCs w:val="21"/>
          <w:highlight w:val="none"/>
        </w:rPr>
      </w:pPr>
    </w:p>
    <w:p>
      <w:pPr>
        <w:snapToGrid w:val="0"/>
        <w:spacing w:line="360" w:lineRule="exact"/>
        <w:ind w:firstLine="516" w:firstLineChars="246"/>
        <w:jc w:val="left"/>
        <w:rPr>
          <w:rFonts w:ascii="宋体" w:hAnsi="宋体"/>
          <w:szCs w:val="21"/>
          <w:highlight w:val="none"/>
        </w:rPr>
      </w:pPr>
      <w:r>
        <w:rPr>
          <w:rFonts w:hint="eastAsia" w:ascii="宋体" w:hAnsi="宋体"/>
          <w:szCs w:val="21"/>
          <w:highlight w:val="none"/>
        </w:rPr>
        <w:br w:type="page"/>
      </w:r>
    </w:p>
    <w:p>
      <w:pPr>
        <w:snapToGrid w:val="0"/>
        <w:spacing w:line="360" w:lineRule="exact"/>
        <w:ind w:firstLine="516" w:firstLineChars="246"/>
        <w:jc w:val="left"/>
        <w:rPr>
          <w:rFonts w:ascii="宋体" w:hAnsi="宋体"/>
          <w:szCs w:val="21"/>
          <w:highlight w:val="none"/>
        </w:rPr>
      </w:pPr>
    </w:p>
    <w:p>
      <w:pPr>
        <w:snapToGrid w:val="0"/>
        <w:spacing w:line="360" w:lineRule="exact"/>
        <w:ind w:firstLine="516" w:firstLineChars="246"/>
        <w:jc w:val="left"/>
        <w:rPr>
          <w:rFonts w:ascii="宋体" w:hAnsi="宋体"/>
          <w:szCs w:val="21"/>
          <w:highlight w:val="none"/>
        </w:rPr>
      </w:pPr>
    </w:p>
    <w:p>
      <w:pPr>
        <w:snapToGrid w:val="0"/>
        <w:spacing w:line="360" w:lineRule="exact"/>
        <w:ind w:firstLine="516" w:firstLineChars="246"/>
        <w:jc w:val="left"/>
        <w:rPr>
          <w:rFonts w:ascii="宋体" w:hAnsi="宋体"/>
          <w:szCs w:val="21"/>
          <w:highlight w:val="none"/>
        </w:rPr>
      </w:pPr>
    </w:p>
    <w:p>
      <w:pPr>
        <w:rPr>
          <w:rFonts w:ascii="宋体" w:hAnsi="宋体"/>
          <w:b/>
          <w:szCs w:val="21"/>
          <w:highlight w:val="none"/>
        </w:rPr>
      </w:pPr>
      <w:r>
        <w:rPr>
          <w:rFonts w:hint="eastAsia" w:ascii="宋体" w:hAnsi="宋体"/>
          <w:b/>
          <w:szCs w:val="21"/>
          <w:highlight w:val="none"/>
        </w:rPr>
        <w:t>三）、技术文件部分（格式）</w:t>
      </w:r>
    </w:p>
    <w:p>
      <w:pPr>
        <w:adjustRightInd w:val="0"/>
        <w:snapToGrid w:val="0"/>
        <w:spacing w:line="400" w:lineRule="exact"/>
        <w:ind w:firstLine="421" w:firstLineChars="200"/>
        <w:jc w:val="left"/>
        <w:rPr>
          <w:rFonts w:ascii="宋体" w:hAnsi="宋体" w:cs="宋体"/>
          <w:b/>
          <w:bCs/>
          <w:color w:val="000000"/>
          <w:szCs w:val="21"/>
          <w:highlight w:val="none"/>
        </w:rPr>
      </w:pPr>
      <w:r>
        <w:rPr>
          <w:rFonts w:hint="eastAsia" w:ascii="宋体" w:hAnsi="宋体" w:cs="宋体"/>
          <w:b/>
          <w:bCs/>
          <w:color w:val="000000"/>
          <w:szCs w:val="21"/>
          <w:highlight w:val="none"/>
        </w:rPr>
        <w:t>（1）投标技术文件（服务方案）</w:t>
      </w:r>
    </w:p>
    <w:p>
      <w:pPr>
        <w:pStyle w:val="31"/>
        <w:adjustRightInd w:val="0"/>
        <w:snapToGrid w:val="0"/>
        <w:spacing w:line="400" w:lineRule="exact"/>
        <w:ind w:firstLine="420" w:firstLineChars="200"/>
        <w:rPr>
          <w:rFonts w:hAnsi="宋体" w:cs="宋体"/>
          <w:color w:val="000000"/>
          <w:highlight w:val="none"/>
        </w:rPr>
      </w:pPr>
      <w:r>
        <w:rPr>
          <w:rFonts w:hint="eastAsia" w:hAnsi="宋体" w:cs="宋体"/>
          <w:color w:val="000000"/>
          <w:highlight w:val="none"/>
        </w:rPr>
        <w:t>投标文件中的服务方案必须符合《招标项目采购需求》中的所有内容及技术规范要求。本方案还应包含以下内容：</w:t>
      </w:r>
    </w:p>
    <w:p>
      <w:pPr>
        <w:pStyle w:val="31"/>
        <w:adjustRightInd w:val="0"/>
        <w:snapToGrid w:val="0"/>
        <w:spacing w:line="400" w:lineRule="exact"/>
        <w:ind w:firstLine="420" w:firstLineChars="200"/>
        <w:rPr>
          <w:rFonts w:hAnsi="宋体" w:cs="宋体"/>
          <w:color w:val="000000"/>
          <w:highlight w:val="none"/>
        </w:rPr>
      </w:pPr>
      <w:r>
        <w:rPr>
          <w:rFonts w:hint="eastAsia" w:hAnsi="宋体" w:cs="宋体"/>
          <w:color w:val="000000"/>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1"/>
        <w:adjustRightInd w:val="0"/>
        <w:snapToGrid w:val="0"/>
        <w:spacing w:line="400" w:lineRule="exact"/>
        <w:ind w:firstLine="420" w:firstLineChars="200"/>
        <w:rPr>
          <w:rFonts w:hAnsi="宋体" w:cs="宋体"/>
          <w:color w:val="000000"/>
          <w:highlight w:val="none"/>
        </w:rPr>
      </w:pPr>
      <w:r>
        <w:rPr>
          <w:rFonts w:hint="eastAsia" w:hAnsi="宋体" w:cs="宋体"/>
          <w:color w:val="000000"/>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3）投标单位响应本项目</w:t>
      </w:r>
      <w:r>
        <w:rPr>
          <w:rFonts w:hint="eastAsia" w:ascii="宋体" w:hAnsi="宋体" w:cs="宋体"/>
          <w:color w:val="000000"/>
          <w:highlight w:val="none"/>
        </w:rPr>
        <w:t>《项目需求和说明》中的所有内容及技术规范要求的承诺。</w:t>
      </w:r>
    </w:p>
    <w:p>
      <w:pPr>
        <w:adjustRightInd w:val="0"/>
        <w:snapToGrid w:val="0"/>
        <w:spacing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4）投标人对本项目的合理化建议和改进措施；</w:t>
      </w:r>
    </w:p>
    <w:p>
      <w:pPr>
        <w:snapToGrid w:val="0"/>
        <w:spacing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5）投标人需要说明的其他文件和说明（格式自拟）。</w:t>
      </w:r>
    </w:p>
    <w:p>
      <w:pPr>
        <w:pStyle w:val="37"/>
        <w:rPr>
          <w:highlight w:val="none"/>
        </w:rPr>
      </w:pPr>
      <w:r>
        <w:rPr>
          <w:rFonts w:hint="eastAsia" w:ascii="宋体" w:hAnsi="宋体" w:cs="宋体"/>
          <w:b/>
          <w:bCs/>
          <w:color w:val="000000"/>
          <w:sz w:val="21"/>
          <w:szCs w:val="21"/>
          <w:highlight w:val="none"/>
        </w:rPr>
        <w:t>（2）招标项目采购需求中要求必须提供的材料。</w:t>
      </w:r>
    </w:p>
    <w:p>
      <w:pPr>
        <w:snapToGrid w:val="0"/>
        <w:spacing w:before="50" w:line="360" w:lineRule="exact"/>
        <w:jc w:val="left"/>
        <w:rPr>
          <w:rFonts w:ascii="宋体" w:hAnsi="宋体"/>
          <w:b/>
          <w:szCs w:val="21"/>
          <w:highlight w:val="none"/>
        </w:rPr>
      </w:pPr>
    </w:p>
    <w:p>
      <w:pPr>
        <w:pStyle w:val="37"/>
        <w:rPr>
          <w:rFonts w:ascii="宋体" w:hAnsi="宋体"/>
          <w:b/>
          <w:szCs w:val="21"/>
          <w:highlight w:val="none"/>
        </w:rPr>
      </w:pPr>
    </w:p>
    <w:p>
      <w:pPr>
        <w:rPr>
          <w:rFonts w:ascii="宋体" w:hAnsi="宋体"/>
          <w:b/>
          <w:szCs w:val="21"/>
          <w:highlight w:val="none"/>
        </w:rPr>
      </w:pPr>
    </w:p>
    <w:p>
      <w:pPr>
        <w:pStyle w:val="37"/>
        <w:rPr>
          <w:rFonts w:ascii="宋体" w:hAnsi="宋体"/>
          <w:b/>
          <w:szCs w:val="21"/>
          <w:highlight w:val="none"/>
        </w:rPr>
      </w:pPr>
    </w:p>
    <w:p>
      <w:pPr>
        <w:rPr>
          <w:highlight w:val="none"/>
        </w:rPr>
      </w:pPr>
    </w:p>
    <w:p>
      <w:pPr>
        <w:snapToGrid w:val="0"/>
        <w:spacing w:beforeLines="50" w:after="50" w:line="360" w:lineRule="exact"/>
        <w:outlineLvl w:val="0"/>
        <w:rPr>
          <w:rFonts w:ascii="宋体" w:hAnsi="宋体"/>
          <w:b/>
          <w:szCs w:val="21"/>
          <w:highlight w:val="none"/>
        </w:rPr>
      </w:pPr>
      <w:r>
        <w:rPr>
          <w:rFonts w:hint="eastAsia" w:ascii="宋体" w:hAnsi="宋体"/>
          <w:b/>
          <w:szCs w:val="21"/>
          <w:highlight w:val="none"/>
        </w:rPr>
        <w:t>四）报价文件部分 （格式）</w:t>
      </w:r>
    </w:p>
    <w:p>
      <w:pPr>
        <w:snapToGrid w:val="0"/>
        <w:spacing w:beforeLines="50" w:after="50" w:line="360" w:lineRule="exact"/>
        <w:rPr>
          <w:rFonts w:ascii="宋体" w:hAnsi="宋体"/>
          <w:b/>
          <w:szCs w:val="21"/>
          <w:highlight w:val="none"/>
        </w:rPr>
      </w:pPr>
      <w:r>
        <w:rPr>
          <w:rFonts w:hint="eastAsia" w:ascii="宋体" w:hAnsi="宋体"/>
          <w:b/>
          <w:szCs w:val="21"/>
          <w:highlight w:val="none"/>
        </w:rPr>
        <w:t>（1）投标函格式：</w:t>
      </w:r>
    </w:p>
    <w:p>
      <w:pPr>
        <w:snapToGrid w:val="0"/>
        <w:spacing w:beforeLines="50" w:after="50" w:line="360" w:lineRule="exact"/>
        <w:jc w:val="center"/>
        <w:rPr>
          <w:rFonts w:ascii="宋体" w:hAnsi="宋体" w:cs="宋体"/>
          <w:b/>
          <w:color w:val="000000"/>
          <w:szCs w:val="21"/>
          <w:highlight w:val="none"/>
        </w:rPr>
      </w:pPr>
      <w:r>
        <w:rPr>
          <w:rFonts w:hint="eastAsia" w:ascii="宋体" w:hAnsi="宋体" w:cs="宋体"/>
          <w:b/>
          <w:color w:val="000000"/>
          <w:szCs w:val="21"/>
          <w:highlight w:val="none"/>
        </w:rPr>
        <w:t>投 标 函</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致：</w:t>
      </w:r>
      <w:r>
        <w:rPr>
          <w:rFonts w:hint="eastAsia" w:ascii="宋体" w:hAnsi="宋体" w:cs="宋体"/>
          <w:color w:val="000000"/>
          <w:highlight w:val="none"/>
          <w:u w:val="single"/>
        </w:rPr>
        <w:t>广西壮族自治区政府采购中心</w:t>
      </w:r>
      <w:r>
        <w:rPr>
          <w:rFonts w:hint="eastAsia" w:ascii="宋体" w:hAnsi="宋体" w:cs="宋体"/>
          <w:color w:val="000000"/>
          <w:szCs w:val="21"/>
          <w:highlight w:val="none"/>
        </w:rPr>
        <w:t>：</w:t>
      </w:r>
    </w:p>
    <w:p>
      <w:pPr>
        <w:snapToGrid w:val="0"/>
        <w:spacing w:line="500" w:lineRule="exact"/>
        <w:ind w:firstLine="480"/>
        <w:rPr>
          <w:rFonts w:ascii="宋体" w:hAnsi="宋体" w:cs="宋体"/>
          <w:color w:val="000000"/>
          <w:szCs w:val="21"/>
          <w:highlight w:val="none"/>
        </w:rPr>
      </w:pPr>
      <w:r>
        <w:rPr>
          <w:rFonts w:hint="eastAsia" w:ascii="宋体" w:hAnsi="宋体" w:cs="宋体"/>
          <w:color w:val="000000"/>
          <w:szCs w:val="21"/>
          <w:highlight w:val="none"/>
        </w:rPr>
        <w:t>根据贵方为项目的招标公告（项目编号：），签字代表（全名）经正式授权并代表投标人（投标人名称）上传并提交加密的电子投标文件一份。</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据此函，签字代表宣布同意如下：</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3.本投标有效期自开标日起</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rPr>
        <w:t>个日（自然日）。</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5.投标人同意按照贵方要求提供与投标有关的一切数据或资料。</w:t>
      </w:r>
    </w:p>
    <w:p>
      <w:pPr>
        <w:snapToGrid w:val="0"/>
        <w:spacing w:line="5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6.与本投标有关的一切正式往来信函请寄：</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地址：邮编：电话：</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传真：投标人代表姓名：职务：</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投标人名称：</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开户银行：   银行账号：</w:t>
      </w:r>
    </w:p>
    <w:p>
      <w:pPr>
        <w:snapToGrid w:val="0"/>
        <w:spacing w:line="500" w:lineRule="exact"/>
        <w:rPr>
          <w:rFonts w:ascii="宋体" w:hAnsi="宋体" w:cs="宋体"/>
          <w:color w:val="000000"/>
          <w:szCs w:val="21"/>
          <w:highlight w:val="none"/>
        </w:rPr>
      </w:pPr>
      <w:r>
        <w:rPr>
          <w:rFonts w:hint="eastAsia" w:ascii="宋体" w:hAnsi="宋体" w:cs="宋体"/>
          <w:color w:val="000000"/>
          <w:szCs w:val="21"/>
          <w:highlight w:val="none"/>
        </w:rPr>
        <w:t xml:space="preserve">法定代表人或委托代理人签字或签章：              </w:t>
      </w:r>
    </w:p>
    <w:p>
      <w:pPr>
        <w:pStyle w:val="31"/>
        <w:snapToGrid w:val="0"/>
        <w:spacing w:line="500" w:lineRule="exact"/>
        <w:ind w:firstLine="5880" w:firstLineChars="2800"/>
        <w:rPr>
          <w:rFonts w:hAnsi="宋体" w:cs="宋体"/>
          <w:color w:val="000000"/>
          <w:highlight w:val="none"/>
        </w:rPr>
      </w:pPr>
      <w:r>
        <w:rPr>
          <w:rFonts w:hint="eastAsia" w:hAnsi="宋体" w:cs="宋体"/>
          <w:color w:val="000000"/>
          <w:highlight w:val="none"/>
        </w:rPr>
        <w:t>（公章）</w:t>
      </w:r>
    </w:p>
    <w:p>
      <w:pPr>
        <w:pStyle w:val="31"/>
        <w:snapToGrid w:val="0"/>
        <w:spacing w:line="500" w:lineRule="exact"/>
        <w:ind w:firstLine="5985" w:firstLineChars="2850"/>
        <w:rPr>
          <w:rFonts w:hAnsi="宋体" w:cs="宋体"/>
          <w:color w:val="000000"/>
          <w:highlight w:val="none"/>
        </w:rPr>
      </w:pPr>
      <w:r>
        <w:rPr>
          <w:rFonts w:hint="eastAsia" w:hAnsi="宋体" w:cs="宋体"/>
          <w:color w:val="000000"/>
          <w:highlight w:val="none"/>
        </w:rPr>
        <w:t>年月日</w:t>
      </w:r>
    </w:p>
    <w:p>
      <w:pPr>
        <w:snapToGrid w:val="0"/>
        <w:spacing w:beforeLines="50" w:after="50" w:line="360" w:lineRule="exact"/>
        <w:rPr>
          <w:rFonts w:ascii="宋体" w:hAnsi="宋体"/>
          <w:b/>
          <w:szCs w:val="21"/>
          <w:highlight w:val="none"/>
        </w:rPr>
      </w:pPr>
    </w:p>
    <w:p>
      <w:pPr>
        <w:snapToGrid w:val="0"/>
        <w:spacing w:beforeLines="50" w:after="50" w:line="360" w:lineRule="exact"/>
        <w:rPr>
          <w:ins w:id="0" w:author="gxxc" w:date="2026-07-30T16:53:18Z"/>
          <w:rFonts w:ascii="宋体" w:hAnsi="宋体"/>
          <w:b/>
          <w:szCs w:val="21"/>
          <w:highlight w:val="none"/>
        </w:rPr>
      </w:pPr>
    </w:p>
    <w:p>
      <w:pPr>
        <w:pStyle w:val="2"/>
        <w:rPr>
          <w:highlight w:val="none"/>
        </w:rPr>
      </w:pPr>
    </w:p>
    <w:p>
      <w:pPr>
        <w:snapToGrid w:val="0"/>
        <w:spacing w:beforeLines="50" w:after="50" w:line="360" w:lineRule="exact"/>
        <w:rPr>
          <w:rFonts w:ascii="宋体" w:hAnsi="宋体"/>
          <w:b/>
          <w:szCs w:val="21"/>
          <w:highlight w:val="none"/>
        </w:rPr>
      </w:pPr>
    </w:p>
    <w:p>
      <w:pPr>
        <w:snapToGrid w:val="0"/>
        <w:spacing w:line="360" w:lineRule="exact"/>
        <w:rPr>
          <w:rFonts w:ascii="宋体" w:hAnsi="宋体"/>
          <w:b/>
          <w:szCs w:val="21"/>
          <w:highlight w:val="none"/>
        </w:rPr>
      </w:pPr>
      <w:r>
        <w:rPr>
          <w:rFonts w:hint="eastAsia" w:ascii="宋体" w:hAnsi="宋体"/>
          <w:b/>
          <w:szCs w:val="21"/>
          <w:highlight w:val="none"/>
        </w:rPr>
        <w:t>（2）投标报价明细表格式</w:t>
      </w:r>
    </w:p>
    <w:p>
      <w:pPr>
        <w:pStyle w:val="31"/>
        <w:snapToGrid w:val="0"/>
        <w:spacing w:before="295" w:after="295" w:line="400" w:lineRule="exact"/>
        <w:jc w:val="center"/>
        <w:rPr>
          <w:rFonts w:hAnsi="宋体" w:cs="宋体"/>
          <w:b/>
          <w:color w:val="000000"/>
          <w:sz w:val="28"/>
          <w:szCs w:val="28"/>
          <w:highlight w:val="none"/>
        </w:rPr>
      </w:pPr>
      <w:r>
        <w:rPr>
          <w:rFonts w:hint="eastAsia" w:hAnsi="宋体" w:cs="宋体"/>
          <w:b/>
          <w:color w:val="000000"/>
          <w:sz w:val="32"/>
          <w:szCs w:val="32"/>
          <w:highlight w:val="none"/>
        </w:rPr>
        <w:t>投标报价明细表</w:t>
      </w:r>
    </w:p>
    <w:p>
      <w:pPr>
        <w:spacing w:line="400" w:lineRule="exact"/>
        <w:ind w:firstLine="421" w:firstLineChars="200"/>
        <w:rPr>
          <w:rFonts w:ascii="宋体" w:hAnsi="宋体" w:cs="宋体"/>
          <w:b/>
          <w:color w:val="000000"/>
          <w:szCs w:val="21"/>
          <w:highlight w:val="none"/>
        </w:rPr>
      </w:pPr>
      <w:r>
        <w:rPr>
          <w:rFonts w:hint="eastAsia" w:ascii="宋体" w:hAnsi="宋体" w:cs="宋体"/>
          <w:b/>
          <w:color w:val="000000"/>
          <w:szCs w:val="21"/>
          <w:highlight w:val="none"/>
          <w:u w:val="single"/>
        </w:rPr>
        <w:t>本项目</w:t>
      </w:r>
    </w:p>
    <w:tbl>
      <w:tblPr>
        <w:tblStyle w:val="53"/>
        <w:tblW w:w="8676"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375"/>
        <w:gridCol w:w="24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101"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项目名称</w:t>
            </w:r>
          </w:p>
        </w:tc>
        <w:tc>
          <w:tcPr>
            <w:tcW w:w="2375"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服务内容</w:t>
            </w:r>
          </w:p>
        </w:tc>
        <w:tc>
          <w:tcPr>
            <w:tcW w:w="240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报  价（元）</w:t>
            </w:r>
          </w:p>
        </w:tc>
        <w:tc>
          <w:tcPr>
            <w:tcW w:w="180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101" w:type="dxa"/>
            <w:tcBorders>
              <w:top w:val="single" w:color="auto" w:sz="4" w:space="0"/>
              <w:left w:val="single" w:color="auto" w:sz="4" w:space="0"/>
              <w:bottom w:val="single" w:color="auto" w:sz="4" w:space="0"/>
              <w:right w:val="single" w:color="auto" w:sz="4" w:space="0"/>
            </w:tcBorders>
            <w:noWrap/>
            <w:vAlign w:val="center"/>
          </w:tcPr>
          <w:p>
            <w:pPr>
              <w:pStyle w:val="4"/>
              <w:jc w:val="center"/>
              <w:rPr>
                <w:rFonts w:hAnsi="宋体"/>
                <w:sz w:val="21"/>
                <w:szCs w:val="21"/>
                <w:highlight w:val="none"/>
              </w:rPr>
            </w:pPr>
            <w:r>
              <w:rPr>
                <w:rFonts w:hint="eastAsia"/>
                <w:sz w:val="21"/>
                <w:szCs w:val="21"/>
                <w:highlight w:val="none"/>
              </w:rPr>
              <w:t>服务采购</w:t>
            </w:r>
          </w:p>
        </w:tc>
        <w:tc>
          <w:tcPr>
            <w:tcW w:w="2375"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p>
        </w:tc>
        <w:tc>
          <w:tcPr>
            <w:tcW w:w="180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676" w:type="dxa"/>
            <w:gridSpan w:val="4"/>
            <w:tcBorders>
              <w:top w:val="single" w:color="auto" w:sz="4" w:space="0"/>
              <w:left w:val="single" w:color="auto" w:sz="4" w:space="0"/>
              <w:bottom w:val="single" w:color="auto" w:sz="4" w:space="0"/>
              <w:right w:val="single" w:color="auto" w:sz="4" w:space="0"/>
            </w:tcBorders>
            <w:noWrap/>
            <w:vAlign w:val="center"/>
          </w:tcPr>
          <w:p>
            <w:pPr>
              <w:spacing w:line="400" w:lineRule="exact"/>
              <w:jc w:val="left"/>
              <w:rPr>
                <w:rFonts w:ascii="宋体" w:hAnsi="宋体" w:cs="宋体"/>
                <w:color w:val="000000"/>
                <w:szCs w:val="21"/>
                <w:highlight w:val="none"/>
              </w:rPr>
            </w:pPr>
            <w:r>
              <w:rPr>
                <w:rFonts w:hint="eastAsia" w:ascii="宋体" w:hAnsi="宋体" w:cs="宋体"/>
                <w:color w:val="000000"/>
                <w:szCs w:val="21"/>
                <w:highlight w:val="none"/>
              </w:rPr>
              <w:t>总报价（人民币大写）：</w:t>
            </w:r>
            <w:r>
              <w:rPr>
                <w:rFonts w:hint="eastAsia" w:ascii="宋体" w:hAnsi="宋体" w:cs="宋体"/>
                <w:color w:val="000000"/>
                <w:szCs w:val="21"/>
                <w:highlight w:val="none"/>
                <w:u w:val="single"/>
              </w:rPr>
              <w:t xml:space="preserve">   （￥          元）</w:t>
            </w:r>
          </w:p>
        </w:tc>
      </w:tr>
    </w:tbl>
    <w:p>
      <w:pPr>
        <w:pStyle w:val="31"/>
        <w:spacing w:line="400" w:lineRule="exact"/>
        <w:rPr>
          <w:rFonts w:hAnsi="宋体" w:cs="宋体"/>
          <w:color w:val="000000"/>
          <w:sz w:val="24"/>
          <w:szCs w:val="20"/>
          <w:highlight w:val="none"/>
        </w:rPr>
      </w:pPr>
    </w:p>
    <w:p>
      <w:pPr>
        <w:pStyle w:val="31"/>
        <w:spacing w:line="400" w:lineRule="exact"/>
        <w:ind w:firstLine="420" w:firstLineChars="200"/>
        <w:rPr>
          <w:rFonts w:hAnsi="宋体" w:cs="宋体"/>
          <w:color w:val="000000"/>
          <w:highlight w:val="none"/>
        </w:rPr>
      </w:pPr>
      <w:r>
        <w:rPr>
          <w:rFonts w:hint="eastAsia" w:hAnsi="宋体" w:cs="宋体"/>
          <w:color w:val="000000"/>
          <w:highlight w:val="none"/>
        </w:rPr>
        <w:t>注：1、本项目报价为完成项目需求所有内容的总报价。</w:t>
      </w:r>
    </w:p>
    <w:p>
      <w:pPr>
        <w:pStyle w:val="31"/>
        <w:spacing w:line="400" w:lineRule="exact"/>
        <w:rPr>
          <w:rFonts w:hAnsi="宋体" w:cs="宋体"/>
          <w:color w:val="000000"/>
          <w:highlight w:val="none"/>
        </w:rPr>
      </w:pPr>
    </w:p>
    <w:p>
      <w:pPr>
        <w:pStyle w:val="31"/>
        <w:spacing w:line="400" w:lineRule="exact"/>
        <w:ind w:firstLine="420" w:firstLineChars="200"/>
        <w:rPr>
          <w:rFonts w:hAnsi="宋体" w:cs="宋体"/>
          <w:color w:val="000000"/>
          <w:highlight w:val="none"/>
        </w:rPr>
      </w:pPr>
      <w:r>
        <w:rPr>
          <w:rFonts w:hint="eastAsia" w:hAnsi="宋体" w:cs="宋体"/>
          <w:color w:val="000000"/>
          <w:highlight w:val="none"/>
        </w:rPr>
        <w:t>投标人盖公章：</w:t>
      </w:r>
    </w:p>
    <w:p>
      <w:pPr>
        <w:pStyle w:val="31"/>
        <w:spacing w:line="400" w:lineRule="exact"/>
        <w:rPr>
          <w:rFonts w:hAnsi="宋体" w:cs="宋体"/>
          <w:color w:val="000000"/>
          <w:highlight w:val="none"/>
        </w:rPr>
      </w:pPr>
    </w:p>
    <w:p>
      <w:pPr>
        <w:snapToGrid w:val="0"/>
        <w:spacing w:before="50" w:after="50" w:line="400" w:lineRule="exact"/>
        <w:ind w:firstLine="420" w:firstLineChars="200"/>
        <w:rPr>
          <w:rFonts w:ascii="宋体" w:hAnsi="宋体" w:cs="宋体"/>
          <w:color w:val="000000"/>
          <w:spacing w:val="20"/>
          <w:highlight w:val="none"/>
          <w:u w:val="single"/>
        </w:rPr>
      </w:pPr>
      <w:r>
        <w:rPr>
          <w:rFonts w:hint="eastAsia" w:ascii="宋体" w:hAnsi="宋体" w:cs="宋体"/>
          <w:color w:val="000000"/>
          <w:highlight w:val="none"/>
        </w:rPr>
        <w:t>法定代表人或委托代理人</w:t>
      </w:r>
      <w:r>
        <w:rPr>
          <w:rFonts w:hint="eastAsia" w:ascii="宋体" w:hAnsi="宋体" w:cs="宋体"/>
          <w:color w:val="000000"/>
          <w:spacing w:val="20"/>
          <w:highlight w:val="none"/>
        </w:rPr>
        <w:t>签字或签章：</w:t>
      </w:r>
    </w:p>
    <w:p>
      <w:pPr>
        <w:snapToGrid w:val="0"/>
        <w:rPr>
          <w:rFonts w:ascii="宋体" w:hAnsi="宋体"/>
          <w:szCs w:val="21"/>
          <w:highlight w:val="none"/>
        </w:rPr>
      </w:pPr>
    </w:p>
    <w:p>
      <w:pPr>
        <w:snapToGrid w:val="0"/>
        <w:rPr>
          <w:rFonts w:ascii="宋体" w:hAnsi="宋体"/>
          <w:b/>
          <w:szCs w:val="21"/>
          <w:highlight w:val="none"/>
        </w:rPr>
      </w:pPr>
    </w:p>
    <w:p>
      <w:pPr>
        <w:snapToGrid w:val="0"/>
        <w:rPr>
          <w:rFonts w:ascii="宋体" w:hAnsi="宋体"/>
          <w:szCs w:val="21"/>
          <w:highlight w:val="none"/>
        </w:rPr>
      </w:pPr>
      <w:r>
        <w:rPr>
          <w:rFonts w:hint="eastAsia" w:ascii="宋体" w:hAnsi="宋体"/>
          <w:b/>
          <w:szCs w:val="21"/>
          <w:highlight w:val="none"/>
        </w:rPr>
        <w:t>（3）</w:t>
      </w:r>
      <w:r>
        <w:rPr>
          <w:rFonts w:hint="eastAsia" w:ascii="宋体" w:hAnsi="宋体"/>
          <w:b/>
          <w:bCs/>
          <w:szCs w:val="21"/>
          <w:highlight w:val="none"/>
        </w:rPr>
        <w:t>投标人针对报价需要说明的其他文件和说明（格式自拟）</w:t>
      </w:r>
    </w:p>
    <w:p>
      <w:pPr>
        <w:snapToGrid w:val="0"/>
        <w:ind w:firstLine="421" w:firstLineChars="200"/>
        <w:rPr>
          <w:rFonts w:ascii="宋体" w:hAnsi="宋体"/>
          <w:b/>
          <w:szCs w:val="21"/>
          <w:highlight w:val="none"/>
        </w:rPr>
      </w:pPr>
    </w:p>
    <w:p>
      <w:pPr>
        <w:snapToGrid w:val="0"/>
        <w:spacing w:line="360" w:lineRule="exact"/>
        <w:rPr>
          <w:rFonts w:ascii="宋体" w:hAnsi="宋体"/>
          <w:b/>
          <w:szCs w:val="21"/>
          <w:highlight w:val="none"/>
        </w:rPr>
      </w:pPr>
      <w:r>
        <w:rPr>
          <w:rFonts w:hint="eastAsia" w:ascii="宋体" w:hAnsi="宋体"/>
          <w:b/>
          <w:szCs w:val="21"/>
          <w:highlight w:val="none"/>
        </w:rPr>
        <w:t>（4）开标一览表</w:t>
      </w:r>
    </w:p>
    <w:p>
      <w:pPr>
        <w:snapToGrid w:val="0"/>
        <w:spacing w:before="50" w:after="50" w:line="400" w:lineRule="exact"/>
        <w:jc w:val="center"/>
        <w:rPr>
          <w:rFonts w:ascii="宋体" w:hAnsi="宋体" w:cs="宋体"/>
          <w:b/>
          <w:color w:val="000000"/>
          <w:szCs w:val="21"/>
          <w:highlight w:val="none"/>
        </w:rPr>
      </w:pPr>
      <w:r>
        <w:rPr>
          <w:rFonts w:hint="eastAsia" w:ascii="宋体" w:hAnsi="宋体" w:cs="宋体"/>
          <w:b/>
          <w:color w:val="000000"/>
          <w:sz w:val="28"/>
          <w:szCs w:val="28"/>
          <w:highlight w:val="none"/>
        </w:rPr>
        <w:t>开标一览表</w:t>
      </w:r>
    </w:p>
    <w:p>
      <w:pPr>
        <w:snapToGrid w:val="0"/>
        <w:spacing w:before="50" w:afterLines="50" w:line="400" w:lineRule="exact"/>
        <w:ind w:firstLine="420" w:firstLineChars="200"/>
        <w:jc w:val="left"/>
        <w:rPr>
          <w:rFonts w:ascii="宋体" w:hAnsi="宋体" w:cs="宋体"/>
          <w:color w:val="000000"/>
          <w:highlight w:val="none"/>
        </w:rPr>
      </w:pPr>
      <w:r>
        <w:rPr>
          <w:rFonts w:hint="eastAsia" w:ascii="宋体" w:hAnsi="宋体" w:cs="宋体"/>
          <w:color w:val="000000"/>
          <w:highlight w:val="none"/>
        </w:rPr>
        <w:t>项目名称：</w:t>
      </w:r>
    </w:p>
    <w:p>
      <w:pPr>
        <w:snapToGrid w:val="0"/>
        <w:spacing w:before="50" w:afterLines="50" w:line="400" w:lineRule="exact"/>
        <w:ind w:firstLine="420" w:firstLineChars="200"/>
        <w:jc w:val="left"/>
        <w:rPr>
          <w:rFonts w:ascii="宋体" w:hAnsi="宋体" w:cs="宋体"/>
          <w:color w:val="000000"/>
          <w:highlight w:val="none"/>
        </w:rPr>
      </w:pPr>
      <w:r>
        <w:rPr>
          <w:rFonts w:hint="eastAsia" w:ascii="宋体" w:hAnsi="宋体" w:cs="宋体"/>
          <w:color w:val="000000"/>
          <w:highlight w:val="none"/>
        </w:rPr>
        <w:t>项目编号：</w:t>
      </w:r>
    </w:p>
    <w:p>
      <w:pPr>
        <w:snapToGrid w:val="0"/>
        <w:spacing w:before="50" w:afterLines="50" w:line="400" w:lineRule="exact"/>
        <w:ind w:firstLine="420" w:firstLineChars="200"/>
        <w:jc w:val="left"/>
        <w:rPr>
          <w:rFonts w:ascii="宋体" w:hAnsi="宋体" w:cs="宋体"/>
          <w:b/>
          <w:color w:val="000000"/>
          <w:szCs w:val="21"/>
          <w:highlight w:val="none"/>
        </w:rPr>
      </w:pPr>
      <w:r>
        <w:rPr>
          <w:rFonts w:hint="eastAsia" w:ascii="宋体" w:hAnsi="宋体" w:cs="宋体"/>
          <w:color w:val="000000"/>
          <w:highlight w:val="none"/>
        </w:rPr>
        <w:t xml:space="preserve">所投分标号：本项目                                        </w:t>
      </w:r>
    </w:p>
    <w:tbl>
      <w:tblPr>
        <w:tblStyle w:val="53"/>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5"/>
        <w:gridCol w:w="2550"/>
        <w:gridCol w:w="192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3495"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highlight w:val="none"/>
              </w:rPr>
            </w:pPr>
            <w:r>
              <w:rPr>
                <w:rFonts w:hint="eastAsia" w:ascii="宋体" w:hAnsi="宋体" w:cs="宋体"/>
                <w:color w:val="000000"/>
                <w:highlight w:val="none"/>
              </w:rPr>
              <w:t>服务项目名称</w:t>
            </w:r>
          </w:p>
        </w:tc>
        <w:tc>
          <w:tcPr>
            <w:tcW w:w="255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highlight w:val="none"/>
              </w:rPr>
            </w:pPr>
            <w:r>
              <w:rPr>
                <w:rFonts w:hint="eastAsia" w:ascii="宋体" w:hAnsi="宋体" w:cs="宋体"/>
                <w:color w:val="000000"/>
                <w:highlight w:val="none"/>
              </w:rPr>
              <w:t>服务内容</w:t>
            </w:r>
          </w:p>
        </w:tc>
        <w:tc>
          <w:tcPr>
            <w:tcW w:w="1920"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highlight w:val="none"/>
              </w:rPr>
            </w:pPr>
            <w:r>
              <w:rPr>
                <w:rFonts w:hint="eastAsia" w:ascii="宋体" w:hAnsi="宋体" w:cs="宋体"/>
                <w:color w:val="000000"/>
                <w:highlight w:val="none"/>
              </w:rPr>
              <w:t>报  价（元）</w:t>
            </w:r>
          </w:p>
        </w:tc>
        <w:tc>
          <w:tcPr>
            <w:tcW w:w="1515"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宋体" w:hAnsi="宋体" w:cs="宋体"/>
                <w:color w:val="000000"/>
                <w:highlight w:val="none"/>
              </w:rPr>
            </w:pPr>
            <w:r>
              <w:rPr>
                <w:rFonts w:hint="eastAsia" w:ascii="宋体" w:hAnsi="宋体" w:cs="宋体"/>
                <w:color w:val="000000"/>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3495" w:type="dxa"/>
            <w:tcBorders>
              <w:top w:val="single" w:color="auto" w:sz="4" w:space="0"/>
              <w:left w:val="single" w:color="auto" w:sz="4" w:space="0"/>
              <w:bottom w:val="single" w:color="auto" w:sz="4" w:space="0"/>
              <w:right w:val="single" w:color="auto" w:sz="4" w:space="0"/>
            </w:tcBorders>
            <w:noWrap/>
            <w:vAlign w:val="center"/>
          </w:tcPr>
          <w:p>
            <w:pPr>
              <w:spacing w:line="400" w:lineRule="exact"/>
              <w:rPr>
                <w:rFonts w:ascii="宋体" w:hAnsi="宋体" w:cs="宋体"/>
                <w:color w:val="000000"/>
                <w:highlight w:val="none"/>
              </w:rPr>
            </w:pPr>
            <w:r>
              <w:rPr>
                <w:rFonts w:hint="eastAsia" w:ascii="宋体" w:hAnsi="宋体" w:cs="宋体"/>
                <w:color w:val="000000"/>
                <w:highlight w:val="none"/>
              </w:rPr>
              <w:t>服务采购</w:t>
            </w:r>
          </w:p>
        </w:tc>
        <w:tc>
          <w:tcPr>
            <w:tcW w:w="2550" w:type="dxa"/>
            <w:tcBorders>
              <w:top w:val="single" w:color="auto" w:sz="4" w:space="0"/>
              <w:left w:val="single" w:color="auto" w:sz="4" w:space="0"/>
              <w:bottom w:val="single" w:color="auto" w:sz="4" w:space="0"/>
              <w:right w:val="single" w:color="auto" w:sz="4" w:space="0"/>
            </w:tcBorders>
            <w:noWrap/>
            <w:vAlign w:val="center"/>
          </w:tcPr>
          <w:p>
            <w:pPr>
              <w:autoSpaceDE w:val="0"/>
              <w:autoSpaceDN w:val="0"/>
              <w:spacing w:line="400" w:lineRule="exact"/>
              <w:jc w:val="center"/>
              <w:outlineLvl w:val="0"/>
              <w:rPr>
                <w:rFonts w:ascii="宋体" w:hAnsi="宋体" w:cs="宋体"/>
                <w:bCs/>
                <w:color w:val="000000"/>
                <w:kern w:val="0"/>
                <w:highlight w:val="none"/>
              </w:rPr>
            </w:pPr>
          </w:p>
        </w:tc>
        <w:tc>
          <w:tcPr>
            <w:tcW w:w="1920" w:type="dxa"/>
            <w:tcBorders>
              <w:top w:val="single" w:color="auto" w:sz="4" w:space="0"/>
              <w:left w:val="single" w:color="auto" w:sz="4" w:space="0"/>
              <w:bottom w:val="single" w:color="auto" w:sz="4" w:space="0"/>
              <w:right w:val="single" w:color="auto" w:sz="4" w:space="0"/>
            </w:tcBorders>
            <w:noWrap/>
            <w:vAlign w:val="center"/>
          </w:tcPr>
          <w:p>
            <w:pPr>
              <w:autoSpaceDE w:val="0"/>
              <w:autoSpaceDN w:val="0"/>
              <w:spacing w:line="400" w:lineRule="exact"/>
              <w:jc w:val="center"/>
              <w:outlineLvl w:val="0"/>
              <w:rPr>
                <w:rFonts w:ascii="宋体" w:hAnsi="宋体" w:cs="宋体"/>
                <w:bCs/>
                <w:color w:val="000000"/>
                <w:kern w:val="0"/>
                <w:highlight w:val="none"/>
              </w:rPr>
            </w:pPr>
          </w:p>
        </w:tc>
        <w:tc>
          <w:tcPr>
            <w:tcW w:w="1515" w:type="dxa"/>
            <w:tcBorders>
              <w:top w:val="single" w:color="auto" w:sz="4" w:space="0"/>
              <w:left w:val="single" w:color="auto" w:sz="4" w:space="0"/>
              <w:bottom w:val="single" w:color="auto" w:sz="4" w:space="0"/>
              <w:right w:val="single" w:color="auto" w:sz="4" w:space="0"/>
            </w:tcBorders>
            <w:noWrap/>
            <w:vAlign w:val="center"/>
          </w:tcPr>
          <w:p>
            <w:pPr>
              <w:autoSpaceDE w:val="0"/>
              <w:autoSpaceDN w:val="0"/>
              <w:spacing w:line="400" w:lineRule="exact"/>
              <w:jc w:val="center"/>
              <w:outlineLvl w:val="0"/>
              <w:rPr>
                <w:rFonts w:ascii="宋体" w:hAnsi="宋体" w:cs="宋体"/>
                <w:bCs/>
                <w:color w:val="000000"/>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480" w:type="dxa"/>
            <w:gridSpan w:val="4"/>
            <w:tcBorders>
              <w:top w:val="single" w:color="auto" w:sz="4" w:space="0"/>
              <w:left w:val="single" w:color="auto" w:sz="4" w:space="0"/>
              <w:bottom w:val="single" w:color="auto" w:sz="4" w:space="0"/>
              <w:right w:val="single" w:color="auto" w:sz="4" w:space="0"/>
            </w:tcBorders>
            <w:noWrap/>
            <w:vAlign w:val="center"/>
          </w:tcPr>
          <w:p>
            <w:pPr>
              <w:spacing w:line="400" w:lineRule="exact"/>
              <w:rPr>
                <w:rFonts w:ascii="宋体" w:hAnsi="宋体" w:cs="宋体"/>
                <w:b/>
                <w:color w:val="000000"/>
                <w:szCs w:val="21"/>
                <w:highlight w:val="none"/>
              </w:rPr>
            </w:pPr>
            <w:r>
              <w:rPr>
                <w:rFonts w:hint="eastAsia" w:ascii="宋体" w:hAnsi="宋体" w:cs="宋体"/>
                <w:b/>
                <w:color w:val="000000"/>
                <w:szCs w:val="21"/>
                <w:highlight w:val="none"/>
              </w:rPr>
              <w:t>总报价</w:t>
            </w:r>
            <w:r>
              <w:rPr>
                <w:rFonts w:hint="eastAsia" w:ascii="宋体" w:hAnsi="宋体" w:cs="宋体"/>
                <w:color w:val="000000"/>
                <w:spacing w:val="-6"/>
                <w:highlight w:val="none"/>
              </w:rPr>
              <w:t>（人民币大写）：</w:t>
            </w:r>
            <w:r>
              <w:rPr>
                <w:rFonts w:hint="eastAsia" w:ascii="宋体" w:hAnsi="宋体" w:cs="宋体"/>
                <w:color w:val="000000"/>
                <w:spacing w:val="-6"/>
                <w:highlight w:val="none"/>
                <w:u w:val="single"/>
              </w:rPr>
              <w:t xml:space="preserve">                                       （￥                       元）</w:t>
            </w:r>
          </w:p>
        </w:tc>
      </w:tr>
    </w:tbl>
    <w:p>
      <w:pPr>
        <w:pStyle w:val="31"/>
        <w:spacing w:line="400" w:lineRule="exact"/>
        <w:rPr>
          <w:rFonts w:hAnsi="宋体" w:cs="宋体"/>
          <w:color w:val="000000"/>
          <w:sz w:val="24"/>
          <w:szCs w:val="20"/>
          <w:highlight w:val="none"/>
        </w:rPr>
      </w:pPr>
    </w:p>
    <w:p>
      <w:pPr>
        <w:snapToGrid w:val="0"/>
        <w:spacing w:before="50" w:after="50"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注：</w:t>
      </w:r>
    </w:p>
    <w:p>
      <w:pPr>
        <w:snapToGrid w:val="0"/>
        <w:spacing w:before="50" w:after="50"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1、报价一经涂改，应在涂改处加盖单位公章或者由法定代表人(负责人)或授权委托人签字或签章，否则其投标作无效标处理。</w:t>
      </w:r>
    </w:p>
    <w:p>
      <w:pPr>
        <w:snapToGrid w:val="0"/>
        <w:spacing w:before="50" w:after="50"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2、投标费用包括项目实施所需的人工费、服务费、购买及制作标书费、税费及其他一切费用。</w:t>
      </w:r>
    </w:p>
    <w:p>
      <w:pPr>
        <w:snapToGrid w:val="0"/>
        <w:spacing w:before="50" w:after="50"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3、以上报价应与“投标报价明细表”中的“投标总价”相一致。</w:t>
      </w:r>
    </w:p>
    <w:p>
      <w:pPr>
        <w:snapToGrid w:val="0"/>
        <w:spacing w:before="50" w:after="50"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4、联合体投标时，开标一览表中投标人名称必须注明联合体并加盖联合体各方公章，同时须提供联合投标协议书。</w:t>
      </w:r>
    </w:p>
    <w:p>
      <w:pPr>
        <w:snapToGrid w:val="0"/>
        <w:spacing w:before="50" w:after="50"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5、项目中有多个分标的，每一分标的开标一览表必须分别按格式要求填写并签字、盖章。</w:t>
      </w:r>
    </w:p>
    <w:p>
      <w:pPr>
        <w:snapToGrid w:val="0"/>
        <w:spacing w:before="50" w:after="50" w:line="400" w:lineRule="exact"/>
        <w:ind w:left="-2" w:leftChars="-1" w:right="-817" w:rightChars="-389" w:firstLine="420" w:firstLineChars="200"/>
        <w:rPr>
          <w:rFonts w:ascii="宋体" w:hAnsi="宋体" w:cs="宋体"/>
          <w:color w:val="000000"/>
          <w:szCs w:val="21"/>
          <w:highlight w:val="none"/>
        </w:rPr>
      </w:pPr>
      <w:r>
        <w:rPr>
          <w:rFonts w:hint="eastAsia" w:ascii="宋体" w:hAnsi="宋体" w:cs="宋体"/>
          <w:color w:val="000000"/>
          <w:szCs w:val="21"/>
          <w:highlight w:val="none"/>
        </w:rPr>
        <w:t>法定代表人(负责人)或委托代理人签字（或签章）：</w:t>
      </w:r>
    </w:p>
    <w:p>
      <w:pPr>
        <w:snapToGrid w:val="0"/>
        <w:spacing w:before="50" w:after="50" w:line="400" w:lineRule="exact"/>
        <w:ind w:right="-817" w:rightChars="-389"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投标人名称（盖章）：</w:t>
      </w:r>
    </w:p>
    <w:p>
      <w:pPr>
        <w:snapToGrid w:val="0"/>
        <w:spacing w:before="50" w:after="50" w:line="400" w:lineRule="exact"/>
        <w:ind w:right="-817" w:rightChars="-389" w:firstLine="420" w:firstLineChars="200"/>
        <w:jc w:val="left"/>
        <w:rPr>
          <w:highlight w:val="none"/>
        </w:rPr>
      </w:pPr>
      <w:r>
        <w:rPr>
          <w:rFonts w:hint="eastAsia" w:ascii="宋体" w:hAnsi="宋体" w:cs="宋体"/>
          <w:color w:val="000000"/>
          <w:szCs w:val="21"/>
          <w:highlight w:val="none"/>
        </w:rPr>
        <w:t>日期：年月日</w:t>
      </w:r>
    </w:p>
    <w:sectPr>
      <w:headerReference r:id="rId5" w:type="default"/>
      <w:footerReference r:id="rId6" w:type="default"/>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Arial Regular">
    <w:altName w:val="Nimbus Roman No9 L"/>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nj8kMaAgAAIQQAAA4AAAAAAAAAAQAgAAAANQEAAGRycy9lMm9Eb2MueG1sUEsFBgAA&#10;AAAGAAYAWQEAAMEFAAAAAA==&#10;">
              <v:fill on="f" focussize="0,0"/>
              <v:stroke on="f" weight="0.5pt"/>
              <v:imagedata o:title=""/>
              <o:lock v:ext="edit" aspectratio="f"/>
              <v:textbox inset="0mm,0mm,0mm,0mm" style="mso-fit-shape-to-text:t;">
                <w:txbxContent>
                  <w:p>
                    <w:pPr>
                      <w:pStyle w:val="3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jc w:val="right"/>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eastAsia="zh-CN"/>
      </w:rPr>
      <w:t>广西交通技师学院物业管理服务采购</w:t>
    </w:r>
    <w:r>
      <w:rPr>
        <w:rFonts w:hint="eastAsia"/>
        <w:u w:val="single"/>
      </w:rPr>
      <w:t>（</w:t>
    </w:r>
    <w:r>
      <w:rPr>
        <w:rFonts w:hint="eastAsia" w:ascii="Arial Regular" w:hAnsi="Arial Regular" w:eastAsia="宋体" w:cs="Arial Regular"/>
        <w:color w:val="232323"/>
        <w:kern w:val="0"/>
        <w:szCs w:val="21"/>
        <w:u w:val="single"/>
        <w:shd w:val="clear" w:color="auto" w:fill="FFFFFF"/>
        <w:lang w:eastAsia="zh-CN"/>
      </w:rPr>
      <w:t>GXZC2026-G3-002446-CGZX</w:t>
    </w:r>
    <w:r>
      <w:rPr>
        <w:rFonts w:hint="eastAsia"/>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475D9"/>
    <w:multiLevelType w:val="singleLevel"/>
    <w:tmpl w:val="89C475D9"/>
    <w:lvl w:ilvl="0" w:tentative="0">
      <w:start w:val="1"/>
      <w:numFmt w:val="chineseCounting"/>
      <w:suff w:val="nothing"/>
      <w:lvlText w:val="（%1）"/>
      <w:lvlJc w:val="left"/>
      <w:rPr>
        <w:rFonts w:hint="eastAsia"/>
      </w:rPr>
    </w:lvl>
  </w:abstractNum>
  <w:abstractNum w:abstractNumId="1">
    <w:nsid w:val="A3D9F319"/>
    <w:multiLevelType w:val="singleLevel"/>
    <w:tmpl w:val="A3D9F319"/>
    <w:lvl w:ilvl="0" w:tentative="0">
      <w:start w:val="1"/>
      <w:numFmt w:val="decimal"/>
      <w:lvlText w:val="(%1)"/>
      <w:lvlJc w:val="left"/>
      <w:pPr>
        <w:ind w:left="425" w:hanging="425"/>
      </w:pPr>
    </w:lvl>
  </w:abstractNum>
  <w:abstractNum w:abstractNumId="2">
    <w:nsid w:val="C842F4BC"/>
    <w:multiLevelType w:val="singleLevel"/>
    <w:tmpl w:val="C842F4BC"/>
    <w:lvl w:ilvl="0" w:tentative="0">
      <w:start w:val="1"/>
      <w:numFmt w:val="decimal"/>
      <w:lvlText w:val="(%1)"/>
      <w:lvlJc w:val="left"/>
      <w:pPr>
        <w:ind w:left="425" w:hanging="425"/>
      </w:pPr>
    </w:lvl>
  </w:abstractNum>
  <w:abstractNum w:abstractNumId="3">
    <w:nsid w:val="CF3A69AF"/>
    <w:multiLevelType w:val="singleLevel"/>
    <w:tmpl w:val="CF3A69AF"/>
    <w:lvl w:ilvl="0" w:tentative="0">
      <w:start w:val="1"/>
      <w:numFmt w:val="decimal"/>
      <w:lvlText w:val="(%1)"/>
      <w:lvlJc w:val="left"/>
      <w:pPr>
        <w:ind w:left="425" w:hanging="425"/>
      </w:pPr>
    </w:lvl>
  </w:abstractNum>
  <w:abstractNum w:abstractNumId="4">
    <w:nsid w:val="D5FB4FA7"/>
    <w:multiLevelType w:val="multilevel"/>
    <w:tmpl w:val="D5FB4FA7"/>
    <w:lvl w:ilvl="0" w:tentative="0">
      <w:start w:val="1"/>
      <w:numFmt w:val="decimal"/>
      <w:lvlText w:val="(%1)"/>
      <w:lvlJc w:val="left"/>
      <w:pPr>
        <w:ind w:left="425" w:hanging="425"/>
      </w:pPr>
    </w:lvl>
    <w:lvl w:ilvl="1" w:tentative="0">
      <w:start w:val="1"/>
      <w:numFmt w:val="none"/>
      <w:lvlText w:val="%2"/>
      <w:lvlJc w:val="left"/>
      <w:pPr>
        <w:tabs>
          <w:tab w:val="left" w:pos="840"/>
        </w:tabs>
        <w:ind w:left="840" w:hanging="420"/>
      </w:pPr>
    </w:lvl>
    <w:lvl w:ilvl="2" w:tentative="0">
      <w:start w:val="1"/>
      <w:numFmt w:val="decimal"/>
      <w:lvlText w:val="%3)"/>
      <w:lvlJc w:val="left"/>
      <w:pPr>
        <w:tabs>
          <w:tab w:val="left" w:pos="1260"/>
        </w:tabs>
        <w:ind w:left="1260" w:hanging="420"/>
      </w:pPr>
    </w:lvl>
    <w:lvl w:ilvl="3" w:tentative="0">
      <w:start w:val="1"/>
      <w:numFmt w:val="lowerLetter"/>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left"/>
      <w:pPr>
        <w:tabs>
          <w:tab w:val="left" w:pos="2520"/>
        </w:tabs>
        <w:ind w:left="2520" w:hanging="420"/>
      </w:pPr>
    </w:lvl>
    <w:lvl w:ilvl="6" w:tentative="0">
      <w:start w:val="1"/>
      <w:numFmt w:val="lowerRoman"/>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Letter"/>
      <w:lvlText w:val="%9)"/>
      <w:lvlJc w:val="left"/>
      <w:pPr>
        <w:tabs>
          <w:tab w:val="left" w:pos="3780"/>
        </w:tabs>
        <w:ind w:left="3780" w:hanging="420"/>
      </w:pPr>
    </w:lvl>
  </w:abstractNum>
  <w:abstractNum w:abstractNumId="5">
    <w:nsid w:val="DF06D0B8"/>
    <w:multiLevelType w:val="singleLevel"/>
    <w:tmpl w:val="DF06D0B8"/>
    <w:lvl w:ilvl="0" w:tentative="0">
      <w:start w:val="1"/>
      <w:numFmt w:val="decimal"/>
      <w:lvlText w:val="(%1)"/>
      <w:lvlJc w:val="left"/>
      <w:pPr>
        <w:ind w:left="425" w:hanging="425"/>
      </w:pPr>
    </w:lvl>
  </w:abstractNum>
  <w:abstractNum w:abstractNumId="6">
    <w:nsid w:val="E81F9209"/>
    <w:multiLevelType w:val="singleLevel"/>
    <w:tmpl w:val="E81F9209"/>
    <w:lvl w:ilvl="0" w:tentative="0">
      <w:start w:val="1"/>
      <w:numFmt w:val="decimal"/>
      <w:lvlText w:val="(%1)"/>
      <w:lvlJc w:val="left"/>
      <w:pPr>
        <w:ind w:left="425" w:hanging="425"/>
      </w:pPr>
    </w:lvl>
  </w:abstractNum>
  <w:abstractNum w:abstractNumId="7">
    <w:nsid w:val="EDBA1923"/>
    <w:multiLevelType w:val="singleLevel"/>
    <w:tmpl w:val="EDBA1923"/>
    <w:lvl w:ilvl="0" w:tentative="0">
      <w:start w:val="1"/>
      <w:numFmt w:val="chineseCounting"/>
      <w:suff w:val="nothing"/>
      <w:lvlText w:val="（%1）"/>
      <w:lvlJc w:val="left"/>
      <w:rPr>
        <w:rFonts w:hint="eastAsia"/>
      </w:rPr>
    </w:lvl>
  </w:abstractNum>
  <w:abstractNum w:abstractNumId="8">
    <w:nsid w:val="FFF04C4A"/>
    <w:multiLevelType w:val="singleLevel"/>
    <w:tmpl w:val="FFF04C4A"/>
    <w:lvl w:ilvl="0" w:tentative="0">
      <w:start w:val="10"/>
      <w:numFmt w:val="decimal"/>
      <w:suff w:val="nothing"/>
      <w:lvlText w:val="（%1）"/>
      <w:lvlJc w:val="left"/>
      <w:pPr>
        <w:ind w:left="311" w:firstLine="0"/>
      </w:pPr>
    </w:lvl>
  </w:abstractNum>
  <w:abstractNum w:abstractNumId="9">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0">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1">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13">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4">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6">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7">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8">
    <w:nsid w:val="0C3EE413"/>
    <w:multiLevelType w:val="singleLevel"/>
    <w:tmpl w:val="0C3EE413"/>
    <w:lvl w:ilvl="0" w:tentative="0">
      <w:start w:val="1"/>
      <w:numFmt w:val="decimal"/>
      <w:lvlText w:val="(%1)"/>
      <w:lvlJc w:val="left"/>
      <w:pPr>
        <w:ind w:left="425" w:hanging="425"/>
      </w:pPr>
    </w:lvl>
  </w:abstractNum>
  <w:abstractNum w:abstractNumId="19">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abstractNum w:abstractNumId="20">
    <w:nsid w:val="2E15CC2F"/>
    <w:multiLevelType w:val="singleLevel"/>
    <w:tmpl w:val="2E15CC2F"/>
    <w:lvl w:ilvl="0" w:tentative="0">
      <w:start w:val="1"/>
      <w:numFmt w:val="chineseCounting"/>
      <w:suff w:val="nothing"/>
      <w:lvlText w:val="（%1）"/>
      <w:lvlJc w:val="left"/>
      <w:rPr>
        <w:rFonts w:hint="eastAsia"/>
      </w:rPr>
    </w:lvl>
  </w:abstractNum>
  <w:abstractNum w:abstractNumId="21">
    <w:nsid w:val="43E91F82"/>
    <w:multiLevelType w:val="singleLevel"/>
    <w:tmpl w:val="43E91F82"/>
    <w:lvl w:ilvl="0" w:tentative="0">
      <w:start w:val="1"/>
      <w:numFmt w:val="chineseCounting"/>
      <w:suff w:val="nothing"/>
      <w:lvlText w:val="（%1）"/>
      <w:lvlJc w:val="left"/>
      <w:rPr>
        <w:rFonts w:hint="eastAsia"/>
      </w:rPr>
    </w:lvl>
  </w:abstractNum>
  <w:abstractNum w:abstractNumId="22">
    <w:nsid w:val="6AA73D1F"/>
    <w:multiLevelType w:val="singleLevel"/>
    <w:tmpl w:val="6AA73D1F"/>
    <w:lvl w:ilvl="0" w:tentative="0">
      <w:start w:val="1"/>
      <w:numFmt w:val="decimal"/>
      <w:lvlText w:val="(%1)"/>
      <w:lvlJc w:val="left"/>
      <w:pPr>
        <w:ind w:left="425" w:hanging="425"/>
      </w:pPr>
    </w:lvl>
  </w:abstractNum>
  <w:abstractNum w:abstractNumId="23">
    <w:nsid w:val="7FECB9F0"/>
    <w:multiLevelType w:val="singleLevel"/>
    <w:tmpl w:val="7FECB9F0"/>
    <w:lvl w:ilvl="0" w:tentative="0">
      <w:start w:val="1"/>
      <w:numFmt w:val="decimal"/>
      <w:lvlText w:val="(%1)"/>
      <w:lvlJc w:val="left"/>
      <w:pPr>
        <w:ind w:left="425" w:hanging="425"/>
      </w:pPr>
    </w:lvl>
  </w:abstractNum>
  <w:num w:numId="1">
    <w:abstractNumId w:val="16"/>
  </w:num>
  <w:num w:numId="2">
    <w:abstractNumId w:val="19"/>
  </w:num>
  <w:num w:numId="3">
    <w:abstractNumId w:val="12"/>
  </w:num>
  <w:num w:numId="4">
    <w:abstractNumId w:val="13"/>
  </w:num>
  <w:num w:numId="5">
    <w:abstractNumId w:val="14"/>
  </w:num>
  <w:num w:numId="6">
    <w:abstractNumId w:val="10"/>
  </w:num>
  <w:num w:numId="7">
    <w:abstractNumId w:val="9"/>
  </w:num>
  <w:num w:numId="8">
    <w:abstractNumId w:val="17"/>
  </w:num>
  <w:num w:numId="9">
    <w:abstractNumId w:val="15"/>
  </w:num>
  <w:num w:numId="10">
    <w:abstractNumId w:val="11"/>
  </w:num>
  <w:num w:numId="11">
    <w:abstractNumId w:val="21"/>
  </w:num>
  <w:num w:numId="12">
    <w:abstractNumId w:val="0"/>
  </w:num>
  <w:num w:numId="13">
    <w:abstractNumId w:val="1"/>
  </w:num>
  <w:num w:numId="14">
    <w:abstractNumId w:val="4"/>
  </w:num>
  <w:num w:numId="15">
    <w:abstractNumId w:val="6"/>
  </w:num>
  <w:num w:numId="16">
    <w:abstractNumId w:val="20"/>
  </w:num>
  <w:num w:numId="17">
    <w:abstractNumId w:val="2"/>
  </w:num>
  <w:num w:numId="18">
    <w:abstractNumId w:val="18"/>
  </w:num>
  <w:num w:numId="19">
    <w:abstractNumId w:val="3"/>
  </w:num>
  <w:num w:numId="20">
    <w:abstractNumId w:val="5"/>
  </w:num>
  <w:num w:numId="21">
    <w:abstractNumId w:val="22"/>
  </w:num>
  <w:num w:numId="22">
    <w:abstractNumId w:val="23"/>
  </w:num>
  <w:num w:numId="23">
    <w:abstractNumId w:val="7"/>
  </w:num>
  <w:num w:numId="2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xxc">
    <w15:presenceInfo w15:providerId="None" w15:userId="gxx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9DB"/>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A27"/>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618"/>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706"/>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1A96"/>
    <w:rsid w:val="00FD24F0"/>
    <w:rsid w:val="00FD2D8A"/>
    <w:rsid w:val="00FD475D"/>
    <w:rsid w:val="00FD55A7"/>
    <w:rsid w:val="00FD592A"/>
    <w:rsid w:val="00FD6E0D"/>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3FA1262"/>
    <w:rsid w:val="040B3AF1"/>
    <w:rsid w:val="04AF4A55"/>
    <w:rsid w:val="04FA52B7"/>
    <w:rsid w:val="06EF5174"/>
    <w:rsid w:val="075D1031"/>
    <w:rsid w:val="07F16915"/>
    <w:rsid w:val="08185842"/>
    <w:rsid w:val="08BBF491"/>
    <w:rsid w:val="09FD749A"/>
    <w:rsid w:val="0AEF9229"/>
    <w:rsid w:val="0B3B9676"/>
    <w:rsid w:val="0C041CFF"/>
    <w:rsid w:val="0D603BD0"/>
    <w:rsid w:val="0DFBDADE"/>
    <w:rsid w:val="0E272EC6"/>
    <w:rsid w:val="0EF4169C"/>
    <w:rsid w:val="0F5051B7"/>
    <w:rsid w:val="0FBD11D8"/>
    <w:rsid w:val="0FE224EF"/>
    <w:rsid w:val="0FF35CB0"/>
    <w:rsid w:val="10036F74"/>
    <w:rsid w:val="10523E33"/>
    <w:rsid w:val="10F845FF"/>
    <w:rsid w:val="115B3EEF"/>
    <w:rsid w:val="11683B24"/>
    <w:rsid w:val="11804676"/>
    <w:rsid w:val="13045DA8"/>
    <w:rsid w:val="1318202A"/>
    <w:rsid w:val="133C3906"/>
    <w:rsid w:val="137A2AC6"/>
    <w:rsid w:val="137F42F1"/>
    <w:rsid w:val="13810AA4"/>
    <w:rsid w:val="13FB321B"/>
    <w:rsid w:val="14BD0D6B"/>
    <w:rsid w:val="14DA77BA"/>
    <w:rsid w:val="157F1A49"/>
    <w:rsid w:val="15BDCAB3"/>
    <w:rsid w:val="15CDBDC8"/>
    <w:rsid w:val="160C22A3"/>
    <w:rsid w:val="1629143C"/>
    <w:rsid w:val="16670663"/>
    <w:rsid w:val="16742EED"/>
    <w:rsid w:val="16FD73B0"/>
    <w:rsid w:val="173014EC"/>
    <w:rsid w:val="17BDADFB"/>
    <w:rsid w:val="17BEC69B"/>
    <w:rsid w:val="17C96C63"/>
    <w:rsid w:val="17D47B03"/>
    <w:rsid w:val="17DF1EA9"/>
    <w:rsid w:val="17FE183B"/>
    <w:rsid w:val="189B3D09"/>
    <w:rsid w:val="18AE1E77"/>
    <w:rsid w:val="19791A18"/>
    <w:rsid w:val="1B6FAA61"/>
    <w:rsid w:val="1BCFBA89"/>
    <w:rsid w:val="1BCFCF31"/>
    <w:rsid w:val="1BDA3BC5"/>
    <w:rsid w:val="1BEE6E5A"/>
    <w:rsid w:val="1BFF6D08"/>
    <w:rsid w:val="1CDEDA0E"/>
    <w:rsid w:val="1CF94428"/>
    <w:rsid w:val="1CFBAF00"/>
    <w:rsid w:val="1D3B6AA2"/>
    <w:rsid w:val="1D7D1883"/>
    <w:rsid w:val="1D886D0B"/>
    <w:rsid w:val="1DBF436D"/>
    <w:rsid w:val="1DBF78BF"/>
    <w:rsid w:val="1DD85D04"/>
    <w:rsid w:val="1DEFB4C7"/>
    <w:rsid w:val="1DEFBE59"/>
    <w:rsid w:val="1DFD7FE0"/>
    <w:rsid w:val="1DFFB513"/>
    <w:rsid w:val="1E3D321B"/>
    <w:rsid w:val="1E7BFCD7"/>
    <w:rsid w:val="1E7D713A"/>
    <w:rsid w:val="1EF10CB1"/>
    <w:rsid w:val="1FBCD252"/>
    <w:rsid w:val="1FBF7375"/>
    <w:rsid w:val="1FEE6CB0"/>
    <w:rsid w:val="1FEF7437"/>
    <w:rsid w:val="1FF6A203"/>
    <w:rsid w:val="1FF9A8E2"/>
    <w:rsid w:val="1FFD7B40"/>
    <w:rsid w:val="1FFF2B4F"/>
    <w:rsid w:val="1FFF9BFB"/>
    <w:rsid w:val="20EBD06A"/>
    <w:rsid w:val="214A7396"/>
    <w:rsid w:val="218F4931"/>
    <w:rsid w:val="219E062F"/>
    <w:rsid w:val="21BFC071"/>
    <w:rsid w:val="233708A3"/>
    <w:rsid w:val="2577011E"/>
    <w:rsid w:val="25A853FB"/>
    <w:rsid w:val="25AD2A5D"/>
    <w:rsid w:val="25CE052F"/>
    <w:rsid w:val="25DFDD88"/>
    <w:rsid w:val="261D50CD"/>
    <w:rsid w:val="264E3873"/>
    <w:rsid w:val="267A5045"/>
    <w:rsid w:val="26EE8D71"/>
    <w:rsid w:val="26F708A4"/>
    <w:rsid w:val="2732EE28"/>
    <w:rsid w:val="27370766"/>
    <w:rsid w:val="275F976D"/>
    <w:rsid w:val="2776915C"/>
    <w:rsid w:val="279351FA"/>
    <w:rsid w:val="27B96C35"/>
    <w:rsid w:val="27DB2ADC"/>
    <w:rsid w:val="27EFA6FC"/>
    <w:rsid w:val="27EFDAF0"/>
    <w:rsid w:val="282E18CA"/>
    <w:rsid w:val="283605F4"/>
    <w:rsid w:val="293E18DA"/>
    <w:rsid w:val="29DFDC0C"/>
    <w:rsid w:val="29FF340B"/>
    <w:rsid w:val="2A36678C"/>
    <w:rsid w:val="2B611ABA"/>
    <w:rsid w:val="2BA95CC2"/>
    <w:rsid w:val="2BFF6160"/>
    <w:rsid w:val="2CC7271F"/>
    <w:rsid w:val="2D7D3CE6"/>
    <w:rsid w:val="2D7F49AD"/>
    <w:rsid w:val="2DB7A765"/>
    <w:rsid w:val="2DF7D6CC"/>
    <w:rsid w:val="2E1F7190"/>
    <w:rsid w:val="2EA7AF2A"/>
    <w:rsid w:val="2EBBF7CD"/>
    <w:rsid w:val="2ECFDF22"/>
    <w:rsid w:val="2EEFE88B"/>
    <w:rsid w:val="2F6BFAC9"/>
    <w:rsid w:val="2F74D0B0"/>
    <w:rsid w:val="2FB6F643"/>
    <w:rsid w:val="2FDDA261"/>
    <w:rsid w:val="2FF71CFE"/>
    <w:rsid w:val="2FFF07B0"/>
    <w:rsid w:val="30912494"/>
    <w:rsid w:val="30E3C6D8"/>
    <w:rsid w:val="30E65529"/>
    <w:rsid w:val="31B735F1"/>
    <w:rsid w:val="33EDBE07"/>
    <w:rsid w:val="33EF0C59"/>
    <w:rsid w:val="33EF2B5F"/>
    <w:rsid w:val="33FBCDCC"/>
    <w:rsid w:val="342966D6"/>
    <w:rsid w:val="34B779C7"/>
    <w:rsid w:val="34CF5CEC"/>
    <w:rsid w:val="34E055A5"/>
    <w:rsid w:val="34E5346C"/>
    <w:rsid w:val="35357C43"/>
    <w:rsid w:val="35F40295"/>
    <w:rsid w:val="3677BA75"/>
    <w:rsid w:val="36816193"/>
    <w:rsid w:val="36995ED7"/>
    <w:rsid w:val="36B6F232"/>
    <w:rsid w:val="36DEF824"/>
    <w:rsid w:val="36FF3DC3"/>
    <w:rsid w:val="377FC00D"/>
    <w:rsid w:val="3797248F"/>
    <w:rsid w:val="37EF5621"/>
    <w:rsid w:val="37EF74DB"/>
    <w:rsid w:val="37F76A7A"/>
    <w:rsid w:val="37FFEC72"/>
    <w:rsid w:val="384113C3"/>
    <w:rsid w:val="385B2C3E"/>
    <w:rsid w:val="389FFD0E"/>
    <w:rsid w:val="392BF547"/>
    <w:rsid w:val="39776AA3"/>
    <w:rsid w:val="397B4E51"/>
    <w:rsid w:val="398C4612"/>
    <w:rsid w:val="39A39EF4"/>
    <w:rsid w:val="39E621E1"/>
    <w:rsid w:val="39FBD2E6"/>
    <w:rsid w:val="39FE58C7"/>
    <w:rsid w:val="39FFB7D0"/>
    <w:rsid w:val="3A7F6245"/>
    <w:rsid w:val="3AEB0E5A"/>
    <w:rsid w:val="3B3E9B37"/>
    <w:rsid w:val="3B4FA1AF"/>
    <w:rsid w:val="3B4FA5C0"/>
    <w:rsid w:val="3B531602"/>
    <w:rsid w:val="3BA9F012"/>
    <w:rsid w:val="3BAB9182"/>
    <w:rsid w:val="3BCF5962"/>
    <w:rsid w:val="3BEB16C6"/>
    <w:rsid w:val="3BF66F8C"/>
    <w:rsid w:val="3C9B2C06"/>
    <w:rsid w:val="3CB7C9C3"/>
    <w:rsid w:val="3CCE1B4E"/>
    <w:rsid w:val="3CEF8113"/>
    <w:rsid w:val="3CFE8EA5"/>
    <w:rsid w:val="3D73248C"/>
    <w:rsid w:val="3D761FDF"/>
    <w:rsid w:val="3D7BCC51"/>
    <w:rsid w:val="3D7D5F47"/>
    <w:rsid w:val="3D7EE166"/>
    <w:rsid w:val="3D9758B0"/>
    <w:rsid w:val="3DB15A34"/>
    <w:rsid w:val="3DB5E53D"/>
    <w:rsid w:val="3DCBE874"/>
    <w:rsid w:val="3DD4574E"/>
    <w:rsid w:val="3DD72671"/>
    <w:rsid w:val="3DE77B80"/>
    <w:rsid w:val="3DEAC215"/>
    <w:rsid w:val="3DEB59FD"/>
    <w:rsid w:val="3DF3D5C7"/>
    <w:rsid w:val="3DFD693B"/>
    <w:rsid w:val="3DFF2784"/>
    <w:rsid w:val="3DFFDC4F"/>
    <w:rsid w:val="3E5DE891"/>
    <w:rsid w:val="3E7EC5D1"/>
    <w:rsid w:val="3EB74863"/>
    <w:rsid w:val="3ECA3916"/>
    <w:rsid w:val="3EF66B68"/>
    <w:rsid w:val="3EF79E87"/>
    <w:rsid w:val="3EF93D35"/>
    <w:rsid w:val="3F37C140"/>
    <w:rsid w:val="3F3F3761"/>
    <w:rsid w:val="3F673003"/>
    <w:rsid w:val="3F7F1AE5"/>
    <w:rsid w:val="3FAFD343"/>
    <w:rsid w:val="3FBBA733"/>
    <w:rsid w:val="3FBD332C"/>
    <w:rsid w:val="3FBE4212"/>
    <w:rsid w:val="3FBEFB5C"/>
    <w:rsid w:val="3FBF537A"/>
    <w:rsid w:val="3FCF4807"/>
    <w:rsid w:val="3FCF8ACA"/>
    <w:rsid w:val="3FD7708A"/>
    <w:rsid w:val="3FDE8883"/>
    <w:rsid w:val="3FDF3ED9"/>
    <w:rsid w:val="3FDF676E"/>
    <w:rsid w:val="3FE6949F"/>
    <w:rsid w:val="3FEB6D5B"/>
    <w:rsid w:val="3FEF360D"/>
    <w:rsid w:val="3FEF7861"/>
    <w:rsid w:val="3FF1D5C2"/>
    <w:rsid w:val="3FF35356"/>
    <w:rsid w:val="3FFA0245"/>
    <w:rsid w:val="3FFC96A4"/>
    <w:rsid w:val="3FFEB1BF"/>
    <w:rsid w:val="3FFF7F4B"/>
    <w:rsid w:val="3FFF9FBB"/>
    <w:rsid w:val="3FFFA286"/>
    <w:rsid w:val="402E5086"/>
    <w:rsid w:val="41A63871"/>
    <w:rsid w:val="421A572A"/>
    <w:rsid w:val="421E2F4D"/>
    <w:rsid w:val="425B0D45"/>
    <w:rsid w:val="428D0BB2"/>
    <w:rsid w:val="42ED5607"/>
    <w:rsid w:val="42F343AE"/>
    <w:rsid w:val="43817E6A"/>
    <w:rsid w:val="43EF1321"/>
    <w:rsid w:val="44260386"/>
    <w:rsid w:val="44EED997"/>
    <w:rsid w:val="45605CF4"/>
    <w:rsid w:val="45FF0815"/>
    <w:rsid w:val="46725C94"/>
    <w:rsid w:val="468E1469"/>
    <w:rsid w:val="469C1D4A"/>
    <w:rsid w:val="471F9705"/>
    <w:rsid w:val="47C47F74"/>
    <w:rsid w:val="47DB717A"/>
    <w:rsid w:val="47E7B1C1"/>
    <w:rsid w:val="47FD46E8"/>
    <w:rsid w:val="487C33A3"/>
    <w:rsid w:val="491F48CF"/>
    <w:rsid w:val="49693D13"/>
    <w:rsid w:val="4AEFB419"/>
    <w:rsid w:val="4B1AD193"/>
    <w:rsid w:val="4B7744CC"/>
    <w:rsid w:val="4BB7B22D"/>
    <w:rsid w:val="4BDF11AF"/>
    <w:rsid w:val="4BE8084A"/>
    <w:rsid w:val="4CBB3BB3"/>
    <w:rsid w:val="4D5ED344"/>
    <w:rsid w:val="4D678F58"/>
    <w:rsid w:val="4D70739B"/>
    <w:rsid w:val="4DAD3831"/>
    <w:rsid w:val="4DADC526"/>
    <w:rsid w:val="4DC36B8D"/>
    <w:rsid w:val="4DEE7E83"/>
    <w:rsid w:val="4DEF6F6C"/>
    <w:rsid w:val="4DF3F31D"/>
    <w:rsid w:val="4E121292"/>
    <w:rsid w:val="4E7B459A"/>
    <w:rsid w:val="4EBF7240"/>
    <w:rsid w:val="4ECD10F0"/>
    <w:rsid w:val="4ED9A776"/>
    <w:rsid w:val="4EFE1133"/>
    <w:rsid w:val="4F4AF30E"/>
    <w:rsid w:val="4F5E1EC6"/>
    <w:rsid w:val="4FAE0BB5"/>
    <w:rsid w:val="4FAFB09B"/>
    <w:rsid w:val="4FF3C995"/>
    <w:rsid w:val="4FFA63C2"/>
    <w:rsid w:val="4FFE346F"/>
    <w:rsid w:val="4FFF02FB"/>
    <w:rsid w:val="4FFF26E9"/>
    <w:rsid w:val="4FFF9BD4"/>
    <w:rsid w:val="505A76D1"/>
    <w:rsid w:val="50F7734E"/>
    <w:rsid w:val="51ED42C6"/>
    <w:rsid w:val="51F7DAF4"/>
    <w:rsid w:val="51FE8270"/>
    <w:rsid w:val="52360AEF"/>
    <w:rsid w:val="525F4103"/>
    <w:rsid w:val="526667B8"/>
    <w:rsid w:val="52963FB5"/>
    <w:rsid w:val="52F842CA"/>
    <w:rsid w:val="53D90AE1"/>
    <w:rsid w:val="54695B81"/>
    <w:rsid w:val="55151BCF"/>
    <w:rsid w:val="553E3E88"/>
    <w:rsid w:val="55571013"/>
    <w:rsid w:val="557F59FD"/>
    <w:rsid w:val="558B2ED4"/>
    <w:rsid w:val="55BFC283"/>
    <w:rsid w:val="55EA6B3E"/>
    <w:rsid w:val="55FF7BDB"/>
    <w:rsid w:val="56A727C2"/>
    <w:rsid w:val="56BF8D58"/>
    <w:rsid w:val="56C73045"/>
    <w:rsid w:val="56F33F53"/>
    <w:rsid w:val="56FFA02C"/>
    <w:rsid w:val="56FFCDE5"/>
    <w:rsid w:val="57286503"/>
    <w:rsid w:val="5736C8ED"/>
    <w:rsid w:val="576511D6"/>
    <w:rsid w:val="577BB77E"/>
    <w:rsid w:val="577D648C"/>
    <w:rsid w:val="57A78302"/>
    <w:rsid w:val="57BE94E1"/>
    <w:rsid w:val="57ED2C79"/>
    <w:rsid w:val="57FFFCD2"/>
    <w:rsid w:val="59035DEC"/>
    <w:rsid w:val="59BBC9DB"/>
    <w:rsid w:val="59D48B8A"/>
    <w:rsid w:val="59F7966E"/>
    <w:rsid w:val="5A4E5B07"/>
    <w:rsid w:val="5A770172"/>
    <w:rsid w:val="5A7BFCFF"/>
    <w:rsid w:val="5ABE3825"/>
    <w:rsid w:val="5ACB49FE"/>
    <w:rsid w:val="5AEDE7B3"/>
    <w:rsid w:val="5AEF3882"/>
    <w:rsid w:val="5AFCBEAC"/>
    <w:rsid w:val="5B3FA215"/>
    <w:rsid w:val="5B7B1FFF"/>
    <w:rsid w:val="5B93C95D"/>
    <w:rsid w:val="5BE79DD4"/>
    <w:rsid w:val="5BEEA8DA"/>
    <w:rsid w:val="5BFF1A7D"/>
    <w:rsid w:val="5BFFF14A"/>
    <w:rsid w:val="5C436DFB"/>
    <w:rsid w:val="5C55325F"/>
    <w:rsid w:val="5CBB6E3E"/>
    <w:rsid w:val="5CDC117F"/>
    <w:rsid w:val="5CDF44A6"/>
    <w:rsid w:val="5CE5754D"/>
    <w:rsid w:val="5D55822B"/>
    <w:rsid w:val="5D67C894"/>
    <w:rsid w:val="5D6857E9"/>
    <w:rsid w:val="5D7E3057"/>
    <w:rsid w:val="5D7EA7FE"/>
    <w:rsid w:val="5D9783B0"/>
    <w:rsid w:val="5DADA34D"/>
    <w:rsid w:val="5DB4F2CF"/>
    <w:rsid w:val="5DBF61DA"/>
    <w:rsid w:val="5DCD610C"/>
    <w:rsid w:val="5DCF8A15"/>
    <w:rsid w:val="5DD6543D"/>
    <w:rsid w:val="5DEF040C"/>
    <w:rsid w:val="5DF65422"/>
    <w:rsid w:val="5DF7113D"/>
    <w:rsid w:val="5DF78162"/>
    <w:rsid w:val="5DFBFDEA"/>
    <w:rsid w:val="5DFE3C2B"/>
    <w:rsid w:val="5E1D3FB1"/>
    <w:rsid w:val="5E2A73C0"/>
    <w:rsid w:val="5E3FB487"/>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09A2C"/>
    <w:rsid w:val="5F370C2B"/>
    <w:rsid w:val="5F3F75F9"/>
    <w:rsid w:val="5F5EBF92"/>
    <w:rsid w:val="5F7F1A38"/>
    <w:rsid w:val="5F9DF812"/>
    <w:rsid w:val="5F9F74D1"/>
    <w:rsid w:val="5FA64A8B"/>
    <w:rsid w:val="5FBE7281"/>
    <w:rsid w:val="5FBFB419"/>
    <w:rsid w:val="5FDB0928"/>
    <w:rsid w:val="5FEE4964"/>
    <w:rsid w:val="5FEEF60C"/>
    <w:rsid w:val="5FF39D88"/>
    <w:rsid w:val="5FF54A80"/>
    <w:rsid w:val="5FF55AB5"/>
    <w:rsid w:val="5FF6FB1C"/>
    <w:rsid w:val="5FF7A055"/>
    <w:rsid w:val="5FF7A82D"/>
    <w:rsid w:val="5FF7A9D2"/>
    <w:rsid w:val="5FF9708D"/>
    <w:rsid w:val="5FFB6BAF"/>
    <w:rsid w:val="5FFDA3EE"/>
    <w:rsid w:val="5FFDD64D"/>
    <w:rsid w:val="5FFE17C6"/>
    <w:rsid w:val="5FFE8776"/>
    <w:rsid w:val="60F5C22B"/>
    <w:rsid w:val="617FDA56"/>
    <w:rsid w:val="61EF0101"/>
    <w:rsid w:val="62FA182C"/>
    <w:rsid w:val="633F6CC7"/>
    <w:rsid w:val="636F12CD"/>
    <w:rsid w:val="637E3441"/>
    <w:rsid w:val="641F491E"/>
    <w:rsid w:val="648C0471"/>
    <w:rsid w:val="64E11B2C"/>
    <w:rsid w:val="656102B9"/>
    <w:rsid w:val="657C820C"/>
    <w:rsid w:val="659C79D3"/>
    <w:rsid w:val="65B31319"/>
    <w:rsid w:val="65DF9500"/>
    <w:rsid w:val="65E747BC"/>
    <w:rsid w:val="65F78D8C"/>
    <w:rsid w:val="65FFA1F8"/>
    <w:rsid w:val="65FFE939"/>
    <w:rsid w:val="6656B455"/>
    <w:rsid w:val="66AB100C"/>
    <w:rsid w:val="672F3A41"/>
    <w:rsid w:val="675EF6D4"/>
    <w:rsid w:val="676F4304"/>
    <w:rsid w:val="677F866B"/>
    <w:rsid w:val="67E61DB3"/>
    <w:rsid w:val="67EF3224"/>
    <w:rsid w:val="67F3696C"/>
    <w:rsid w:val="67FA6329"/>
    <w:rsid w:val="67FBD676"/>
    <w:rsid w:val="67FE857C"/>
    <w:rsid w:val="67FED58C"/>
    <w:rsid w:val="67FEEEDD"/>
    <w:rsid w:val="67FF003E"/>
    <w:rsid w:val="67FF4BB5"/>
    <w:rsid w:val="684501D4"/>
    <w:rsid w:val="686E411D"/>
    <w:rsid w:val="694D23DB"/>
    <w:rsid w:val="69650304"/>
    <w:rsid w:val="6975CD20"/>
    <w:rsid w:val="6A275F63"/>
    <w:rsid w:val="6A7A31E5"/>
    <w:rsid w:val="6AAFED99"/>
    <w:rsid w:val="6AD3B3EA"/>
    <w:rsid w:val="6AE9C1DA"/>
    <w:rsid w:val="6B436831"/>
    <w:rsid w:val="6B6E3DC4"/>
    <w:rsid w:val="6B7179B2"/>
    <w:rsid w:val="6B76B87A"/>
    <w:rsid w:val="6B77E2D5"/>
    <w:rsid w:val="6B7FED56"/>
    <w:rsid w:val="6BD51137"/>
    <w:rsid w:val="6BDA6921"/>
    <w:rsid w:val="6BF5AE63"/>
    <w:rsid w:val="6BF7B077"/>
    <w:rsid w:val="6BF7EAFA"/>
    <w:rsid w:val="6BFD1422"/>
    <w:rsid w:val="6BFF5620"/>
    <w:rsid w:val="6BFFD4BB"/>
    <w:rsid w:val="6C430D4D"/>
    <w:rsid w:val="6C642A0F"/>
    <w:rsid w:val="6CB076BA"/>
    <w:rsid w:val="6CDFF8E8"/>
    <w:rsid w:val="6CF7BF9B"/>
    <w:rsid w:val="6CFD091F"/>
    <w:rsid w:val="6CFFC3B5"/>
    <w:rsid w:val="6CFFCCC8"/>
    <w:rsid w:val="6D1B9328"/>
    <w:rsid w:val="6D50169A"/>
    <w:rsid w:val="6D73CC41"/>
    <w:rsid w:val="6D77449D"/>
    <w:rsid w:val="6DA50DBC"/>
    <w:rsid w:val="6DB5F7F1"/>
    <w:rsid w:val="6DBA2ADD"/>
    <w:rsid w:val="6DDD1263"/>
    <w:rsid w:val="6DEF40CD"/>
    <w:rsid w:val="6DF8D4BD"/>
    <w:rsid w:val="6DF9AADB"/>
    <w:rsid w:val="6DFB0B78"/>
    <w:rsid w:val="6DFE00E7"/>
    <w:rsid w:val="6E7AB378"/>
    <w:rsid w:val="6EBFEB94"/>
    <w:rsid w:val="6EF127BF"/>
    <w:rsid w:val="6EF7BBE3"/>
    <w:rsid w:val="6EFD3EB9"/>
    <w:rsid w:val="6EFE8F88"/>
    <w:rsid w:val="6EFFC559"/>
    <w:rsid w:val="6F3B17DD"/>
    <w:rsid w:val="6F53462D"/>
    <w:rsid w:val="6F71D401"/>
    <w:rsid w:val="6F7796A3"/>
    <w:rsid w:val="6F7F319E"/>
    <w:rsid w:val="6F8F7E74"/>
    <w:rsid w:val="6F97CD45"/>
    <w:rsid w:val="6F9D7008"/>
    <w:rsid w:val="6FB4E98C"/>
    <w:rsid w:val="6FBD54F7"/>
    <w:rsid w:val="6FBFEC2E"/>
    <w:rsid w:val="6FCF7FB5"/>
    <w:rsid w:val="6FD902DD"/>
    <w:rsid w:val="6FDE7331"/>
    <w:rsid w:val="6FE5BAF3"/>
    <w:rsid w:val="6FE7C91E"/>
    <w:rsid w:val="6FF716C9"/>
    <w:rsid w:val="6FF71E06"/>
    <w:rsid w:val="6FF7F514"/>
    <w:rsid w:val="6FFC15B4"/>
    <w:rsid w:val="6FFD4120"/>
    <w:rsid w:val="6FFE0FFC"/>
    <w:rsid w:val="6FFE3253"/>
    <w:rsid w:val="6FFEDC6E"/>
    <w:rsid w:val="6FFF03AD"/>
    <w:rsid w:val="6FFF1619"/>
    <w:rsid w:val="704666B3"/>
    <w:rsid w:val="7076285A"/>
    <w:rsid w:val="70DE4677"/>
    <w:rsid w:val="70F4632C"/>
    <w:rsid w:val="71AD6475"/>
    <w:rsid w:val="71C542E2"/>
    <w:rsid w:val="71FB6C78"/>
    <w:rsid w:val="71FE8064"/>
    <w:rsid w:val="721FCB48"/>
    <w:rsid w:val="724E022D"/>
    <w:rsid w:val="727BDBB6"/>
    <w:rsid w:val="72874010"/>
    <w:rsid w:val="72CF0DAC"/>
    <w:rsid w:val="72F2C217"/>
    <w:rsid w:val="72F7AB6B"/>
    <w:rsid w:val="72FB5973"/>
    <w:rsid w:val="73630D56"/>
    <w:rsid w:val="739EBC35"/>
    <w:rsid w:val="73AFD98D"/>
    <w:rsid w:val="73BB6BF6"/>
    <w:rsid w:val="73BF8F93"/>
    <w:rsid w:val="73BFDBC7"/>
    <w:rsid w:val="73DF29A0"/>
    <w:rsid w:val="73E55634"/>
    <w:rsid w:val="73E8D580"/>
    <w:rsid w:val="73E99824"/>
    <w:rsid w:val="73EFF69A"/>
    <w:rsid w:val="73F32AB8"/>
    <w:rsid w:val="73FF1F09"/>
    <w:rsid w:val="73FFA5BE"/>
    <w:rsid w:val="741811A2"/>
    <w:rsid w:val="741B741F"/>
    <w:rsid w:val="744EA2DA"/>
    <w:rsid w:val="745B3E5A"/>
    <w:rsid w:val="74EDFC71"/>
    <w:rsid w:val="751A2D35"/>
    <w:rsid w:val="7562642D"/>
    <w:rsid w:val="756F06AC"/>
    <w:rsid w:val="757FBDEC"/>
    <w:rsid w:val="75B2D8F4"/>
    <w:rsid w:val="75C326AD"/>
    <w:rsid w:val="75C684C5"/>
    <w:rsid w:val="75CB71F4"/>
    <w:rsid w:val="75CB9CA2"/>
    <w:rsid w:val="75CF66C2"/>
    <w:rsid w:val="75DFCDD0"/>
    <w:rsid w:val="75E7EC3E"/>
    <w:rsid w:val="75ED4C81"/>
    <w:rsid w:val="75EE106A"/>
    <w:rsid w:val="75FB87B9"/>
    <w:rsid w:val="75FBE869"/>
    <w:rsid w:val="75FE714E"/>
    <w:rsid w:val="75FFE904"/>
    <w:rsid w:val="76B7A01E"/>
    <w:rsid w:val="76C41C51"/>
    <w:rsid w:val="76CF1E7A"/>
    <w:rsid w:val="76D73466"/>
    <w:rsid w:val="76DE7069"/>
    <w:rsid w:val="76ED63DC"/>
    <w:rsid w:val="76EDFEA8"/>
    <w:rsid w:val="76EFA86B"/>
    <w:rsid w:val="76FBE0A6"/>
    <w:rsid w:val="76FEB519"/>
    <w:rsid w:val="77120D81"/>
    <w:rsid w:val="773B6E94"/>
    <w:rsid w:val="773F416B"/>
    <w:rsid w:val="773FC2B4"/>
    <w:rsid w:val="774F1A39"/>
    <w:rsid w:val="7767697B"/>
    <w:rsid w:val="776D9ABF"/>
    <w:rsid w:val="7774FCA3"/>
    <w:rsid w:val="777E1C13"/>
    <w:rsid w:val="777E241C"/>
    <w:rsid w:val="777FAAE5"/>
    <w:rsid w:val="777FE2C2"/>
    <w:rsid w:val="77BEFEDF"/>
    <w:rsid w:val="77BF0C56"/>
    <w:rsid w:val="77BF2C6C"/>
    <w:rsid w:val="77BF4469"/>
    <w:rsid w:val="77BF6CA4"/>
    <w:rsid w:val="77D3B109"/>
    <w:rsid w:val="77DA9E1C"/>
    <w:rsid w:val="77DF0902"/>
    <w:rsid w:val="77EB124C"/>
    <w:rsid w:val="77EBC94C"/>
    <w:rsid w:val="77EC7166"/>
    <w:rsid w:val="77F3F99A"/>
    <w:rsid w:val="77F7B6A1"/>
    <w:rsid w:val="77FB3794"/>
    <w:rsid w:val="77FB3CF2"/>
    <w:rsid w:val="77FB69F2"/>
    <w:rsid w:val="77FC1973"/>
    <w:rsid w:val="77FF2E5D"/>
    <w:rsid w:val="77FF6BD3"/>
    <w:rsid w:val="77FF73FE"/>
    <w:rsid w:val="77FF8DE4"/>
    <w:rsid w:val="77FF96DC"/>
    <w:rsid w:val="77FF98D9"/>
    <w:rsid w:val="77FFD07D"/>
    <w:rsid w:val="780E2ADE"/>
    <w:rsid w:val="783FA804"/>
    <w:rsid w:val="78DB50B6"/>
    <w:rsid w:val="78E751EF"/>
    <w:rsid w:val="78FFDE7F"/>
    <w:rsid w:val="795A4F5B"/>
    <w:rsid w:val="797F5239"/>
    <w:rsid w:val="79B62CF8"/>
    <w:rsid w:val="79B78C19"/>
    <w:rsid w:val="79DD1813"/>
    <w:rsid w:val="79FF7B0D"/>
    <w:rsid w:val="7A4A60C9"/>
    <w:rsid w:val="7A71A7FD"/>
    <w:rsid w:val="7A97FF58"/>
    <w:rsid w:val="7ADC9D1C"/>
    <w:rsid w:val="7AF30C9D"/>
    <w:rsid w:val="7AF70606"/>
    <w:rsid w:val="7AF7D67B"/>
    <w:rsid w:val="7AFBDED6"/>
    <w:rsid w:val="7AFE0FCA"/>
    <w:rsid w:val="7B4307D3"/>
    <w:rsid w:val="7B4F838D"/>
    <w:rsid w:val="7B5D00BF"/>
    <w:rsid w:val="7B6BB10C"/>
    <w:rsid w:val="7B6F5563"/>
    <w:rsid w:val="7B6FB805"/>
    <w:rsid w:val="7B77A0CF"/>
    <w:rsid w:val="7B77F2FD"/>
    <w:rsid w:val="7B77F8E5"/>
    <w:rsid w:val="7B7E6EAB"/>
    <w:rsid w:val="7B7ED2FE"/>
    <w:rsid w:val="7B9A2410"/>
    <w:rsid w:val="7B9FA5D8"/>
    <w:rsid w:val="7BBD010F"/>
    <w:rsid w:val="7BC7C2B2"/>
    <w:rsid w:val="7BCDC113"/>
    <w:rsid w:val="7BD298ED"/>
    <w:rsid w:val="7BD32125"/>
    <w:rsid w:val="7BD6D01D"/>
    <w:rsid w:val="7BDB155B"/>
    <w:rsid w:val="7BDDE200"/>
    <w:rsid w:val="7BE74C94"/>
    <w:rsid w:val="7BE7C0F5"/>
    <w:rsid w:val="7BE8B7E0"/>
    <w:rsid w:val="7BEFBC60"/>
    <w:rsid w:val="7BF5878C"/>
    <w:rsid w:val="7BF5E51E"/>
    <w:rsid w:val="7BF74946"/>
    <w:rsid w:val="7BF7E49A"/>
    <w:rsid w:val="7BF85915"/>
    <w:rsid w:val="7BFD6DCC"/>
    <w:rsid w:val="7BFEB61B"/>
    <w:rsid w:val="7BFFE1E3"/>
    <w:rsid w:val="7C3DCC41"/>
    <w:rsid w:val="7C6E6434"/>
    <w:rsid w:val="7CA144D9"/>
    <w:rsid w:val="7CDF667F"/>
    <w:rsid w:val="7CE37221"/>
    <w:rsid w:val="7CE7B5D6"/>
    <w:rsid w:val="7CF37388"/>
    <w:rsid w:val="7CF78588"/>
    <w:rsid w:val="7CFA7567"/>
    <w:rsid w:val="7CFAD471"/>
    <w:rsid w:val="7CFC9292"/>
    <w:rsid w:val="7CFCE577"/>
    <w:rsid w:val="7CFE1B60"/>
    <w:rsid w:val="7CFFED3C"/>
    <w:rsid w:val="7D2FD223"/>
    <w:rsid w:val="7D5D42EC"/>
    <w:rsid w:val="7D5F71F3"/>
    <w:rsid w:val="7D696218"/>
    <w:rsid w:val="7D6E0348"/>
    <w:rsid w:val="7D732DDD"/>
    <w:rsid w:val="7D7E1CC4"/>
    <w:rsid w:val="7D7F35B0"/>
    <w:rsid w:val="7D7F7B08"/>
    <w:rsid w:val="7D8FF4FE"/>
    <w:rsid w:val="7D9730E6"/>
    <w:rsid w:val="7D9FAF56"/>
    <w:rsid w:val="7DA55C93"/>
    <w:rsid w:val="7DAF073E"/>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6689E"/>
    <w:rsid w:val="7DF675A6"/>
    <w:rsid w:val="7DF7FC2B"/>
    <w:rsid w:val="7DFB332C"/>
    <w:rsid w:val="7DFBE697"/>
    <w:rsid w:val="7DFD5F34"/>
    <w:rsid w:val="7DFDDCC0"/>
    <w:rsid w:val="7DFE2F0F"/>
    <w:rsid w:val="7DFFFACA"/>
    <w:rsid w:val="7E2B1B1F"/>
    <w:rsid w:val="7E4435A0"/>
    <w:rsid w:val="7E47CD03"/>
    <w:rsid w:val="7E5FC005"/>
    <w:rsid w:val="7E6B99FE"/>
    <w:rsid w:val="7E76C969"/>
    <w:rsid w:val="7E7AE341"/>
    <w:rsid w:val="7E7EE71B"/>
    <w:rsid w:val="7E7F03D6"/>
    <w:rsid w:val="7E7FE21D"/>
    <w:rsid w:val="7EAFF8B5"/>
    <w:rsid w:val="7EB2B236"/>
    <w:rsid w:val="7EBC11EA"/>
    <w:rsid w:val="7EBE5878"/>
    <w:rsid w:val="7ECF4980"/>
    <w:rsid w:val="7ED9541D"/>
    <w:rsid w:val="7EDD1C07"/>
    <w:rsid w:val="7EDF7E6F"/>
    <w:rsid w:val="7EE32EEC"/>
    <w:rsid w:val="7EE71208"/>
    <w:rsid w:val="7EE9456A"/>
    <w:rsid w:val="7EEEA49A"/>
    <w:rsid w:val="7EEEBE07"/>
    <w:rsid w:val="7EF99FF1"/>
    <w:rsid w:val="7EFA5A26"/>
    <w:rsid w:val="7EFC857F"/>
    <w:rsid w:val="7EFD6A88"/>
    <w:rsid w:val="7EFF019F"/>
    <w:rsid w:val="7EFF225E"/>
    <w:rsid w:val="7EFF50EB"/>
    <w:rsid w:val="7EFF5ED2"/>
    <w:rsid w:val="7EFF9387"/>
    <w:rsid w:val="7EFFE722"/>
    <w:rsid w:val="7F1B85BB"/>
    <w:rsid w:val="7F37422C"/>
    <w:rsid w:val="7F37B6C6"/>
    <w:rsid w:val="7F4FE693"/>
    <w:rsid w:val="7F52B9EE"/>
    <w:rsid w:val="7F5703CD"/>
    <w:rsid w:val="7F570B34"/>
    <w:rsid w:val="7F5E35AF"/>
    <w:rsid w:val="7F5E413C"/>
    <w:rsid w:val="7F5FEFC8"/>
    <w:rsid w:val="7F6E4D68"/>
    <w:rsid w:val="7F7504E1"/>
    <w:rsid w:val="7F795B47"/>
    <w:rsid w:val="7F7E96BF"/>
    <w:rsid w:val="7F7EFBC9"/>
    <w:rsid w:val="7F7F4C63"/>
    <w:rsid w:val="7F7F88FE"/>
    <w:rsid w:val="7F7FD1D0"/>
    <w:rsid w:val="7F9450B2"/>
    <w:rsid w:val="7F9B6B55"/>
    <w:rsid w:val="7F9E9DD4"/>
    <w:rsid w:val="7FA38CEE"/>
    <w:rsid w:val="7FA7C4F9"/>
    <w:rsid w:val="7FA932EE"/>
    <w:rsid w:val="7FABC639"/>
    <w:rsid w:val="7FAD9DD0"/>
    <w:rsid w:val="7FAF17A5"/>
    <w:rsid w:val="7FAF8AFF"/>
    <w:rsid w:val="7FAFB2CB"/>
    <w:rsid w:val="7FB2CBDF"/>
    <w:rsid w:val="7FB30E7D"/>
    <w:rsid w:val="7FB79512"/>
    <w:rsid w:val="7FBB507C"/>
    <w:rsid w:val="7FBC335E"/>
    <w:rsid w:val="7FBC5AFD"/>
    <w:rsid w:val="7FBD1317"/>
    <w:rsid w:val="7FBE3A7A"/>
    <w:rsid w:val="7FBEDAF6"/>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E127E"/>
    <w:rsid w:val="7FDE2061"/>
    <w:rsid w:val="7FDE354E"/>
    <w:rsid w:val="7FDF40D7"/>
    <w:rsid w:val="7FDF9342"/>
    <w:rsid w:val="7FE37E9A"/>
    <w:rsid w:val="7FE77CC4"/>
    <w:rsid w:val="7FEB0BC5"/>
    <w:rsid w:val="7FEB85CC"/>
    <w:rsid w:val="7FED612D"/>
    <w:rsid w:val="7FEE09D7"/>
    <w:rsid w:val="7FEF1DEB"/>
    <w:rsid w:val="7FEFBBEE"/>
    <w:rsid w:val="7FEFF6AD"/>
    <w:rsid w:val="7FF28455"/>
    <w:rsid w:val="7FF3E9BE"/>
    <w:rsid w:val="7FF453DC"/>
    <w:rsid w:val="7FF50206"/>
    <w:rsid w:val="7FF53FC6"/>
    <w:rsid w:val="7FF5A2DF"/>
    <w:rsid w:val="7FF701E9"/>
    <w:rsid w:val="7FF72FF4"/>
    <w:rsid w:val="7FF7E6A4"/>
    <w:rsid w:val="7FF88170"/>
    <w:rsid w:val="7FF908E1"/>
    <w:rsid w:val="7FF96046"/>
    <w:rsid w:val="7FFB0636"/>
    <w:rsid w:val="7FFB51BE"/>
    <w:rsid w:val="7FFB6A91"/>
    <w:rsid w:val="7FFB6FE6"/>
    <w:rsid w:val="7FFBA9B5"/>
    <w:rsid w:val="7FFCB6FC"/>
    <w:rsid w:val="7FFD320A"/>
    <w:rsid w:val="7FFDEE9C"/>
    <w:rsid w:val="7FFF0A39"/>
    <w:rsid w:val="7FFF18DF"/>
    <w:rsid w:val="7FFF26F4"/>
    <w:rsid w:val="7FFFA237"/>
    <w:rsid w:val="7FFFA720"/>
    <w:rsid w:val="7FFFA8F0"/>
    <w:rsid w:val="7FFFB070"/>
    <w:rsid w:val="7FFFB9C6"/>
    <w:rsid w:val="81F18177"/>
    <w:rsid w:val="84F3EEA4"/>
    <w:rsid w:val="857DCA8C"/>
    <w:rsid w:val="873D52FC"/>
    <w:rsid w:val="89DFCF21"/>
    <w:rsid w:val="8B9F340F"/>
    <w:rsid w:val="8EFE3B75"/>
    <w:rsid w:val="8F7B6424"/>
    <w:rsid w:val="8FBF9EA4"/>
    <w:rsid w:val="8FFB5864"/>
    <w:rsid w:val="8FFD0918"/>
    <w:rsid w:val="93BB7998"/>
    <w:rsid w:val="93FE2EBD"/>
    <w:rsid w:val="957D9633"/>
    <w:rsid w:val="96DB80FD"/>
    <w:rsid w:val="96DD27EB"/>
    <w:rsid w:val="96FF837B"/>
    <w:rsid w:val="97D863FB"/>
    <w:rsid w:val="99C30D24"/>
    <w:rsid w:val="99D77A41"/>
    <w:rsid w:val="9AFAD547"/>
    <w:rsid w:val="9B6B0B14"/>
    <w:rsid w:val="9B6D7D98"/>
    <w:rsid w:val="9B9FF190"/>
    <w:rsid w:val="9BE7DD3E"/>
    <w:rsid w:val="9BFE5D1B"/>
    <w:rsid w:val="9C2D62C5"/>
    <w:rsid w:val="9CDF4B66"/>
    <w:rsid w:val="9CF9F38E"/>
    <w:rsid w:val="9D77CC9D"/>
    <w:rsid w:val="9E3F2FA2"/>
    <w:rsid w:val="9ED7803E"/>
    <w:rsid w:val="9EE22732"/>
    <w:rsid w:val="9EEB06CE"/>
    <w:rsid w:val="9F1BCEB1"/>
    <w:rsid w:val="9F5F0D2C"/>
    <w:rsid w:val="9FB8421E"/>
    <w:rsid w:val="9FBB84DA"/>
    <w:rsid w:val="9FBF2280"/>
    <w:rsid w:val="9FBF7360"/>
    <w:rsid w:val="9FD3D22D"/>
    <w:rsid w:val="9FD50814"/>
    <w:rsid w:val="9FDF2FDD"/>
    <w:rsid w:val="9FFEBA99"/>
    <w:rsid w:val="9FFEF8BD"/>
    <w:rsid w:val="9FFF3D56"/>
    <w:rsid w:val="9FFF4D92"/>
    <w:rsid w:val="A1F77455"/>
    <w:rsid w:val="A3E70971"/>
    <w:rsid w:val="A5EEFEF4"/>
    <w:rsid w:val="A5F8D4B3"/>
    <w:rsid w:val="A67FA771"/>
    <w:rsid w:val="A73D0DD5"/>
    <w:rsid w:val="A77A9539"/>
    <w:rsid w:val="A9538121"/>
    <w:rsid w:val="A99B7769"/>
    <w:rsid w:val="AAF784E8"/>
    <w:rsid w:val="AB9E912C"/>
    <w:rsid w:val="ABAF73A5"/>
    <w:rsid w:val="ABF7CADC"/>
    <w:rsid w:val="ACFA3339"/>
    <w:rsid w:val="AD344C61"/>
    <w:rsid w:val="ADCFA514"/>
    <w:rsid w:val="AE7F4CDB"/>
    <w:rsid w:val="AE7FC477"/>
    <w:rsid w:val="AEFBEDE2"/>
    <w:rsid w:val="AF772FC8"/>
    <w:rsid w:val="AF7ED9C6"/>
    <w:rsid w:val="AFD72315"/>
    <w:rsid w:val="AFEFB13B"/>
    <w:rsid w:val="AFF67AA9"/>
    <w:rsid w:val="AFF7527D"/>
    <w:rsid w:val="AFFF8512"/>
    <w:rsid w:val="AFFF9262"/>
    <w:rsid w:val="AFFFA1A6"/>
    <w:rsid w:val="B0FFBD90"/>
    <w:rsid w:val="B13BC964"/>
    <w:rsid w:val="B17B764D"/>
    <w:rsid w:val="B37FD117"/>
    <w:rsid w:val="B3DCEFF3"/>
    <w:rsid w:val="B3F763FD"/>
    <w:rsid w:val="B3FB50B9"/>
    <w:rsid w:val="B4FFDFCE"/>
    <w:rsid w:val="B675F493"/>
    <w:rsid w:val="B67DB1AF"/>
    <w:rsid w:val="B6D5EC63"/>
    <w:rsid w:val="B6DD05AB"/>
    <w:rsid w:val="B6EACFCF"/>
    <w:rsid w:val="B6EC7BC0"/>
    <w:rsid w:val="B777AE16"/>
    <w:rsid w:val="B77DCC5C"/>
    <w:rsid w:val="B7BB8F72"/>
    <w:rsid w:val="B7DF047F"/>
    <w:rsid w:val="B7DF5616"/>
    <w:rsid w:val="B7DF7816"/>
    <w:rsid w:val="B7F842C6"/>
    <w:rsid w:val="B7FA3634"/>
    <w:rsid w:val="B7FF1BF6"/>
    <w:rsid w:val="B991A51D"/>
    <w:rsid w:val="B9FF6ADC"/>
    <w:rsid w:val="BA4F7DC2"/>
    <w:rsid w:val="BA7B7903"/>
    <w:rsid w:val="BABFFD34"/>
    <w:rsid w:val="BACA72F5"/>
    <w:rsid w:val="BB2E45B1"/>
    <w:rsid w:val="BB3E5B44"/>
    <w:rsid w:val="BBAFBAB2"/>
    <w:rsid w:val="BBBD653F"/>
    <w:rsid w:val="BBCECFDB"/>
    <w:rsid w:val="BBE9D1DD"/>
    <w:rsid w:val="BBEFAEDC"/>
    <w:rsid w:val="BBF32364"/>
    <w:rsid w:val="BC5D25E6"/>
    <w:rsid w:val="BC7FDC1C"/>
    <w:rsid w:val="BCB73D11"/>
    <w:rsid w:val="BD1F5AE9"/>
    <w:rsid w:val="BD57B2B1"/>
    <w:rsid w:val="BD6F761E"/>
    <w:rsid w:val="BD772A0D"/>
    <w:rsid w:val="BD7F4132"/>
    <w:rsid w:val="BDBE6A84"/>
    <w:rsid w:val="BDCF7ADE"/>
    <w:rsid w:val="BDEE245C"/>
    <w:rsid w:val="BDFB7FA1"/>
    <w:rsid w:val="BEAF2139"/>
    <w:rsid w:val="BEDB853F"/>
    <w:rsid w:val="BEDE61D9"/>
    <w:rsid w:val="BEE65747"/>
    <w:rsid w:val="BEECC0F3"/>
    <w:rsid w:val="BEEF69F5"/>
    <w:rsid w:val="BEFD324C"/>
    <w:rsid w:val="BEFE7628"/>
    <w:rsid w:val="BF038994"/>
    <w:rsid w:val="BF17D58A"/>
    <w:rsid w:val="BF3DE484"/>
    <w:rsid w:val="BF5FC9D0"/>
    <w:rsid w:val="BF6F2594"/>
    <w:rsid w:val="BF73E101"/>
    <w:rsid w:val="BF7E5043"/>
    <w:rsid w:val="BF7F6062"/>
    <w:rsid w:val="BF93F579"/>
    <w:rsid w:val="BFADC2A3"/>
    <w:rsid w:val="BFB761DD"/>
    <w:rsid w:val="BFBF242B"/>
    <w:rsid w:val="BFBFA5EB"/>
    <w:rsid w:val="BFBFE6FC"/>
    <w:rsid w:val="BFCFBB5F"/>
    <w:rsid w:val="BFDA8798"/>
    <w:rsid w:val="BFDB645D"/>
    <w:rsid w:val="BFDDF50E"/>
    <w:rsid w:val="BFDE6F09"/>
    <w:rsid w:val="BFDFAA72"/>
    <w:rsid w:val="BFE80BB7"/>
    <w:rsid w:val="BFED88A4"/>
    <w:rsid w:val="BFEE150A"/>
    <w:rsid w:val="BFF26A67"/>
    <w:rsid w:val="BFF7C717"/>
    <w:rsid w:val="BFFB9733"/>
    <w:rsid w:val="BFFF97C2"/>
    <w:rsid w:val="BFFF984C"/>
    <w:rsid w:val="BFFFE107"/>
    <w:rsid w:val="BFFFFA17"/>
    <w:rsid w:val="C4EF0AE5"/>
    <w:rsid w:val="C5AC0AC5"/>
    <w:rsid w:val="C6473A2D"/>
    <w:rsid w:val="C7FB8E09"/>
    <w:rsid w:val="C8FB5839"/>
    <w:rsid w:val="CBFE3D58"/>
    <w:rsid w:val="CBFEFB0C"/>
    <w:rsid w:val="CC8BBDE1"/>
    <w:rsid w:val="CCEC791A"/>
    <w:rsid w:val="CDF16012"/>
    <w:rsid w:val="CDFFB12E"/>
    <w:rsid w:val="CEAD47A0"/>
    <w:rsid w:val="CEEB128B"/>
    <w:rsid w:val="CF3FC383"/>
    <w:rsid w:val="CF57DF9C"/>
    <w:rsid w:val="CF6F24A8"/>
    <w:rsid w:val="CF78EB40"/>
    <w:rsid w:val="CF7C7D31"/>
    <w:rsid w:val="CF7FFFB3"/>
    <w:rsid w:val="CFAF0E91"/>
    <w:rsid w:val="CFBF1DE7"/>
    <w:rsid w:val="CFE7C8E0"/>
    <w:rsid w:val="CFF734D0"/>
    <w:rsid w:val="CFF810C0"/>
    <w:rsid w:val="D1EAE632"/>
    <w:rsid w:val="D2F3BC68"/>
    <w:rsid w:val="D3E8E1CA"/>
    <w:rsid w:val="D3EE899A"/>
    <w:rsid w:val="D5BDA60A"/>
    <w:rsid w:val="D5FA850E"/>
    <w:rsid w:val="D6C66085"/>
    <w:rsid w:val="D769096E"/>
    <w:rsid w:val="D77FEC1C"/>
    <w:rsid w:val="D78F27BD"/>
    <w:rsid w:val="D7EB847C"/>
    <w:rsid w:val="D7F7DD0A"/>
    <w:rsid w:val="D7FAF56F"/>
    <w:rsid w:val="D7FB014C"/>
    <w:rsid w:val="D8722C93"/>
    <w:rsid w:val="D8B34ED6"/>
    <w:rsid w:val="D8BDF9FC"/>
    <w:rsid w:val="D8DE3529"/>
    <w:rsid w:val="D97B560C"/>
    <w:rsid w:val="D9FFB7BB"/>
    <w:rsid w:val="DA595172"/>
    <w:rsid w:val="DAB92CC4"/>
    <w:rsid w:val="DACCC658"/>
    <w:rsid w:val="DAEE91DF"/>
    <w:rsid w:val="DAEF8942"/>
    <w:rsid w:val="DAFE38C3"/>
    <w:rsid w:val="DAFFEF29"/>
    <w:rsid w:val="DB3B70C9"/>
    <w:rsid w:val="DB67C22D"/>
    <w:rsid w:val="DB7B533E"/>
    <w:rsid w:val="DBA34696"/>
    <w:rsid w:val="DBCFCAEC"/>
    <w:rsid w:val="DBEF5E9D"/>
    <w:rsid w:val="DBF8E8B2"/>
    <w:rsid w:val="DBFF2ED8"/>
    <w:rsid w:val="DBFFB0A8"/>
    <w:rsid w:val="DC1B1024"/>
    <w:rsid w:val="DCEBBC93"/>
    <w:rsid w:val="DCFD6135"/>
    <w:rsid w:val="DD7F2217"/>
    <w:rsid w:val="DD7F6851"/>
    <w:rsid w:val="DD9FD5B5"/>
    <w:rsid w:val="DDB4B099"/>
    <w:rsid w:val="DDDFBEB5"/>
    <w:rsid w:val="DDEF68B4"/>
    <w:rsid w:val="DDF160E4"/>
    <w:rsid w:val="DDF6DD64"/>
    <w:rsid w:val="DDFF6C41"/>
    <w:rsid w:val="DDFFC5DE"/>
    <w:rsid w:val="DE1F4019"/>
    <w:rsid w:val="DE7927F5"/>
    <w:rsid w:val="DE8BF2DB"/>
    <w:rsid w:val="DEBB921B"/>
    <w:rsid w:val="DECE7779"/>
    <w:rsid w:val="DECF1B7D"/>
    <w:rsid w:val="DED575A0"/>
    <w:rsid w:val="DEDAB6FD"/>
    <w:rsid w:val="DEECBB00"/>
    <w:rsid w:val="DEF35BCA"/>
    <w:rsid w:val="DEF51697"/>
    <w:rsid w:val="DEFD52A1"/>
    <w:rsid w:val="DEFF7FDF"/>
    <w:rsid w:val="DF2F3FF3"/>
    <w:rsid w:val="DF340EEB"/>
    <w:rsid w:val="DF3EC730"/>
    <w:rsid w:val="DF578CC9"/>
    <w:rsid w:val="DF5DD4F1"/>
    <w:rsid w:val="DF5FE7E6"/>
    <w:rsid w:val="DF7A08EE"/>
    <w:rsid w:val="DF7BA1A6"/>
    <w:rsid w:val="DF7FCA58"/>
    <w:rsid w:val="DF7FCB2E"/>
    <w:rsid w:val="DFA757FB"/>
    <w:rsid w:val="DFAA4E55"/>
    <w:rsid w:val="DFB73C18"/>
    <w:rsid w:val="DFBD1562"/>
    <w:rsid w:val="DFBF24D1"/>
    <w:rsid w:val="DFCD968C"/>
    <w:rsid w:val="DFD7016D"/>
    <w:rsid w:val="DFD76A57"/>
    <w:rsid w:val="DFD7B8C2"/>
    <w:rsid w:val="DFEB36F4"/>
    <w:rsid w:val="DFEB9A5A"/>
    <w:rsid w:val="DFED50A2"/>
    <w:rsid w:val="DFEDCBA6"/>
    <w:rsid w:val="DFEEABDF"/>
    <w:rsid w:val="DFEECAEF"/>
    <w:rsid w:val="DFEF1307"/>
    <w:rsid w:val="DFEF2AAB"/>
    <w:rsid w:val="DFF4F857"/>
    <w:rsid w:val="DFF5A983"/>
    <w:rsid w:val="DFF5AD9A"/>
    <w:rsid w:val="DFF7420C"/>
    <w:rsid w:val="DFF75E14"/>
    <w:rsid w:val="DFF7A57B"/>
    <w:rsid w:val="DFFF6EDA"/>
    <w:rsid w:val="DFFF8F42"/>
    <w:rsid w:val="DFFF9FA5"/>
    <w:rsid w:val="DFFFB05C"/>
    <w:rsid w:val="DFFFBA83"/>
    <w:rsid w:val="DFFFBDC4"/>
    <w:rsid w:val="DFFFC6EA"/>
    <w:rsid w:val="E17F20CB"/>
    <w:rsid w:val="E2D587DA"/>
    <w:rsid w:val="E31F42E7"/>
    <w:rsid w:val="E32E06BB"/>
    <w:rsid w:val="E37ED642"/>
    <w:rsid w:val="E387722D"/>
    <w:rsid w:val="E3BE5050"/>
    <w:rsid w:val="E3BFA3CA"/>
    <w:rsid w:val="E3D74D1A"/>
    <w:rsid w:val="E3FDD47D"/>
    <w:rsid w:val="E43E529E"/>
    <w:rsid w:val="E4FEF684"/>
    <w:rsid w:val="E59C0E56"/>
    <w:rsid w:val="E5F5D345"/>
    <w:rsid w:val="E5FFAD4B"/>
    <w:rsid w:val="E74B0F27"/>
    <w:rsid w:val="E75E182F"/>
    <w:rsid w:val="E75FB65E"/>
    <w:rsid w:val="E79ACF5B"/>
    <w:rsid w:val="E7AA5B5A"/>
    <w:rsid w:val="E7B06A65"/>
    <w:rsid w:val="E7BE4A86"/>
    <w:rsid w:val="E7BF0E98"/>
    <w:rsid w:val="E7DC86C1"/>
    <w:rsid w:val="E7E963D3"/>
    <w:rsid w:val="E7F705AF"/>
    <w:rsid w:val="E7FAF14A"/>
    <w:rsid w:val="E7FDAF71"/>
    <w:rsid w:val="E7FFFB1C"/>
    <w:rsid w:val="E8FF79B0"/>
    <w:rsid w:val="E9C71B84"/>
    <w:rsid w:val="E9CB3F05"/>
    <w:rsid w:val="E9FF6880"/>
    <w:rsid w:val="EAEEC950"/>
    <w:rsid w:val="EB7B27EF"/>
    <w:rsid w:val="EBB5D1A1"/>
    <w:rsid w:val="EBBB7694"/>
    <w:rsid w:val="EBC75DBB"/>
    <w:rsid w:val="EBCAF011"/>
    <w:rsid w:val="EBCF2E2D"/>
    <w:rsid w:val="EBF36459"/>
    <w:rsid w:val="EBF7F591"/>
    <w:rsid w:val="EBFC93BB"/>
    <w:rsid w:val="EC3F55C1"/>
    <w:rsid w:val="EC6B5CA0"/>
    <w:rsid w:val="EC9D5DEA"/>
    <w:rsid w:val="ECADA1C7"/>
    <w:rsid w:val="ECBF9672"/>
    <w:rsid w:val="ECCFD51D"/>
    <w:rsid w:val="ECDF8682"/>
    <w:rsid w:val="ECEDEB38"/>
    <w:rsid w:val="ED9DA76E"/>
    <w:rsid w:val="EDB71D55"/>
    <w:rsid w:val="EDDE6607"/>
    <w:rsid w:val="EDDEC8AC"/>
    <w:rsid w:val="EDEBF818"/>
    <w:rsid w:val="EDEC4F9E"/>
    <w:rsid w:val="EDF7797C"/>
    <w:rsid w:val="EDFD0151"/>
    <w:rsid w:val="EDFE0E96"/>
    <w:rsid w:val="EDFE99A3"/>
    <w:rsid w:val="EDFF3F2D"/>
    <w:rsid w:val="EE5F0BD7"/>
    <w:rsid w:val="EE73EBDF"/>
    <w:rsid w:val="EE7759B6"/>
    <w:rsid w:val="EE7D49C7"/>
    <w:rsid w:val="EE7D761B"/>
    <w:rsid w:val="EEBD69DE"/>
    <w:rsid w:val="EED7D5DD"/>
    <w:rsid w:val="EEEA9F01"/>
    <w:rsid w:val="EEED24C7"/>
    <w:rsid w:val="EEEEBEA1"/>
    <w:rsid w:val="EEF344FE"/>
    <w:rsid w:val="EEF59491"/>
    <w:rsid w:val="EEFBBDF6"/>
    <w:rsid w:val="EEFBC13C"/>
    <w:rsid w:val="EEFBC352"/>
    <w:rsid w:val="EEFC66CB"/>
    <w:rsid w:val="EF37324E"/>
    <w:rsid w:val="EF3BDF7C"/>
    <w:rsid w:val="EF3E0208"/>
    <w:rsid w:val="EF472444"/>
    <w:rsid w:val="EF5F87D5"/>
    <w:rsid w:val="EF5FFFC3"/>
    <w:rsid w:val="EF7BC6B7"/>
    <w:rsid w:val="EF7F047C"/>
    <w:rsid w:val="EF99C2BB"/>
    <w:rsid w:val="EFBB16EC"/>
    <w:rsid w:val="EFCE905A"/>
    <w:rsid w:val="EFD5C645"/>
    <w:rsid w:val="EFD7DBEB"/>
    <w:rsid w:val="EFDC3271"/>
    <w:rsid w:val="EFDD0567"/>
    <w:rsid w:val="EFDF9F8C"/>
    <w:rsid w:val="EFE0FFFC"/>
    <w:rsid w:val="EFEF0728"/>
    <w:rsid w:val="EFEF2AA3"/>
    <w:rsid w:val="EFEF95CF"/>
    <w:rsid w:val="EFF59DA7"/>
    <w:rsid w:val="EFF5ED34"/>
    <w:rsid w:val="EFF70434"/>
    <w:rsid w:val="EFF7230F"/>
    <w:rsid w:val="EFF7624A"/>
    <w:rsid w:val="EFFB0E03"/>
    <w:rsid w:val="EFFB0F67"/>
    <w:rsid w:val="EFFBADC9"/>
    <w:rsid w:val="EFFD087D"/>
    <w:rsid w:val="EFFFB6DB"/>
    <w:rsid w:val="EFFFBB1F"/>
    <w:rsid w:val="EFFFD1B5"/>
    <w:rsid w:val="F0E97D8B"/>
    <w:rsid w:val="F1332741"/>
    <w:rsid w:val="F1F730AC"/>
    <w:rsid w:val="F2778ABC"/>
    <w:rsid w:val="F27DA92F"/>
    <w:rsid w:val="F2DD75B2"/>
    <w:rsid w:val="F35F651E"/>
    <w:rsid w:val="F375DF47"/>
    <w:rsid w:val="F3ACE0DB"/>
    <w:rsid w:val="F3BD0F6A"/>
    <w:rsid w:val="F3BF09FF"/>
    <w:rsid w:val="F3CFB360"/>
    <w:rsid w:val="F3EB3B85"/>
    <w:rsid w:val="F3F379BA"/>
    <w:rsid w:val="F3F96835"/>
    <w:rsid w:val="F3FD34E8"/>
    <w:rsid w:val="F3FF7C7F"/>
    <w:rsid w:val="F4F5E0BF"/>
    <w:rsid w:val="F4FF0120"/>
    <w:rsid w:val="F53FC9C9"/>
    <w:rsid w:val="F53FFD93"/>
    <w:rsid w:val="F5727230"/>
    <w:rsid w:val="F57E11BD"/>
    <w:rsid w:val="F57F8151"/>
    <w:rsid w:val="F5B7BF95"/>
    <w:rsid w:val="F5BB617B"/>
    <w:rsid w:val="F5BFC447"/>
    <w:rsid w:val="F5CE2975"/>
    <w:rsid w:val="F5F23960"/>
    <w:rsid w:val="F5FBCAB3"/>
    <w:rsid w:val="F5FF76FA"/>
    <w:rsid w:val="F60BFEBF"/>
    <w:rsid w:val="F65BDC4E"/>
    <w:rsid w:val="F67B0000"/>
    <w:rsid w:val="F67F2D6B"/>
    <w:rsid w:val="F6AE12A4"/>
    <w:rsid w:val="F6B7EAF1"/>
    <w:rsid w:val="F6BB3EDF"/>
    <w:rsid w:val="F6BF3B09"/>
    <w:rsid w:val="F6CBEFDC"/>
    <w:rsid w:val="F6CED197"/>
    <w:rsid w:val="F6DF63A2"/>
    <w:rsid w:val="F6EF39F4"/>
    <w:rsid w:val="F6F7095B"/>
    <w:rsid w:val="F6FA6EA4"/>
    <w:rsid w:val="F6FB084C"/>
    <w:rsid w:val="F6FC9CB3"/>
    <w:rsid w:val="F727F50B"/>
    <w:rsid w:val="F73D64AE"/>
    <w:rsid w:val="F747E823"/>
    <w:rsid w:val="F76E6FDF"/>
    <w:rsid w:val="F76FEEA4"/>
    <w:rsid w:val="F77E7DD0"/>
    <w:rsid w:val="F77FDFAB"/>
    <w:rsid w:val="F77FF3DF"/>
    <w:rsid w:val="F78BBC24"/>
    <w:rsid w:val="F7992129"/>
    <w:rsid w:val="F79D24FB"/>
    <w:rsid w:val="F7AB552A"/>
    <w:rsid w:val="F7AB9091"/>
    <w:rsid w:val="F7AEE001"/>
    <w:rsid w:val="F7AF7C5E"/>
    <w:rsid w:val="F7BF295F"/>
    <w:rsid w:val="F7DD8BD8"/>
    <w:rsid w:val="F7DD942A"/>
    <w:rsid w:val="F7DDEFF1"/>
    <w:rsid w:val="F7DE7453"/>
    <w:rsid w:val="F7DE861D"/>
    <w:rsid w:val="F7DF7265"/>
    <w:rsid w:val="F7EA3474"/>
    <w:rsid w:val="F7EDD196"/>
    <w:rsid w:val="F7EEBA21"/>
    <w:rsid w:val="F7EEE7EC"/>
    <w:rsid w:val="F7EF3B05"/>
    <w:rsid w:val="F7EF6716"/>
    <w:rsid w:val="F7FD5B87"/>
    <w:rsid w:val="F7FE006D"/>
    <w:rsid w:val="F7FE3F8F"/>
    <w:rsid w:val="F7FF8F31"/>
    <w:rsid w:val="F7FFB46C"/>
    <w:rsid w:val="F7FFE84D"/>
    <w:rsid w:val="F7FFF532"/>
    <w:rsid w:val="F86FCDF2"/>
    <w:rsid w:val="F8EED86C"/>
    <w:rsid w:val="F8EF9C40"/>
    <w:rsid w:val="F8FE9B34"/>
    <w:rsid w:val="F8FF78C3"/>
    <w:rsid w:val="F9BF925E"/>
    <w:rsid w:val="F9CF2780"/>
    <w:rsid w:val="F9D544BC"/>
    <w:rsid w:val="F9DE0B4F"/>
    <w:rsid w:val="F9F7FDF2"/>
    <w:rsid w:val="F9FBF928"/>
    <w:rsid w:val="FA6A6CF1"/>
    <w:rsid w:val="FA7701DE"/>
    <w:rsid w:val="FA9DB90D"/>
    <w:rsid w:val="FAB738F3"/>
    <w:rsid w:val="FABDC9E4"/>
    <w:rsid w:val="FAE7F320"/>
    <w:rsid w:val="FAEB795B"/>
    <w:rsid w:val="FAF0DFC6"/>
    <w:rsid w:val="FAFDF315"/>
    <w:rsid w:val="FAFFB8EB"/>
    <w:rsid w:val="FB2AB3E5"/>
    <w:rsid w:val="FB4D387A"/>
    <w:rsid w:val="FB5858FB"/>
    <w:rsid w:val="FB5A53A2"/>
    <w:rsid w:val="FBA990D1"/>
    <w:rsid w:val="FBAACCCA"/>
    <w:rsid w:val="FBAFF34D"/>
    <w:rsid w:val="FBB56939"/>
    <w:rsid w:val="FBB95C7F"/>
    <w:rsid w:val="FBBB1189"/>
    <w:rsid w:val="FBBBB094"/>
    <w:rsid w:val="FBBBFA1E"/>
    <w:rsid w:val="FBBBFDBF"/>
    <w:rsid w:val="FBBD0F35"/>
    <w:rsid w:val="FBD3B090"/>
    <w:rsid w:val="FBDB9061"/>
    <w:rsid w:val="FBDF1618"/>
    <w:rsid w:val="FBDF691D"/>
    <w:rsid w:val="FBED9F05"/>
    <w:rsid w:val="FBEF3174"/>
    <w:rsid w:val="FBF38B18"/>
    <w:rsid w:val="FBF3CAA7"/>
    <w:rsid w:val="FBF77438"/>
    <w:rsid w:val="FBF7A6ED"/>
    <w:rsid w:val="FBF915E9"/>
    <w:rsid w:val="FBFA326D"/>
    <w:rsid w:val="FBFB4CA3"/>
    <w:rsid w:val="FBFB9188"/>
    <w:rsid w:val="FBFD5512"/>
    <w:rsid w:val="FBFE27BB"/>
    <w:rsid w:val="FBFE814D"/>
    <w:rsid w:val="FBFEB732"/>
    <w:rsid w:val="FBFF40F4"/>
    <w:rsid w:val="FBFF6A84"/>
    <w:rsid w:val="FBFFA369"/>
    <w:rsid w:val="FBFFA96C"/>
    <w:rsid w:val="FC738A96"/>
    <w:rsid w:val="FC7EF94E"/>
    <w:rsid w:val="FC7F21D6"/>
    <w:rsid w:val="FC7F9323"/>
    <w:rsid w:val="FC8B01AA"/>
    <w:rsid w:val="FC9CDC85"/>
    <w:rsid w:val="FCAD976A"/>
    <w:rsid w:val="FCD3C473"/>
    <w:rsid w:val="FCDEE495"/>
    <w:rsid w:val="FCE7D0C1"/>
    <w:rsid w:val="FCEB6C25"/>
    <w:rsid w:val="FCEE210B"/>
    <w:rsid w:val="FCF4FD18"/>
    <w:rsid w:val="FCF73229"/>
    <w:rsid w:val="FCF78121"/>
    <w:rsid w:val="FCFC1180"/>
    <w:rsid w:val="FD732306"/>
    <w:rsid w:val="FD7385D8"/>
    <w:rsid w:val="FD76EC3C"/>
    <w:rsid w:val="FD7ADA0E"/>
    <w:rsid w:val="FD7B75ED"/>
    <w:rsid w:val="FD7BA142"/>
    <w:rsid w:val="FDABF936"/>
    <w:rsid w:val="FDB90CB4"/>
    <w:rsid w:val="FDB9918C"/>
    <w:rsid w:val="FDBF4BBF"/>
    <w:rsid w:val="FDCB7DCA"/>
    <w:rsid w:val="FDCD8301"/>
    <w:rsid w:val="FDD570B8"/>
    <w:rsid w:val="FDDAED36"/>
    <w:rsid w:val="FDDD77BE"/>
    <w:rsid w:val="FDDF099B"/>
    <w:rsid w:val="FDDFAAE7"/>
    <w:rsid w:val="FDE6B727"/>
    <w:rsid w:val="FDEBD1F7"/>
    <w:rsid w:val="FDEF6C90"/>
    <w:rsid w:val="FDF39664"/>
    <w:rsid w:val="FDF74D82"/>
    <w:rsid w:val="FDFA7413"/>
    <w:rsid w:val="FDFAB1C5"/>
    <w:rsid w:val="FDFCE639"/>
    <w:rsid w:val="FDFDBFB3"/>
    <w:rsid w:val="FDFFA24A"/>
    <w:rsid w:val="FDFFA415"/>
    <w:rsid w:val="FDFFE94D"/>
    <w:rsid w:val="FDFFFF36"/>
    <w:rsid w:val="FE03C3A5"/>
    <w:rsid w:val="FE370956"/>
    <w:rsid w:val="FE3F3BD4"/>
    <w:rsid w:val="FE3F4037"/>
    <w:rsid w:val="FE4DB469"/>
    <w:rsid w:val="FE5EC233"/>
    <w:rsid w:val="FE5F682D"/>
    <w:rsid w:val="FE7EAA77"/>
    <w:rsid w:val="FE8BD1D5"/>
    <w:rsid w:val="FE92E028"/>
    <w:rsid w:val="FE9A8C7E"/>
    <w:rsid w:val="FE9D281B"/>
    <w:rsid w:val="FEAF3724"/>
    <w:rsid w:val="FEBF0FBF"/>
    <w:rsid w:val="FEBFCFF9"/>
    <w:rsid w:val="FEBFEDD9"/>
    <w:rsid w:val="FEBFEFF2"/>
    <w:rsid w:val="FEBFF8EF"/>
    <w:rsid w:val="FEC694A1"/>
    <w:rsid w:val="FECA2A23"/>
    <w:rsid w:val="FECF3F38"/>
    <w:rsid w:val="FEDE973F"/>
    <w:rsid w:val="FEEB0125"/>
    <w:rsid w:val="FEF396AB"/>
    <w:rsid w:val="FEFA309B"/>
    <w:rsid w:val="FEFB2736"/>
    <w:rsid w:val="FEFB3A46"/>
    <w:rsid w:val="FEFB57BE"/>
    <w:rsid w:val="FEFD8A40"/>
    <w:rsid w:val="FEFDC52C"/>
    <w:rsid w:val="FEFE1208"/>
    <w:rsid w:val="FEFFCD5D"/>
    <w:rsid w:val="FEFFF7C5"/>
    <w:rsid w:val="FF02AED4"/>
    <w:rsid w:val="FF130B56"/>
    <w:rsid w:val="FF1ED3D4"/>
    <w:rsid w:val="FF2F5FB9"/>
    <w:rsid w:val="FF2FF4D8"/>
    <w:rsid w:val="FF336FC0"/>
    <w:rsid w:val="FF366BFC"/>
    <w:rsid w:val="FF380A20"/>
    <w:rsid w:val="FF382914"/>
    <w:rsid w:val="FF3B6C13"/>
    <w:rsid w:val="FF3C1721"/>
    <w:rsid w:val="FF3F916B"/>
    <w:rsid w:val="FF46559B"/>
    <w:rsid w:val="FF4B5C8F"/>
    <w:rsid w:val="FF4DB1A6"/>
    <w:rsid w:val="FF4F2A57"/>
    <w:rsid w:val="FF4F4118"/>
    <w:rsid w:val="FF594D85"/>
    <w:rsid w:val="FF5D2607"/>
    <w:rsid w:val="FF6B18CD"/>
    <w:rsid w:val="FF6BD663"/>
    <w:rsid w:val="FF6FB7FC"/>
    <w:rsid w:val="FF7773DE"/>
    <w:rsid w:val="FF7B4083"/>
    <w:rsid w:val="FF7D0411"/>
    <w:rsid w:val="FF7D5521"/>
    <w:rsid w:val="FF7EC806"/>
    <w:rsid w:val="FF7F554F"/>
    <w:rsid w:val="FF7F6A57"/>
    <w:rsid w:val="FF7F7715"/>
    <w:rsid w:val="FF7FD1F0"/>
    <w:rsid w:val="FF7FE161"/>
    <w:rsid w:val="FF8F6DB5"/>
    <w:rsid w:val="FF8F93B5"/>
    <w:rsid w:val="FF999B46"/>
    <w:rsid w:val="FF9E3875"/>
    <w:rsid w:val="FFAD8156"/>
    <w:rsid w:val="FFB327D6"/>
    <w:rsid w:val="FFBAEB46"/>
    <w:rsid w:val="FFBB1725"/>
    <w:rsid w:val="FFBB5C56"/>
    <w:rsid w:val="FFBD4D1A"/>
    <w:rsid w:val="FFBDF24B"/>
    <w:rsid w:val="FFBF1974"/>
    <w:rsid w:val="FFBF5C9F"/>
    <w:rsid w:val="FFBF7E86"/>
    <w:rsid w:val="FFBFD8C3"/>
    <w:rsid w:val="FFBFFB4A"/>
    <w:rsid w:val="FFCDDD54"/>
    <w:rsid w:val="FFCF03CE"/>
    <w:rsid w:val="FFD350DE"/>
    <w:rsid w:val="FFD7F949"/>
    <w:rsid w:val="FFDD1CDC"/>
    <w:rsid w:val="FFDD6461"/>
    <w:rsid w:val="FFDE2A58"/>
    <w:rsid w:val="FFDE3EE8"/>
    <w:rsid w:val="FFDEA5E2"/>
    <w:rsid w:val="FFDEBD5F"/>
    <w:rsid w:val="FFDF132E"/>
    <w:rsid w:val="FFDF521D"/>
    <w:rsid w:val="FFDF564C"/>
    <w:rsid w:val="FFDFB9E3"/>
    <w:rsid w:val="FFE575D1"/>
    <w:rsid w:val="FFE7327E"/>
    <w:rsid w:val="FFE75614"/>
    <w:rsid w:val="FFEA88BC"/>
    <w:rsid w:val="FFEB619C"/>
    <w:rsid w:val="FFEB855A"/>
    <w:rsid w:val="FFEDE2B3"/>
    <w:rsid w:val="FFEDFD59"/>
    <w:rsid w:val="FFEE3999"/>
    <w:rsid w:val="FFEF2051"/>
    <w:rsid w:val="FFEF3A33"/>
    <w:rsid w:val="FFEFC0E2"/>
    <w:rsid w:val="FFF13DE9"/>
    <w:rsid w:val="FFF28344"/>
    <w:rsid w:val="FFF61430"/>
    <w:rsid w:val="FFF67A9D"/>
    <w:rsid w:val="FFF6FDFC"/>
    <w:rsid w:val="FFF70967"/>
    <w:rsid w:val="FFF7CCE5"/>
    <w:rsid w:val="FFF8CC0C"/>
    <w:rsid w:val="FFFA8E86"/>
    <w:rsid w:val="FFFB3136"/>
    <w:rsid w:val="FFFB72C0"/>
    <w:rsid w:val="FFFC7B80"/>
    <w:rsid w:val="FFFCA5FD"/>
    <w:rsid w:val="FFFD1680"/>
    <w:rsid w:val="FFFD808F"/>
    <w:rsid w:val="FFFE301F"/>
    <w:rsid w:val="FFFE4FEB"/>
    <w:rsid w:val="FFFEC71C"/>
    <w:rsid w:val="FFFF93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1"/>
    <w:qFormat/>
    <w:uiPriority w:val="0"/>
    <w:pPr>
      <w:keepNext/>
      <w:keepLines/>
      <w:spacing w:line="578" w:lineRule="auto"/>
      <w:outlineLvl w:val="0"/>
    </w:pPr>
    <w:rPr>
      <w:b/>
      <w:bCs/>
      <w:kern w:val="44"/>
      <w:sz w:val="44"/>
      <w:szCs w:val="44"/>
    </w:rPr>
  </w:style>
  <w:style w:type="paragraph" w:styleId="6">
    <w:name w:val="heading 2"/>
    <w:basedOn w:val="1"/>
    <w:next w:val="1"/>
    <w:link w:val="72"/>
    <w:qFormat/>
    <w:uiPriority w:val="0"/>
    <w:pPr>
      <w:keepNext/>
      <w:keepLines/>
      <w:spacing w:line="416" w:lineRule="auto"/>
      <w:outlineLvl w:val="1"/>
    </w:pPr>
    <w:rPr>
      <w:rFonts w:ascii="Arial" w:hAnsi="Arial" w:eastAsia="黑体"/>
      <w:b/>
      <w:bCs/>
      <w:kern w:val="0"/>
      <w:sz w:val="32"/>
      <w:szCs w:val="32"/>
    </w:rPr>
  </w:style>
  <w:style w:type="paragraph" w:styleId="7">
    <w:name w:val="heading 3"/>
    <w:basedOn w:val="1"/>
    <w:next w:val="1"/>
    <w:link w:val="73"/>
    <w:qFormat/>
    <w:uiPriority w:val="0"/>
    <w:pPr>
      <w:keepNext/>
      <w:keepLines/>
      <w:spacing w:line="416" w:lineRule="auto"/>
      <w:outlineLvl w:val="2"/>
    </w:pPr>
    <w:rPr>
      <w:b/>
      <w:bCs/>
      <w:kern w:val="0"/>
      <w:sz w:val="32"/>
      <w:szCs w:val="32"/>
    </w:rPr>
  </w:style>
  <w:style w:type="paragraph" w:styleId="8">
    <w:name w:val="heading 4"/>
    <w:basedOn w:val="1"/>
    <w:next w:val="1"/>
    <w:link w:val="74"/>
    <w:qFormat/>
    <w:uiPriority w:val="0"/>
    <w:pPr>
      <w:keepNext/>
      <w:keepLines/>
      <w:widowControl/>
      <w:spacing w:line="360" w:lineRule="auto"/>
      <w:jc w:val="center"/>
      <w:outlineLvl w:val="3"/>
    </w:pPr>
    <w:rPr>
      <w:rFonts w:ascii="Arial" w:hAnsi="Arial" w:eastAsia="黑体"/>
      <w:kern w:val="0"/>
      <w:sz w:val="28"/>
      <w:szCs w:val="20"/>
    </w:rPr>
  </w:style>
  <w:style w:type="paragraph" w:styleId="9">
    <w:name w:val="heading 5"/>
    <w:basedOn w:val="1"/>
    <w:next w:val="10"/>
    <w:link w:val="75"/>
    <w:qFormat/>
    <w:uiPriority w:val="0"/>
    <w:pPr>
      <w:keepNext/>
      <w:keepLines/>
      <w:spacing w:line="376" w:lineRule="auto"/>
      <w:outlineLvl w:val="4"/>
    </w:pPr>
    <w:rPr>
      <w:b/>
      <w:sz w:val="28"/>
    </w:rPr>
  </w:style>
  <w:style w:type="paragraph" w:styleId="11">
    <w:name w:val="heading 6"/>
    <w:basedOn w:val="1"/>
    <w:next w:val="10"/>
    <w:link w:val="76"/>
    <w:qFormat/>
    <w:uiPriority w:val="0"/>
    <w:pPr>
      <w:keepNext/>
      <w:keepLines/>
      <w:spacing w:line="320" w:lineRule="auto"/>
      <w:outlineLvl w:val="5"/>
    </w:pPr>
    <w:rPr>
      <w:rFonts w:ascii="Arial" w:hAnsi="Arial" w:eastAsia="黑体"/>
      <w:b/>
      <w:sz w:val="24"/>
    </w:rPr>
  </w:style>
  <w:style w:type="paragraph" w:styleId="12">
    <w:name w:val="heading 7"/>
    <w:basedOn w:val="1"/>
    <w:next w:val="10"/>
    <w:link w:val="77"/>
    <w:qFormat/>
    <w:uiPriority w:val="0"/>
    <w:pPr>
      <w:keepNext/>
      <w:keepLines/>
      <w:spacing w:line="320" w:lineRule="auto"/>
      <w:outlineLvl w:val="6"/>
    </w:pPr>
    <w:rPr>
      <w:b/>
      <w:sz w:val="24"/>
    </w:rPr>
  </w:style>
  <w:style w:type="paragraph" w:styleId="13">
    <w:name w:val="heading 8"/>
    <w:basedOn w:val="1"/>
    <w:next w:val="10"/>
    <w:link w:val="78"/>
    <w:qFormat/>
    <w:uiPriority w:val="0"/>
    <w:pPr>
      <w:keepNext/>
      <w:keepLines/>
      <w:spacing w:line="320" w:lineRule="auto"/>
      <w:outlineLvl w:val="7"/>
    </w:pPr>
    <w:rPr>
      <w:rFonts w:ascii="Arial" w:hAnsi="Arial" w:eastAsia="黑体"/>
      <w:sz w:val="24"/>
    </w:rPr>
  </w:style>
  <w:style w:type="paragraph" w:styleId="14">
    <w:name w:val="heading 9"/>
    <w:basedOn w:val="1"/>
    <w:next w:val="10"/>
    <w:link w:val="79"/>
    <w:qFormat/>
    <w:uiPriority w:val="0"/>
    <w:pPr>
      <w:keepNext/>
      <w:keepLines/>
      <w:spacing w:line="320" w:lineRule="auto"/>
      <w:outlineLvl w:val="8"/>
    </w:pPr>
    <w:rPr>
      <w:rFonts w:ascii="Arial" w:hAnsi="Arial" w:eastAsia="黑体"/>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link w:val="70"/>
    <w:qFormat/>
    <w:uiPriority w:val="0"/>
    <w:pPr>
      <w:spacing w:line="380" w:lineRule="exact"/>
    </w:pPr>
    <w:rPr>
      <w:sz w:val="24"/>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0">
    <w:name w:val="Normal Indent"/>
    <w:basedOn w:val="1"/>
    <w:qFormat/>
    <w:uiPriority w:val="0"/>
    <w:pPr>
      <w:ind w:firstLine="420"/>
    </w:pPr>
    <w:rPr>
      <w:szCs w:val="20"/>
    </w:r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0"/>
    <w:rPr>
      <w:rFonts w:ascii="Arial" w:hAnsi="Arial" w:eastAsia="黑体" w:cs="Arial"/>
      <w:sz w:val="20"/>
      <w:szCs w:val="20"/>
    </w:rPr>
  </w:style>
  <w:style w:type="paragraph" w:styleId="18">
    <w:name w:val="Document Map"/>
    <w:basedOn w:val="1"/>
    <w:link w:val="80"/>
    <w:semiHidden/>
    <w:qFormat/>
    <w:uiPriority w:val="0"/>
    <w:pPr>
      <w:shd w:val="clear" w:color="auto" w:fill="000080"/>
    </w:pPr>
  </w:style>
  <w:style w:type="paragraph" w:styleId="19">
    <w:name w:val="toa heading"/>
    <w:basedOn w:val="1"/>
    <w:next w:val="1"/>
    <w:semiHidden/>
    <w:qFormat/>
    <w:uiPriority w:val="0"/>
    <w:pPr>
      <w:adjustRightInd w:val="0"/>
      <w:spacing w:before="120" w:line="312" w:lineRule="atLeast"/>
    </w:pPr>
    <w:rPr>
      <w:rFonts w:ascii="Arial" w:hAnsi="Arial"/>
      <w:b/>
      <w:kern w:val="0"/>
      <w:sz w:val="24"/>
    </w:rPr>
  </w:style>
  <w:style w:type="paragraph" w:styleId="20">
    <w:name w:val="annotation text"/>
    <w:basedOn w:val="1"/>
    <w:link w:val="81"/>
    <w:qFormat/>
    <w:uiPriority w:val="0"/>
    <w:pPr>
      <w:adjustRightInd w:val="0"/>
      <w:spacing w:line="360" w:lineRule="atLeast"/>
      <w:jc w:val="left"/>
      <w:textAlignment w:val="baseline"/>
    </w:pPr>
    <w:rPr>
      <w:kern w:val="0"/>
      <w:sz w:val="24"/>
      <w:szCs w:val="20"/>
    </w:rPr>
  </w:style>
  <w:style w:type="paragraph" w:styleId="21">
    <w:name w:val="Salutation"/>
    <w:basedOn w:val="1"/>
    <w:next w:val="1"/>
    <w:link w:val="82"/>
    <w:qFormat/>
    <w:uiPriority w:val="0"/>
    <w:rPr>
      <w:sz w:val="28"/>
    </w:rPr>
  </w:style>
  <w:style w:type="paragraph" w:styleId="22">
    <w:name w:val="Body Text 3"/>
    <w:basedOn w:val="1"/>
    <w:link w:val="83"/>
    <w:qFormat/>
    <w:uiPriority w:val="0"/>
    <w:pPr>
      <w:spacing w:line="500" w:lineRule="exact"/>
    </w:pPr>
    <w:rPr>
      <w:b/>
      <w:bCs/>
      <w:sz w:val="24"/>
    </w:rPr>
  </w:style>
  <w:style w:type="paragraph" w:styleId="23">
    <w:name w:val="Body Text Indent"/>
    <w:basedOn w:val="1"/>
    <w:next w:val="24"/>
    <w:link w:val="84"/>
    <w:qFormat/>
    <w:uiPriority w:val="0"/>
    <w:pPr>
      <w:ind w:firstLine="830" w:firstLineChars="352"/>
    </w:pPr>
    <w:rPr>
      <w:rFonts w:ascii="仿宋_GB2312" w:eastAsia="仿宋_GB2312"/>
      <w:sz w:val="32"/>
      <w:szCs w:val="20"/>
    </w:rPr>
  </w:style>
  <w:style w:type="paragraph" w:styleId="24">
    <w:name w:val="annotation subject"/>
    <w:basedOn w:val="20"/>
    <w:next w:val="1"/>
    <w:link w:val="99"/>
    <w:semiHidden/>
    <w:qFormat/>
    <w:uiPriority w:val="0"/>
    <w:pPr>
      <w:adjustRightInd/>
      <w:spacing w:line="240" w:lineRule="auto"/>
      <w:textAlignment w:val="auto"/>
    </w:pPr>
    <w:rPr>
      <w:b/>
      <w:bCs/>
      <w:kern w:val="2"/>
      <w:sz w:val="21"/>
      <w:szCs w:val="24"/>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HTML Address"/>
    <w:basedOn w:val="1"/>
    <w:link w:val="85"/>
    <w:qFormat/>
    <w:uiPriority w:val="0"/>
    <w:rPr>
      <w:rFonts w:ascii="宋体"/>
      <w:i/>
      <w:iCs/>
      <w:kern w:val="21"/>
      <w:szCs w:val="21"/>
    </w:rPr>
  </w:style>
  <w:style w:type="paragraph" w:styleId="29">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30">
    <w:name w:val="toc 3"/>
    <w:basedOn w:val="1"/>
    <w:next w:val="1"/>
    <w:link w:val="86"/>
    <w:qFormat/>
    <w:uiPriority w:val="0"/>
    <w:pPr>
      <w:ind w:left="840" w:leftChars="400"/>
    </w:pPr>
  </w:style>
  <w:style w:type="paragraph" w:styleId="31">
    <w:name w:val="Plain Text"/>
    <w:basedOn w:val="1"/>
    <w:next w:val="5"/>
    <w:link w:val="87"/>
    <w:qFormat/>
    <w:uiPriority w:val="0"/>
    <w:rPr>
      <w:rFonts w:ascii="宋体" w:hAnsi="Courier New" w:cs="Courier New"/>
      <w:szCs w:val="21"/>
    </w:rPr>
  </w:style>
  <w:style w:type="paragraph" w:styleId="32">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3">
    <w:name w:val="Date"/>
    <w:basedOn w:val="1"/>
    <w:next w:val="1"/>
    <w:link w:val="88"/>
    <w:qFormat/>
    <w:uiPriority w:val="0"/>
    <w:pPr>
      <w:ind w:left="100" w:leftChars="2500"/>
    </w:pPr>
    <w:rPr>
      <w:rFonts w:ascii="宋体" w:hAnsi="Courier New" w:cs="Courier New"/>
      <w:szCs w:val="21"/>
    </w:rPr>
  </w:style>
  <w:style w:type="paragraph" w:styleId="34">
    <w:name w:val="Body Text Indent 2"/>
    <w:basedOn w:val="1"/>
    <w:link w:val="89"/>
    <w:qFormat/>
    <w:uiPriority w:val="0"/>
    <w:pPr>
      <w:ind w:firstLine="630"/>
    </w:pPr>
    <w:rPr>
      <w:sz w:val="32"/>
      <w:szCs w:val="20"/>
    </w:rPr>
  </w:style>
  <w:style w:type="paragraph" w:styleId="35">
    <w:name w:val="endnote text"/>
    <w:basedOn w:val="1"/>
    <w:link w:val="90"/>
    <w:unhideWhenUsed/>
    <w:qFormat/>
    <w:uiPriority w:val="0"/>
    <w:pPr>
      <w:snapToGrid w:val="0"/>
      <w:jc w:val="left"/>
    </w:pPr>
    <w:rPr>
      <w:rFonts w:ascii="Calibri" w:hAnsi="Calibri"/>
      <w:szCs w:val="22"/>
    </w:rPr>
  </w:style>
  <w:style w:type="paragraph" w:styleId="36">
    <w:name w:val="Balloon Text"/>
    <w:basedOn w:val="1"/>
    <w:link w:val="91"/>
    <w:semiHidden/>
    <w:qFormat/>
    <w:uiPriority w:val="0"/>
    <w:rPr>
      <w:sz w:val="18"/>
      <w:szCs w:val="18"/>
    </w:rPr>
  </w:style>
  <w:style w:type="paragraph" w:styleId="37">
    <w:name w:val="footer"/>
    <w:basedOn w:val="1"/>
    <w:next w:val="1"/>
    <w:link w:val="92"/>
    <w:qFormat/>
    <w:uiPriority w:val="99"/>
    <w:pPr>
      <w:tabs>
        <w:tab w:val="center" w:pos="4153"/>
        <w:tab w:val="right" w:pos="8306"/>
      </w:tabs>
      <w:snapToGrid w:val="0"/>
      <w:jc w:val="left"/>
    </w:pPr>
    <w:rPr>
      <w:sz w:val="18"/>
      <w:szCs w:val="18"/>
    </w:rPr>
  </w:style>
  <w:style w:type="paragraph" w:styleId="38">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9">
    <w:name w:val="toc 1"/>
    <w:basedOn w:val="1"/>
    <w:next w:val="1"/>
    <w:qFormat/>
    <w:uiPriority w:val="39"/>
    <w:pPr>
      <w:tabs>
        <w:tab w:val="right" w:leader="dot" w:pos="8296"/>
        <w:tab w:val="right" w:leader="dot" w:pos="8398"/>
      </w:tabs>
      <w:spacing w:line="320" w:lineRule="exact"/>
      <w:ind w:firstLine="840" w:firstLineChars="400"/>
      <w:jc w:val="left"/>
    </w:pPr>
    <w:rPr>
      <w:rFonts w:ascii="仿宋_GB2312" w:hAnsi="宋体" w:eastAsia="仿宋_GB2312" w:cs="Courier New"/>
      <w:bCs/>
      <w:caps/>
      <w:szCs w:val="21"/>
    </w:rPr>
  </w:style>
  <w:style w:type="paragraph" w:styleId="40">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1">
    <w:name w:val="List"/>
    <w:basedOn w:val="1"/>
    <w:qFormat/>
    <w:uiPriority w:val="0"/>
    <w:pPr>
      <w:ind w:left="200" w:hanging="200" w:hangingChars="200"/>
    </w:pPr>
    <w:rPr>
      <w:sz w:val="28"/>
    </w:rPr>
  </w:style>
  <w:style w:type="paragraph" w:styleId="42">
    <w:name w:val="footnote text"/>
    <w:basedOn w:val="1"/>
    <w:link w:val="94"/>
    <w:semiHidden/>
    <w:qFormat/>
    <w:uiPriority w:val="0"/>
    <w:pPr>
      <w:snapToGrid w:val="0"/>
      <w:jc w:val="left"/>
    </w:pPr>
    <w:rPr>
      <w:rFonts w:ascii="宋体"/>
      <w:kern w:val="21"/>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95"/>
    <w:qFormat/>
    <w:uiPriority w:val="0"/>
    <w:pPr>
      <w:ind w:left="420" w:leftChars="200"/>
    </w:pPr>
    <w:rPr>
      <w:sz w:val="16"/>
      <w:szCs w:val="16"/>
    </w:rPr>
  </w:style>
  <w:style w:type="paragraph" w:styleId="46">
    <w:name w:val="toc 2"/>
    <w:basedOn w:val="1"/>
    <w:next w:val="1"/>
    <w:qFormat/>
    <w:uiPriority w:val="39"/>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96"/>
    <w:qFormat/>
    <w:uiPriority w:val="0"/>
    <w:pPr>
      <w:spacing w:line="480" w:lineRule="auto"/>
    </w:pPr>
  </w:style>
  <w:style w:type="paragraph" w:styleId="49">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0">
    <w:name w:val="Normal (Web)"/>
    <w:basedOn w:val="1"/>
    <w:qFormat/>
    <w:uiPriority w:val="99"/>
    <w:pPr>
      <w:widowControl/>
      <w:spacing w:beforeAutospacing="1" w:afterAutospacing="1"/>
      <w:jc w:val="left"/>
    </w:pPr>
    <w:rPr>
      <w:rFonts w:ascii="宋体" w:hAnsi="宋体"/>
      <w:kern w:val="0"/>
      <w:sz w:val="24"/>
    </w:rPr>
  </w:style>
  <w:style w:type="paragraph" w:styleId="51">
    <w:name w:val="index 1"/>
    <w:basedOn w:val="1"/>
    <w:next w:val="1"/>
    <w:semiHidden/>
    <w:qFormat/>
    <w:uiPriority w:val="0"/>
    <w:pPr>
      <w:spacing w:line="400" w:lineRule="exact"/>
      <w:ind w:firstLine="420" w:firstLineChars="200"/>
    </w:pPr>
    <w:rPr>
      <w:rFonts w:ascii="宋体" w:hAnsi="Courier New"/>
      <w:b/>
      <w:szCs w:val="20"/>
    </w:rPr>
  </w:style>
  <w:style w:type="paragraph" w:styleId="52">
    <w:name w:val="Title"/>
    <w:basedOn w:val="1"/>
    <w:next w:val="1"/>
    <w:link w:val="98"/>
    <w:qFormat/>
    <w:uiPriority w:val="0"/>
    <w:pPr>
      <w:jc w:val="center"/>
      <w:outlineLvl w:val="0"/>
    </w:pPr>
    <w:rPr>
      <w:rFonts w:ascii="Arial" w:hAnsi="Arial"/>
      <w:b/>
      <w:bCs/>
      <w:sz w:val="32"/>
      <w:szCs w:val="32"/>
    </w:rPr>
  </w:style>
  <w:style w:type="table" w:styleId="54">
    <w:name w:val="Table Grid"/>
    <w:basedOn w:val="5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qFormat/>
    <w:uiPriority w:val="0"/>
    <w:rPr>
      <w:color w:val="800080"/>
      <w:u w:val="single"/>
    </w:rPr>
  </w:style>
  <w:style w:type="character" w:styleId="59">
    <w:name w:val="Emphasis"/>
    <w:qFormat/>
    <w:uiPriority w:val="0"/>
    <w:rPr>
      <w:color w:val="CC0000"/>
    </w:rPr>
  </w:style>
  <w:style w:type="character" w:styleId="60">
    <w:name w:val="HTML Definition"/>
    <w:basedOn w:val="55"/>
    <w:qFormat/>
    <w:uiPriority w:val="0"/>
    <w:rPr>
      <w:i/>
    </w:rPr>
  </w:style>
  <w:style w:type="character" w:styleId="61">
    <w:name w:val="HTML Typewriter"/>
    <w:basedOn w:val="55"/>
    <w:qFormat/>
    <w:uiPriority w:val="0"/>
    <w:rPr>
      <w:rFonts w:ascii="Courier New" w:hAnsi="Courier New"/>
      <w:sz w:val="20"/>
    </w:rPr>
  </w:style>
  <w:style w:type="character" w:styleId="62">
    <w:name w:val="HTML Acronym"/>
    <w:basedOn w:val="55"/>
    <w:qFormat/>
    <w:uiPriority w:val="0"/>
    <w:rPr>
      <w:rFonts w:cs="Times New Roman"/>
    </w:rPr>
  </w:style>
  <w:style w:type="character" w:styleId="63">
    <w:name w:val="HTML Variable"/>
    <w:basedOn w:val="55"/>
    <w:qFormat/>
    <w:uiPriority w:val="0"/>
    <w:rPr>
      <w:i/>
    </w:rPr>
  </w:style>
  <w:style w:type="character" w:styleId="64">
    <w:name w:val="Hyperlink"/>
    <w:qFormat/>
    <w:uiPriority w:val="99"/>
    <w:rPr>
      <w:color w:val="0000FF"/>
      <w:u w:val="single"/>
    </w:rPr>
  </w:style>
  <w:style w:type="character" w:styleId="65">
    <w:name w:val="HTML Code"/>
    <w:basedOn w:val="55"/>
    <w:qFormat/>
    <w:uiPriority w:val="0"/>
    <w:rPr>
      <w:rFonts w:ascii="Courier New" w:hAnsi="Courier New"/>
      <w:sz w:val="20"/>
    </w:rPr>
  </w:style>
  <w:style w:type="character" w:styleId="66">
    <w:name w:val="annotation reference"/>
    <w:qFormat/>
    <w:uiPriority w:val="0"/>
    <w:rPr>
      <w:sz w:val="21"/>
      <w:szCs w:val="21"/>
    </w:rPr>
  </w:style>
  <w:style w:type="character" w:styleId="67">
    <w:name w:val="HTML Cite"/>
    <w:basedOn w:val="55"/>
    <w:qFormat/>
    <w:uiPriority w:val="0"/>
    <w:rPr>
      <w:i/>
    </w:rPr>
  </w:style>
  <w:style w:type="character" w:styleId="68">
    <w:name w:val="HTML Keyboard"/>
    <w:basedOn w:val="55"/>
    <w:qFormat/>
    <w:uiPriority w:val="0"/>
    <w:rPr>
      <w:rFonts w:ascii="Courier New" w:hAnsi="Courier New"/>
      <w:sz w:val="20"/>
    </w:rPr>
  </w:style>
  <w:style w:type="character" w:styleId="69">
    <w:name w:val="HTML Sample"/>
    <w:basedOn w:val="55"/>
    <w:qFormat/>
    <w:uiPriority w:val="0"/>
    <w:rPr>
      <w:rFonts w:ascii="Courier New" w:hAnsi="Courier New"/>
    </w:rPr>
  </w:style>
  <w:style w:type="character" w:customStyle="1" w:styleId="70">
    <w:name w:val="正文文本 Char"/>
    <w:link w:val="3"/>
    <w:qFormat/>
    <w:uiPriority w:val="0"/>
    <w:rPr>
      <w:rFonts w:eastAsia="宋体"/>
      <w:kern w:val="2"/>
      <w:sz w:val="24"/>
      <w:szCs w:val="24"/>
      <w:lang w:val="en-US" w:eastAsia="zh-CN" w:bidi="ar-SA"/>
    </w:rPr>
  </w:style>
  <w:style w:type="character" w:customStyle="1" w:styleId="71">
    <w:name w:val="标题 1 Char"/>
    <w:link w:val="5"/>
    <w:qFormat/>
    <w:uiPriority w:val="0"/>
    <w:rPr>
      <w:rFonts w:eastAsia="宋体"/>
      <w:b/>
      <w:bCs/>
      <w:kern w:val="44"/>
      <w:sz w:val="44"/>
      <w:szCs w:val="44"/>
      <w:lang w:val="en-US" w:eastAsia="zh-CN" w:bidi="ar-SA"/>
    </w:rPr>
  </w:style>
  <w:style w:type="character" w:customStyle="1" w:styleId="72">
    <w:name w:val="标题 2 Char"/>
    <w:link w:val="6"/>
    <w:qFormat/>
    <w:uiPriority w:val="0"/>
    <w:rPr>
      <w:rFonts w:ascii="Arial" w:hAnsi="Arial" w:eastAsia="黑体"/>
      <w:b/>
      <w:bCs/>
      <w:sz w:val="32"/>
      <w:szCs w:val="32"/>
      <w:lang w:bidi="ar-SA"/>
    </w:rPr>
  </w:style>
  <w:style w:type="character" w:customStyle="1" w:styleId="73">
    <w:name w:val="标题 3 Char"/>
    <w:link w:val="7"/>
    <w:qFormat/>
    <w:uiPriority w:val="0"/>
    <w:rPr>
      <w:rFonts w:eastAsia="宋体"/>
      <w:b/>
      <w:bCs/>
      <w:sz w:val="32"/>
      <w:szCs w:val="32"/>
      <w:lang w:bidi="ar-SA"/>
    </w:rPr>
  </w:style>
  <w:style w:type="character" w:customStyle="1" w:styleId="74">
    <w:name w:val="标题 4 Char"/>
    <w:link w:val="8"/>
    <w:qFormat/>
    <w:uiPriority w:val="0"/>
    <w:rPr>
      <w:rFonts w:ascii="Arial" w:hAnsi="Arial" w:eastAsia="黑体"/>
      <w:sz w:val="28"/>
      <w:lang w:bidi="ar-SA"/>
    </w:rPr>
  </w:style>
  <w:style w:type="character" w:customStyle="1" w:styleId="75">
    <w:name w:val="标题 5 Char"/>
    <w:link w:val="9"/>
    <w:qFormat/>
    <w:uiPriority w:val="0"/>
    <w:rPr>
      <w:rFonts w:eastAsia="宋体"/>
      <w:b/>
      <w:kern w:val="2"/>
      <w:sz w:val="28"/>
      <w:szCs w:val="24"/>
      <w:lang w:val="en-US" w:eastAsia="zh-CN" w:bidi="ar-SA"/>
    </w:rPr>
  </w:style>
  <w:style w:type="character" w:customStyle="1" w:styleId="76">
    <w:name w:val="标题 6 Char"/>
    <w:link w:val="11"/>
    <w:qFormat/>
    <w:uiPriority w:val="0"/>
    <w:rPr>
      <w:rFonts w:ascii="Arial" w:hAnsi="Arial" w:eastAsia="黑体"/>
      <w:b/>
      <w:kern w:val="2"/>
      <w:sz w:val="24"/>
      <w:szCs w:val="24"/>
      <w:lang w:val="en-US" w:eastAsia="zh-CN" w:bidi="ar-SA"/>
    </w:rPr>
  </w:style>
  <w:style w:type="character" w:customStyle="1" w:styleId="77">
    <w:name w:val="标题 7 Char"/>
    <w:link w:val="12"/>
    <w:qFormat/>
    <w:uiPriority w:val="0"/>
    <w:rPr>
      <w:rFonts w:eastAsia="宋体"/>
      <w:b/>
      <w:kern w:val="2"/>
      <w:sz w:val="24"/>
      <w:szCs w:val="24"/>
      <w:lang w:val="en-US" w:eastAsia="zh-CN" w:bidi="ar-SA"/>
    </w:rPr>
  </w:style>
  <w:style w:type="character" w:customStyle="1" w:styleId="78">
    <w:name w:val="标题 8 Char"/>
    <w:link w:val="13"/>
    <w:qFormat/>
    <w:uiPriority w:val="0"/>
    <w:rPr>
      <w:rFonts w:ascii="Arial" w:hAnsi="Arial" w:eastAsia="黑体"/>
      <w:kern w:val="2"/>
      <w:sz w:val="24"/>
      <w:szCs w:val="24"/>
      <w:lang w:val="en-US" w:eastAsia="zh-CN" w:bidi="ar-SA"/>
    </w:rPr>
  </w:style>
  <w:style w:type="character" w:customStyle="1" w:styleId="79">
    <w:name w:val="标题 9 Char"/>
    <w:link w:val="14"/>
    <w:qFormat/>
    <w:uiPriority w:val="0"/>
    <w:rPr>
      <w:rFonts w:ascii="Arial" w:hAnsi="Arial" w:eastAsia="黑体"/>
      <w:kern w:val="2"/>
      <w:sz w:val="21"/>
      <w:szCs w:val="24"/>
      <w:lang w:val="en-US" w:eastAsia="zh-CN" w:bidi="ar-SA"/>
    </w:rPr>
  </w:style>
  <w:style w:type="character" w:customStyle="1" w:styleId="80">
    <w:name w:val="文档结构图 Char"/>
    <w:link w:val="18"/>
    <w:qFormat/>
    <w:uiPriority w:val="0"/>
    <w:rPr>
      <w:rFonts w:eastAsia="宋体"/>
      <w:kern w:val="2"/>
      <w:sz w:val="21"/>
      <w:szCs w:val="24"/>
      <w:lang w:val="en-US" w:eastAsia="zh-CN" w:bidi="ar-SA"/>
    </w:rPr>
  </w:style>
  <w:style w:type="character" w:customStyle="1" w:styleId="81">
    <w:name w:val="批注文字 Char"/>
    <w:link w:val="20"/>
    <w:qFormat/>
    <w:uiPriority w:val="0"/>
    <w:rPr>
      <w:rFonts w:eastAsia="宋体"/>
      <w:sz w:val="24"/>
      <w:lang w:bidi="ar-SA"/>
    </w:rPr>
  </w:style>
  <w:style w:type="character" w:customStyle="1" w:styleId="82">
    <w:name w:val="称呼 Char"/>
    <w:link w:val="21"/>
    <w:qFormat/>
    <w:uiPriority w:val="0"/>
    <w:rPr>
      <w:kern w:val="2"/>
      <w:sz w:val="28"/>
      <w:szCs w:val="24"/>
    </w:rPr>
  </w:style>
  <w:style w:type="character" w:customStyle="1" w:styleId="83">
    <w:name w:val="正文文本 3 Char"/>
    <w:link w:val="22"/>
    <w:qFormat/>
    <w:uiPriority w:val="0"/>
    <w:rPr>
      <w:rFonts w:eastAsia="宋体"/>
      <w:b/>
      <w:bCs/>
      <w:kern w:val="2"/>
      <w:sz w:val="24"/>
      <w:szCs w:val="24"/>
      <w:lang w:val="en-US" w:eastAsia="zh-CN" w:bidi="ar-SA"/>
    </w:rPr>
  </w:style>
  <w:style w:type="character" w:customStyle="1" w:styleId="84">
    <w:name w:val="正文文本缩进 Char"/>
    <w:link w:val="23"/>
    <w:qFormat/>
    <w:uiPriority w:val="0"/>
    <w:rPr>
      <w:rFonts w:ascii="仿宋_GB2312" w:eastAsia="仿宋_GB2312"/>
      <w:kern w:val="2"/>
      <w:sz w:val="32"/>
      <w:lang w:val="en-US" w:eastAsia="zh-CN" w:bidi="ar-SA"/>
    </w:rPr>
  </w:style>
  <w:style w:type="character" w:customStyle="1" w:styleId="85">
    <w:name w:val="HTML 地址 Char"/>
    <w:basedOn w:val="55"/>
    <w:link w:val="28"/>
    <w:qFormat/>
    <w:locked/>
    <w:uiPriority w:val="0"/>
    <w:rPr>
      <w:rFonts w:ascii="宋体" w:eastAsia="宋体"/>
      <w:i/>
      <w:iCs/>
      <w:kern w:val="21"/>
      <w:sz w:val="21"/>
      <w:szCs w:val="21"/>
      <w:lang w:val="en-US" w:eastAsia="zh-CN" w:bidi="ar-SA"/>
    </w:rPr>
  </w:style>
  <w:style w:type="character" w:customStyle="1" w:styleId="86">
    <w:name w:val="目录 3 Char"/>
    <w:link w:val="30"/>
    <w:qFormat/>
    <w:locked/>
    <w:uiPriority w:val="0"/>
    <w:rPr>
      <w:rFonts w:eastAsia="宋体"/>
      <w:kern w:val="2"/>
      <w:sz w:val="21"/>
      <w:szCs w:val="24"/>
      <w:lang w:val="en-US" w:eastAsia="zh-CN" w:bidi="ar-SA"/>
    </w:rPr>
  </w:style>
  <w:style w:type="character" w:customStyle="1" w:styleId="87">
    <w:name w:val="纯文本 Char2"/>
    <w:link w:val="31"/>
    <w:qFormat/>
    <w:uiPriority w:val="0"/>
    <w:rPr>
      <w:rFonts w:ascii="宋体" w:hAnsi="Courier New" w:eastAsia="宋体" w:cs="Courier New"/>
      <w:kern w:val="2"/>
      <w:sz w:val="21"/>
      <w:szCs w:val="21"/>
      <w:lang w:val="en-US" w:eastAsia="zh-CN" w:bidi="ar-SA"/>
    </w:rPr>
  </w:style>
  <w:style w:type="character" w:customStyle="1" w:styleId="88">
    <w:name w:val="日期 Char"/>
    <w:link w:val="33"/>
    <w:qFormat/>
    <w:uiPriority w:val="0"/>
    <w:rPr>
      <w:rFonts w:ascii="宋体" w:hAnsi="Courier New" w:eastAsia="宋体" w:cs="Courier New"/>
      <w:kern w:val="2"/>
      <w:sz w:val="21"/>
      <w:szCs w:val="21"/>
      <w:lang w:val="en-US" w:eastAsia="zh-CN" w:bidi="ar-SA"/>
    </w:rPr>
  </w:style>
  <w:style w:type="character" w:customStyle="1" w:styleId="89">
    <w:name w:val="正文文本缩进 2 Char"/>
    <w:link w:val="34"/>
    <w:qFormat/>
    <w:uiPriority w:val="0"/>
    <w:rPr>
      <w:rFonts w:eastAsia="宋体"/>
      <w:kern w:val="2"/>
      <w:sz w:val="32"/>
      <w:lang w:val="en-US" w:eastAsia="zh-CN" w:bidi="ar-SA"/>
    </w:rPr>
  </w:style>
  <w:style w:type="character" w:customStyle="1" w:styleId="90">
    <w:name w:val="尾注文本 Char"/>
    <w:link w:val="35"/>
    <w:qFormat/>
    <w:uiPriority w:val="0"/>
    <w:rPr>
      <w:rFonts w:ascii="Calibri" w:hAnsi="Calibri"/>
      <w:kern w:val="2"/>
      <w:sz w:val="21"/>
      <w:szCs w:val="22"/>
    </w:rPr>
  </w:style>
  <w:style w:type="character" w:customStyle="1" w:styleId="91">
    <w:name w:val="批注框文本 Char"/>
    <w:link w:val="36"/>
    <w:semiHidden/>
    <w:qFormat/>
    <w:uiPriority w:val="0"/>
    <w:rPr>
      <w:rFonts w:eastAsia="宋体"/>
      <w:kern w:val="2"/>
      <w:sz w:val="18"/>
      <w:szCs w:val="18"/>
      <w:lang w:val="en-US" w:eastAsia="zh-CN" w:bidi="ar-SA"/>
    </w:rPr>
  </w:style>
  <w:style w:type="character" w:customStyle="1" w:styleId="92">
    <w:name w:val="页脚 Char"/>
    <w:link w:val="37"/>
    <w:qFormat/>
    <w:uiPriority w:val="99"/>
    <w:rPr>
      <w:rFonts w:eastAsia="宋体"/>
      <w:kern w:val="2"/>
      <w:sz w:val="18"/>
      <w:szCs w:val="18"/>
      <w:lang w:val="en-US" w:eastAsia="zh-CN" w:bidi="ar-SA"/>
    </w:rPr>
  </w:style>
  <w:style w:type="character" w:customStyle="1" w:styleId="93">
    <w:name w:val="页眉 Char"/>
    <w:link w:val="38"/>
    <w:qFormat/>
    <w:uiPriority w:val="99"/>
    <w:rPr>
      <w:rFonts w:eastAsia="宋体"/>
      <w:kern w:val="2"/>
      <w:sz w:val="18"/>
      <w:szCs w:val="18"/>
      <w:lang w:val="en-US" w:eastAsia="zh-CN" w:bidi="ar-SA"/>
    </w:rPr>
  </w:style>
  <w:style w:type="character" w:customStyle="1" w:styleId="94">
    <w:name w:val="脚注文本 Char"/>
    <w:basedOn w:val="55"/>
    <w:link w:val="42"/>
    <w:qFormat/>
    <w:locked/>
    <w:uiPriority w:val="0"/>
    <w:rPr>
      <w:rFonts w:ascii="宋体" w:eastAsia="宋体"/>
      <w:kern w:val="21"/>
      <w:sz w:val="18"/>
      <w:szCs w:val="18"/>
      <w:lang w:val="en-US" w:eastAsia="zh-CN" w:bidi="ar-SA"/>
    </w:rPr>
  </w:style>
  <w:style w:type="character" w:customStyle="1" w:styleId="95">
    <w:name w:val="正文文本缩进 3 Char"/>
    <w:link w:val="45"/>
    <w:qFormat/>
    <w:uiPriority w:val="0"/>
    <w:rPr>
      <w:rFonts w:eastAsia="宋体"/>
      <w:kern w:val="2"/>
      <w:sz w:val="16"/>
      <w:szCs w:val="16"/>
      <w:lang w:val="en-US" w:eastAsia="zh-CN" w:bidi="ar-SA"/>
    </w:rPr>
  </w:style>
  <w:style w:type="character" w:customStyle="1" w:styleId="96">
    <w:name w:val="正文文本 2 Char"/>
    <w:link w:val="48"/>
    <w:qFormat/>
    <w:uiPriority w:val="0"/>
    <w:rPr>
      <w:rFonts w:eastAsia="宋体"/>
      <w:kern w:val="2"/>
      <w:sz w:val="21"/>
      <w:szCs w:val="24"/>
      <w:lang w:val="en-US" w:eastAsia="zh-CN" w:bidi="ar-SA"/>
    </w:rPr>
  </w:style>
  <w:style w:type="character" w:customStyle="1" w:styleId="97">
    <w:name w:val="HTML 预设格式 Char"/>
    <w:link w:val="49"/>
    <w:qFormat/>
    <w:uiPriority w:val="0"/>
    <w:rPr>
      <w:rFonts w:ascii="黑体" w:hAnsi="Courier New" w:eastAsia="黑体" w:cs="Courier New"/>
      <w:lang w:val="en-US" w:eastAsia="zh-CN" w:bidi="ar-SA"/>
    </w:rPr>
  </w:style>
  <w:style w:type="character" w:customStyle="1" w:styleId="98">
    <w:name w:val="标题 Char"/>
    <w:link w:val="52"/>
    <w:qFormat/>
    <w:uiPriority w:val="0"/>
    <w:rPr>
      <w:rFonts w:ascii="Arial" w:hAnsi="Arial" w:eastAsia="宋体"/>
      <w:b/>
      <w:bCs/>
      <w:kern w:val="2"/>
      <w:sz w:val="32"/>
      <w:szCs w:val="32"/>
      <w:lang w:bidi="ar-SA"/>
    </w:rPr>
  </w:style>
  <w:style w:type="character" w:customStyle="1" w:styleId="99">
    <w:name w:val="批注主题 Char"/>
    <w:link w:val="24"/>
    <w:semiHidden/>
    <w:qFormat/>
    <w:uiPriority w:val="0"/>
    <w:rPr>
      <w:b/>
      <w:bCs/>
      <w:kern w:val="2"/>
      <w:sz w:val="21"/>
      <w:szCs w:val="24"/>
    </w:rPr>
  </w:style>
  <w:style w:type="paragraph" w:customStyle="1" w:styleId="100">
    <w:name w:val="表格文字"/>
    <w:basedOn w:val="1"/>
    <w:next w:val="3"/>
    <w:qFormat/>
    <w:uiPriority w:val="0"/>
    <w:pPr>
      <w:spacing w:before="25" w:after="25"/>
      <w:jc w:val="left"/>
    </w:pPr>
    <w:rPr>
      <w:bCs/>
      <w:spacing w:val="10"/>
      <w:kern w:val="0"/>
      <w:sz w:val="24"/>
    </w:rPr>
  </w:style>
  <w:style w:type="paragraph" w:customStyle="1" w:styleId="101">
    <w:name w:val="_Style 8"/>
    <w:basedOn w:val="18"/>
    <w:qFormat/>
    <w:uiPriority w:val="0"/>
    <w:pPr>
      <w:widowControl/>
      <w:ind w:firstLine="454"/>
      <w:jc w:val="left"/>
    </w:pPr>
  </w:style>
  <w:style w:type="character" w:customStyle="1" w:styleId="102">
    <w:name w:val="自定义标题一 Char Char"/>
    <w:qFormat/>
    <w:uiPriority w:val="0"/>
    <w:rPr>
      <w:rFonts w:ascii="黑体" w:hAnsi="黑体" w:eastAsia="黑体"/>
      <w:b/>
      <w:bCs/>
      <w:kern w:val="44"/>
      <w:sz w:val="44"/>
      <w:szCs w:val="44"/>
      <w:lang w:bidi="ar-SA"/>
    </w:rPr>
  </w:style>
  <w:style w:type="character" w:customStyle="1" w:styleId="103">
    <w:name w:val="apple-style-span"/>
    <w:basedOn w:val="55"/>
    <w:qFormat/>
    <w:uiPriority w:val="0"/>
  </w:style>
  <w:style w:type="character" w:customStyle="1" w:styleId="104">
    <w:name w:val="无间隔 Char"/>
    <w:link w:val="105"/>
    <w:qFormat/>
    <w:uiPriority w:val="0"/>
    <w:rPr>
      <w:sz w:val="22"/>
      <w:szCs w:val="22"/>
      <w:lang w:val="en-US" w:eastAsia="zh-CN" w:bidi="ar-SA"/>
    </w:rPr>
  </w:style>
  <w:style w:type="paragraph" w:styleId="105">
    <w:name w:val="No Spacing"/>
    <w:link w:val="104"/>
    <w:qFormat/>
    <w:uiPriority w:val="0"/>
    <w:rPr>
      <w:rFonts w:ascii="Times New Roman" w:hAnsi="Times New Roman" w:eastAsia="宋体" w:cs="Times New Roman"/>
      <w:sz w:val="22"/>
      <w:szCs w:val="22"/>
      <w:lang w:val="en-US" w:eastAsia="zh-CN" w:bidi="ar-SA"/>
    </w:rPr>
  </w:style>
  <w:style w:type="character" w:customStyle="1" w:styleId="106">
    <w:name w:val="纯文本 Char"/>
    <w:qFormat/>
    <w:uiPriority w:val="99"/>
    <w:rPr>
      <w:rFonts w:ascii="宋体" w:hAnsi="Courier New" w:eastAsia="宋体"/>
      <w:kern w:val="2"/>
      <w:sz w:val="21"/>
      <w:lang w:val="en-US" w:eastAsia="zh-CN" w:bidi="ar-SA"/>
    </w:rPr>
  </w:style>
  <w:style w:type="character" w:customStyle="1" w:styleId="107">
    <w:name w:val="ca-10"/>
    <w:basedOn w:val="55"/>
    <w:qFormat/>
    <w:uiPriority w:val="0"/>
  </w:style>
  <w:style w:type="character" w:customStyle="1" w:styleId="108">
    <w:name w:val="Char Char Char Char Char"/>
    <w:qFormat/>
    <w:uiPriority w:val="0"/>
    <w:rPr>
      <w:rFonts w:hint="eastAsia" w:ascii="宋体" w:hAnsi="宋体" w:eastAsia="宋体"/>
      <w:b/>
      <w:bCs/>
      <w:kern w:val="44"/>
      <w:sz w:val="44"/>
      <w:szCs w:val="44"/>
      <w:lang w:val="en-US" w:eastAsia="zh-CN" w:bidi="ar-SA"/>
    </w:rPr>
  </w:style>
  <w:style w:type="character" w:customStyle="1" w:styleId="109">
    <w:name w:val="font41"/>
    <w:basedOn w:val="55"/>
    <w:qFormat/>
    <w:uiPriority w:val="0"/>
    <w:rPr>
      <w:rFonts w:hint="eastAsia" w:ascii="仿宋_GB2312" w:eastAsia="仿宋_GB2312" w:cs="仿宋_GB2312"/>
      <w:color w:val="000000"/>
      <w:sz w:val="20"/>
      <w:szCs w:val="20"/>
      <w:u w:val="none"/>
    </w:rPr>
  </w:style>
  <w:style w:type="character" w:customStyle="1" w:styleId="110">
    <w:name w:val="ca-11"/>
    <w:basedOn w:val="55"/>
    <w:qFormat/>
    <w:uiPriority w:val="0"/>
  </w:style>
  <w:style w:type="character" w:customStyle="1" w:styleId="111">
    <w:name w:val="Char Char12"/>
    <w:qFormat/>
    <w:uiPriority w:val="0"/>
    <w:rPr>
      <w:rFonts w:ascii="宋体" w:eastAsia="宋体" w:cs="Courier New"/>
      <w:kern w:val="2"/>
      <w:sz w:val="21"/>
      <w:szCs w:val="21"/>
      <w:lang w:val="en-US" w:eastAsia="zh-CN" w:bidi="ar-SA"/>
    </w:rPr>
  </w:style>
  <w:style w:type="character" w:customStyle="1" w:styleId="112">
    <w:name w:val="普通文字 Char Char4"/>
    <w:qFormat/>
    <w:uiPriority w:val="0"/>
    <w:rPr>
      <w:rFonts w:ascii="宋体" w:hAnsi="Courier New" w:eastAsia="宋体" w:cs="Courier New"/>
      <w:kern w:val="2"/>
      <w:sz w:val="21"/>
      <w:szCs w:val="21"/>
      <w:lang w:val="en-US" w:eastAsia="zh-CN" w:bidi="ar-SA"/>
    </w:rPr>
  </w:style>
  <w:style w:type="character" w:customStyle="1" w:styleId="113">
    <w:name w:val="ca-12"/>
    <w:basedOn w:val="55"/>
    <w:qFormat/>
    <w:uiPriority w:val="0"/>
  </w:style>
  <w:style w:type="character" w:customStyle="1" w:styleId="114">
    <w:name w:val="font71"/>
    <w:basedOn w:val="55"/>
    <w:qFormat/>
    <w:uiPriority w:val="0"/>
    <w:rPr>
      <w:rFonts w:hint="eastAsia" w:ascii="宋体" w:hAnsi="宋体" w:eastAsia="宋体" w:cs="宋体"/>
      <w:color w:val="FF0000"/>
      <w:sz w:val="18"/>
      <w:szCs w:val="18"/>
      <w:u w:val="none"/>
    </w:rPr>
  </w:style>
  <w:style w:type="character" w:customStyle="1" w:styleId="115">
    <w:name w:val="unnamed3"/>
    <w:basedOn w:val="55"/>
    <w:qFormat/>
    <w:uiPriority w:val="0"/>
  </w:style>
  <w:style w:type="character" w:customStyle="1" w:styleId="116">
    <w:name w:val="Char Char7"/>
    <w:qFormat/>
    <w:uiPriority w:val="0"/>
    <w:rPr>
      <w:rFonts w:ascii="宋体" w:eastAsia="宋体" w:cs="Courier New"/>
      <w:kern w:val="2"/>
      <w:sz w:val="21"/>
      <w:szCs w:val="21"/>
      <w:lang w:val="en-US" w:eastAsia="zh-CN" w:bidi="ar-SA"/>
    </w:rPr>
  </w:style>
  <w:style w:type="character" w:customStyle="1" w:styleId="117">
    <w:name w:val="ca-3"/>
    <w:basedOn w:val="55"/>
    <w:qFormat/>
    <w:uiPriority w:val="0"/>
  </w:style>
  <w:style w:type="character" w:customStyle="1" w:styleId="118">
    <w:name w:val="mark13"/>
    <w:basedOn w:val="55"/>
    <w:qFormat/>
    <w:uiPriority w:val="0"/>
  </w:style>
  <w:style w:type="character" w:customStyle="1" w:styleId="119">
    <w:name w:val="style21"/>
    <w:qFormat/>
    <w:uiPriority w:val="0"/>
    <w:rPr>
      <w:sz w:val="18"/>
      <w:szCs w:val="18"/>
    </w:rPr>
  </w:style>
  <w:style w:type="character" w:customStyle="1" w:styleId="120">
    <w:name w:val="Char Char14"/>
    <w:qFormat/>
    <w:uiPriority w:val="0"/>
    <w:rPr>
      <w:sz w:val="18"/>
      <w:szCs w:val="18"/>
    </w:rPr>
  </w:style>
  <w:style w:type="character" w:customStyle="1" w:styleId="121">
    <w:name w:val="Char Char15"/>
    <w:qFormat/>
    <w:uiPriority w:val="0"/>
    <w:rPr>
      <w:sz w:val="18"/>
      <w:szCs w:val="18"/>
    </w:rPr>
  </w:style>
  <w:style w:type="character" w:customStyle="1" w:styleId="122">
    <w:name w:val="p1"/>
    <w:basedOn w:val="55"/>
    <w:qFormat/>
    <w:uiPriority w:val="0"/>
  </w:style>
  <w:style w:type="character" w:customStyle="1" w:styleId="123">
    <w:name w:val="UP标题3 Char Char"/>
    <w:link w:val="124"/>
    <w:qFormat/>
    <w:locked/>
    <w:uiPriority w:val="0"/>
    <w:rPr>
      <w:rFonts w:ascii="黑体" w:eastAsia="黑体"/>
      <w:sz w:val="28"/>
      <w:szCs w:val="28"/>
      <w:lang w:bidi="ar-SA"/>
    </w:rPr>
  </w:style>
  <w:style w:type="paragraph" w:customStyle="1" w:styleId="124">
    <w:name w:val="UP标题3"/>
    <w:basedOn w:val="1"/>
    <w:link w:val="123"/>
    <w:qFormat/>
    <w:uiPriority w:val="0"/>
    <w:pPr>
      <w:spacing w:line="360" w:lineRule="auto"/>
      <w:ind w:firstLine="149" w:firstLineChars="149"/>
    </w:pPr>
    <w:rPr>
      <w:rFonts w:ascii="黑体" w:eastAsia="黑体"/>
      <w:kern w:val="0"/>
      <w:sz w:val="28"/>
      <w:szCs w:val="28"/>
    </w:rPr>
  </w:style>
  <w:style w:type="character" w:customStyle="1" w:styleId="125">
    <w:name w:val="ca-8"/>
    <w:basedOn w:val="55"/>
    <w:qFormat/>
    <w:uiPriority w:val="0"/>
  </w:style>
  <w:style w:type="character" w:customStyle="1" w:styleId="126">
    <w:name w:val="Body Text Char"/>
    <w:qFormat/>
    <w:locked/>
    <w:uiPriority w:val="0"/>
    <w:rPr>
      <w:rFonts w:eastAsia="宋体"/>
      <w:kern w:val="2"/>
      <w:sz w:val="24"/>
      <w:szCs w:val="24"/>
      <w:lang w:val="en-US" w:eastAsia="zh-CN" w:bidi="ar-SA"/>
    </w:rPr>
  </w:style>
  <w:style w:type="character" w:customStyle="1" w:styleId="127">
    <w:name w:val="ca-16"/>
    <w:basedOn w:val="55"/>
    <w:qFormat/>
    <w:uiPriority w:val="0"/>
  </w:style>
  <w:style w:type="character" w:customStyle="1" w:styleId="128">
    <w:name w:val="Char Char17"/>
    <w:qFormat/>
    <w:uiPriority w:val="0"/>
    <w:rPr>
      <w:rFonts w:hint="default" w:ascii="Times New Roman" w:hAnsi="Times New Roman" w:cs="Times New Roman"/>
      <w:b/>
      <w:bCs/>
      <w:kern w:val="2"/>
      <w:sz w:val="21"/>
      <w:szCs w:val="24"/>
    </w:rPr>
  </w:style>
  <w:style w:type="character" w:customStyle="1" w:styleId="129">
    <w:name w:val="ca-0"/>
    <w:qFormat/>
    <w:uiPriority w:val="0"/>
  </w:style>
  <w:style w:type="character" w:customStyle="1" w:styleId="130">
    <w:name w:val="Char Char8"/>
    <w:qFormat/>
    <w:uiPriority w:val="0"/>
    <w:rPr>
      <w:rFonts w:hint="eastAsia" w:ascii="仿宋_GB2312" w:eastAsia="仿宋_GB2312"/>
      <w:kern w:val="2"/>
      <w:sz w:val="32"/>
      <w:lang w:val="en-US" w:eastAsia="zh-CN" w:bidi="ar-SA"/>
    </w:rPr>
  </w:style>
  <w:style w:type="character" w:customStyle="1" w:styleId="131">
    <w:name w:val="Char Char3"/>
    <w:qFormat/>
    <w:locked/>
    <w:uiPriority w:val="0"/>
    <w:rPr>
      <w:rFonts w:ascii="宋体" w:hAnsi="Courier New" w:eastAsia="宋体" w:cs="Courier New"/>
      <w:kern w:val="2"/>
      <w:sz w:val="21"/>
      <w:szCs w:val="21"/>
      <w:lang w:val="en-US" w:eastAsia="zh-CN" w:bidi="ar-SA"/>
    </w:rPr>
  </w:style>
  <w:style w:type="character" w:customStyle="1" w:styleId="132">
    <w:name w:val="Char Char2"/>
    <w:qFormat/>
    <w:uiPriority w:val="0"/>
    <w:rPr>
      <w:rFonts w:eastAsia="宋体"/>
      <w:sz w:val="24"/>
    </w:rPr>
  </w:style>
  <w:style w:type="character" w:customStyle="1" w:styleId="133">
    <w:name w:val="批注文字 Char1"/>
    <w:semiHidden/>
    <w:qFormat/>
    <w:uiPriority w:val="0"/>
    <w:rPr>
      <w:kern w:val="2"/>
      <w:sz w:val="21"/>
      <w:szCs w:val="24"/>
    </w:rPr>
  </w:style>
  <w:style w:type="character" w:customStyle="1" w:styleId="134">
    <w:name w:val="Char Char23"/>
    <w:qFormat/>
    <w:uiPriority w:val="0"/>
    <w:rPr>
      <w:rFonts w:hint="default" w:ascii="Times New Roman" w:hAnsi="Times New Roman" w:eastAsia="宋体" w:cs="Times New Roman"/>
      <w:b/>
      <w:bCs/>
      <w:kern w:val="44"/>
      <w:sz w:val="44"/>
      <w:szCs w:val="44"/>
    </w:rPr>
  </w:style>
  <w:style w:type="character" w:customStyle="1" w:styleId="135">
    <w:name w:val="ca-5"/>
    <w:basedOn w:val="55"/>
    <w:qFormat/>
    <w:uiPriority w:val="0"/>
  </w:style>
  <w:style w:type="character" w:customStyle="1" w:styleId="136">
    <w:name w:val="cubane_hilight1"/>
    <w:qFormat/>
    <w:uiPriority w:val="0"/>
    <w:rPr>
      <w:color w:val="CC0000"/>
    </w:rPr>
  </w:style>
  <w:style w:type="character" w:customStyle="1" w:styleId="137">
    <w:name w:val="ca-7"/>
    <w:basedOn w:val="55"/>
    <w:qFormat/>
    <w:uiPriority w:val="0"/>
  </w:style>
  <w:style w:type="character" w:customStyle="1" w:styleId="138">
    <w:name w:val="普通文字 Char Char2"/>
    <w:qFormat/>
    <w:uiPriority w:val="0"/>
    <w:rPr>
      <w:rFonts w:ascii="宋体" w:hAnsi="Courier New" w:eastAsia="宋体"/>
      <w:kern w:val="2"/>
      <w:sz w:val="21"/>
      <w:lang w:val="en-US" w:eastAsia="zh-CN" w:bidi="ar-SA"/>
    </w:rPr>
  </w:style>
  <w:style w:type="character" w:customStyle="1" w:styleId="139">
    <w:name w:val="apple-converted-space"/>
    <w:basedOn w:val="55"/>
    <w:qFormat/>
    <w:uiPriority w:val="0"/>
  </w:style>
  <w:style w:type="character" w:customStyle="1" w:styleId="140">
    <w:name w:val="标题 Char1"/>
    <w:qFormat/>
    <w:uiPriority w:val="0"/>
    <w:rPr>
      <w:rFonts w:hint="default" w:ascii="Cambria" w:hAnsi="Cambria" w:cs="Times New Roman"/>
      <w:b/>
      <w:bCs/>
      <w:kern w:val="2"/>
      <w:sz w:val="32"/>
      <w:szCs w:val="32"/>
    </w:rPr>
  </w:style>
  <w:style w:type="character" w:customStyle="1" w:styleId="141">
    <w:name w:val="ca-4"/>
    <w:basedOn w:val="55"/>
    <w:qFormat/>
    <w:uiPriority w:val="0"/>
  </w:style>
  <w:style w:type="character" w:customStyle="1" w:styleId="142">
    <w:name w:val="ca-2"/>
    <w:basedOn w:val="55"/>
    <w:qFormat/>
    <w:uiPriority w:val="0"/>
  </w:style>
  <w:style w:type="character" w:customStyle="1" w:styleId="143">
    <w:name w:val="Char Char10"/>
    <w:semiHidden/>
    <w:qFormat/>
    <w:uiPriority w:val="0"/>
    <w:rPr>
      <w:rFonts w:hint="eastAsia" w:ascii="宋体" w:hAnsi="宋体" w:eastAsia="宋体"/>
      <w:kern w:val="2"/>
      <w:sz w:val="24"/>
      <w:szCs w:val="24"/>
      <w:lang w:val="en-US" w:eastAsia="zh-CN" w:bidi="ar-SA"/>
    </w:rPr>
  </w:style>
  <w:style w:type="character" w:customStyle="1" w:styleId="144">
    <w:name w:val="1ji Char Char"/>
    <w:qFormat/>
    <w:locked/>
    <w:uiPriority w:val="0"/>
    <w:rPr>
      <w:rFonts w:ascii="宋体" w:hAnsi="宋体" w:eastAsia="宋体"/>
      <w:b/>
      <w:bCs/>
      <w:kern w:val="44"/>
      <w:sz w:val="36"/>
      <w:szCs w:val="44"/>
    </w:rPr>
  </w:style>
  <w:style w:type="character" w:customStyle="1" w:styleId="145">
    <w:name w:val="H1 Char1"/>
    <w:qFormat/>
    <w:uiPriority w:val="0"/>
    <w:rPr>
      <w:rFonts w:eastAsia="宋体"/>
      <w:b/>
      <w:bCs/>
      <w:kern w:val="44"/>
      <w:sz w:val="44"/>
      <w:szCs w:val="44"/>
      <w:lang w:val="en-US" w:eastAsia="zh-CN" w:bidi="ar-SA"/>
    </w:rPr>
  </w:style>
  <w:style w:type="character" w:customStyle="1" w:styleId="146">
    <w:name w:val="Char Char1011"/>
    <w:semiHidden/>
    <w:qFormat/>
    <w:uiPriority w:val="0"/>
    <w:rPr>
      <w:rFonts w:eastAsia="宋体"/>
      <w:kern w:val="2"/>
      <w:sz w:val="24"/>
      <w:szCs w:val="24"/>
      <w:lang w:val="en-US" w:eastAsia="zh-CN" w:bidi="ar-SA"/>
    </w:rPr>
  </w:style>
  <w:style w:type="character" w:customStyle="1" w:styleId="147">
    <w:name w:val="Char Char1411"/>
    <w:qFormat/>
    <w:uiPriority w:val="0"/>
    <w:rPr>
      <w:sz w:val="18"/>
      <w:szCs w:val="18"/>
    </w:rPr>
  </w:style>
  <w:style w:type="character" w:customStyle="1" w:styleId="148">
    <w:name w:val="H1 Char2"/>
    <w:qFormat/>
    <w:uiPriority w:val="0"/>
    <w:rPr>
      <w:rFonts w:eastAsia="宋体"/>
      <w:b/>
      <w:bCs/>
      <w:kern w:val="44"/>
      <w:sz w:val="44"/>
      <w:szCs w:val="44"/>
      <w:lang w:val="en-US" w:eastAsia="zh-CN" w:bidi="ar-SA"/>
    </w:rPr>
  </w:style>
  <w:style w:type="character" w:customStyle="1" w:styleId="149">
    <w:name w:val="无间隔 Char Char"/>
    <w:qFormat/>
    <w:uiPriority w:val="0"/>
    <w:rPr>
      <w:rFonts w:ascii="Calibri" w:hAnsi="Calibri" w:eastAsia="宋体"/>
      <w:sz w:val="22"/>
      <w:szCs w:val="22"/>
      <w:lang w:val="en-US" w:eastAsia="zh-CN" w:bidi="ar-SA"/>
    </w:rPr>
  </w:style>
  <w:style w:type="character" w:customStyle="1" w:styleId="150">
    <w:name w:val="正文文本缩进 Char1"/>
    <w:semiHidden/>
    <w:qFormat/>
    <w:uiPriority w:val="0"/>
    <w:rPr>
      <w:kern w:val="2"/>
      <w:sz w:val="21"/>
      <w:szCs w:val="22"/>
    </w:rPr>
  </w:style>
  <w:style w:type="character" w:customStyle="1" w:styleId="151">
    <w:name w:val="font31"/>
    <w:basedOn w:val="55"/>
    <w:qFormat/>
    <w:uiPriority w:val="0"/>
    <w:rPr>
      <w:rFonts w:hint="eastAsia" w:ascii="宋体" w:hAnsi="宋体" w:eastAsia="宋体" w:cs="宋体"/>
      <w:color w:val="000000"/>
      <w:sz w:val="16"/>
      <w:szCs w:val="16"/>
      <w:u w:val="none"/>
    </w:rPr>
  </w:style>
  <w:style w:type="character" w:customStyle="1" w:styleId="152">
    <w:name w:val="Char Char4"/>
    <w:qFormat/>
    <w:locked/>
    <w:uiPriority w:val="0"/>
    <w:rPr>
      <w:rFonts w:ascii="宋体" w:hAnsi="Courier New" w:eastAsia="宋体" w:cs="Courier New"/>
      <w:kern w:val="2"/>
      <w:sz w:val="21"/>
      <w:szCs w:val="21"/>
      <w:lang w:val="en-US" w:eastAsia="zh-CN" w:bidi="ar-SA"/>
    </w:rPr>
  </w:style>
  <w:style w:type="character" w:customStyle="1" w:styleId="153">
    <w:name w:val="Char Char21"/>
    <w:qFormat/>
    <w:uiPriority w:val="0"/>
    <w:rPr>
      <w:rFonts w:ascii="宋体" w:eastAsia="宋体"/>
      <w:sz w:val="24"/>
    </w:rPr>
  </w:style>
  <w:style w:type="character" w:customStyle="1" w:styleId="154">
    <w:name w:val="Char Char11"/>
    <w:qFormat/>
    <w:uiPriority w:val="0"/>
    <w:rPr>
      <w:rFonts w:ascii="Times New Roman" w:hAnsi="Times New Roman" w:eastAsia="宋体" w:cs="Times New Roman"/>
      <w:sz w:val="30"/>
      <w:szCs w:val="24"/>
    </w:rPr>
  </w:style>
  <w:style w:type="character" w:customStyle="1" w:styleId="155">
    <w:name w:val="font21"/>
    <w:basedOn w:val="55"/>
    <w:qFormat/>
    <w:uiPriority w:val="0"/>
    <w:rPr>
      <w:rFonts w:ascii="Calibri" w:hAnsi="Calibri" w:cs="Calibri"/>
      <w:color w:val="000000"/>
      <w:sz w:val="20"/>
      <w:szCs w:val="20"/>
      <w:u w:val="none"/>
    </w:rPr>
  </w:style>
  <w:style w:type="character" w:customStyle="1" w:styleId="156">
    <w:name w:val="彩色列表 - 强调文字颜色 1 Char"/>
    <w:qFormat/>
    <w:locked/>
    <w:uiPriority w:val="34"/>
    <w:rPr>
      <w:rFonts w:ascii="Calibri" w:hAnsi="Calibri"/>
      <w:sz w:val="24"/>
      <w:szCs w:val="24"/>
      <w:lang w:eastAsia="en-US"/>
    </w:rPr>
  </w:style>
  <w:style w:type="character" w:customStyle="1" w:styleId="157">
    <w:name w:val="Char Char111"/>
    <w:qFormat/>
    <w:uiPriority w:val="0"/>
    <w:rPr>
      <w:rFonts w:hint="default" w:ascii="Times New Roman" w:hAnsi="Times New Roman" w:eastAsia="宋体" w:cs="Times New Roman"/>
      <w:sz w:val="30"/>
      <w:szCs w:val="24"/>
    </w:rPr>
  </w:style>
  <w:style w:type="character" w:customStyle="1" w:styleId="158">
    <w:name w:val="ca-14"/>
    <w:basedOn w:val="55"/>
    <w:qFormat/>
    <w:uiPriority w:val="0"/>
  </w:style>
  <w:style w:type="character" w:customStyle="1" w:styleId="159">
    <w:name w:val="font11"/>
    <w:qFormat/>
    <w:uiPriority w:val="0"/>
    <w:rPr>
      <w:rFonts w:hint="eastAsia" w:ascii="宋体" w:hAnsi="宋体" w:eastAsia="宋体" w:cs="宋体"/>
      <w:color w:val="FF0000"/>
      <w:sz w:val="16"/>
      <w:szCs w:val="16"/>
      <w:u w:val="none"/>
    </w:rPr>
  </w:style>
  <w:style w:type="character" w:customStyle="1" w:styleId="160">
    <w:name w:val="row08"/>
    <w:qFormat/>
    <w:uiPriority w:val="0"/>
    <w:rPr>
      <w:rFonts w:cs="Times New Roman"/>
      <w:lang w:bidi="ar-SA"/>
    </w:rPr>
  </w:style>
  <w:style w:type="character" w:customStyle="1" w:styleId="161">
    <w:name w:val="列出段落 Char"/>
    <w:link w:val="162"/>
    <w:qFormat/>
    <w:uiPriority w:val="0"/>
    <w:rPr>
      <w:rFonts w:ascii="Calibri" w:hAnsi="Calibri" w:eastAsia="宋体"/>
      <w:kern w:val="2"/>
      <w:sz w:val="21"/>
      <w:szCs w:val="22"/>
      <w:lang w:val="en-US" w:eastAsia="zh-CN" w:bidi="ar-SA"/>
    </w:rPr>
  </w:style>
  <w:style w:type="paragraph" w:customStyle="1" w:styleId="162">
    <w:name w:val="列出段落3"/>
    <w:basedOn w:val="1"/>
    <w:link w:val="161"/>
    <w:qFormat/>
    <w:uiPriority w:val="0"/>
    <w:pPr>
      <w:ind w:firstLine="420" w:firstLineChars="200"/>
    </w:pPr>
    <w:rPr>
      <w:rFonts w:ascii="Calibri" w:hAnsi="Calibri"/>
      <w:szCs w:val="22"/>
    </w:rPr>
  </w:style>
  <w:style w:type="character" w:customStyle="1" w:styleId="163">
    <w:name w:val="自定义标题一 Char"/>
    <w:link w:val="164"/>
    <w:qFormat/>
    <w:uiPriority w:val="0"/>
    <w:rPr>
      <w:rFonts w:ascii="黑体" w:hAnsi="黑体" w:eastAsia="黑体"/>
      <w:b/>
      <w:bCs/>
      <w:kern w:val="44"/>
      <w:sz w:val="44"/>
      <w:szCs w:val="44"/>
      <w:lang w:bidi="ar-SA"/>
    </w:rPr>
  </w:style>
  <w:style w:type="paragraph" w:customStyle="1" w:styleId="164">
    <w:name w:val="自定义标题一"/>
    <w:basedOn w:val="5"/>
    <w:link w:val="163"/>
    <w:qFormat/>
    <w:uiPriority w:val="0"/>
    <w:pPr>
      <w:pageBreakBefore/>
      <w:tabs>
        <w:tab w:val="left" w:pos="144"/>
      </w:tabs>
      <w:spacing w:line="360" w:lineRule="auto"/>
      <w:ind w:left="144" w:hanging="144"/>
      <w:jc w:val="center"/>
    </w:pPr>
    <w:rPr>
      <w:rFonts w:ascii="黑体" w:hAnsi="黑体" w:eastAsia="黑体"/>
    </w:rPr>
  </w:style>
  <w:style w:type="character" w:customStyle="1" w:styleId="165">
    <w:name w:val="Char Char6"/>
    <w:qFormat/>
    <w:locked/>
    <w:uiPriority w:val="0"/>
    <w:rPr>
      <w:rFonts w:ascii="宋体" w:hAnsi="Courier New" w:eastAsia="宋体" w:cs="Courier New"/>
      <w:kern w:val="2"/>
      <w:sz w:val="21"/>
      <w:szCs w:val="21"/>
      <w:lang w:val="en-US" w:eastAsia="zh-CN" w:bidi="ar-SA"/>
    </w:rPr>
  </w:style>
  <w:style w:type="character" w:customStyle="1" w:styleId="166">
    <w:name w:val="ca-15"/>
    <w:basedOn w:val="55"/>
    <w:qFormat/>
    <w:uiPriority w:val="0"/>
  </w:style>
  <w:style w:type="character" w:customStyle="1" w:styleId="167">
    <w:name w:val="Char Char28"/>
    <w:qFormat/>
    <w:locked/>
    <w:uiPriority w:val="0"/>
    <w:rPr>
      <w:rFonts w:eastAsia="宋体"/>
      <w:b/>
      <w:bCs/>
      <w:kern w:val="44"/>
      <w:sz w:val="44"/>
      <w:szCs w:val="44"/>
      <w:lang w:val="en-US" w:eastAsia="zh-CN" w:bidi="ar-SA"/>
    </w:rPr>
  </w:style>
  <w:style w:type="character" w:customStyle="1" w:styleId="168">
    <w:name w:val="Char Char Char Char Char11"/>
    <w:qFormat/>
    <w:uiPriority w:val="0"/>
    <w:rPr>
      <w:rFonts w:eastAsia="宋体"/>
      <w:b/>
      <w:bCs/>
      <w:kern w:val="44"/>
      <w:sz w:val="44"/>
      <w:szCs w:val="44"/>
      <w:lang w:val="en-US" w:eastAsia="zh-CN" w:bidi="ar-SA"/>
    </w:rPr>
  </w:style>
  <w:style w:type="character" w:customStyle="1" w:styleId="169">
    <w:name w:val="正文2 Char Char"/>
    <w:link w:val="170"/>
    <w:qFormat/>
    <w:locked/>
    <w:uiPriority w:val="0"/>
    <w:rPr>
      <w:kern w:val="2"/>
      <w:sz w:val="28"/>
      <w:szCs w:val="22"/>
      <w:lang w:bidi="ar-SA"/>
    </w:rPr>
  </w:style>
  <w:style w:type="paragraph" w:customStyle="1" w:styleId="170">
    <w:name w:val="正文2"/>
    <w:basedOn w:val="1"/>
    <w:link w:val="169"/>
    <w:qFormat/>
    <w:uiPriority w:val="0"/>
    <w:pPr>
      <w:spacing w:line="360" w:lineRule="auto"/>
      <w:ind w:firstLine="200" w:firstLineChars="200"/>
    </w:pPr>
    <w:rPr>
      <w:sz w:val="28"/>
      <w:szCs w:val="22"/>
    </w:rPr>
  </w:style>
  <w:style w:type="character" w:customStyle="1" w:styleId="171">
    <w:name w:val="正文文字首行缩进 Char"/>
    <w:qFormat/>
    <w:locked/>
    <w:uiPriority w:val="0"/>
    <w:rPr>
      <w:rFonts w:ascii="仿宋_GB2312" w:eastAsia="仿宋_GB2312"/>
      <w:kern w:val="2"/>
      <w:sz w:val="32"/>
    </w:rPr>
  </w:style>
  <w:style w:type="character" w:customStyle="1" w:styleId="172">
    <w:name w:val="Char Char"/>
    <w:qFormat/>
    <w:uiPriority w:val="0"/>
    <w:rPr>
      <w:rFonts w:ascii="宋体" w:eastAsia="宋体" w:cs="Courier New"/>
      <w:kern w:val="2"/>
      <w:sz w:val="21"/>
      <w:szCs w:val="21"/>
      <w:lang w:val="en-US" w:eastAsia="zh-CN" w:bidi="ar-SA"/>
    </w:rPr>
  </w:style>
  <w:style w:type="character" w:customStyle="1" w:styleId="173">
    <w:name w:val="H1 Char"/>
    <w:qFormat/>
    <w:uiPriority w:val="0"/>
    <w:rPr>
      <w:rFonts w:eastAsia="宋体"/>
      <w:b/>
      <w:bCs/>
      <w:kern w:val="44"/>
      <w:sz w:val="44"/>
      <w:szCs w:val="44"/>
      <w:lang w:val="en-US" w:eastAsia="zh-CN" w:bidi="ar-SA"/>
    </w:rPr>
  </w:style>
  <w:style w:type="character" w:customStyle="1" w:styleId="174">
    <w:name w:val="Plain Text Char"/>
    <w:link w:val="175"/>
    <w:qFormat/>
    <w:locked/>
    <w:uiPriority w:val="0"/>
    <w:rPr>
      <w:rFonts w:ascii="宋体" w:hAnsi="Courier New" w:eastAsia="宋体"/>
      <w:kern w:val="2"/>
      <w:sz w:val="21"/>
    </w:rPr>
  </w:style>
  <w:style w:type="paragraph" w:customStyle="1" w:styleId="175">
    <w:name w:val="纯文本1"/>
    <w:basedOn w:val="1"/>
    <w:link w:val="174"/>
    <w:qFormat/>
    <w:uiPriority w:val="0"/>
    <w:rPr>
      <w:rFonts w:ascii="宋体" w:hAnsi="Courier New"/>
      <w:szCs w:val="20"/>
    </w:rPr>
  </w:style>
  <w:style w:type="character" w:customStyle="1" w:styleId="176">
    <w:name w:val="style31"/>
    <w:qFormat/>
    <w:uiPriority w:val="0"/>
    <w:rPr>
      <w:sz w:val="18"/>
      <w:szCs w:val="18"/>
    </w:rPr>
  </w:style>
  <w:style w:type="character" w:customStyle="1" w:styleId="177">
    <w:name w:val="纯文本 字符"/>
    <w:qFormat/>
    <w:uiPriority w:val="0"/>
    <w:rPr>
      <w:rFonts w:ascii="宋体" w:hAnsi="Courier New" w:eastAsia="宋体" w:cs="Courier New"/>
      <w:kern w:val="2"/>
      <w:sz w:val="21"/>
      <w:szCs w:val="21"/>
      <w:lang w:val="en-US" w:eastAsia="zh-CN" w:bidi="ar-SA"/>
    </w:rPr>
  </w:style>
  <w:style w:type="character" w:customStyle="1" w:styleId="178">
    <w:name w:val="ti"/>
    <w:basedOn w:val="55"/>
    <w:qFormat/>
    <w:uiPriority w:val="0"/>
  </w:style>
  <w:style w:type="character" w:customStyle="1" w:styleId="179">
    <w:name w:val="1ji Char"/>
    <w:link w:val="180"/>
    <w:qFormat/>
    <w:uiPriority w:val="0"/>
    <w:rPr>
      <w:rFonts w:ascii="宋体" w:hAnsi="宋体" w:eastAsia="宋体"/>
      <w:b/>
      <w:bCs/>
      <w:kern w:val="44"/>
      <w:sz w:val="36"/>
      <w:szCs w:val="44"/>
      <w:lang w:val="en-US" w:eastAsia="zh-CN" w:bidi="ar-SA"/>
    </w:rPr>
  </w:style>
  <w:style w:type="paragraph" w:customStyle="1" w:styleId="180">
    <w:name w:val="1ji"/>
    <w:basedOn w:val="5"/>
    <w:link w:val="179"/>
    <w:qFormat/>
    <w:uiPriority w:val="0"/>
    <w:pPr>
      <w:keepLines w:val="0"/>
      <w:widowControl/>
      <w:spacing w:line="240" w:lineRule="auto"/>
      <w:jc w:val="center"/>
    </w:pPr>
    <w:rPr>
      <w:rFonts w:ascii="宋体" w:hAnsi="宋体"/>
      <w:sz w:val="36"/>
    </w:rPr>
  </w:style>
  <w:style w:type="character" w:customStyle="1" w:styleId="181">
    <w:name w:val="Char Char2311"/>
    <w:qFormat/>
    <w:uiPriority w:val="0"/>
    <w:rPr>
      <w:rFonts w:ascii="Times New Roman" w:hAnsi="Times New Roman" w:eastAsia="宋体" w:cs="Times New Roman"/>
      <w:b/>
      <w:bCs/>
      <w:kern w:val="44"/>
      <w:sz w:val="44"/>
      <w:szCs w:val="44"/>
    </w:rPr>
  </w:style>
  <w:style w:type="character" w:customStyle="1" w:styleId="182">
    <w:name w:val="ca-13"/>
    <w:basedOn w:val="55"/>
    <w:qFormat/>
    <w:uiPriority w:val="0"/>
  </w:style>
  <w:style w:type="character" w:customStyle="1" w:styleId="183">
    <w:name w:val="纯文本 Char1"/>
    <w:qFormat/>
    <w:uiPriority w:val="99"/>
    <w:rPr>
      <w:rFonts w:ascii="宋体" w:hAnsi="Courier New" w:eastAsia="宋体" w:cs="Courier New"/>
      <w:kern w:val="2"/>
      <w:sz w:val="21"/>
      <w:szCs w:val="21"/>
      <w:lang w:val="en-US" w:eastAsia="zh-CN" w:bidi="ar-SA"/>
    </w:rPr>
  </w:style>
  <w:style w:type="character" w:customStyle="1" w:styleId="184">
    <w:name w:val="font51"/>
    <w:basedOn w:val="55"/>
    <w:qFormat/>
    <w:uiPriority w:val="0"/>
    <w:rPr>
      <w:rFonts w:hint="eastAsia" w:ascii="宋体" w:hAnsi="宋体" w:eastAsia="宋体" w:cs="宋体"/>
      <w:color w:val="FF0000"/>
      <w:sz w:val="18"/>
      <w:szCs w:val="18"/>
      <w:u w:val="none"/>
      <w:vertAlign w:val="superscript"/>
    </w:rPr>
  </w:style>
  <w:style w:type="character" w:customStyle="1" w:styleId="185">
    <w:name w:val="ca-6"/>
    <w:basedOn w:val="55"/>
    <w:qFormat/>
    <w:uiPriority w:val="0"/>
  </w:style>
  <w:style w:type="character" w:customStyle="1" w:styleId="186">
    <w:name w:val="style161"/>
    <w:qFormat/>
    <w:uiPriority w:val="0"/>
    <w:rPr>
      <w:color w:val="666666"/>
    </w:rPr>
  </w:style>
  <w:style w:type="character" w:customStyle="1" w:styleId="187">
    <w:name w:val="Char Char1511"/>
    <w:qFormat/>
    <w:uiPriority w:val="0"/>
    <w:rPr>
      <w:sz w:val="18"/>
      <w:szCs w:val="18"/>
    </w:rPr>
  </w:style>
  <w:style w:type="character" w:customStyle="1" w:styleId="188">
    <w:name w:val="llyf92"/>
    <w:qFormat/>
    <w:uiPriority w:val="0"/>
    <w:rPr>
      <w:sz w:val="18"/>
      <w:szCs w:val="18"/>
    </w:rPr>
  </w:style>
  <w:style w:type="paragraph" w:customStyle="1" w:styleId="18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0">
    <w:name w:val="Char Char1 Char Char Char Char1"/>
    <w:basedOn w:val="18"/>
    <w:qFormat/>
    <w:uiPriority w:val="0"/>
    <w:rPr>
      <w:rFonts w:ascii="Tahoma" w:hAnsi="Tahoma"/>
      <w:sz w:val="24"/>
    </w:rPr>
  </w:style>
  <w:style w:type="paragraph" w:customStyle="1" w:styleId="19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2">
    <w:name w:val="Char Char112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3">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4">
    <w:name w:val="标准文本"/>
    <w:basedOn w:val="1"/>
    <w:qFormat/>
    <w:uiPriority w:val="0"/>
    <w:pPr>
      <w:spacing w:line="360" w:lineRule="auto"/>
      <w:ind w:firstLine="200" w:firstLineChars="200"/>
    </w:pPr>
    <w:rPr>
      <w:kern w:val="0"/>
      <w:sz w:val="24"/>
      <w:szCs w:val="20"/>
    </w:rPr>
  </w:style>
  <w:style w:type="paragraph" w:customStyle="1" w:styleId="19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6">
    <w:name w:val="font10"/>
    <w:basedOn w:val="1"/>
    <w:qFormat/>
    <w:uiPriority w:val="0"/>
    <w:pPr>
      <w:widowControl/>
      <w:spacing w:before="100" w:beforeAutospacing="1" w:after="100" w:afterAutospacing="1"/>
      <w:jc w:val="left"/>
    </w:pPr>
    <w:rPr>
      <w:color w:val="000000"/>
      <w:kern w:val="0"/>
      <w:sz w:val="24"/>
    </w:rPr>
  </w:style>
  <w:style w:type="paragraph" w:customStyle="1" w:styleId="197">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列出段落2"/>
    <w:basedOn w:val="1"/>
    <w:qFormat/>
    <w:uiPriority w:val="0"/>
    <w:pPr>
      <w:ind w:firstLine="420" w:firstLineChars="200"/>
    </w:pPr>
    <w:rPr>
      <w:sz w:val="24"/>
    </w:rPr>
  </w:style>
  <w:style w:type="paragraph" w:customStyle="1" w:styleId="199">
    <w:name w:val="Char Char18"/>
    <w:basedOn w:val="18"/>
    <w:qFormat/>
    <w:uiPriority w:val="0"/>
    <w:pPr>
      <w:widowControl/>
      <w:ind w:firstLine="454"/>
      <w:jc w:val="left"/>
    </w:pPr>
    <w:rPr>
      <w:rFonts w:ascii="Tahoma" w:hAnsi="Tahoma" w:cs="宋体"/>
      <w:kern w:val="0"/>
      <w:sz w:val="24"/>
      <w:szCs w:val="20"/>
    </w:rPr>
  </w:style>
  <w:style w:type="paragraph" w:customStyle="1" w:styleId="200">
    <w:name w:val="Char Char Char Char Char Char Char Char Char"/>
    <w:basedOn w:val="1"/>
    <w:qFormat/>
    <w:uiPriority w:val="0"/>
    <w:pPr>
      <w:widowControl/>
      <w:spacing w:line="240" w:lineRule="exact"/>
      <w:jc w:val="left"/>
    </w:pPr>
    <w:rPr>
      <w:szCs w:val="20"/>
    </w:rPr>
  </w:style>
  <w:style w:type="paragraph" w:customStyle="1" w:styleId="201">
    <w:name w:val="Table Paragraph"/>
    <w:basedOn w:val="1"/>
    <w:qFormat/>
    <w:uiPriority w:val="1"/>
    <w:rPr>
      <w:rFonts w:ascii="宋体" w:hAnsi="宋体" w:cs="宋体"/>
      <w:lang w:val="zh-CN" w:bidi="zh-CN"/>
    </w:rPr>
  </w:style>
  <w:style w:type="paragraph" w:customStyle="1" w:styleId="202">
    <w:name w:val="纯文本1111"/>
    <w:basedOn w:val="1"/>
    <w:qFormat/>
    <w:uiPriority w:val="0"/>
    <w:rPr>
      <w:rFonts w:ascii="宋体"/>
      <w:szCs w:val="21"/>
    </w:rPr>
  </w:style>
  <w:style w:type="paragraph" w:customStyle="1" w:styleId="203">
    <w:name w:val="1"/>
    <w:basedOn w:val="1"/>
    <w:next w:val="31"/>
    <w:qFormat/>
    <w:uiPriority w:val="0"/>
    <w:rPr>
      <w:rFonts w:ascii="宋体" w:hAnsi="Courier New"/>
      <w:szCs w:val="20"/>
    </w:rPr>
  </w:style>
  <w:style w:type="paragraph" w:customStyle="1" w:styleId="204">
    <w:name w:val="文章附标题"/>
    <w:basedOn w:val="1"/>
    <w:next w:val="5"/>
    <w:qFormat/>
    <w:uiPriority w:val="0"/>
    <w:pPr>
      <w:widowControl/>
      <w:spacing w:line="374" w:lineRule="atLeast"/>
      <w:jc w:val="center"/>
      <w:textAlignment w:val="baseline"/>
    </w:pPr>
    <w:rPr>
      <w:color w:val="000000"/>
      <w:kern w:val="0"/>
      <w:sz w:val="36"/>
      <w:szCs w:val="20"/>
    </w:rPr>
  </w:style>
  <w:style w:type="paragraph" w:customStyle="1" w:styleId="205">
    <w:name w:val="xl30"/>
    <w:basedOn w:val="1"/>
    <w:qFormat/>
    <w:uiPriority w:val="0"/>
    <w:pPr>
      <w:widowControl/>
      <w:pBdr>
        <w:left w:val="single" w:color="auto" w:sz="4" w:space="0"/>
        <w:bottom w:val="single" w:color="auto" w:sz="4" w:space="0"/>
        <w:right w:val="single" w:color="auto" w:sz="4" w:space="0"/>
      </w:pBdr>
      <w:spacing w:beforeAutospacing="1" w:afterAutospacing="1"/>
      <w:jc w:val="center"/>
    </w:pPr>
    <w:rPr>
      <w:kern w:val="0"/>
      <w:szCs w:val="21"/>
    </w:rPr>
  </w:style>
  <w:style w:type="paragraph" w:customStyle="1" w:styleId="206">
    <w:name w:val="Char2"/>
    <w:basedOn w:val="1"/>
    <w:qFormat/>
    <w:uiPriority w:val="0"/>
    <w:rPr>
      <w:szCs w:val="20"/>
    </w:rPr>
  </w:style>
  <w:style w:type="paragraph" w:customStyle="1" w:styleId="207">
    <w:name w:val="_Style 205"/>
    <w:basedOn w:val="5"/>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208">
    <w:name w:val="正文文本缩进 Char Char Char Char"/>
    <w:basedOn w:val="1"/>
    <w:qFormat/>
    <w:uiPriority w:val="0"/>
    <w:pPr>
      <w:ind w:firstLine="540"/>
    </w:pPr>
    <w:rPr>
      <w:rFonts w:hint="eastAsia" w:ascii="宋体" w:hAnsi="Courier New"/>
      <w:szCs w:val="20"/>
    </w:rPr>
  </w:style>
  <w:style w:type="paragraph" w:customStyle="1" w:styleId="209">
    <w:name w:val="Char Char19 Char Char Char Char"/>
    <w:basedOn w:val="18"/>
    <w:qFormat/>
    <w:uiPriority w:val="0"/>
    <w:pPr>
      <w:widowControl/>
      <w:ind w:firstLine="454"/>
      <w:jc w:val="left"/>
    </w:pPr>
  </w:style>
  <w:style w:type="paragraph" w:customStyle="1" w:styleId="210">
    <w:name w:val="pa-14"/>
    <w:basedOn w:val="1"/>
    <w:qFormat/>
    <w:uiPriority w:val="0"/>
    <w:pPr>
      <w:widowControl/>
      <w:spacing w:before="169" w:after="169"/>
      <w:jc w:val="left"/>
    </w:pPr>
    <w:rPr>
      <w:rFonts w:ascii="宋体" w:hAnsi="宋体" w:cs="宋体"/>
      <w:kern w:val="0"/>
      <w:sz w:val="24"/>
    </w:rPr>
  </w:style>
  <w:style w:type="paragraph" w:customStyle="1" w:styleId="211">
    <w:name w:val="标题3"/>
    <w:basedOn w:val="7"/>
    <w:qFormat/>
    <w:uiPriority w:val="0"/>
    <w:pPr>
      <w:keepLines w:val="0"/>
      <w:widowControl/>
      <w:tabs>
        <w:tab w:val="left" w:pos="1247"/>
      </w:tabs>
      <w:spacing w:line="360" w:lineRule="auto"/>
      <w:ind w:left="1247" w:hanging="1247"/>
      <w:jc w:val="left"/>
    </w:pPr>
    <w:rPr>
      <w:rFonts w:ascii="Arial" w:hAnsi="Arial"/>
      <w:sz w:val="52"/>
      <w:szCs w:val="52"/>
    </w:rPr>
  </w:style>
  <w:style w:type="paragraph" w:customStyle="1" w:styleId="212">
    <w:name w:val="msolistparagraph"/>
    <w:basedOn w:val="1"/>
    <w:qFormat/>
    <w:uiPriority w:val="0"/>
    <w:pPr>
      <w:ind w:firstLine="420" w:firstLineChars="200"/>
    </w:pPr>
    <w:rPr>
      <w:rFonts w:ascii="Calibri" w:hAnsi="Calibri"/>
      <w:szCs w:val="22"/>
    </w:rPr>
  </w:style>
  <w:style w:type="paragraph" w:customStyle="1" w:styleId="213">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4">
    <w:name w:val="pa-6"/>
    <w:basedOn w:val="1"/>
    <w:qFormat/>
    <w:uiPriority w:val="0"/>
    <w:pPr>
      <w:widowControl/>
      <w:spacing w:before="169" w:after="169"/>
      <w:jc w:val="left"/>
    </w:pPr>
    <w:rPr>
      <w:rFonts w:ascii="宋体" w:hAnsi="宋体" w:cs="宋体"/>
      <w:kern w:val="0"/>
      <w:sz w:val="24"/>
    </w:rPr>
  </w:style>
  <w:style w:type="paragraph" w:customStyle="1" w:styleId="215">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6">
    <w:name w:val="pa-4"/>
    <w:basedOn w:val="1"/>
    <w:qFormat/>
    <w:uiPriority w:val="0"/>
    <w:pPr>
      <w:widowControl/>
      <w:spacing w:before="169" w:after="169"/>
      <w:jc w:val="left"/>
    </w:pPr>
    <w:rPr>
      <w:rFonts w:ascii="宋体" w:hAnsi="宋体" w:cs="宋体"/>
      <w:kern w:val="0"/>
      <w:sz w:val="24"/>
    </w:rPr>
  </w:style>
  <w:style w:type="paragraph" w:customStyle="1" w:styleId="217">
    <w:name w:val="xl31"/>
    <w:basedOn w:val="1"/>
    <w:qFormat/>
    <w:uiPriority w:val="0"/>
    <w:pPr>
      <w:widowControl/>
      <w:pBdr>
        <w:bottom w:val="single" w:color="auto" w:sz="4" w:space="0"/>
        <w:right w:val="single" w:color="auto" w:sz="4" w:space="0"/>
      </w:pBdr>
      <w:spacing w:beforeAutospacing="1" w:afterAutospacing="1"/>
      <w:jc w:val="center"/>
    </w:pPr>
    <w:rPr>
      <w:rFonts w:ascii="宋体" w:hAnsi="宋体"/>
      <w:kern w:val="0"/>
      <w:szCs w:val="21"/>
    </w:rPr>
  </w:style>
  <w:style w:type="paragraph" w:customStyle="1" w:styleId="218">
    <w:name w:val="样式 标题 2 + Times New Roman 四号 非加粗 段前: 5 磅 段后: 0 磅 行距: 固定值 20..."/>
    <w:basedOn w:val="6"/>
    <w:qFormat/>
    <w:uiPriority w:val="0"/>
    <w:pPr>
      <w:spacing w:line="400" w:lineRule="exact"/>
    </w:pPr>
    <w:rPr>
      <w:rFonts w:ascii="Times New Roman" w:hAnsi="Times New Roman" w:cs="宋体"/>
      <w:b w:val="0"/>
      <w:bCs w:val="0"/>
      <w:sz w:val="28"/>
      <w:szCs w:val="20"/>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表格题注"/>
    <w:next w:val="1"/>
    <w:qFormat/>
    <w:uiPriority w:val="0"/>
    <w:pPr>
      <w:keepLines/>
      <w:spacing w:beforeLines="100"/>
      <w:ind w:left="1089" w:hanging="369"/>
      <w:jc w:val="center"/>
    </w:pPr>
    <w:rPr>
      <w:rFonts w:ascii="Arial" w:hAnsi="Arial" w:eastAsia="宋体" w:cs="Times New Roman"/>
      <w:sz w:val="18"/>
      <w:szCs w:val="18"/>
      <w:lang w:val="en-US" w:eastAsia="zh-CN" w:bidi="ar-SA"/>
    </w:rPr>
  </w:style>
  <w:style w:type="paragraph" w:customStyle="1" w:styleId="221">
    <w:name w:val="7"/>
    <w:basedOn w:val="18"/>
    <w:qFormat/>
    <w:uiPriority w:val="0"/>
    <w:pPr>
      <w:widowControl/>
      <w:ind w:firstLine="454"/>
      <w:jc w:val="left"/>
    </w:pPr>
    <w:rPr>
      <w:rFonts w:ascii="Tahoma" w:hAnsi="Tahoma" w:cs="宋体"/>
      <w:kern w:val="0"/>
      <w:sz w:val="24"/>
      <w:szCs w:val="20"/>
    </w:rPr>
  </w:style>
  <w:style w:type="paragraph" w:customStyle="1" w:styleId="222">
    <w:name w:val="Char Char1"/>
    <w:basedOn w:val="1"/>
    <w:qFormat/>
    <w:uiPriority w:val="0"/>
    <w:pPr>
      <w:widowControl/>
      <w:spacing w:line="240" w:lineRule="exact"/>
      <w:jc w:val="left"/>
    </w:pPr>
    <w:rPr>
      <w:rFonts w:ascii="Verdana" w:hAnsi="Verdana" w:eastAsia="楷体_GB2312" w:cs="宋体"/>
      <w:b/>
      <w:i/>
      <w:iCs/>
      <w:color w:val="000000"/>
      <w:kern w:val="0"/>
      <w:sz w:val="20"/>
      <w:lang w:eastAsia="en-US"/>
    </w:rPr>
  </w:style>
  <w:style w:type="paragraph" w:customStyle="1" w:styleId="223">
    <w:name w:val="pa-10"/>
    <w:basedOn w:val="1"/>
    <w:qFormat/>
    <w:uiPriority w:val="0"/>
    <w:pPr>
      <w:widowControl/>
      <w:spacing w:before="169" w:after="169"/>
      <w:jc w:val="left"/>
    </w:pPr>
    <w:rPr>
      <w:rFonts w:ascii="宋体" w:hAnsi="宋体" w:cs="宋体"/>
      <w:kern w:val="0"/>
      <w:sz w:val="24"/>
    </w:rPr>
  </w:style>
  <w:style w:type="paragraph" w:customStyle="1" w:styleId="224">
    <w:name w:val="表格"/>
    <w:basedOn w:val="1"/>
    <w:qFormat/>
    <w:uiPriority w:val="0"/>
    <w:pPr>
      <w:spacing w:line="400" w:lineRule="exact"/>
    </w:pPr>
    <w:rPr>
      <w:sz w:val="24"/>
    </w:rPr>
  </w:style>
  <w:style w:type="paragraph" w:customStyle="1" w:styleId="225">
    <w:name w:val="小节标题"/>
    <w:basedOn w:val="1"/>
    <w:next w:val="1"/>
    <w:qFormat/>
    <w:uiPriority w:val="0"/>
    <w:pPr>
      <w:widowControl/>
      <w:spacing w:line="351" w:lineRule="atLeast"/>
      <w:textAlignment w:val="baseline"/>
    </w:pPr>
    <w:rPr>
      <w:rFonts w:eastAsia="黑体"/>
      <w:color w:val="000000"/>
      <w:kern w:val="0"/>
      <w:szCs w:val="20"/>
    </w:rPr>
  </w:style>
  <w:style w:type="paragraph" w:customStyle="1" w:styleId="226">
    <w:name w:val="p15"/>
    <w:basedOn w:val="1"/>
    <w:qFormat/>
    <w:uiPriority w:val="0"/>
    <w:pPr>
      <w:widowControl/>
    </w:pPr>
    <w:rPr>
      <w:rFonts w:ascii="宋体" w:hAnsi="宋体" w:cs="宋体"/>
      <w:kern w:val="0"/>
      <w:szCs w:val="21"/>
    </w:rPr>
  </w:style>
  <w:style w:type="paragraph" w:customStyle="1" w:styleId="22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8">
    <w:name w:val="正文段"/>
    <w:basedOn w:val="1"/>
    <w:qFormat/>
    <w:uiPriority w:val="0"/>
    <w:pPr>
      <w:widowControl/>
      <w:snapToGrid w:val="0"/>
      <w:spacing w:afterLines="50"/>
      <w:ind w:firstLine="200" w:firstLineChars="200"/>
    </w:pPr>
    <w:rPr>
      <w:kern w:val="0"/>
      <w:sz w:val="24"/>
      <w:szCs w:val="20"/>
    </w:rPr>
  </w:style>
  <w:style w:type="paragraph" w:customStyle="1" w:styleId="229">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30">
    <w:name w:val="Default Paragraph Font Para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0"/>
    <w:basedOn w:val="1"/>
    <w:qFormat/>
    <w:uiPriority w:val="0"/>
    <w:pPr>
      <w:widowControl/>
    </w:pPr>
    <w:rPr>
      <w:kern w:val="0"/>
      <w:szCs w:val="21"/>
    </w:rPr>
  </w:style>
  <w:style w:type="paragraph" w:customStyle="1" w:styleId="233">
    <w:name w:val="段"/>
    <w:link w:val="23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4">
    <w:name w:val="段 Char Char"/>
    <w:link w:val="233"/>
    <w:qFormat/>
    <w:locked/>
    <w:uiPriority w:val="0"/>
    <w:rPr>
      <w:rFonts w:ascii="宋体"/>
      <w:sz w:val="21"/>
      <w:lang w:val="en-US" w:eastAsia="zh-CN" w:bidi="ar-SA"/>
    </w:rPr>
  </w:style>
  <w:style w:type="paragraph" w:customStyle="1" w:styleId="235">
    <w:name w:val="插图题注"/>
    <w:next w:val="1"/>
    <w:qFormat/>
    <w:uiPriority w:val="0"/>
    <w:pPr>
      <w:spacing w:afterLines="100"/>
      <w:ind w:left="1089" w:hanging="369"/>
      <w:jc w:val="center"/>
    </w:pPr>
    <w:rPr>
      <w:rFonts w:ascii="Arial" w:hAnsi="Arial" w:eastAsia="宋体" w:cs="Times New Roman"/>
      <w:sz w:val="18"/>
      <w:szCs w:val="18"/>
      <w:lang w:val="en-US" w:eastAsia="zh-CN" w:bidi="ar-SA"/>
    </w:rPr>
  </w:style>
  <w:style w:type="paragraph" w:customStyle="1" w:styleId="236">
    <w:name w:val="Char Char19 Char Char Char Char11"/>
    <w:basedOn w:val="18"/>
    <w:qFormat/>
    <w:uiPriority w:val="0"/>
    <w:pPr>
      <w:widowControl/>
      <w:ind w:firstLine="454"/>
      <w:jc w:val="left"/>
    </w:pPr>
  </w:style>
  <w:style w:type="paragraph" w:customStyle="1" w:styleId="237">
    <w:name w:val="文章总标题"/>
    <w:basedOn w:val="1"/>
    <w:next w:val="204"/>
    <w:qFormat/>
    <w:uiPriority w:val="0"/>
    <w:pPr>
      <w:widowControl/>
      <w:spacing w:line="566" w:lineRule="atLeast"/>
      <w:jc w:val="center"/>
      <w:textAlignment w:val="baseline"/>
    </w:pPr>
    <w:rPr>
      <w:rFonts w:ascii="Arial" w:eastAsia="黑体"/>
      <w:color w:val="000000"/>
      <w:kern w:val="0"/>
      <w:sz w:val="54"/>
      <w:szCs w:val="20"/>
    </w:rPr>
  </w:style>
  <w:style w:type="paragraph" w:customStyle="1" w:styleId="238">
    <w:name w:val="xl26"/>
    <w:basedOn w:val="1"/>
    <w:qFormat/>
    <w:uiPriority w:val="0"/>
    <w:pPr>
      <w:widowControl/>
      <w:pBdr>
        <w:left w:val="single" w:color="auto" w:sz="4" w:space="0"/>
        <w:bottom w:val="single" w:color="auto" w:sz="4" w:space="0"/>
        <w:right w:val="single" w:color="auto" w:sz="4" w:space="0"/>
      </w:pBdr>
      <w:spacing w:beforeAutospacing="1" w:afterAutospacing="1"/>
      <w:textAlignment w:val="top"/>
    </w:pPr>
    <w:rPr>
      <w:kern w:val="0"/>
      <w:szCs w:val="21"/>
    </w:rPr>
  </w:style>
  <w:style w:type="paragraph" w:customStyle="1" w:styleId="239">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0">
    <w:name w:val="4"/>
    <w:basedOn w:val="1"/>
    <w:next w:val="34"/>
    <w:qFormat/>
    <w:uiPriority w:val="0"/>
    <w:pPr>
      <w:spacing w:line="420" w:lineRule="exact"/>
      <w:ind w:firstLine="409" w:firstLineChars="195"/>
    </w:pPr>
  </w:style>
  <w:style w:type="paragraph" w:customStyle="1" w:styleId="241">
    <w:name w:val="pa-8"/>
    <w:basedOn w:val="1"/>
    <w:qFormat/>
    <w:uiPriority w:val="0"/>
    <w:pPr>
      <w:widowControl/>
      <w:spacing w:before="169" w:after="169"/>
      <w:jc w:val="left"/>
    </w:pPr>
    <w:rPr>
      <w:rFonts w:ascii="宋体" w:hAnsi="宋体" w:cs="宋体"/>
      <w:kern w:val="0"/>
      <w:sz w:val="24"/>
    </w:rPr>
  </w:style>
  <w:style w:type="paragraph" w:customStyle="1" w:styleId="242">
    <w:name w:val="Char Char Char Char"/>
    <w:basedOn w:val="18"/>
    <w:qFormat/>
    <w:uiPriority w:val="0"/>
    <w:pPr>
      <w:adjustRightInd w:val="0"/>
      <w:snapToGrid w:val="0"/>
      <w:spacing w:line="360" w:lineRule="auto"/>
    </w:pPr>
    <w:rPr>
      <w:rFonts w:ascii="Tahoma" w:hAnsi="Tahoma"/>
      <w:sz w:val="24"/>
    </w:rPr>
  </w:style>
  <w:style w:type="paragraph" w:customStyle="1" w:styleId="24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表内文字"/>
    <w:basedOn w:val="1"/>
    <w:qFormat/>
    <w:uiPriority w:val="0"/>
    <w:pPr>
      <w:snapToGrid w:val="0"/>
      <w:spacing w:line="360" w:lineRule="exact"/>
    </w:pPr>
    <w:rPr>
      <w:rFonts w:ascii="宋体" w:hAnsi="宋体"/>
      <w:b/>
      <w:color w:val="0000FF"/>
      <w:szCs w:val="21"/>
    </w:rPr>
  </w:style>
  <w:style w:type="paragraph" w:customStyle="1" w:styleId="245">
    <w:name w:val="样式 正文文字 + 小四 段后: 0 磅 行距: 1.5 倍行距"/>
    <w:basedOn w:val="3"/>
    <w:qFormat/>
    <w:uiPriority w:val="0"/>
    <w:pPr>
      <w:spacing w:line="360" w:lineRule="auto"/>
      <w:ind w:firstLine="480" w:firstLineChars="200"/>
    </w:pPr>
    <w:rPr>
      <w:rFonts w:cs="宋体"/>
      <w:szCs w:val="20"/>
    </w:rPr>
  </w:style>
  <w:style w:type="paragraph" w:customStyle="1" w:styleId="246">
    <w:name w:val="No Spacing11"/>
    <w:link w:val="24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7">
    <w:name w:val="No Spacing Char"/>
    <w:link w:val="246"/>
    <w:qFormat/>
    <w:locked/>
    <w:uiPriority w:val="0"/>
    <w:rPr>
      <w:kern w:val="2"/>
      <w:sz w:val="21"/>
      <w:szCs w:val="22"/>
      <w:lang w:val="en-US" w:eastAsia="zh-CN" w:bidi="ar-SA"/>
    </w:rPr>
  </w:style>
  <w:style w:type="paragraph" w:customStyle="1" w:styleId="248">
    <w:name w:val="Char21"/>
    <w:basedOn w:val="1"/>
    <w:qFormat/>
    <w:uiPriority w:val="0"/>
    <w:pPr>
      <w:widowControl/>
      <w:spacing w:after="160" w:line="240" w:lineRule="exact"/>
      <w:jc w:val="left"/>
    </w:pPr>
  </w:style>
  <w:style w:type="paragraph" w:customStyle="1" w:styleId="24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0">
    <w:name w:val="默认段落字体 Para Char"/>
    <w:basedOn w:val="1"/>
    <w:qFormat/>
    <w:uiPriority w:val="0"/>
    <w:pPr>
      <w:adjustRightInd w:val="0"/>
      <w:spacing w:line="360" w:lineRule="auto"/>
    </w:pPr>
    <w:rPr>
      <w:szCs w:val="20"/>
    </w:rPr>
  </w:style>
  <w:style w:type="paragraph" w:customStyle="1" w:styleId="251">
    <w:name w:val="Char11"/>
    <w:basedOn w:val="18"/>
    <w:qFormat/>
    <w:uiPriority w:val="0"/>
    <w:pPr>
      <w:widowControl/>
      <w:ind w:firstLine="454"/>
      <w:jc w:val="left"/>
    </w:pPr>
    <w:rPr>
      <w:rFonts w:ascii="Tahoma" w:hAnsi="Tahoma" w:cs="宋体"/>
      <w:kern w:val="0"/>
      <w:sz w:val="24"/>
      <w:szCs w:val="20"/>
    </w:rPr>
  </w:style>
  <w:style w:type="paragraph" w:customStyle="1" w:styleId="252">
    <w:name w:val="pa-11"/>
    <w:basedOn w:val="1"/>
    <w:qFormat/>
    <w:uiPriority w:val="0"/>
    <w:pPr>
      <w:widowControl/>
      <w:spacing w:before="169" w:after="169"/>
      <w:jc w:val="left"/>
    </w:pPr>
    <w:rPr>
      <w:rFonts w:ascii="宋体" w:hAnsi="宋体" w:cs="宋体"/>
      <w:kern w:val="0"/>
      <w:sz w:val="24"/>
    </w:rPr>
  </w:style>
  <w:style w:type="paragraph" w:customStyle="1" w:styleId="253">
    <w:name w:val="Char"/>
    <w:basedOn w:val="18"/>
    <w:qFormat/>
    <w:uiPriority w:val="0"/>
    <w:pPr>
      <w:widowControl/>
      <w:ind w:firstLine="454"/>
      <w:jc w:val="left"/>
    </w:pPr>
    <w:rPr>
      <w:rFonts w:ascii="Tahoma" w:hAnsi="Tahoma" w:cs="宋体"/>
      <w:kern w:val="0"/>
      <w:sz w:val="24"/>
      <w:szCs w:val="20"/>
    </w:rPr>
  </w:style>
  <w:style w:type="paragraph" w:customStyle="1" w:styleId="25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5">
    <w:name w:val="Char Char1 Char Char Char Char"/>
    <w:basedOn w:val="18"/>
    <w:qFormat/>
    <w:uiPriority w:val="0"/>
    <w:rPr>
      <w:rFonts w:ascii="Tahoma" w:hAnsi="Tahoma"/>
      <w:sz w:val="24"/>
    </w:rPr>
  </w:style>
  <w:style w:type="paragraph" w:customStyle="1" w:styleId="256">
    <w:name w:val="目录1"/>
    <w:basedOn w:val="1"/>
    <w:next w:val="1"/>
    <w:qFormat/>
    <w:uiPriority w:val="0"/>
    <w:pPr>
      <w:widowControl/>
      <w:tabs>
        <w:tab w:val="left" w:leader="dot" w:pos="8503"/>
      </w:tabs>
      <w:spacing w:line="289" w:lineRule="atLeast"/>
      <w:jc w:val="left"/>
      <w:textAlignment w:val="baseline"/>
    </w:pPr>
    <w:rPr>
      <w:rFonts w:ascii="Arial" w:eastAsia="黑体"/>
      <w:color w:val="000000"/>
      <w:kern w:val="0"/>
      <w:sz w:val="28"/>
      <w:szCs w:val="20"/>
    </w:rPr>
  </w:style>
  <w:style w:type="paragraph" w:customStyle="1" w:styleId="257">
    <w:name w:val="pa-12"/>
    <w:basedOn w:val="1"/>
    <w:qFormat/>
    <w:uiPriority w:val="0"/>
    <w:pPr>
      <w:widowControl/>
      <w:spacing w:before="169" w:after="169"/>
      <w:jc w:val="left"/>
    </w:pPr>
    <w:rPr>
      <w:rFonts w:ascii="宋体" w:hAnsi="宋体" w:cs="宋体"/>
      <w:kern w:val="0"/>
      <w:sz w:val="24"/>
    </w:rPr>
  </w:style>
  <w:style w:type="paragraph" w:customStyle="1" w:styleId="258">
    <w:name w:val="标题1"/>
    <w:basedOn w:val="5"/>
    <w:qFormat/>
    <w:uiPriority w:val="0"/>
    <w:pPr>
      <w:keepLines w:val="0"/>
      <w:widowControl/>
      <w:pBdr>
        <w:bottom w:val="single" w:color="auto" w:sz="8" w:space="6"/>
      </w:pBdr>
      <w:tabs>
        <w:tab w:val="left" w:pos="0"/>
      </w:tabs>
      <w:spacing w:line="360" w:lineRule="auto"/>
      <w:ind w:left="567" w:hanging="567"/>
      <w:jc w:val="left"/>
    </w:pPr>
    <w:rPr>
      <w:rFonts w:ascii="宋体" w:hAnsi="宋体"/>
      <w:smallCaps/>
      <w:color w:val="000000"/>
      <w:spacing w:val="10"/>
      <w:kern w:val="20"/>
      <w:sz w:val="21"/>
      <w:szCs w:val="21"/>
    </w:rPr>
  </w:style>
  <w:style w:type="paragraph" w:customStyle="1" w:styleId="259">
    <w:name w:val="2ji"/>
    <w:basedOn w:val="6"/>
    <w:qFormat/>
    <w:uiPriority w:val="0"/>
    <w:pPr>
      <w:adjustRightInd w:val="0"/>
      <w:spacing w:line="360" w:lineRule="auto"/>
      <w:textAlignment w:val="baseline"/>
    </w:pPr>
    <w:rPr>
      <w:rFonts w:ascii="宋体" w:hAnsi="宋体" w:eastAsia="宋体"/>
      <w:sz w:val="21"/>
      <w:szCs w:val="21"/>
    </w:rPr>
  </w:style>
  <w:style w:type="paragraph" w:customStyle="1" w:styleId="260">
    <w:name w:val="pa-9"/>
    <w:basedOn w:val="1"/>
    <w:qFormat/>
    <w:uiPriority w:val="0"/>
    <w:pPr>
      <w:widowControl/>
      <w:spacing w:before="169" w:after="169"/>
      <w:jc w:val="left"/>
    </w:pPr>
    <w:rPr>
      <w:rFonts w:ascii="宋体" w:hAnsi="宋体" w:cs="宋体"/>
      <w:kern w:val="0"/>
      <w:sz w:val="24"/>
    </w:rPr>
  </w:style>
  <w:style w:type="paragraph" w:customStyle="1" w:styleId="261">
    <w:name w:val="正文首行缩进两字符"/>
    <w:basedOn w:val="1"/>
    <w:qFormat/>
    <w:uiPriority w:val="0"/>
    <w:pPr>
      <w:spacing w:line="360" w:lineRule="auto"/>
      <w:ind w:firstLine="200" w:firstLineChars="200"/>
    </w:pPr>
  </w:style>
  <w:style w:type="paragraph" w:customStyle="1" w:styleId="262">
    <w:name w:val="Char Char Char1"/>
    <w:basedOn w:val="1"/>
    <w:qFormat/>
    <w:uiPriority w:val="0"/>
    <w:rPr>
      <w:rFonts w:ascii="Tahoma" w:hAnsi="Tahoma"/>
      <w:sz w:val="24"/>
      <w:szCs w:val="20"/>
    </w:rPr>
  </w:style>
  <w:style w:type="paragraph" w:customStyle="1" w:styleId="263">
    <w:name w:val="节标题"/>
    <w:basedOn w:val="1"/>
    <w:next w:val="225"/>
    <w:qFormat/>
    <w:uiPriority w:val="0"/>
    <w:pPr>
      <w:widowControl/>
      <w:spacing w:line="289" w:lineRule="atLeast"/>
      <w:jc w:val="center"/>
      <w:textAlignment w:val="baseline"/>
    </w:pPr>
    <w:rPr>
      <w:color w:val="000000"/>
      <w:kern w:val="0"/>
      <w:sz w:val="28"/>
      <w:szCs w:val="20"/>
    </w:rPr>
  </w:style>
  <w:style w:type="paragraph" w:customStyle="1" w:styleId="264">
    <w:name w:val="F2"/>
    <w:basedOn w:val="1"/>
    <w:qFormat/>
    <w:uiPriority w:val="0"/>
    <w:pPr>
      <w:autoSpaceDE w:val="0"/>
      <w:autoSpaceDN w:val="0"/>
      <w:adjustRightInd w:val="0"/>
      <w:ind w:firstLine="601"/>
    </w:pPr>
    <w:rPr>
      <w:kern w:val="0"/>
      <w:sz w:val="24"/>
      <w:szCs w:val="20"/>
    </w:rPr>
  </w:style>
  <w:style w:type="paragraph" w:customStyle="1" w:styleId="265">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266">
    <w:name w:val="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267">
    <w:name w:val="Char Char9 Char Char Char Char"/>
    <w:basedOn w:val="1"/>
    <w:qFormat/>
    <w:uiPriority w:val="0"/>
    <w:pPr>
      <w:widowControl/>
      <w:spacing w:after="160" w:line="240" w:lineRule="exact"/>
      <w:jc w:val="left"/>
    </w:pPr>
  </w:style>
  <w:style w:type="paragraph" w:customStyle="1" w:styleId="268">
    <w:name w:val="p16"/>
    <w:basedOn w:val="1"/>
    <w:qFormat/>
    <w:uiPriority w:val="0"/>
    <w:pPr>
      <w:widowControl/>
    </w:pPr>
    <w:rPr>
      <w:rFonts w:ascii="宋体" w:cs="宋体"/>
      <w:kern w:val="0"/>
      <w:sz w:val="20"/>
      <w:szCs w:val="20"/>
    </w:rPr>
  </w:style>
  <w:style w:type="paragraph" w:customStyle="1" w:styleId="269">
    <w:name w:val="Char Char Char1 Char Char Char Char Char Char Char Char Char Char Char Char Char Char Char"/>
    <w:basedOn w:val="1"/>
    <w:qFormat/>
    <w:uiPriority w:val="0"/>
    <w:pPr>
      <w:widowControl/>
      <w:adjustRightInd w:val="0"/>
      <w:spacing w:line="240" w:lineRule="exact"/>
      <w:jc w:val="left"/>
    </w:pPr>
    <w:rPr>
      <w:rFonts w:ascii="Verdana" w:hAnsi="Verdana"/>
      <w:kern w:val="0"/>
      <w:sz w:val="20"/>
      <w:szCs w:val="20"/>
      <w:lang w:eastAsia="en-US"/>
    </w:rPr>
  </w:style>
  <w:style w:type="paragraph" w:customStyle="1" w:styleId="270">
    <w:name w:val="_Style 35"/>
    <w:basedOn w:val="18"/>
    <w:qFormat/>
    <w:uiPriority w:val="0"/>
    <w:pPr>
      <w:widowControl/>
      <w:ind w:firstLine="454"/>
      <w:jc w:val="left"/>
    </w:pPr>
  </w:style>
  <w:style w:type="paragraph" w:customStyle="1" w:styleId="271">
    <w:name w:val="Body"/>
    <w:basedOn w:val="1"/>
    <w:qFormat/>
    <w:uiPriority w:val="0"/>
    <w:pPr>
      <w:widowControl/>
      <w:tabs>
        <w:tab w:val="left" w:pos="1980"/>
      </w:tabs>
      <w:spacing w:line="360" w:lineRule="auto"/>
      <w:jc w:val="center"/>
    </w:pPr>
    <w:rPr>
      <w:szCs w:val="21"/>
    </w:rPr>
  </w:style>
  <w:style w:type="paragraph" w:customStyle="1" w:styleId="272">
    <w:name w:val="列出段落11"/>
    <w:basedOn w:val="1"/>
    <w:qFormat/>
    <w:uiPriority w:val="0"/>
    <w:pPr>
      <w:ind w:firstLine="200" w:firstLineChars="200"/>
    </w:pPr>
    <w:rPr>
      <w:sz w:val="24"/>
    </w:rPr>
  </w:style>
  <w:style w:type="paragraph" w:customStyle="1" w:styleId="273">
    <w:name w:val="pa-7"/>
    <w:basedOn w:val="1"/>
    <w:qFormat/>
    <w:uiPriority w:val="0"/>
    <w:pPr>
      <w:widowControl/>
      <w:spacing w:before="169" w:after="169"/>
      <w:jc w:val="left"/>
    </w:pPr>
    <w:rPr>
      <w:rFonts w:ascii="宋体" w:hAnsi="宋体" w:cs="宋体"/>
      <w:kern w:val="0"/>
      <w:sz w:val="24"/>
    </w:rPr>
  </w:style>
  <w:style w:type="paragraph" w:customStyle="1" w:styleId="274">
    <w:name w:val="Char31"/>
    <w:basedOn w:val="18"/>
    <w:qFormat/>
    <w:uiPriority w:val="0"/>
    <w:pPr>
      <w:widowControl/>
      <w:ind w:firstLine="454"/>
      <w:jc w:val="left"/>
    </w:pPr>
    <w:rPr>
      <w:rFonts w:ascii="Tahoma" w:hAnsi="Tahoma" w:cs="宋体"/>
      <w:kern w:val="0"/>
      <w:sz w:val="24"/>
      <w:szCs w:val="20"/>
    </w:rPr>
  </w:style>
  <w:style w:type="paragraph" w:customStyle="1" w:styleId="275">
    <w:name w:val="pa-15"/>
    <w:basedOn w:val="1"/>
    <w:qFormat/>
    <w:uiPriority w:val="0"/>
    <w:pPr>
      <w:widowControl/>
      <w:spacing w:before="169" w:after="169"/>
      <w:jc w:val="left"/>
    </w:pPr>
    <w:rPr>
      <w:rFonts w:ascii="宋体" w:hAnsi="宋体" w:cs="宋体"/>
      <w:kern w:val="0"/>
      <w:sz w:val="24"/>
    </w:rPr>
  </w:style>
  <w:style w:type="paragraph" w:customStyle="1" w:styleId="276">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7">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8">
    <w:name w:val="List Paragraph1"/>
    <w:basedOn w:val="1"/>
    <w:qFormat/>
    <w:uiPriority w:val="0"/>
    <w:pPr>
      <w:ind w:firstLine="420" w:firstLineChars="200"/>
    </w:pPr>
  </w:style>
  <w:style w:type="paragraph" w:customStyle="1" w:styleId="27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0">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1">
    <w:name w:val="Char Char1 Char Char Char Char21"/>
    <w:basedOn w:val="18"/>
    <w:qFormat/>
    <w:uiPriority w:val="0"/>
    <w:rPr>
      <w:rFonts w:ascii="Tahoma" w:hAnsi="Tahoma"/>
      <w:sz w:val="24"/>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目录标题"/>
    <w:basedOn w:val="1"/>
    <w:next w:val="1"/>
    <w:qFormat/>
    <w:uiPriority w:val="0"/>
    <w:pPr>
      <w:widowControl/>
      <w:spacing w:line="566" w:lineRule="atLeast"/>
      <w:ind w:firstLine="419"/>
      <w:jc w:val="center"/>
      <w:textAlignment w:val="baseline"/>
    </w:pPr>
    <w:rPr>
      <w:rFonts w:ascii="Arial" w:eastAsia="黑体"/>
      <w:color w:val="000000"/>
      <w:spacing w:val="566"/>
      <w:kern w:val="0"/>
      <w:sz w:val="54"/>
      <w:szCs w:val="20"/>
    </w:rPr>
  </w:style>
  <w:style w:type="paragraph" w:customStyle="1" w:styleId="2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5">
    <w:name w:val="我的正文"/>
    <w:basedOn w:val="1"/>
    <w:qFormat/>
    <w:uiPriority w:val="0"/>
    <w:pPr>
      <w:spacing w:line="520" w:lineRule="exact"/>
      <w:ind w:firstLine="192" w:firstLineChars="192"/>
    </w:pPr>
    <w:rPr>
      <w:sz w:val="28"/>
      <w:szCs w:val="28"/>
    </w:rPr>
  </w:style>
  <w:style w:type="paragraph" w:customStyle="1" w:styleId="286">
    <w:name w:val="Char Char Char Char Char Char1 Char21"/>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7">
    <w:name w:val="Char221"/>
    <w:basedOn w:val="1"/>
    <w:qFormat/>
    <w:uiPriority w:val="0"/>
    <w:pPr>
      <w:widowControl/>
      <w:spacing w:line="240" w:lineRule="exact"/>
      <w:jc w:val="left"/>
    </w:pPr>
    <w:rPr>
      <w:rFonts w:ascii="Verdana" w:hAnsi="Verdana"/>
      <w:kern w:val="0"/>
      <w:szCs w:val="20"/>
      <w:lang w:eastAsia="en-US"/>
    </w:rPr>
  </w:style>
  <w:style w:type="paragraph" w:customStyle="1" w:styleId="28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9">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0">
    <w:name w:val="Char Char9 Char Char Char Char1"/>
    <w:basedOn w:val="1"/>
    <w:qFormat/>
    <w:uiPriority w:val="0"/>
    <w:pPr>
      <w:widowControl/>
      <w:spacing w:after="160" w:line="240" w:lineRule="exact"/>
      <w:jc w:val="left"/>
    </w:pPr>
  </w:style>
  <w:style w:type="paragraph" w:customStyle="1" w:styleId="29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2">
    <w:name w:val="Char Char Char21"/>
    <w:basedOn w:val="1"/>
    <w:qFormat/>
    <w:uiPriority w:val="0"/>
    <w:pPr>
      <w:widowControl/>
      <w:spacing w:line="240" w:lineRule="exact"/>
      <w:jc w:val="left"/>
    </w:pPr>
    <w:rPr>
      <w:rFonts w:ascii="Verdana" w:hAnsi="Verdana"/>
      <w:kern w:val="0"/>
      <w:sz w:val="20"/>
      <w:szCs w:val="20"/>
      <w:lang w:eastAsia="en-US"/>
    </w:rPr>
  </w:style>
  <w:style w:type="paragraph" w:customStyle="1" w:styleId="293">
    <w:name w:val="样式 标题 3 + (中文) 黑体 小四 非加粗 段前: 7.8 磅 段后: 0 磅 行距: 固定值 20 磅"/>
    <w:basedOn w:val="7"/>
    <w:qFormat/>
    <w:uiPriority w:val="0"/>
    <w:pPr>
      <w:spacing w:line="400" w:lineRule="exact"/>
    </w:pPr>
    <w:rPr>
      <w:rFonts w:eastAsia="黑体" w:cs="宋体"/>
      <w:b w:val="0"/>
      <w:bCs w:val="0"/>
      <w:sz w:val="24"/>
      <w:szCs w:val="20"/>
    </w:rPr>
  </w:style>
  <w:style w:type="paragraph" w:customStyle="1" w:styleId="294">
    <w:name w:val="Bullets"/>
    <w:basedOn w:val="1"/>
    <w:qFormat/>
    <w:uiPriority w:val="0"/>
    <w:pPr>
      <w:widowControl/>
      <w:adjustRightInd w:val="0"/>
      <w:snapToGrid w:val="0"/>
      <w:spacing w:before="60" w:after="60"/>
    </w:pPr>
    <w:rPr>
      <w:kern w:val="0"/>
      <w:sz w:val="24"/>
      <w:lang w:val="en-GB"/>
    </w:rPr>
  </w:style>
  <w:style w:type="paragraph" w:customStyle="1" w:styleId="295">
    <w:name w:val="Char131"/>
    <w:basedOn w:val="1"/>
    <w:qFormat/>
    <w:uiPriority w:val="0"/>
    <w:rPr>
      <w:szCs w:val="21"/>
    </w:rPr>
  </w:style>
  <w:style w:type="paragraph" w:customStyle="1" w:styleId="296">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7">
    <w:name w:val="样式1"/>
    <w:basedOn w:val="1"/>
    <w:qFormat/>
    <w:uiPriority w:val="0"/>
    <w:pPr>
      <w:spacing w:line="300" w:lineRule="auto"/>
    </w:pPr>
    <w:rPr>
      <w:rFonts w:ascii="宋体" w:hAnsi="宋体"/>
      <w:b/>
      <w:sz w:val="24"/>
      <w:szCs w:val="20"/>
    </w:rPr>
  </w:style>
  <w:style w:type="paragraph" w:customStyle="1" w:styleId="298">
    <w:name w:val="列出段落4"/>
    <w:basedOn w:val="1"/>
    <w:qFormat/>
    <w:uiPriority w:val="34"/>
    <w:pPr>
      <w:ind w:firstLine="420" w:firstLineChars="200"/>
    </w:pPr>
    <w:rPr>
      <w:rFonts w:ascii="Calibri" w:hAnsi="Calibri"/>
      <w:szCs w:val="22"/>
    </w:rPr>
  </w:style>
  <w:style w:type="paragraph" w:customStyle="1" w:styleId="299">
    <w:name w:val="Char Char Char Char Char Char Char Char Char Char Char Char11"/>
    <w:basedOn w:val="1"/>
    <w:qFormat/>
    <w:uiPriority w:val="0"/>
    <w:pPr>
      <w:widowControl/>
      <w:spacing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21"/>
    <w:basedOn w:val="1"/>
    <w:qFormat/>
    <w:uiPriority w:val="0"/>
    <w:pPr>
      <w:widowControl/>
      <w:spacing w:after="160" w:line="240" w:lineRule="exact"/>
      <w:jc w:val="left"/>
    </w:pPr>
  </w:style>
  <w:style w:type="paragraph" w:customStyle="1" w:styleId="302">
    <w:name w:val="样式 标题 2 + (西文) 宋体 非加粗 居中"/>
    <w:basedOn w:val="6"/>
    <w:qFormat/>
    <w:uiPriority w:val="0"/>
    <w:pPr>
      <w:jc w:val="center"/>
    </w:pPr>
    <w:rPr>
      <w:rFonts w:ascii="宋体" w:hAnsi="宋体" w:cs="宋体"/>
      <w:b w:val="0"/>
      <w:bCs w:val="0"/>
      <w:spacing w:val="2"/>
      <w:sz w:val="28"/>
      <w:szCs w:val="20"/>
    </w:rPr>
  </w:style>
  <w:style w:type="paragraph" w:customStyle="1" w:styleId="303">
    <w:name w:val="2-2ji"/>
    <w:basedOn w:val="6"/>
    <w:qFormat/>
    <w:uiPriority w:val="0"/>
    <w:pPr>
      <w:adjustRightInd w:val="0"/>
      <w:spacing w:line="360" w:lineRule="auto"/>
      <w:jc w:val="center"/>
      <w:textAlignment w:val="baseline"/>
    </w:pPr>
    <w:rPr>
      <w:rFonts w:ascii="宋体" w:hAnsi="宋体" w:eastAsia="宋体"/>
      <w:bCs w:val="0"/>
      <w:sz w:val="36"/>
    </w:rPr>
  </w:style>
  <w:style w:type="table" w:customStyle="1" w:styleId="304">
    <w:name w:val="彩色列表 - 强调文字颜色 1111"/>
    <w:basedOn w:val="53"/>
    <w:qFormat/>
    <w:uiPriority w:val="34"/>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3"/>
    <w:qFormat/>
    <w:uiPriority w:val="0"/>
    <w:rPr>
      <w:rFonts w:ascii="Calibri" w:hAnsi="Calibri" w:eastAsia="等线"/>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5"/>
    <w:qFormat/>
    <w:locked/>
    <w:uiPriority w:val="0"/>
    <w:rPr>
      <w:rFonts w:ascii="Calibri" w:hAnsi="Calibri" w:eastAsia="宋体"/>
      <w:kern w:val="2"/>
      <w:sz w:val="18"/>
      <w:szCs w:val="18"/>
      <w:lang w:val="en-US" w:eastAsia="zh-CN" w:bidi="ar-SA"/>
    </w:rPr>
  </w:style>
  <w:style w:type="character" w:customStyle="1" w:styleId="308">
    <w:name w:val="Footer Char"/>
    <w:basedOn w:val="55"/>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5"/>
    <w:qFormat/>
    <w:locked/>
    <w:uiPriority w:val="0"/>
    <w:rPr>
      <w:rFonts w:ascii="宋体" w:eastAsia="宋体"/>
      <w:b/>
      <w:bCs/>
      <w:kern w:val="44"/>
      <w:sz w:val="44"/>
      <w:szCs w:val="44"/>
      <w:lang w:val="en-US" w:eastAsia="zh-CN" w:bidi="ar-SA"/>
    </w:rPr>
  </w:style>
  <w:style w:type="character" w:customStyle="1" w:styleId="311">
    <w:name w:val="Heading 2 Char"/>
    <w:basedOn w:val="55"/>
    <w:qFormat/>
    <w:locked/>
    <w:uiPriority w:val="0"/>
    <w:rPr>
      <w:rFonts w:ascii="Arial" w:hAnsi="Arial" w:eastAsia="黑体"/>
      <w:b/>
      <w:bCs/>
      <w:kern w:val="21"/>
      <w:sz w:val="32"/>
      <w:szCs w:val="32"/>
      <w:lang w:val="en-US" w:eastAsia="zh-CN" w:bidi="ar-SA"/>
    </w:rPr>
  </w:style>
  <w:style w:type="character" w:customStyle="1" w:styleId="312">
    <w:name w:val="Heading 3 Char"/>
    <w:basedOn w:val="55"/>
    <w:qFormat/>
    <w:locked/>
    <w:uiPriority w:val="0"/>
    <w:rPr>
      <w:rFonts w:ascii="宋体" w:eastAsia="宋体"/>
      <w:b/>
      <w:bCs/>
      <w:kern w:val="21"/>
      <w:sz w:val="32"/>
      <w:szCs w:val="32"/>
      <w:lang w:val="en-US" w:eastAsia="zh-CN" w:bidi="ar-SA"/>
    </w:rPr>
  </w:style>
  <w:style w:type="character" w:customStyle="1" w:styleId="313">
    <w:name w:val="Heading 4 Char"/>
    <w:basedOn w:val="55"/>
    <w:qFormat/>
    <w:locked/>
    <w:uiPriority w:val="0"/>
    <w:rPr>
      <w:rFonts w:ascii="Arial" w:hAnsi="Arial" w:eastAsia="黑体"/>
      <w:b/>
      <w:bCs/>
      <w:kern w:val="21"/>
      <w:sz w:val="28"/>
      <w:szCs w:val="28"/>
      <w:lang w:val="en-US" w:eastAsia="zh-CN" w:bidi="ar-SA"/>
    </w:rPr>
  </w:style>
  <w:style w:type="character" w:customStyle="1" w:styleId="314">
    <w:name w:val="Heading 5 Char"/>
    <w:basedOn w:val="55"/>
    <w:qFormat/>
    <w:locked/>
    <w:uiPriority w:val="0"/>
    <w:rPr>
      <w:rFonts w:ascii="宋体" w:eastAsia="宋体"/>
      <w:b/>
      <w:bCs/>
      <w:kern w:val="21"/>
      <w:sz w:val="28"/>
      <w:szCs w:val="28"/>
      <w:lang w:val="en-US" w:eastAsia="zh-CN" w:bidi="ar-SA"/>
    </w:rPr>
  </w:style>
  <w:style w:type="character" w:customStyle="1" w:styleId="315">
    <w:name w:val="Heading 6 Char"/>
    <w:basedOn w:val="55"/>
    <w:qFormat/>
    <w:locked/>
    <w:uiPriority w:val="0"/>
    <w:rPr>
      <w:rFonts w:ascii="Arial" w:hAnsi="Arial" w:eastAsia="黑体"/>
      <w:b/>
      <w:bCs/>
      <w:kern w:val="21"/>
      <w:sz w:val="24"/>
      <w:szCs w:val="21"/>
      <w:lang w:val="en-US" w:eastAsia="zh-CN" w:bidi="ar-SA"/>
    </w:rPr>
  </w:style>
  <w:style w:type="character" w:customStyle="1" w:styleId="316">
    <w:name w:val="Heading 7 Char"/>
    <w:basedOn w:val="55"/>
    <w:qFormat/>
    <w:locked/>
    <w:uiPriority w:val="0"/>
    <w:rPr>
      <w:rFonts w:ascii="宋体" w:eastAsia="宋体"/>
      <w:b/>
      <w:bCs/>
      <w:kern w:val="21"/>
      <w:sz w:val="24"/>
      <w:szCs w:val="21"/>
      <w:lang w:val="en-US" w:eastAsia="zh-CN" w:bidi="ar-SA"/>
    </w:rPr>
  </w:style>
  <w:style w:type="character" w:customStyle="1" w:styleId="317">
    <w:name w:val="Heading 8 Char"/>
    <w:basedOn w:val="55"/>
    <w:qFormat/>
    <w:locked/>
    <w:uiPriority w:val="0"/>
    <w:rPr>
      <w:rFonts w:ascii="Arial" w:hAnsi="Arial" w:eastAsia="黑体"/>
      <w:kern w:val="21"/>
      <w:sz w:val="24"/>
      <w:szCs w:val="21"/>
      <w:lang w:val="en-US" w:eastAsia="zh-CN" w:bidi="ar-SA"/>
    </w:rPr>
  </w:style>
  <w:style w:type="character" w:customStyle="1" w:styleId="318">
    <w:name w:val="Heading 9 Char"/>
    <w:basedOn w:val="55"/>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3"/>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3"/>
    <w:link w:val="329"/>
    <w:qFormat/>
    <w:uiPriority w:val="0"/>
    <w:pPr>
      <w:numPr>
        <w:ilvl w:val="2"/>
      </w:numPr>
      <w:tabs>
        <w:tab w:val="left" w:pos="312"/>
        <w:tab w:val="left" w:pos="360"/>
      </w:tabs>
      <w:spacing w:beforeLines="0" w:afterLines="0"/>
      <w:ind w:left="0"/>
      <w:outlineLvl w:val="2"/>
    </w:pPr>
    <w:rPr>
      <w:szCs w:val="22"/>
    </w:rPr>
  </w:style>
  <w:style w:type="paragraph" w:customStyle="1" w:styleId="331">
    <w:name w:val="二级条标题"/>
    <w:basedOn w:val="330"/>
    <w:next w:val="233"/>
    <w:link w:val="328"/>
    <w:qFormat/>
    <w:uiPriority w:val="0"/>
    <w:pPr>
      <w:numPr>
        <w:ilvl w:val="3"/>
        <w:numId w:val="2"/>
      </w:numPr>
      <w:outlineLvl w:val="3"/>
    </w:pPr>
  </w:style>
  <w:style w:type="paragraph" w:customStyle="1" w:styleId="332">
    <w:name w:val="三级条标题"/>
    <w:basedOn w:val="331"/>
    <w:next w:val="233"/>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3"/>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3"/>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3"/>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5"/>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3"/>
    <w:qFormat/>
    <w:uiPriority w:val="0"/>
    <w:pPr>
      <w:numPr>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42"/>
    <w:qFormat/>
    <w:uiPriority w:val="0"/>
    <w:pPr>
      <w:ind w:left="780" w:leftChars="200" w:hanging="360" w:hangingChars="200"/>
      <w:jc w:val="both"/>
    </w:pPr>
  </w:style>
  <w:style w:type="character" w:customStyle="1" w:styleId="353">
    <w:name w:val="HTML Preformatted Char"/>
    <w:basedOn w:val="55"/>
    <w:qFormat/>
    <w:locked/>
    <w:uiPriority w:val="0"/>
    <w:rPr>
      <w:rFonts w:ascii="Courier New" w:hAnsi="Courier New" w:eastAsia="宋体" w:cs="Courier New"/>
      <w:kern w:val="21"/>
      <w:lang w:val="en-US" w:eastAsia="zh-CN" w:bidi="ar-SA"/>
    </w:rPr>
  </w:style>
  <w:style w:type="character" w:customStyle="1" w:styleId="354">
    <w:name w:val="Date Char"/>
    <w:basedOn w:val="55"/>
    <w:qFormat/>
    <w:locked/>
    <w:uiPriority w:val="0"/>
    <w:rPr>
      <w:rFonts w:ascii="宋体" w:eastAsia="宋体"/>
      <w:kern w:val="21"/>
      <w:sz w:val="24"/>
      <w:lang w:val="en-US" w:eastAsia="zh-CN" w:bidi="ar-SA"/>
    </w:rPr>
  </w:style>
  <w:style w:type="paragraph" w:customStyle="1" w:styleId="355">
    <w:name w:val="四级条标题"/>
    <w:basedOn w:val="332"/>
    <w:next w:val="233"/>
    <w:qFormat/>
    <w:uiPriority w:val="0"/>
    <w:pPr>
      <w:numPr>
        <w:ilvl w:val="5"/>
      </w:numPr>
      <w:ind w:left="2316"/>
      <w:outlineLvl w:val="5"/>
    </w:pPr>
  </w:style>
  <w:style w:type="character" w:customStyle="1" w:styleId="356">
    <w:name w:val="Title Char"/>
    <w:basedOn w:val="55"/>
    <w:qFormat/>
    <w:locked/>
    <w:uiPriority w:val="0"/>
    <w:rPr>
      <w:rFonts w:ascii="Arial" w:hAnsi="Arial" w:eastAsia="宋体" w:cs="Arial"/>
      <w:b/>
      <w:bCs/>
      <w:kern w:val="21"/>
      <w:sz w:val="32"/>
      <w:szCs w:val="32"/>
      <w:lang w:val="en-US" w:eastAsia="zh-CN" w:bidi="ar-SA"/>
    </w:rPr>
  </w:style>
  <w:style w:type="paragraph" w:customStyle="1" w:styleId="357">
    <w:name w:val="注："/>
    <w:next w:val="233"/>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3"/>
    <w:qFormat/>
    <w:uiPriority w:val="0"/>
    <w:pPr>
      <w:numPr>
        <w:ilvl w:val="6"/>
      </w:numPr>
      <w:outlineLvl w:val="6"/>
    </w:pPr>
  </w:style>
  <w:style w:type="paragraph" w:customStyle="1" w:styleId="359">
    <w:name w:val="附录表标题"/>
    <w:next w:val="23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3"/>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3"/>
    <w:qFormat/>
    <w:uiPriority w:val="0"/>
    <w:pPr>
      <w:numPr>
        <w:ilvl w:val="4"/>
      </w:numPr>
      <w:tabs>
        <w:tab w:val="left" w:pos="1418"/>
      </w:tabs>
      <w:outlineLvl w:val="4"/>
    </w:pPr>
  </w:style>
  <w:style w:type="paragraph" w:customStyle="1" w:styleId="365">
    <w:name w:val="附录二级条标题"/>
    <w:basedOn w:val="366"/>
    <w:next w:val="233"/>
    <w:qFormat/>
    <w:uiPriority w:val="0"/>
    <w:pPr>
      <w:numPr>
        <w:ilvl w:val="3"/>
      </w:numPr>
      <w:tabs>
        <w:tab w:val="left" w:pos="1418"/>
      </w:tabs>
      <w:outlineLvl w:val="3"/>
    </w:pPr>
  </w:style>
  <w:style w:type="paragraph" w:customStyle="1" w:styleId="366">
    <w:name w:val="附录一级条标题"/>
    <w:basedOn w:val="344"/>
    <w:next w:val="233"/>
    <w:qFormat/>
    <w:uiPriority w:val="0"/>
    <w:pPr>
      <w:numPr>
        <w:ilvl w:val="2"/>
        <w:numId w:val="6"/>
      </w:numPr>
      <w:autoSpaceDN w:val="0"/>
      <w:spacing w:beforeLines="0" w:afterLines="0"/>
      <w:outlineLvl w:val="2"/>
    </w:pPr>
  </w:style>
  <w:style w:type="paragraph" w:customStyle="1" w:styleId="367">
    <w:name w:val="附录图标题"/>
    <w:next w:val="233"/>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5"/>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3"/>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3"/>
    <w:qFormat/>
    <w:uiPriority w:val="0"/>
    <w:pPr>
      <w:numPr>
        <w:ilvl w:val="5"/>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3"/>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3"/>
    <w:qFormat/>
    <w:uiPriority w:val="0"/>
    <w:pPr>
      <w:numPr>
        <w:ilvl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Char Char33"/>
    <w:qFormat/>
    <w:uiPriority w:val="0"/>
    <w:rPr>
      <w:rFonts w:eastAsia="宋体"/>
      <w:b/>
      <w:bCs/>
      <w:kern w:val="44"/>
      <w:sz w:val="44"/>
      <w:szCs w:val="44"/>
      <w:lang w:val="en-US" w:eastAsia="zh-CN" w:bidi="ar-SA"/>
    </w:rPr>
  </w:style>
  <w:style w:type="character" w:customStyle="1" w:styleId="395">
    <w:name w:val="Char Char32"/>
    <w:qFormat/>
    <w:uiPriority w:val="0"/>
    <w:rPr>
      <w:rFonts w:ascii="Arial" w:hAnsi="Arial" w:eastAsia="黑体"/>
      <w:b/>
      <w:bCs/>
      <w:sz w:val="32"/>
      <w:szCs w:val="32"/>
      <w:lang w:bidi="ar-SA"/>
    </w:rPr>
  </w:style>
  <w:style w:type="character" w:customStyle="1" w:styleId="396">
    <w:name w:val="Char Char35"/>
    <w:qFormat/>
    <w:uiPriority w:val="0"/>
    <w:rPr>
      <w:rFonts w:eastAsia="宋体"/>
      <w:b/>
      <w:bCs/>
      <w:kern w:val="44"/>
      <w:sz w:val="44"/>
      <w:szCs w:val="44"/>
      <w:lang w:val="en-US" w:eastAsia="zh-CN" w:bidi="ar-SA"/>
    </w:rPr>
  </w:style>
  <w:style w:type="character" w:customStyle="1" w:styleId="397">
    <w:name w:val="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5"/>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kern w:val="0"/>
      <w:sz w:val="34"/>
      <w:szCs w:val="34"/>
    </w:rPr>
  </w:style>
  <w:style w:type="character" w:customStyle="1" w:styleId="402">
    <w:name w:val="Body text|1_"/>
    <w:basedOn w:val="55"/>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kern w:val="0"/>
      <w:sz w:val="30"/>
      <w:szCs w:val="30"/>
    </w:rPr>
  </w:style>
  <w:style w:type="character" w:customStyle="1" w:styleId="404">
    <w:name w:val="Char Char37"/>
    <w:qFormat/>
    <w:uiPriority w:val="0"/>
    <w:rPr>
      <w:rFonts w:eastAsia="宋体"/>
      <w:b/>
      <w:bCs/>
      <w:kern w:val="44"/>
      <w:sz w:val="44"/>
      <w:szCs w:val="44"/>
      <w:lang w:val="en-US" w:eastAsia="zh-CN" w:bidi="ar-SA"/>
    </w:rPr>
  </w:style>
  <w:style w:type="character" w:customStyle="1" w:styleId="405">
    <w:name w:val="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Char Char39"/>
    <w:qFormat/>
    <w:uiPriority w:val="0"/>
    <w:rPr>
      <w:rFonts w:eastAsia="宋体"/>
      <w:b/>
      <w:bCs/>
      <w:kern w:val="44"/>
      <w:sz w:val="44"/>
      <w:szCs w:val="44"/>
      <w:lang w:val="en-US" w:eastAsia="zh-CN" w:bidi="ar-SA"/>
    </w:rPr>
  </w:style>
  <w:style w:type="character" w:customStyle="1" w:styleId="491">
    <w:name w:val="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5"/>
    <w:qFormat/>
    <w:uiPriority w:val="0"/>
    <w:rPr>
      <w:rFonts w:hint="eastAsia" w:ascii="宋体" w:hAnsi="宋体" w:eastAsia="宋体" w:cs="宋体"/>
      <w:color w:val="000000"/>
      <w:sz w:val="21"/>
      <w:szCs w:val="21"/>
      <w:u w:val="none"/>
    </w:rPr>
  </w:style>
  <w:style w:type="character" w:customStyle="1" w:styleId="496">
    <w:name w:val="font101"/>
    <w:basedOn w:val="55"/>
    <w:qFormat/>
    <w:uiPriority w:val="0"/>
    <w:rPr>
      <w:rFonts w:hint="eastAsia" w:ascii="宋体" w:hAnsi="宋体" w:eastAsia="宋体" w:cs="宋体"/>
      <w:color w:val="000000"/>
      <w:sz w:val="21"/>
      <w:szCs w:val="21"/>
      <w:u w:val="none"/>
    </w:rPr>
  </w:style>
  <w:style w:type="table" w:customStyle="1" w:styleId="497">
    <w:name w:val="彩色列表 - 强调文字颜色 12"/>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5"/>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8"/>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8"/>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8"/>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1"/>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1"/>
    <w:qFormat/>
    <w:uiPriority w:val="0"/>
    <w:rPr>
      <w:rFonts w:eastAsia="宋体"/>
      <w:b/>
      <w:kern w:val="44"/>
      <w:sz w:val="44"/>
      <w:lang w:val="en-US" w:eastAsia="zh-CN"/>
    </w:rPr>
  </w:style>
  <w:style w:type="character" w:customStyle="1" w:styleId="547">
    <w:name w:val="Char Char321"/>
    <w:qFormat/>
    <w:uiPriority w:val="0"/>
    <w:rPr>
      <w:rFonts w:ascii="Arial" w:hAnsi="Arial" w:eastAsia="黑体"/>
      <w:b/>
      <w:sz w:val="32"/>
    </w:rPr>
  </w:style>
  <w:style w:type="character" w:customStyle="1" w:styleId="548">
    <w:name w:val="Char Char351"/>
    <w:qFormat/>
    <w:uiPriority w:val="0"/>
    <w:rPr>
      <w:rFonts w:eastAsia="宋体"/>
      <w:b/>
      <w:kern w:val="44"/>
      <w:sz w:val="44"/>
      <w:lang w:val="en-US" w:eastAsia="zh-CN"/>
    </w:rPr>
  </w:style>
  <w:style w:type="character" w:customStyle="1" w:styleId="549">
    <w:name w:val="Char Char341"/>
    <w:qFormat/>
    <w:uiPriority w:val="0"/>
    <w:rPr>
      <w:rFonts w:ascii="Arial" w:hAnsi="Arial" w:eastAsia="黑体"/>
      <w:b/>
      <w:sz w:val="32"/>
    </w:rPr>
  </w:style>
  <w:style w:type="character" w:customStyle="1" w:styleId="550">
    <w:name w:val="Char Char371"/>
    <w:qFormat/>
    <w:uiPriority w:val="0"/>
    <w:rPr>
      <w:rFonts w:eastAsia="宋体"/>
      <w:b/>
      <w:kern w:val="44"/>
      <w:sz w:val="44"/>
      <w:lang w:val="en-US" w:eastAsia="zh-CN"/>
    </w:rPr>
  </w:style>
  <w:style w:type="character" w:customStyle="1" w:styleId="551">
    <w:name w:val="Char Char361"/>
    <w:qFormat/>
    <w:uiPriority w:val="0"/>
    <w:rPr>
      <w:rFonts w:ascii="Arial" w:hAnsi="Arial" w:eastAsia="黑体"/>
      <w:b/>
      <w:sz w:val="32"/>
    </w:rPr>
  </w:style>
  <w:style w:type="character" w:customStyle="1" w:styleId="552">
    <w:name w:val="Char Char391"/>
    <w:qFormat/>
    <w:uiPriority w:val="0"/>
    <w:rPr>
      <w:rFonts w:eastAsia="宋体"/>
      <w:b/>
      <w:kern w:val="44"/>
      <w:sz w:val="44"/>
      <w:lang w:val="en-US" w:eastAsia="zh-CN"/>
    </w:rPr>
  </w:style>
  <w:style w:type="character" w:customStyle="1" w:styleId="553">
    <w:name w:val="Char Char381"/>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Char Char42"/>
    <w:qFormat/>
    <w:uiPriority w:val="0"/>
    <w:rPr>
      <w:rFonts w:eastAsia="宋体"/>
      <w:b/>
      <w:bCs/>
      <w:kern w:val="44"/>
      <w:sz w:val="44"/>
      <w:szCs w:val="44"/>
      <w:lang w:val="en-US" w:eastAsia="zh-CN" w:bidi="ar-SA"/>
    </w:rPr>
  </w:style>
  <w:style w:type="character" w:customStyle="1" w:styleId="556">
    <w:name w:val="Char Char41"/>
    <w:qFormat/>
    <w:uiPriority w:val="0"/>
    <w:rPr>
      <w:rFonts w:ascii="Arial" w:hAnsi="Arial" w:eastAsia="黑体"/>
      <w:b/>
      <w:bCs/>
      <w:sz w:val="32"/>
      <w:szCs w:val="32"/>
      <w:lang w:bidi="ar-SA"/>
    </w:rPr>
  </w:style>
  <w:style w:type="character" w:customStyle="1" w:styleId="557">
    <w:name w:val="Char Char40"/>
    <w:qFormat/>
    <w:uiPriority w:val="0"/>
    <w:rPr>
      <w:rFonts w:eastAsia="宋体"/>
      <w:b/>
      <w:bCs/>
      <w:sz w:val="32"/>
      <w:szCs w:val="32"/>
      <w:lang w:bidi="ar-SA"/>
    </w:rPr>
  </w:style>
  <w:style w:type="character" w:customStyle="1" w:styleId="558">
    <w:name w:val="Char Char45"/>
    <w:qFormat/>
    <w:uiPriority w:val="0"/>
    <w:rPr>
      <w:rFonts w:eastAsia="宋体"/>
      <w:b/>
      <w:bCs/>
      <w:kern w:val="44"/>
      <w:sz w:val="44"/>
      <w:szCs w:val="44"/>
      <w:lang w:val="en-US" w:eastAsia="zh-CN" w:bidi="ar-SA"/>
    </w:rPr>
  </w:style>
  <w:style w:type="character" w:customStyle="1" w:styleId="559">
    <w:name w:val="Char Char44"/>
    <w:qFormat/>
    <w:uiPriority w:val="0"/>
    <w:rPr>
      <w:rFonts w:ascii="Arial" w:hAnsi="Arial" w:eastAsia="黑体"/>
      <w:b/>
      <w:bCs/>
      <w:sz w:val="32"/>
      <w:szCs w:val="32"/>
      <w:lang w:bidi="ar-SA"/>
    </w:rPr>
  </w:style>
  <w:style w:type="character" w:customStyle="1" w:styleId="560">
    <w:name w:val="Char Char43"/>
    <w:qFormat/>
    <w:uiPriority w:val="0"/>
    <w:rPr>
      <w:rFonts w:eastAsia="宋体"/>
      <w:b/>
      <w:bCs/>
      <w:sz w:val="32"/>
      <w:szCs w:val="32"/>
      <w:lang w:bidi="ar-SA"/>
    </w:rPr>
  </w:style>
  <w:style w:type="table" w:customStyle="1" w:styleId="561">
    <w:name w:val="彩色列表 - 强调文字颜色 111"/>
    <w:basedOn w:val="53"/>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Char Char48"/>
    <w:qFormat/>
    <w:uiPriority w:val="0"/>
    <w:rPr>
      <w:rFonts w:eastAsia="宋体"/>
      <w:b/>
      <w:bCs/>
      <w:kern w:val="44"/>
      <w:sz w:val="44"/>
      <w:szCs w:val="44"/>
      <w:lang w:val="en-US" w:eastAsia="zh-CN" w:bidi="ar-SA"/>
    </w:rPr>
  </w:style>
  <w:style w:type="character" w:customStyle="1" w:styleId="563">
    <w:name w:val="Char Char47"/>
    <w:qFormat/>
    <w:uiPriority w:val="0"/>
    <w:rPr>
      <w:rFonts w:ascii="Arial" w:hAnsi="Arial" w:eastAsia="黑体"/>
      <w:b/>
      <w:bCs/>
      <w:sz w:val="32"/>
      <w:szCs w:val="32"/>
      <w:lang w:bidi="ar-SA"/>
    </w:rPr>
  </w:style>
  <w:style w:type="character" w:customStyle="1" w:styleId="564">
    <w:name w:val="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Char Char50"/>
    <w:qFormat/>
    <w:uiPriority w:val="0"/>
    <w:rPr>
      <w:rFonts w:eastAsia="宋体"/>
      <w:b/>
      <w:bCs/>
      <w:kern w:val="44"/>
      <w:sz w:val="44"/>
      <w:szCs w:val="44"/>
      <w:lang w:val="en-US" w:eastAsia="zh-CN" w:bidi="ar-SA"/>
    </w:rPr>
  </w:style>
  <w:style w:type="character" w:customStyle="1" w:styleId="598">
    <w:name w:val="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Char Char53"/>
    <w:qFormat/>
    <w:uiPriority w:val="0"/>
    <w:rPr>
      <w:rFonts w:eastAsia="宋体"/>
      <w:b/>
      <w:bCs/>
      <w:kern w:val="44"/>
      <w:sz w:val="44"/>
      <w:szCs w:val="44"/>
      <w:lang w:val="en-US" w:eastAsia="zh-CN" w:bidi="ar-SA"/>
    </w:rPr>
  </w:style>
  <w:style w:type="character" w:customStyle="1" w:styleId="632">
    <w:name w:val="Char Char52"/>
    <w:qFormat/>
    <w:uiPriority w:val="0"/>
    <w:rPr>
      <w:rFonts w:ascii="Arial" w:hAnsi="Arial" w:eastAsia="黑体"/>
      <w:b/>
      <w:bCs/>
      <w:sz w:val="32"/>
      <w:szCs w:val="32"/>
      <w:lang w:bidi="ar-SA"/>
    </w:rPr>
  </w:style>
  <w:style w:type="character" w:customStyle="1" w:styleId="633">
    <w:name w:val="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5"/>
    <w:qFormat/>
    <w:uiPriority w:val="0"/>
    <w:rPr>
      <w:rFonts w:ascii="微软雅黑" w:hAnsi="微软雅黑" w:eastAsia="微软雅黑" w:cs="微软雅黑"/>
      <w:color w:val="000000"/>
      <w:sz w:val="18"/>
      <w:szCs w:val="18"/>
      <w:u w:val="none"/>
    </w:rPr>
  </w:style>
  <w:style w:type="character" w:customStyle="1" w:styleId="637">
    <w:name w:val="Char Char57"/>
    <w:qFormat/>
    <w:uiPriority w:val="0"/>
    <w:rPr>
      <w:rFonts w:eastAsia="宋体"/>
      <w:b/>
      <w:bCs/>
      <w:kern w:val="44"/>
      <w:sz w:val="44"/>
      <w:szCs w:val="44"/>
      <w:lang w:val="en-US" w:eastAsia="zh-CN" w:bidi="ar-SA"/>
    </w:rPr>
  </w:style>
  <w:style w:type="character" w:customStyle="1" w:styleId="638">
    <w:name w:val="Char Char56"/>
    <w:qFormat/>
    <w:uiPriority w:val="0"/>
    <w:rPr>
      <w:rFonts w:ascii="Arial" w:hAnsi="Arial" w:eastAsia="黑体"/>
      <w:b/>
      <w:bCs/>
      <w:sz w:val="32"/>
      <w:szCs w:val="32"/>
      <w:lang w:bidi="ar-SA"/>
    </w:rPr>
  </w:style>
  <w:style w:type="character" w:customStyle="1" w:styleId="639">
    <w:name w:val="Char Char55"/>
    <w:qFormat/>
    <w:uiPriority w:val="0"/>
    <w:rPr>
      <w:rFonts w:eastAsia="宋体"/>
      <w:b/>
      <w:bCs/>
      <w:sz w:val="32"/>
      <w:szCs w:val="32"/>
      <w:lang w:bidi="ar-SA"/>
    </w:rPr>
  </w:style>
  <w:style w:type="character" w:customStyle="1" w:styleId="640">
    <w:name w:val="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Char Char61"/>
    <w:qFormat/>
    <w:uiPriority w:val="0"/>
    <w:rPr>
      <w:rFonts w:eastAsia="宋体"/>
      <w:b/>
      <w:bCs/>
      <w:kern w:val="44"/>
      <w:sz w:val="44"/>
      <w:szCs w:val="44"/>
      <w:lang w:val="en-US" w:eastAsia="zh-CN" w:bidi="ar-SA"/>
    </w:rPr>
  </w:style>
  <w:style w:type="character" w:customStyle="1" w:styleId="644">
    <w:name w:val="Char Char60"/>
    <w:qFormat/>
    <w:uiPriority w:val="0"/>
    <w:rPr>
      <w:rFonts w:ascii="Arial" w:hAnsi="Arial" w:eastAsia="黑体"/>
      <w:b/>
      <w:bCs/>
      <w:sz w:val="32"/>
      <w:szCs w:val="32"/>
      <w:lang w:bidi="ar-SA"/>
    </w:rPr>
  </w:style>
  <w:style w:type="character" w:customStyle="1" w:styleId="645">
    <w:name w:val="Char Char59"/>
    <w:qFormat/>
    <w:uiPriority w:val="0"/>
    <w:rPr>
      <w:rFonts w:eastAsia="宋体"/>
      <w:b/>
      <w:bCs/>
      <w:sz w:val="32"/>
      <w:szCs w:val="32"/>
      <w:lang w:bidi="ar-SA"/>
    </w:rPr>
  </w:style>
  <w:style w:type="character" w:customStyle="1" w:styleId="646">
    <w:name w:val="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5"/>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character" w:customStyle="1" w:styleId="653">
    <w:name w:val="bookmark-item uuid-1596004663203 code-00014 editdisable interval-text-box-cls readonly"/>
    <w:basedOn w:val="55"/>
    <w:qFormat/>
    <w:uiPriority w:val="0"/>
  </w:style>
  <w:style w:type="character" w:customStyle="1" w:styleId="654">
    <w:name w:val="bookmark-item uuid-1595940643756 code-00004 addword single-line-text-input-box-cls"/>
    <w:basedOn w:val="55"/>
    <w:qFormat/>
    <w:uiPriority w:val="0"/>
  </w:style>
  <w:style w:type="paragraph" w:customStyle="1" w:styleId="655">
    <w:name w:val="正文 首行缩进:  2 字符"/>
    <w:basedOn w:val="1"/>
    <w:qFormat/>
    <w:uiPriority w:val="99"/>
    <w:pPr>
      <w:ind w:firstLine="200" w:firstLineChars="200"/>
    </w:pPr>
    <w:rPr>
      <w:sz w:val="24"/>
    </w:rPr>
  </w:style>
  <w:style w:type="paragraph" w:customStyle="1" w:styleId="656">
    <w:name w:val="正文首行缩进1"/>
    <w:basedOn w:val="657"/>
    <w:qFormat/>
    <w:uiPriority w:val="0"/>
    <w:pPr>
      <w:spacing w:after="120" w:line="240" w:lineRule="auto"/>
      <w:ind w:firstLine="420" w:firstLineChars="100"/>
    </w:pPr>
    <w:rPr>
      <w:sz w:val="21"/>
    </w:rPr>
  </w:style>
  <w:style w:type="paragraph" w:customStyle="1" w:styleId="657">
    <w:name w:val="正文文本1"/>
    <w:basedOn w:val="1"/>
    <w:qFormat/>
    <w:uiPriority w:val="0"/>
    <w:pPr>
      <w:spacing w:line="380" w:lineRule="exact"/>
    </w:pPr>
    <w:rPr>
      <w:sz w:val="24"/>
    </w:rPr>
  </w:style>
  <w:style w:type="paragraph" w:customStyle="1" w:styleId="658">
    <w:name w:val="标题 31"/>
    <w:basedOn w:val="1"/>
    <w:qFormat/>
    <w:uiPriority w:val="0"/>
    <w:pPr>
      <w:keepNext/>
      <w:keepLines/>
      <w:spacing w:before="260" w:after="260" w:line="416" w:lineRule="auto"/>
      <w:outlineLvl w:val="2"/>
    </w:pPr>
    <w:rPr>
      <w:b/>
      <w:bCs/>
      <w:kern w:val="0"/>
      <w:sz w:val="32"/>
      <w:szCs w:val="32"/>
    </w:rPr>
  </w:style>
  <w:style w:type="table" w:customStyle="1" w:styleId="659">
    <w:name w:val="网格型1"/>
    <w:basedOn w:val="660"/>
    <w:qFormat/>
    <w:uiPriority w:val="0"/>
    <w:pPr>
      <w:widowControl w:val="0"/>
      <w:jc w:val="both"/>
    </w:pPr>
    <w:tblPr>
      <w:tblCellMar>
        <w:top w:w="0" w:type="dxa"/>
        <w:left w:w="0" w:type="dxa"/>
        <w:bottom w:w="0" w:type="dxa"/>
        <w:right w:w="0" w:type="dxa"/>
      </w:tblCellMar>
    </w:tblPr>
  </w:style>
  <w:style w:type="table" w:customStyle="1" w:styleId="660">
    <w:name w:val="普通表格1"/>
    <w:semiHidden/>
    <w:qFormat/>
    <w:uiPriority w:val="0"/>
    <w:tblPr>
      <w:tblCellMar>
        <w:top w:w="0" w:type="dxa"/>
        <w:left w:w="0" w:type="dxa"/>
        <w:bottom w:w="0" w:type="dxa"/>
        <w:right w:w="0" w:type="dxa"/>
      </w:tblCellMar>
    </w:tblPr>
  </w:style>
  <w:style w:type="paragraph" w:customStyle="1" w:styleId="661">
    <w:name w:val="纯文本111"/>
    <w:basedOn w:val="1"/>
    <w:qFormat/>
    <w:uiPriority w:val="0"/>
    <w:rPr>
      <w:rFonts w:ascii="宋体" w:hAnsi="Courier New"/>
      <w:szCs w:val="21"/>
    </w:rPr>
  </w:style>
  <w:style w:type="paragraph" w:customStyle="1" w:styleId="662">
    <w:name w:val="标题 11"/>
    <w:basedOn w:val="1"/>
    <w:qFormat/>
    <w:uiPriority w:val="0"/>
    <w:pPr>
      <w:keepNext/>
      <w:keepLines/>
      <w:spacing w:before="340" w:after="330" w:line="578" w:lineRule="auto"/>
      <w:outlineLvl w:val="0"/>
    </w:pPr>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340</Words>
  <Characters>407</Characters>
  <Lines>342</Lines>
  <Paragraphs>96</Paragraphs>
  <TotalTime>7</TotalTime>
  <ScaleCrop>false</ScaleCrop>
  <LinksUpToDate>false</LinksUpToDate>
  <CharactersWithSpaces>427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2026-07-29T00:06:00Z</dcterms:created>
  <dc:creator>聂泉源</dc:creator>
  <cp:lastModifiedBy>gxxc</cp:lastModifiedBy>
  <cp:lastPrinted>2026-04-21T23:24:00Z</cp:lastPrinted>
  <dcterms:modified xsi:type="dcterms:W3CDTF">2026-08-11T16:19:13Z</dcterms:modified>
  <dc:title>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eyJoZGlkIjoiNGZiYTdmMmUzNTA0YTY2MTg4ZGIyMWU3YjEzM2JhNTQiLCJ1c2VySWQiOiI5MDkyNDM2ODUifQ==</vt:lpwstr>
  </property>
  <property fmtid="{D5CDD505-2E9C-101B-9397-08002B2CF9AE}" pid="4" name="ICV">
    <vt:lpwstr>EC6C5B5857C347A6B3239079796E0B0B_13</vt:lpwstr>
  </property>
</Properties>
</file>