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37D65">
      <w:pPr>
        <w:spacing w:line="400" w:lineRule="exact"/>
        <w:jc w:val="center"/>
        <w:rPr>
          <w:rFonts w:ascii="宋体" w:hAnsi="宋体"/>
          <w:color w:val="000000" w:themeColor="text1"/>
          <w:sz w:val="32"/>
          <w:szCs w:val="32"/>
          <w14:textFill>
            <w14:solidFill>
              <w14:schemeClr w14:val="tx1"/>
            </w14:solidFill>
          </w14:textFill>
        </w:rPr>
      </w:pPr>
    </w:p>
    <w:p w14:paraId="752E7E2E">
      <w:pPr>
        <w:spacing w:line="400" w:lineRule="exact"/>
        <w:jc w:val="center"/>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 xml:space="preserve"> </w:t>
      </w:r>
    </w:p>
    <w:p w14:paraId="13AB9988">
      <w:pPr>
        <w:spacing w:before="156" w:beforeLines="50"/>
        <w:jc w:val="center"/>
        <w:rPr>
          <w:rFonts w:ascii="宋体" w:hAnsi="宋体"/>
          <w:color w:val="000000" w:themeColor="text1"/>
          <w:sz w:val="72"/>
          <w:szCs w:val="72"/>
          <w14:textFill>
            <w14:solidFill>
              <w14:schemeClr w14:val="tx1"/>
            </w14:solidFill>
          </w14:textFill>
        </w:rPr>
      </w:pPr>
      <w:r>
        <w:rPr>
          <w:rFonts w:hint="eastAsia" w:ascii="宋体" w:hAnsi="宋体"/>
          <w:color w:val="000000" w:themeColor="text1"/>
          <w:sz w:val="72"/>
          <w:szCs w:val="72"/>
          <w14:textFill>
            <w14:solidFill>
              <w14:schemeClr w14:val="tx1"/>
            </w14:solidFill>
          </w14:textFill>
        </w:rPr>
        <w:t>竞争性磋商文件</w:t>
      </w:r>
    </w:p>
    <w:p w14:paraId="392DC2C2">
      <w:pPr>
        <w:snapToGrid w:val="0"/>
        <w:spacing w:before="156" w:beforeLines="50" w:line="360" w:lineRule="auto"/>
        <w:rPr>
          <w:rFonts w:ascii="宋体" w:hAnsi="宋体"/>
          <w:color w:val="000000" w:themeColor="text1"/>
          <w:sz w:val="30"/>
          <w:szCs w:val="30"/>
          <w14:textFill>
            <w14:solidFill>
              <w14:schemeClr w14:val="tx1"/>
            </w14:solidFill>
          </w14:textFill>
        </w:rPr>
      </w:pPr>
      <w:r>
        <w:rPr>
          <w:rFonts w:hint="eastAsia" w:ascii="宋体" w:hAnsi="宋体"/>
          <w:color w:val="000000" w:themeColor="text1"/>
          <w:sz w:val="30"/>
          <w:szCs w:val="30"/>
          <w14:textFill>
            <w14:solidFill>
              <w14:schemeClr w14:val="tx1"/>
            </w14:solidFill>
          </w14:textFill>
        </w:rPr>
        <w:t xml:space="preserve"> </w:t>
      </w:r>
    </w:p>
    <w:p w14:paraId="2B9569D7">
      <w:pPr>
        <w:pStyle w:val="19"/>
        <w:snapToGrid w:val="0"/>
        <w:spacing w:before="120" w:after="120" w:line="360" w:lineRule="auto"/>
        <w:ind w:firstLine="1494" w:firstLineChars="496"/>
        <w:rPr>
          <w:rFonts w:hAnsi="宋体"/>
          <w:b/>
          <w:bCs/>
          <w:color w:val="000000" w:themeColor="text1"/>
          <w:sz w:val="30"/>
          <w:szCs w:val="30"/>
          <w14:textFill>
            <w14:solidFill>
              <w14:schemeClr w14:val="tx1"/>
            </w14:solidFill>
          </w14:textFill>
        </w:rPr>
      </w:pPr>
      <w:r>
        <w:rPr>
          <w:rFonts w:hint="eastAsia" w:hAnsi="宋体"/>
          <w:b/>
          <w:bCs/>
          <w:color w:val="000000" w:themeColor="text1"/>
          <w:sz w:val="30"/>
          <w:szCs w:val="30"/>
          <w14:textFill>
            <w14:solidFill>
              <w14:schemeClr w14:val="tx1"/>
            </w14:solidFill>
          </w14:textFill>
        </w:rPr>
        <w:t xml:space="preserve"> </w:t>
      </w:r>
    </w:p>
    <w:p w14:paraId="1E0A1D06">
      <w:pPr>
        <w:pStyle w:val="19"/>
        <w:snapToGrid w:val="0"/>
        <w:spacing w:before="120" w:after="120" w:line="360" w:lineRule="auto"/>
        <w:ind w:firstLine="1494" w:firstLineChars="496"/>
        <w:rPr>
          <w:rFonts w:hAnsi="宋体"/>
          <w:b/>
          <w:bCs/>
          <w:color w:val="000000" w:themeColor="text1"/>
          <w:sz w:val="30"/>
          <w:szCs w:val="30"/>
          <w14:textFill>
            <w14:solidFill>
              <w14:schemeClr w14:val="tx1"/>
            </w14:solidFill>
          </w14:textFill>
        </w:rPr>
      </w:pPr>
      <w:r>
        <w:rPr>
          <w:rFonts w:hint="eastAsia" w:hAnsi="宋体"/>
          <w:b/>
          <w:bCs/>
          <w:color w:val="000000" w:themeColor="text1"/>
          <w:sz w:val="30"/>
          <w:szCs w:val="30"/>
          <w14:textFill>
            <w14:solidFill>
              <w14:schemeClr w14:val="tx1"/>
            </w14:solidFill>
          </w14:textFill>
        </w:rPr>
        <w:t xml:space="preserve"> </w:t>
      </w:r>
    </w:p>
    <w:p w14:paraId="05082056">
      <w:pPr>
        <w:snapToGrid w:val="0"/>
        <w:spacing w:before="156" w:beforeLines="50" w:line="360" w:lineRule="auto"/>
        <w:ind w:firstLine="1262" w:firstLineChars="419"/>
        <w:rPr>
          <w:rFonts w:ascii="宋体" w:hAnsi="宋体"/>
          <w:b/>
          <w:bCs/>
          <w:color w:val="000000" w:themeColor="text1"/>
          <w:sz w:val="30"/>
          <w:szCs w:val="30"/>
          <w:lang w:val="en"/>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项目编号：GXZC2026-C3-00</w:t>
      </w:r>
      <w:r>
        <w:rPr>
          <w:rFonts w:hint="eastAsia" w:ascii="宋体" w:hAnsi="宋体"/>
          <w:b/>
          <w:bCs/>
          <w:color w:val="000000" w:themeColor="text1"/>
          <w:sz w:val="30"/>
          <w:szCs w:val="30"/>
          <w:lang w:val="en-US" w:eastAsia="zh-CN"/>
          <w14:textFill>
            <w14:solidFill>
              <w14:schemeClr w14:val="tx1"/>
            </w14:solidFill>
          </w14:textFill>
        </w:rPr>
        <w:t>x</w:t>
      </w:r>
      <w:r>
        <w:rPr>
          <w:rFonts w:hint="eastAsia" w:ascii="宋体" w:hAnsi="宋体"/>
          <w:b/>
          <w:bCs/>
          <w:color w:val="000000" w:themeColor="text1"/>
          <w:sz w:val="30"/>
          <w:szCs w:val="30"/>
          <w14:textFill>
            <w14:solidFill>
              <w14:schemeClr w14:val="tx1"/>
            </w14:solidFill>
          </w14:textFill>
        </w:rPr>
        <w:t xml:space="preserve">-CGZX </w:t>
      </w:r>
    </w:p>
    <w:p w14:paraId="23CD3CB7">
      <w:pPr>
        <w:snapToGrid w:val="0"/>
        <w:spacing w:before="156" w:beforeLines="50" w:line="360" w:lineRule="auto"/>
        <w:ind w:left="1203" w:leftChars="573" w:firstLine="54" w:firstLineChars="18"/>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项目名称：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"https://pay.gcy.zfcg.gxzf.gov.cn/budget-quota-index/" \l "/plan/list/_blank" \t "https://pay.gcy.zfcg.gxzf.gov.cn/purchaseplan_front/" </w:instrText>
      </w:r>
      <w:r>
        <w:rPr>
          <w:color w:val="000000" w:themeColor="text1"/>
          <w14:textFill>
            <w14:solidFill>
              <w14:schemeClr w14:val="tx1"/>
            </w14:solidFill>
          </w14:textFill>
        </w:rPr>
        <w:fldChar w:fldCharType="separate"/>
      </w:r>
      <w:r>
        <w:rPr>
          <w:rFonts w:hint="eastAsia" w:ascii="宋体" w:hAnsi="宋体"/>
          <w:b/>
          <w:bCs/>
          <w:color w:val="000000" w:themeColor="text1"/>
          <w:sz w:val="30"/>
          <w:szCs w:val="30"/>
          <w14:textFill>
            <w14:solidFill>
              <w14:schemeClr w14:val="tx1"/>
            </w14:solidFill>
          </w14:textFill>
        </w:rPr>
        <w:fldChar w:fldCharType="begin"/>
      </w:r>
      <w:r>
        <w:rPr>
          <w:rFonts w:hint="eastAsia" w:ascii="宋体" w:hAnsi="宋体"/>
          <w:b/>
          <w:bCs/>
          <w:color w:val="000000" w:themeColor="text1"/>
          <w:sz w:val="30"/>
          <w:szCs w:val="30"/>
          <w14:textFill>
            <w14:solidFill>
              <w14:schemeClr w14:val="tx1"/>
            </w14:solidFill>
          </w14:textFill>
        </w:rPr>
        <w:instrText xml:space="preserve"> HYPERLINK "https://middle.gcy.zfcg.gxzf.gov.cn/budget-quota-index/" \l "/purchase/plan/details/22802899" \t "https://middle.gcy.zfcg.gxzf.gov.cn/purchaseplan_front/" \l "/plan/list/_blank" </w:instrText>
      </w:r>
      <w:r>
        <w:rPr>
          <w:rFonts w:hint="eastAsia" w:ascii="宋体" w:hAnsi="宋体"/>
          <w:b/>
          <w:bCs/>
          <w:color w:val="000000" w:themeColor="text1"/>
          <w:sz w:val="30"/>
          <w:szCs w:val="30"/>
          <w14:textFill>
            <w14:solidFill>
              <w14:schemeClr w14:val="tx1"/>
            </w14:solidFill>
          </w14:textFill>
        </w:rPr>
        <w:fldChar w:fldCharType="separate"/>
      </w:r>
      <w:r>
        <w:rPr>
          <w:rFonts w:hint="eastAsia" w:ascii="宋体" w:hAnsi="宋体"/>
          <w:b/>
          <w:bCs/>
          <w:color w:val="000000" w:themeColor="text1"/>
          <w:sz w:val="30"/>
          <w:szCs w:val="30"/>
          <w14:textFill>
            <w14:solidFill>
              <w14:schemeClr w14:val="tx1"/>
            </w14:solidFill>
          </w14:textFill>
        </w:rPr>
        <w:t>贺州学院2026-2028年互联网宽带接入服务</w:t>
      </w:r>
      <w:r>
        <w:rPr>
          <w:rFonts w:hint="eastAsia" w:ascii="宋体" w:hAnsi="宋体"/>
          <w:b/>
          <w:bCs/>
          <w:color w:val="000000" w:themeColor="text1"/>
          <w:sz w:val="30"/>
          <w:szCs w:val="30"/>
          <w14:textFill>
            <w14:solidFill>
              <w14:schemeClr w14:val="tx1"/>
            </w14:solidFill>
          </w14:textFill>
        </w:rPr>
        <w:fldChar w:fldCharType="end"/>
      </w:r>
      <w:r>
        <w:rPr>
          <w:rFonts w:hint="eastAsia" w:ascii="宋体" w:hAnsi="宋体"/>
          <w:b/>
          <w:bCs/>
          <w:color w:val="000000" w:themeColor="text1"/>
          <w:sz w:val="30"/>
          <w:szCs w:val="30"/>
          <w14:textFill>
            <w14:solidFill>
              <w14:schemeClr w14:val="tx1"/>
            </w14:solidFill>
          </w14:textFill>
        </w:rPr>
        <w:t>采购</w:t>
      </w:r>
      <w:r>
        <w:rPr>
          <w:rFonts w:ascii="宋体" w:hAnsi="宋体"/>
          <w:b/>
          <w:bCs/>
          <w:color w:val="000000" w:themeColor="text1"/>
          <w:sz w:val="30"/>
          <w:szCs w:val="30"/>
          <w14:textFill>
            <w14:solidFill>
              <w14:schemeClr w14:val="tx1"/>
            </w14:solidFill>
          </w14:textFill>
        </w:rPr>
        <w:fldChar w:fldCharType="end"/>
      </w:r>
    </w:p>
    <w:p w14:paraId="139EF82C">
      <w:pPr>
        <w:snapToGrid w:val="0"/>
        <w:spacing w:before="156" w:beforeLines="50" w:line="360" w:lineRule="auto"/>
        <w:ind w:left="1203" w:leftChars="573" w:firstLine="54" w:firstLineChars="18"/>
        <w:rPr>
          <w:rFonts w:ascii="宋体" w:hAnsi="宋体"/>
          <w:b/>
          <w:bCs/>
          <w:color w:val="000000" w:themeColor="text1"/>
          <w:sz w:val="30"/>
          <w:szCs w:val="30"/>
          <w:lang w:val="en"/>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采 购 人：</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"https://middle.gcy.zfcg.gxzf.gov.cn/web-user/" \l "/plan/list/_blank" \t "https://pay.gcy.zfcg.gxzf.gov.cn/purchaseplan_front/" </w:instrText>
      </w:r>
      <w:r>
        <w:rPr>
          <w:color w:val="000000" w:themeColor="text1"/>
          <w14:textFill>
            <w14:solidFill>
              <w14:schemeClr w14:val="tx1"/>
            </w14:solidFill>
          </w14:textFill>
        </w:rPr>
        <w:fldChar w:fldCharType="separate"/>
      </w:r>
      <w:r>
        <w:rPr>
          <w:rFonts w:hint="eastAsia" w:ascii="宋体" w:hAnsi="宋体"/>
          <w:b/>
          <w:bCs/>
          <w:color w:val="000000" w:themeColor="text1"/>
          <w:sz w:val="30"/>
          <w:szCs w:val="30"/>
          <w:lang w:eastAsia="zh-CN"/>
          <w14:textFill>
            <w14:solidFill>
              <w14:schemeClr w14:val="tx1"/>
            </w14:solidFill>
          </w14:textFill>
        </w:rPr>
        <w:t>贺州</w:t>
      </w:r>
      <w:r>
        <w:rPr>
          <w:rFonts w:hint="eastAsia" w:ascii="宋体" w:hAnsi="宋体"/>
          <w:b/>
          <w:bCs/>
          <w:color w:val="000000" w:themeColor="text1"/>
          <w:sz w:val="30"/>
          <w:szCs w:val="30"/>
          <w14:textFill>
            <w14:solidFill>
              <w14:schemeClr w14:val="tx1"/>
            </w14:solidFill>
          </w14:textFill>
        </w:rPr>
        <w:t>学院</w:t>
      </w:r>
      <w:r>
        <w:rPr>
          <w:rFonts w:ascii="宋体" w:hAnsi="宋体"/>
          <w:b/>
          <w:bCs/>
          <w:color w:val="000000" w:themeColor="text1"/>
          <w:sz w:val="30"/>
          <w:szCs w:val="30"/>
          <w14:textFill>
            <w14:solidFill>
              <w14:schemeClr w14:val="tx1"/>
            </w14:solidFill>
          </w14:textFill>
        </w:rPr>
        <w:fldChar w:fldCharType="end"/>
      </w:r>
    </w:p>
    <w:p w14:paraId="54A37298">
      <w:pPr>
        <w:snapToGrid w:val="0"/>
        <w:spacing w:before="156" w:beforeLines="50" w:line="360" w:lineRule="auto"/>
        <w:ind w:left="370" w:hanging="370" w:hangingChars="123"/>
        <w:rPr>
          <w:rFonts w:ascii="宋体" w:hAnsi="宋体"/>
          <w:b/>
          <w:bCs/>
          <w:color w:val="000000" w:themeColor="text1"/>
          <w:sz w:val="30"/>
          <w:szCs w:val="30"/>
          <w14:textFill>
            <w14:solidFill>
              <w14:schemeClr w14:val="tx1"/>
            </w14:solidFill>
          </w14:textFill>
        </w:rPr>
      </w:pPr>
    </w:p>
    <w:p w14:paraId="1D701D6B">
      <w:pPr>
        <w:snapToGrid w:val="0"/>
        <w:spacing w:before="156" w:beforeLines="50" w:line="360" w:lineRule="auto"/>
        <w:ind w:firstLine="1274" w:firstLineChars="423"/>
        <w:rPr>
          <w:rFonts w:ascii="宋体" w:hAnsi="宋体"/>
          <w:b/>
          <w:bCs/>
          <w:color w:val="000000" w:themeColor="text1"/>
          <w:sz w:val="30"/>
          <w:szCs w:val="30"/>
          <w14:textFill>
            <w14:solidFill>
              <w14:schemeClr w14:val="tx1"/>
            </w14:solidFill>
          </w14:textFill>
        </w:rPr>
      </w:pPr>
    </w:p>
    <w:p w14:paraId="7125506F">
      <w:pPr>
        <w:snapToGrid w:val="0"/>
        <w:spacing w:before="156" w:beforeLines="50" w:line="360" w:lineRule="auto"/>
        <w:ind w:firstLine="1274" w:firstLineChars="423"/>
        <w:rPr>
          <w:rFonts w:ascii="宋体" w:hAnsi="宋体"/>
          <w:b/>
          <w:bCs/>
          <w:color w:val="000000" w:themeColor="text1"/>
          <w:sz w:val="30"/>
          <w:szCs w:val="30"/>
          <w:lang w:val="en"/>
          <w14:textFill>
            <w14:solidFill>
              <w14:schemeClr w14:val="tx1"/>
            </w14:solidFill>
          </w14:textFill>
        </w:rPr>
      </w:pPr>
    </w:p>
    <w:p w14:paraId="3F8BA5DD">
      <w:pPr>
        <w:snapToGrid w:val="0"/>
        <w:spacing w:before="156" w:beforeLines="50" w:line="360" w:lineRule="auto"/>
        <w:ind w:firstLine="1506" w:firstLineChars="500"/>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 xml:space="preserve"> </w:t>
      </w:r>
    </w:p>
    <w:p w14:paraId="6B66ECB8">
      <w:pPr>
        <w:snapToGrid w:val="0"/>
        <w:spacing w:before="156" w:beforeLines="50" w:line="360" w:lineRule="auto"/>
        <w:ind w:firstLine="1506" w:firstLineChars="500"/>
        <w:rPr>
          <w:rFonts w:ascii="宋体" w:hAnsi="宋体"/>
          <w:b/>
          <w:bCs/>
          <w:color w:val="000000" w:themeColor="text1"/>
          <w:sz w:val="30"/>
          <w:szCs w:val="30"/>
          <w14:textFill>
            <w14:solidFill>
              <w14:schemeClr w14:val="tx1"/>
            </w14:solidFill>
          </w14:textFill>
        </w:rPr>
      </w:pPr>
    </w:p>
    <w:p w14:paraId="66943C16">
      <w:pPr>
        <w:snapToGrid w:val="0"/>
        <w:spacing w:before="156" w:beforeLines="50" w:line="360" w:lineRule="auto"/>
        <w:ind w:firstLine="1506" w:firstLineChars="500"/>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采购代理机构：广西壮族自治区政府采购中心</w:t>
      </w:r>
    </w:p>
    <w:p w14:paraId="5FD211E6">
      <w:pPr>
        <w:snapToGrid w:val="0"/>
        <w:spacing w:before="156" w:beforeLines="50" w:line="360" w:lineRule="auto"/>
        <w:jc w:val="center"/>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202</w:t>
      </w:r>
      <w:r>
        <w:rPr>
          <w:rFonts w:hint="eastAsia" w:ascii="宋体" w:hAnsi="宋体"/>
          <w:b/>
          <w:bCs/>
          <w:color w:val="000000" w:themeColor="text1"/>
          <w:sz w:val="30"/>
          <w:szCs w:val="30"/>
          <w:lang w:val="en"/>
          <w14:textFill>
            <w14:solidFill>
              <w14:schemeClr w14:val="tx1"/>
            </w14:solidFill>
          </w14:textFill>
        </w:rPr>
        <w:t>6</w:t>
      </w:r>
      <w:r>
        <w:rPr>
          <w:rFonts w:hint="eastAsia" w:ascii="宋体" w:hAnsi="宋体"/>
          <w:b/>
          <w:bCs/>
          <w:color w:val="000000" w:themeColor="text1"/>
          <w:sz w:val="30"/>
          <w:szCs w:val="30"/>
          <w14:textFill>
            <w14:solidFill>
              <w14:schemeClr w14:val="tx1"/>
            </w14:solidFill>
          </w14:textFill>
        </w:rPr>
        <w:t>年</w:t>
      </w:r>
      <w:r>
        <w:rPr>
          <w:rFonts w:hint="eastAsia" w:ascii="宋体" w:hAnsi="宋体"/>
          <w:b/>
          <w:bCs/>
          <w:color w:val="000000" w:themeColor="text1"/>
          <w:sz w:val="30"/>
          <w:szCs w:val="30"/>
          <w:lang w:val="en-US" w:eastAsia="zh-CN"/>
          <w14:textFill>
            <w14:solidFill>
              <w14:schemeClr w14:val="tx1"/>
            </w14:solidFill>
          </w14:textFill>
        </w:rPr>
        <w:t>7</w:t>
      </w:r>
      <w:r>
        <w:rPr>
          <w:rFonts w:hint="eastAsia" w:ascii="宋体" w:hAnsi="宋体"/>
          <w:b/>
          <w:bCs/>
          <w:color w:val="000000" w:themeColor="text1"/>
          <w:sz w:val="30"/>
          <w:szCs w:val="30"/>
          <w14:textFill>
            <w14:solidFill>
              <w14:schemeClr w14:val="tx1"/>
            </w14:solidFill>
          </w14:textFill>
        </w:rPr>
        <w:t>月</w:t>
      </w:r>
    </w:p>
    <w:p w14:paraId="190592B4">
      <w:pPr>
        <w:pStyle w:val="19"/>
        <w:spacing w:before="120" w:after="120" w:line="300" w:lineRule="exact"/>
        <w:rPr>
          <w:rFonts w:ascii="仿宋" w:hAnsi="仿宋" w:cs="宋体"/>
          <w:color w:val="000000" w:themeColor="text1"/>
          <w:kern w:val="0"/>
          <w:szCs w:val="21"/>
          <w14:textFill>
            <w14:solidFill>
              <w14:schemeClr w14:val="tx1"/>
            </w14:solidFill>
          </w14:textFill>
        </w:rPr>
      </w:pPr>
    </w:p>
    <w:p w14:paraId="05D9B752">
      <w:pPr>
        <w:pStyle w:val="19"/>
        <w:spacing w:before="120" w:after="120" w:line="300" w:lineRule="exact"/>
        <w:rPr>
          <w:rFonts w:ascii="仿宋" w:hAnsi="仿宋" w:cs="宋体"/>
          <w:color w:val="000000" w:themeColor="text1"/>
          <w:kern w:val="0"/>
          <w:szCs w:val="21"/>
          <w14:textFill>
            <w14:solidFill>
              <w14:schemeClr w14:val="tx1"/>
            </w14:solidFill>
          </w14:textFill>
        </w:rPr>
      </w:pPr>
    </w:p>
    <w:p w14:paraId="0C5A738C">
      <w:pPr>
        <w:pStyle w:val="19"/>
        <w:spacing w:before="120" w:after="120" w:line="300" w:lineRule="exact"/>
        <w:rPr>
          <w:rFonts w:ascii="仿宋" w:hAnsi="仿宋" w:cs="宋体"/>
          <w:color w:val="000000" w:themeColor="text1"/>
          <w:kern w:val="0"/>
          <w:szCs w:val="21"/>
          <w14:textFill>
            <w14:solidFill>
              <w14:schemeClr w14:val="tx1"/>
            </w14:solidFill>
          </w14:textFill>
        </w:rPr>
      </w:pPr>
    </w:p>
    <w:p w14:paraId="050F8287">
      <w:pPr>
        <w:spacing w:line="400" w:lineRule="exact"/>
        <w:jc w:val="center"/>
        <w:rPr>
          <w:rFonts w:ascii="宋体" w:hAnsi="宋体"/>
          <w:b/>
          <w:bCs/>
          <w:color w:val="000000" w:themeColor="text1"/>
          <w:sz w:val="32"/>
          <w:szCs w:val="32"/>
          <w14:textFill>
            <w14:solidFill>
              <w14:schemeClr w14:val="tx1"/>
            </w14:solidFill>
          </w14:textFill>
        </w:rPr>
      </w:pPr>
    </w:p>
    <w:p w14:paraId="3F0F1F27">
      <w:pPr>
        <w:spacing w:line="400" w:lineRule="exact"/>
        <w:jc w:val="center"/>
        <w:rPr>
          <w:rFonts w:ascii="宋体" w:hAnsi="宋体"/>
          <w:b/>
          <w:bCs/>
          <w:color w:val="000000" w:themeColor="text1"/>
          <w:sz w:val="32"/>
          <w:szCs w:val="32"/>
          <w14:textFill>
            <w14:solidFill>
              <w14:schemeClr w14:val="tx1"/>
            </w14:solidFill>
          </w14:textFill>
        </w:rPr>
      </w:pPr>
    </w:p>
    <w:p w14:paraId="422AF827">
      <w:pPr>
        <w:spacing w:line="400" w:lineRule="exact"/>
        <w:jc w:val="center"/>
        <w:rPr>
          <w:rFonts w:ascii="宋体" w:hAnsi="宋体"/>
          <w:b/>
          <w:bCs/>
          <w:color w:val="000000" w:themeColor="text1"/>
          <w:sz w:val="32"/>
          <w:szCs w:val="32"/>
          <w14:textFill>
            <w14:solidFill>
              <w14:schemeClr w14:val="tx1"/>
            </w14:solidFill>
          </w14:textFill>
        </w:rPr>
      </w:pPr>
    </w:p>
    <w:p w14:paraId="1CDB011F">
      <w:pPr>
        <w:spacing w:line="400" w:lineRule="exact"/>
        <w:jc w:val="center"/>
        <w:rPr>
          <w:rFonts w:ascii="宋体" w:hAnsi="宋体"/>
          <w:b/>
          <w:bCs/>
          <w:color w:val="000000" w:themeColor="text1"/>
          <w:sz w:val="32"/>
          <w:szCs w:val="32"/>
          <w14:textFill>
            <w14:solidFill>
              <w14:schemeClr w14:val="tx1"/>
            </w14:solidFill>
          </w14:textFill>
        </w:rPr>
        <w:sectPr>
          <w:footerReference r:id="rId6" w:type="first"/>
          <w:headerReference r:id="rId3" w:type="default"/>
          <w:headerReference r:id="rId4" w:type="even"/>
          <w:footerReference r:id="rId5" w:type="even"/>
          <w:pgSz w:w="11906" w:h="16838"/>
          <w:pgMar w:top="1247" w:right="1247" w:bottom="1247" w:left="1247" w:header="851" w:footer="992" w:gutter="0"/>
          <w:pgNumType w:start="1"/>
          <w:cols w:space="720" w:num="1"/>
          <w:titlePg/>
          <w:docGrid w:type="lines" w:linePitch="312" w:charSpace="0"/>
        </w:sectPr>
      </w:pPr>
    </w:p>
    <w:p w14:paraId="0FAF524E">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目录</w:t>
      </w:r>
    </w:p>
    <w:p w14:paraId="53F5462A">
      <w:pPr>
        <w:spacing w:line="400" w:lineRule="exact"/>
        <w:jc w:val="center"/>
        <w:rPr>
          <w:rFonts w:ascii="宋体" w:hAnsi="宋体"/>
          <w:b/>
          <w:bCs/>
          <w:color w:val="000000" w:themeColor="text1"/>
          <w:sz w:val="32"/>
          <w:szCs w:val="32"/>
          <w14:textFill>
            <w14:solidFill>
              <w14:schemeClr w14:val="tx1"/>
            </w14:solidFill>
          </w14:textFill>
        </w:rPr>
      </w:pPr>
    </w:p>
    <w:p w14:paraId="03918C35">
      <w:pPr>
        <w:pStyle w:val="26"/>
        <w:ind w:left="982" w:hanging="982"/>
        <w:jc w:val="center"/>
        <w:rPr>
          <w:rFonts w:ascii="宋体" w:hAnsi="宋体"/>
          <w:b/>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"_Toc18481384#_Toc18481384" </w:instrText>
      </w:r>
      <w:r>
        <w:rPr>
          <w:color w:val="000000" w:themeColor="text1"/>
          <w14:textFill>
            <w14:solidFill>
              <w14:schemeClr w14:val="tx1"/>
            </w14:solidFill>
          </w14:textFill>
        </w:rPr>
        <w:fldChar w:fldCharType="separate"/>
      </w:r>
      <w:r>
        <w:rPr>
          <w:rStyle w:val="76"/>
          <w:rFonts w:hint="eastAsia" w:ascii="宋体" w:hAnsi="宋体"/>
          <w:b/>
          <w:bCs/>
          <w:color w:val="000000" w:themeColor="text1"/>
          <w:sz w:val="28"/>
          <w:szCs w:val="28"/>
          <w:u w:val="none"/>
          <w14:textFill>
            <w14:solidFill>
              <w14:schemeClr w14:val="tx1"/>
            </w14:solidFill>
          </w14:textFill>
        </w:rPr>
        <w:t>第一章  竞争性磋商公告</w:t>
      </w:r>
      <w:r>
        <w:rPr>
          <w:rStyle w:val="44"/>
          <w:rFonts w:hint="eastAsia" w:hAnsi="宋体"/>
          <w:b/>
          <w:bCs/>
          <w:color w:val="000000" w:themeColor="text1"/>
          <w:sz w:val="28"/>
          <w:szCs w:val="28"/>
          <w:u w:val="none"/>
          <w14:textFill>
            <w14:solidFill>
              <w14:schemeClr w14:val="tx1"/>
            </w14:solidFill>
          </w14:textFill>
        </w:rPr>
        <w:t>………………………</w:t>
      </w:r>
      <w:bookmarkStart w:id="0" w:name="_Hlt204956116"/>
      <w:bookmarkStart w:id="1" w:name="_Hlt204956115"/>
      <w:r>
        <w:rPr>
          <w:rStyle w:val="44"/>
          <w:rFonts w:hint="eastAsia" w:hAnsi="宋体"/>
          <w:b/>
          <w:bCs/>
          <w:color w:val="000000" w:themeColor="text1"/>
          <w:sz w:val="28"/>
          <w:szCs w:val="28"/>
          <w:u w:val="none"/>
          <w14:textFill>
            <w14:solidFill>
              <w14:schemeClr w14:val="tx1"/>
            </w14:solidFill>
          </w14:textFill>
        </w:rPr>
        <w:t>…</w:t>
      </w:r>
      <w:bookmarkEnd w:id="0"/>
      <w:bookmarkEnd w:id="1"/>
      <w:r>
        <w:rPr>
          <w:rStyle w:val="44"/>
          <w:rFonts w:hint="eastAsia" w:hAnsi="宋体"/>
          <w:b/>
          <w:bCs/>
          <w:color w:val="000000" w:themeColor="text1"/>
          <w:sz w:val="28"/>
          <w:szCs w:val="28"/>
          <w:u w:val="none"/>
          <w14:textFill>
            <w14:solidFill>
              <w14:schemeClr w14:val="tx1"/>
            </w14:solidFill>
          </w14:textFill>
        </w:rPr>
        <w:t>……………</w:t>
      </w:r>
      <w:r>
        <w:rPr>
          <w:rStyle w:val="44"/>
          <w:rFonts w:hint="eastAsia" w:hAnsi="宋体"/>
          <w:b/>
          <w:bCs/>
          <w:color w:val="000000" w:themeColor="text1"/>
          <w:sz w:val="28"/>
          <w:szCs w:val="28"/>
          <w:u w:val="none"/>
          <w:lang w:val="en-US" w:eastAsia="zh-CN"/>
          <w14:textFill>
            <w14:solidFill>
              <w14:schemeClr w14:val="tx1"/>
            </w14:solidFill>
          </w14:textFill>
        </w:rPr>
        <w:t>3</w:t>
      </w:r>
      <w:r>
        <w:rPr>
          <w:rStyle w:val="44"/>
          <w:rFonts w:hint="eastAsia" w:hAnsi="宋体"/>
          <w:b/>
          <w:bCs/>
          <w:color w:val="000000" w:themeColor="text1"/>
          <w:sz w:val="28"/>
          <w:szCs w:val="28"/>
          <w:u w:val="none"/>
          <w14:textFill>
            <w14:solidFill>
              <w14:schemeClr w14:val="tx1"/>
            </w14:solidFill>
          </w14:textFill>
        </w:rPr>
        <w:fldChar w:fldCharType="end"/>
      </w:r>
    </w:p>
    <w:p w14:paraId="01BC83A8">
      <w:pPr>
        <w:pStyle w:val="26"/>
        <w:ind w:left="982" w:hanging="982"/>
        <w:jc w:val="center"/>
        <w:rPr>
          <w:rFonts w:ascii="宋体" w:hAnsi="宋体"/>
          <w:b/>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"_Toc18481385#_Toc18481385" </w:instrText>
      </w:r>
      <w:r>
        <w:rPr>
          <w:color w:val="000000" w:themeColor="text1"/>
          <w14:textFill>
            <w14:solidFill>
              <w14:schemeClr w14:val="tx1"/>
            </w14:solidFill>
          </w14:textFill>
        </w:rPr>
        <w:fldChar w:fldCharType="separate"/>
      </w:r>
      <w:r>
        <w:rPr>
          <w:rStyle w:val="76"/>
          <w:rFonts w:hint="eastAsia" w:ascii="宋体" w:hAnsi="宋体"/>
          <w:b/>
          <w:bCs/>
          <w:color w:val="000000" w:themeColor="text1"/>
          <w:sz w:val="28"/>
          <w:szCs w:val="28"/>
          <w:u w:val="none"/>
          <w14:textFill>
            <w14:solidFill>
              <w14:schemeClr w14:val="tx1"/>
            </w14:solidFill>
          </w14:textFill>
        </w:rPr>
        <w:t>第二章  供应商须知</w:t>
      </w:r>
      <w:r>
        <w:rPr>
          <w:rStyle w:val="44"/>
          <w:rFonts w:hint="eastAsia" w:hAnsi="宋体"/>
          <w:b/>
          <w:bCs/>
          <w:color w:val="000000" w:themeColor="text1"/>
          <w:sz w:val="28"/>
          <w:szCs w:val="28"/>
          <w:u w:val="none"/>
          <w14:textFill>
            <w14:solidFill>
              <w14:schemeClr w14:val="tx1"/>
            </w14:solidFill>
          </w14:textFill>
        </w:rPr>
        <w:t>……………………………………………</w:t>
      </w:r>
      <w:r>
        <w:rPr>
          <w:rStyle w:val="44"/>
          <w:rFonts w:hint="eastAsia" w:hAnsi="宋体"/>
          <w:b/>
          <w:bCs/>
          <w:color w:val="000000" w:themeColor="text1"/>
          <w:sz w:val="28"/>
          <w:szCs w:val="28"/>
          <w:u w:val="none"/>
          <w14:textFill>
            <w14:solidFill>
              <w14:schemeClr w14:val="tx1"/>
            </w14:solidFill>
          </w14:textFill>
        </w:rPr>
        <w:fldChar w:fldCharType="end"/>
      </w:r>
      <w:r>
        <w:rPr>
          <w:rStyle w:val="44"/>
          <w:rFonts w:hint="eastAsia" w:hAnsi="宋体"/>
          <w:b/>
          <w:bCs/>
          <w:color w:val="000000" w:themeColor="text1"/>
          <w:sz w:val="28"/>
          <w:szCs w:val="28"/>
          <w:u w:val="none"/>
          <w14:textFill>
            <w14:solidFill>
              <w14:schemeClr w14:val="tx1"/>
            </w14:solidFill>
          </w14:textFill>
        </w:rPr>
        <w:t>6</w:t>
      </w:r>
    </w:p>
    <w:p w14:paraId="38137290">
      <w:pPr>
        <w:pStyle w:val="26"/>
        <w:ind w:left="982" w:hanging="982"/>
        <w:jc w:val="center"/>
        <w:rPr>
          <w:rFonts w:ascii="宋体" w:hAnsi="宋体"/>
          <w:b/>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"_Toc18481386#_Toc18481386" </w:instrText>
      </w:r>
      <w:r>
        <w:rPr>
          <w:color w:val="000000" w:themeColor="text1"/>
          <w14:textFill>
            <w14:solidFill>
              <w14:schemeClr w14:val="tx1"/>
            </w14:solidFill>
          </w14:textFill>
        </w:rPr>
        <w:fldChar w:fldCharType="separate"/>
      </w:r>
      <w:r>
        <w:rPr>
          <w:rStyle w:val="76"/>
          <w:rFonts w:hint="eastAsia" w:ascii="宋体" w:hAnsi="宋体"/>
          <w:b/>
          <w:bCs/>
          <w:color w:val="000000" w:themeColor="text1"/>
          <w:sz w:val="28"/>
          <w:szCs w:val="28"/>
          <w:u w:val="none"/>
          <w14:textFill>
            <w14:solidFill>
              <w14:schemeClr w14:val="tx1"/>
            </w14:solidFill>
          </w14:textFill>
        </w:rPr>
        <w:t>第三章  采购</w:t>
      </w:r>
      <w:bookmarkStart w:id="2" w:name="_Hlt106788114"/>
      <w:r>
        <w:rPr>
          <w:rStyle w:val="76"/>
          <w:rFonts w:hint="eastAsia" w:ascii="宋体" w:hAnsi="宋体"/>
          <w:b/>
          <w:bCs/>
          <w:color w:val="000000" w:themeColor="text1"/>
          <w:sz w:val="28"/>
          <w:szCs w:val="28"/>
          <w:u w:val="none"/>
          <w14:textFill>
            <w14:solidFill>
              <w14:schemeClr w14:val="tx1"/>
            </w14:solidFill>
          </w14:textFill>
        </w:rPr>
        <w:t>需</w:t>
      </w:r>
      <w:bookmarkEnd w:id="2"/>
      <w:r>
        <w:rPr>
          <w:rStyle w:val="76"/>
          <w:rFonts w:hint="eastAsia" w:ascii="宋体" w:hAnsi="宋体"/>
          <w:b/>
          <w:bCs/>
          <w:color w:val="000000" w:themeColor="text1"/>
          <w:sz w:val="28"/>
          <w:szCs w:val="28"/>
          <w:u w:val="none"/>
          <w14:textFill>
            <w14:solidFill>
              <w14:schemeClr w14:val="tx1"/>
            </w14:solidFill>
          </w14:textFill>
        </w:rPr>
        <w:t>求</w:t>
      </w:r>
      <w:r>
        <w:rPr>
          <w:rStyle w:val="43"/>
          <w:rFonts w:hint="eastAsia" w:hAnsi="宋体"/>
          <w:b/>
          <w:bCs/>
          <w:color w:val="000000" w:themeColor="text1"/>
          <w:sz w:val="28"/>
          <w:szCs w:val="28"/>
          <w:u w:val="none"/>
          <w14:textFill>
            <w14:solidFill>
              <w14:schemeClr w14:val="tx1"/>
            </w14:solidFill>
          </w14:textFill>
        </w:rPr>
        <w:t>………………………………………………</w:t>
      </w:r>
      <w:r>
        <w:rPr>
          <w:rStyle w:val="44"/>
          <w:rFonts w:hint="eastAsia" w:hAnsi="宋体"/>
          <w:b/>
          <w:bCs/>
          <w:color w:val="000000" w:themeColor="text1"/>
          <w:sz w:val="28"/>
          <w:szCs w:val="28"/>
          <w:u w:val="none"/>
          <w14:textFill>
            <w14:solidFill>
              <w14:schemeClr w14:val="tx1"/>
            </w14:solidFill>
          </w14:textFill>
        </w:rPr>
        <w:fldChar w:fldCharType="end"/>
      </w:r>
      <w:r>
        <w:rPr>
          <w:rStyle w:val="44"/>
          <w:rFonts w:hint="eastAsia" w:hAnsi="宋体"/>
          <w:b/>
          <w:bCs/>
          <w:color w:val="000000" w:themeColor="text1"/>
          <w:sz w:val="28"/>
          <w:szCs w:val="28"/>
          <w:u w:val="none"/>
          <w14:textFill>
            <w14:solidFill>
              <w14:schemeClr w14:val="tx1"/>
            </w14:solidFill>
          </w14:textFill>
        </w:rPr>
        <w:t>18</w:t>
      </w:r>
    </w:p>
    <w:p w14:paraId="5D1ED06F">
      <w:pPr>
        <w:pStyle w:val="26"/>
        <w:ind w:left="982" w:hanging="982"/>
        <w:jc w:val="center"/>
        <w:rPr>
          <w:rFonts w:hint="eastAsia" w:ascii="宋体" w:hAnsi="宋体" w:eastAsia="宋体"/>
          <w:b/>
          <w:bCs/>
          <w:color w:val="000000" w:themeColor="text1"/>
          <w:sz w:val="28"/>
          <w:szCs w:val="28"/>
          <w:lang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"_Toc18481387#_Toc18481387" </w:instrText>
      </w:r>
      <w:r>
        <w:rPr>
          <w:color w:val="000000" w:themeColor="text1"/>
          <w14:textFill>
            <w14:solidFill>
              <w14:schemeClr w14:val="tx1"/>
            </w14:solidFill>
          </w14:textFill>
        </w:rPr>
        <w:fldChar w:fldCharType="separate"/>
      </w:r>
      <w:r>
        <w:rPr>
          <w:rStyle w:val="44"/>
          <w:rFonts w:hint="eastAsia" w:hAnsi="宋体"/>
          <w:b/>
          <w:bCs/>
          <w:color w:val="000000" w:themeColor="text1"/>
          <w:sz w:val="28"/>
          <w:szCs w:val="28"/>
          <w:u w:val="none"/>
          <w14:textFill>
            <w14:solidFill>
              <w14:schemeClr w14:val="tx1"/>
            </w14:solidFill>
          </w14:textFill>
        </w:rPr>
        <w:t>第四章  竞争性磋商响应文件格式……………………………</w:t>
      </w:r>
      <w:r>
        <w:rPr>
          <w:rStyle w:val="44"/>
          <w:rFonts w:hint="eastAsia" w:hAnsi="宋体"/>
          <w:b/>
          <w:bCs/>
          <w:color w:val="000000" w:themeColor="text1"/>
          <w:sz w:val="28"/>
          <w:szCs w:val="28"/>
          <w:u w:val="none"/>
          <w14:textFill>
            <w14:solidFill>
              <w14:schemeClr w14:val="tx1"/>
            </w14:solidFill>
          </w14:textFill>
        </w:rPr>
        <w:fldChar w:fldCharType="end"/>
      </w:r>
      <w:r>
        <w:rPr>
          <w:rStyle w:val="44"/>
          <w:rFonts w:hint="eastAsia" w:hAnsi="宋体"/>
          <w:b/>
          <w:bCs/>
          <w:color w:val="000000" w:themeColor="text1"/>
          <w:sz w:val="28"/>
          <w:szCs w:val="28"/>
          <w:u w:val="none"/>
          <w14:textFill>
            <w14:solidFill>
              <w14:schemeClr w14:val="tx1"/>
            </w14:solidFill>
          </w14:textFill>
        </w:rPr>
        <w:t>2</w:t>
      </w:r>
      <w:r>
        <w:rPr>
          <w:rStyle w:val="44"/>
          <w:rFonts w:hint="eastAsia" w:hAnsi="宋体"/>
          <w:b/>
          <w:bCs/>
          <w:color w:val="000000" w:themeColor="text1"/>
          <w:sz w:val="28"/>
          <w:szCs w:val="28"/>
          <w:u w:val="none"/>
          <w:lang w:val="en-US" w:eastAsia="zh-CN"/>
          <w14:textFill>
            <w14:solidFill>
              <w14:schemeClr w14:val="tx1"/>
            </w14:solidFill>
          </w14:textFill>
        </w:rPr>
        <w:t>8</w:t>
      </w:r>
    </w:p>
    <w:p w14:paraId="022F262B">
      <w:pPr>
        <w:pStyle w:val="26"/>
        <w:ind w:left="982" w:hanging="982"/>
        <w:jc w:val="center"/>
        <w:rPr>
          <w:rFonts w:hint="eastAsia" w:ascii="宋体" w:hAnsi="宋体" w:eastAsia="宋体"/>
          <w:b/>
          <w:bCs/>
          <w:color w:val="000000" w:themeColor="text1"/>
          <w:sz w:val="28"/>
          <w:szCs w:val="28"/>
          <w:lang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"_Toc18481388#_Toc18481388" </w:instrText>
      </w:r>
      <w:r>
        <w:rPr>
          <w:color w:val="000000" w:themeColor="text1"/>
          <w14:textFill>
            <w14:solidFill>
              <w14:schemeClr w14:val="tx1"/>
            </w14:solidFill>
          </w14:textFill>
        </w:rPr>
        <w:fldChar w:fldCharType="separate"/>
      </w:r>
      <w:r>
        <w:rPr>
          <w:rStyle w:val="76"/>
          <w:rFonts w:hint="eastAsia" w:ascii="宋体" w:hAnsi="宋体"/>
          <w:b/>
          <w:bCs/>
          <w:color w:val="000000" w:themeColor="text1"/>
          <w:sz w:val="28"/>
          <w:szCs w:val="28"/>
          <w:u w:val="none"/>
          <w14:textFill>
            <w14:solidFill>
              <w14:schemeClr w14:val="tx1"/>
            </w14:solidFill>
          </w14:textFill>
        </w:rPr>
        <w:t>第五章  合同主要条款</w:t>
      </w:r>
      <w:r>
        <w:rPr>
          <w:rStyle w:val="44"/>
          <w:rFonts w:hint="eastAsia" w:hAnsi="宋体"/>
          <w:b/>
          <w:bCs/>
          <w:color w:val="000000" w:themeColor="text1"/>
          <w:sz w:val="28"/>
          <w:szCs w:val="28"/>
          <w:u w:val="none"/>
          <w14:textFill>
            <w14:solidFill>
              <w14:schemeClr w14:val="tx1"/>
            </w14:solidFill>
          </w14:textFill>
        </w:rPr>
        <w:t>…………………………………………</w:t>
      </w:r>
      <w:r>
        <w:rPr>
          <w:rStyle w:val="44"/>
          <w:rFonts w:hint="eastAsia" w:hAnsi="宋体"/>
          <w:b/>
          <w:bCs/>
          <w:color w:val="000000" w:themeColor="text1"/>
          <w:sz w:val="28"/>
          <w:szCs w:val="28"/>
          <w:u w:val="none"/>
          <w14:textFill>
            <w14:solidFill>
              <w14:schemeClr w14:val="tx1"/>
            </w14:solidFill>
          </w14:textFill>
        </w:rPr>
        <w:fldChar w:fldCharType="end"/>
      </w:r>
      <w:r>
        <w:rPr>
          <w:rStyle w:val="44"/>
          <w:rFonts w:hint="eastAsia" w:hAnsi="宋体"/>
          <w:b/>
          <w:bCs/>
          <w:color w:val="000000" w:themeColor="text1"/>
          <w:sz w:val="28"/>
          <w:szCs w:val="28"/>
          <w:u w:val="none"/>
          <w14:textFill>
            <w14:solidFill>
              <w14:schemeClr w14:val="tx1"/>
            </w14:solidFill>
          </w14:textFill>
        </w:rPr>
        <w:t>3</w:t>
      </w:r>
      <w:r>
        <w:rPr>
          <w:rStyle w:val="44"/>
          <w:rFonts w:hint="eastAsia" w:hAnsi="宋体"/>
          <w:b/>
          <w:bCs/>
          <w:color w:val="000000" w:themeColor="text1"/>
          <w:sz w:val="28"/>
          <w:szCs w:val="28"/>
          <w:u w:val="none"/>
          <w:lang w:val="en-US" w:eastAsia="zh-CN"/>
          <w14:textFill>
            <w14:solidFill>
              <w14:schemeClr w14:val="tx1"/>
            </w14:solidFill>
          </w14:textFill>
        </w:rPr>
        <w:t>6</w:t>
      </w:r>
    </w:p>
    <w:p w14:paraId="65D7EC0D">
      <w:pPr>
        <w:pStyle w:val="26"/>
        <w:ind w:left="982" w:hanging="982"/>
        <w:jc w:val="center"/>
        <w:rPr>
          <w:rFonts w:hint="eastAsia" w:ascii="宋体" w:hAnsi="宋体" w:eastAsia="宋体"/>
          <w:b/>
          <w:bCs/>
          <w:color w:val="000000" w:themeColor="text1"/>
          <w:sz w:val="28"/>
          <w:szCs w:val="28"/>
          <w:lang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"_Toc18481389#_Toc18481389" </w:instrText>
      </w:r>
      <w:r>
        <w:rPr>
          <w:color w:val="000000" w:themeColor="text1"/>
          <w14:textFill>
            <w14:solidFill>
              <w14:schemeClr w14:val="tx1"/>
            </w14:solidFill>
          </w14:textFill>
        </w:rPr>
        <w:fldChar w:fldCharType="separate"/>
      </w:r>
      <w:r>
        <w:rPr>
          <w:rStyle w:val="76"/>
          <w:rFonts w:hint="eastAsia" w:ascii="宋体" w:hAnsi="宋体"/>
          <w:b/>
          <w:bCs/>
          <w:color w:val="000000" w:themeColor="text1"/>
          <w:sz w:val="28"/>
          <w:szCs w:val="28"/>
          <w:u w:val="none"/>
          <w14:textFill>
            <w14:solidFill>
              <w14:schemeClr w14:val="tx1"/>
            </w14:solidFill>
          </w14:textFill>
        </w:rPr>
        <w:t>第六章  评审方法及评分标准</w:t>
      </w:r>
      <w:r>
        <w:rPr>
          <w:rStyle w:val="43"/>
          <w:rFonts w:hint="eastAsia" w:hAnsi="宋体"/>
          <w:b/>
          <w:bCs/>
          <w:color w:val="000000" w:themeColor="text1"/>
          <w:sz w:val="28"/>
          <w:szCs w:val="28"/>
          <w:u w:val="none"/>
          <w14:textFill>
            <w14:solidFill>
              <w14:schemeClr w14:val="tx1"/>
            </w14:solidFill>
          </w14:textFill>
        </w:rPr>
        <w:t>…………………………………</w:t>
      </w:r>
      <w:r>
        <w:rPr>
          <w:rStyle w:val="43"/>
          <w:rFonts w:hint="eastAsia" w:hAnsi="宋体"/>
          <w:b/>
          <w:bCs/>
          <w:color w:val="000000" w:themeColor="text1"/>
          <w:sz w:val="28"/>
          <w:szCs w:val="28"/>
          <w:u w:val="none"/>
          <w14:textFill>
            <w14:solidFill>
              <w14:schemeClr w14:val="tx1"/>
            </w14:solidFill>
          </w14:textFill>
        </w:rPr>
        <w:fldChar w:fldCharType="end"/>
      </w:r>
      <w:r>
        <w:rPr>
          <w:rStyle w:val="44"/>
          <w:rFonts w:hint="eastAsia" w:hAnsi="宋体"/>
          <w:b/>
          <w:bCs/>
          <w:color w:val="000000" w:themeColor="text1"/>
          <w:sz w:val="28"/>
          <w:szCs w:val="28"/>
          <w:u w:val="none"/>
          <w14:textFill>
            <w14:solidFill>
              <w14:schemeClr w14:val="tx1"/>
            </w14:solidFill>
          </w14:textFill>
        </w:rPr>
        <w:t>4</w:t>
      </w:r>
      <w:r>
        <w:rPr>
          <w:rStyle w:val="44"/>
          <w:rFonts w:hint="eastAsia" w:hAnsi="宋体"/>
          <w:b/>
          <w:bCs/>
          <w:color w:val="000000" w:themeColor="text1"/>
          <w:sz w:val="28"/>
          <w:szCs w:val="28"/>
          <w:u w:val="none"/>
          <w:lang w:val="en-US" w:eastAsia="zh-CN"/>
          <w14:textFill>
            <w14:solidFill>
              <w14:schemeClr w14:val="tx1"/>
            </w14:solidFill>
          </w14:textFill>
        </w:rPr>
        <w:t>1</w:t>
      </w:r>
    </w:p>
    <w:p w14:paraId="2787A3EA">
      <w:pPr>
        <w:spacing w:line="400" w:lineRule="exact"/>
        <w:jc w:val="center"/>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 xml:space="preserve"> </w:t>
      </w:r>
    </w:p>
    <w:p w14:paraId="19A815C9">
      <w:pPr>
        <w:pStyle w:val="2"/>
        <w:keepLines w:val="0"/>
        <w:pageBreakBefore/>
        <w:spacing w:line="280" w:lineRule="exact"/>
        <w:jc w:val="center"/>
        <w:rPr>
          <w:rFonts w:ascii="宋体" w:hAnsi="宋体"/>
          <w:color w:val="000000" w:themeColor="text1"/>
          <w14:textFill>
            <w14:solidFill>
              <w14:schemeClr w14:val="tx1"/>
            </w14:solidFill>
          </w14:textFill>
        </w:rPr>
      </w:pPr>
      <w:bookmarkStart w:id="3" w:name="_Toc18481384"/>
      <w:bookmarkEnd w:id="3"/>
      <w:r>
        <w:rPr>
          <w:rFonts w:hint="eastAsia" w:ascii="宋体" w:hAnsi="宋体"/>
          <w:color w:val="000000" w:themeColor="text1"/>
          <w14:textFill>
            <w14:solidFill>
              <w14:schemeClr w14:val="tx1"/>
            </w14:solidFill>
          </w14:textFill>
        </w:rPr>
        <w:t>第一章  竞争性磋商公告</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2FC3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tcPr>
          <w:p w14:paraId="60588853">
            <w:pPr>
              <w:spacing w:line="380" w:lineRule="exac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 xml:space="preserve">项目概况                                                    </w:t>
            </w:r>
          </w:p>
          <w:p w14:paraId="3F72BCDB">
            <w:pPr>
              <w:spacing w:line="380" w:lineRule="exact"/>
              <w:ind w:firstLine="420" w:firstLineChars="200"/>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fldChar w:fldCharType="begin"/>
            </w:r>
            <w:r>
              <w:rPr>
                <w:rFonts w:hint="eastAsia" w:ascii="宋体" w:hAnsi="宋体"/>
                <w:bCs/>
                <w:color w:val="000000" w:themeColor="text1"/>
                <w:kern w:val="0"/>
                <w14:textFill>
                  <w14:solidFill>
                    <w14:schemeClr w14:val="tx1"/>
                  </w14:solidFill>
                </w14:textFill>
              </w:rPr>
              <w:instrText xml:space="preserve"> HYPERLINK "https://pay.gcy.zfcg.gxzf.gov.cn/budget-quota-index/" \l "/plan/list/_blank" \t "https://pay.gcy.zfcg.gxzf.gov.cn/purchaseplan_front/" </w:instrText>
            </w:r>
            <w:r>
              <w:rPr>
                <w:rFonts w:hint="eastAsia" w:ascii="宋体" w:hAnsi="宋体"/>
                <w:bCs/>
                <w:color w:val="000000" w:themeColor="text1"/>
                <w:kern w:val="0"/>
                <w14:textFill>
                  <w14:solidFill>
                    <w14:schemeClr w14:val="tx1"/>
                  </w14:solidFill>
                </w14:textFill>
              </w:rPr>
              <w:fldChar w:fldCharType="separate"/>
            </w:r>
            <w:r>
              <w:rPr>
                <w:rFonts w:hint="eastAsia" w:ascii="宋体" w:hAnsi="宋体"/>
                <w:bCs/>
                <w:color w:val="000000" w:themeColor="text1"/>
                <w:kern w:val="0"/>
                <w14:textFill>
                  <w14:solidFill>
                    <w14:schemeClr w14:val="tx1"/>
                  </w14:solidFill>
                </w14:textFill>
              </w:rPr>
              <w:fldChar w:fldCharType="begin"/>
            </w:r>
            <w:r>
              <w:rPr>
                <w:rFonts w:hint="eastAsia" w:ascii="宋体" w:hAnsi="宋体"/>
                <w:bCs/>
                <w:color w:val="000000" w:themeColor="text1"/>
                <w:kern w:val="0"/>
                <w14:textFill>
                  <w14:solidFill>
                    <w14:schemeClr w14:val="tx1"/>
                  </w14:solidFill>
                </w14:textFill>
              </w:rPr>
              <w:instrText xml:space="preserve"> HYPERLINK "https://middle.gcy.zfcg.gxzf.gov.cn/budget-quota-index/" \l "/purchase/plan/details/22802899" \t "https://middle.gcy.zfcg.gxzf.gov.cn/purchaseplan_front/" \l "/plan/list/_blank" </w:instrText>
            </w:r>
            <w:r>
              <w:rPr>
                <w:rFonts w:hint="eastAsia" w:ascii="宋体" w:hAnsi="宋体"/>
                <w:bCs/>
                <w:color w:val="000000" w:themeColor="text1"/>
                <w:kern w:val="0"/>
                <w14:textFill>
                  <w14:solidFill>
                    <w14:schemeClr w14:val="tx1"/>
                  </w14:solidFill>
                </w14:textFill>
              </w:rPr>
              <w:fldChar w:fldCharType="separate"/>
            </w:r>
            <w:r>
              <w:rPr>
                <w:rFonts w:hint="eastAsia" w:ascii="宋体" w:hAnsi="宋体"/>
                <w:bCs/>
                <w:color w:val="000000" w:themeColor="text1"/>
                <w:kern w:val="0"/>
                <w14:textFill>
                  <w14:solidFill>
                    <w14:schemeClr w14:val="tx1"/>
                  </w14:solidFill>
                </w14:textFill>
              </w:rPr>
              <w:t>贺州学院2026-2028年互联网宽带接入服务</w:t>
            </w:r>
            <w:r>
              <w:rPr>
                <w:rFonts w:hint="eastAsia" w:ascii="宋体" w:hAnsi="宋体"/>
                <w:bCs/>
                <w:color w:val="000000" w:themeColor="text1"/>
                <w:kern w:val="0"/>
                <w14:textFill>
                  <w14:solidFill>
                    <w14:schemeClr w14:val="tx1"/>
                  </w14:solidFill>
                </w14:textFill>
              </w:rPr>
              <w:fldChar w:fldCharType="end"/>
            </w:r>
            <w:r>
              <w:rPr>
                <w:rFonts w:hint="eastAsia" w:ascii="宋体" w:hAnsi="宋体"/>
                <w:bCs/>
                <w:color w:val="000000" w:themeColor="text1"/>
                <w:kern w:val="0"/>
                <w14:textFill>
                  <w14:solidFill>
                    <w14:schemeClr w14:val="tx1"/>
                  </w14:solidFill>
                </w14:textFill>
              </w:rPr>
              <w:t>采购</w:t>
            </w:r>
            <w:r>
              <w:rPr>
                <w:rFonts w:hint="eastAsia" w:ascii="宋体" w:hAnsi="宋体"/>
                <w:bCs/>
                <w:color w:val="000000" w:themeColor="text1"/>
                <w:kern w:val="0"/>
                <w14:textFill>
                  <w14:solidFill>
                    <w14:schemeClr w14:val="tx1"/>
                  </w14:solidFill>
                </w14:textFill>
              </w:rPr>
              <w:fldChar w:fldCharType="end"/>
            </w:r>
            <w:r>
              <w:rPr>
                <w:rFonts w:hint="eastAsia" w:ascii="宋体" w:hAnsi="宋体"/>
                <w:bCs/>
                <w:color w:val="000000" w:themeColor="text1"/>
                <w:kern w:val="0"/>
                <w14:textFill>
                  <w14:solidFill>
                    <w14:schemeClr w14:val="tx1"/>
                  </w14:solidFill>
                </w14:textFill>
              </w:rPr>
              <w:t>的潜在供应商广西政府采购云平台（</w:t>
            </w:r>
            <w:r>
              <w:rPr>
                <w:rFonts w:hint="eastAsia" w:ascii="宋体" w:hAnsi="宋体"/>
                <w:b/>
                <w:color w:val="000000" w:themeColor="text1"/>
                <w:kern w:val="0"/>
                <w14:textFill>
                  <w14:solidFill>
                    <w14:schemeClr w14:val="tx1"/>
                  </w14:solidFill>
                </w14:textFill>
              </w:rPr>
              <w:t>网址：http://www.gcy.</w:t>
            </w:r>
            <w:r>
              <w:rPr>
                <w:rFonts w:hint="eastAsia" w:ascii="宋体" w:hAnsi="宋体"/>
                <w:b/>
                <w:color w:val="000000" w:themeColor="text1"/>
                <w:kern w:val="0"/>
                <w:lang w:val="en"/>
                <w14:textFill>
                  <w14:solidFill>
                    <w14:schemeClr w14:val="tx1"/>
                  </w14:solidFill>
                </w14:textFill>
              </w:rPr>
              <w:t>zfcg.gxzf.gov.</w:t>
            </w:r>
            <w:r>
              <w:rPr>
                <w:rFonts w:hint="eastAsia" w:ascii="宋体" w:hAnsi="宋体"/>
                <w:b/>
                <w:color w:val="000000" w:themeColor="text1"/>
                <w:kern w:val="0"/>
                <w14:textFill>
                  <w14:solidFill>
                    <w14:schemeClr w14:val="tx1"/>
                  </w14:solidFill>
                </w14:textFill>
              </w:rPr>
              <w:t>cn</w:t>
            </w:r>
            <w:r>
              <w:rPr>
                <w:rFonts w:hint="eastAsia" w:ascii="宋体" w:hAnsi="宋体"/>
                <w:b/>
                <w:color w:val="000000" w:themeColor="text1"/>
                <w:kern w:val="0"/>
                <w:lang w:val="en"/>
                <w14:textFill>
                  <w14:solidFill>
                    <w14:schemeClr w14:val="tx1"/>
                  </w14:solidFill>
                </w14:textFill>
              </w:rPr>
              <w:t>/</w:t>
            </w:r>
            <w:r>
              <w:rPr>
                <w:rFonts w:hint="eastAsia" w:ascii="宋体" w:hAnsi="宋体"/>
                <w:b/>
                <w:color w:val="000000" w:themeColor="text1"/>
                <w:kern w:val="0"/>
                <w14:textFill>
                  <w14:solidFill>
                    <w14:schemeClr w14:val="tx1"/>
                  </w14:solidFill>
                </w14:textFill>
              </w:rPr>
              <w:t>）</w:t>
            </w:r>
            <w:r>
              <w:rPr>
                <w:rFonts w:hint="eastAsia" w:ascii="宋体" w:hAnsi="宋体"/>
                <w:bCs/>
                <w:color w:val="000000" w:themeColor="text1"/>
                <w:kern w:val="0"/>
                <w14:textFill>
                  <w14:solidFill>
                    <w14:schemeClr w14:val="tx1"/>
                  </w14:solidFill>
                </w14:textFill>
              </w:rPr>
              <w:t>获取采购文件</w:t>
            </w:r>
            <w:r>
              <w:rPr>
                <w:rFonts w:hint="eastAsia" w:ascii="宋体" w:hAnsi="宋体"/>
                <w:b/>
                <w:color w:val="000000" w:themeColor="text1"/>
                <w:kern w:val="0"/>
                <w14:textFill>
                  <w14:solidFill>
                    <w14:schemeClr w14:val="tx1"/>
                  </w14:solidFill>
                </w14:textFill>
              </w:rPr>
              <w:t>，</w:t>
            </w:r>
            <w:r>
              <w:rPr>
                <w:rFonts w:hint="eastAsia" w:ascii="宋体" w:hAnsi="宋体"/>
                <w:bCs/>
                <w:color w:val="000000" w:themeColor="text1"/>
                <w:kern w:val="0"/>
                <w14:textFill>
                  <w14:solidFill>
                    <w14:schemeClr w14:val="tx1"/>
                  </w14:solidFill>
                </w14:textFill>
              </w:rPr>
              <w:t>并于</w:t>
            </w:r>
            <w:r>
              <w:rPr>
                <w:rFonts w:hint="eastAsia" w:ascii="宋体" w:hAnsi="宋体"/>
                <w:b/>
                <w:color w:val="000000" w:themeColor="text1"/>
                <w:kern w:val="0"/>
                <w:lang w:val="en"/>
                <w14:textFill>
                  <w14:solidFill>
                    <w14:schemeClr w14:val="tx1"/>
                  </w14:solidFill>
                </w14:textFill>
              </w:rPr>
              <w:t>202</w:t>
            </w:r>
            <w:r>
              <w:rPr>
                <w:rFonts w:hint="eastAsia" w:ascii="宋体" w:hAnsi="宋体"/>
                <w:b/>
                <w:color w:val="000000" w:themeColor="text1"/>
                <w:kern w:val="0"/>
                <w14:textFill>
                  <w14:solidFill>
                    <w14:schemeClr w14:val="tx1"/>
                  </w14:solidFill>
                </w14:textFill>
              </w:rPr>
              <w:t>6年</w:t>
            </w:r>
            <w:r>
              <w:rPr>
                <w:rFonts w:hint="eastAsia" w:ascii="宋体" w:hAnsi="宋体"/>
                <w:b/>
                <w:color w:val="000000" w:themeColor="text1"/>
                <w:kern w:val="0"/>
                <w:lang w:val="en-US" w:eastAsia="zh-CN"/>
                <w14:textFill>
                  <w14:solidFill>
                    <w14:schemeClr w14:val="tx1"/>
                  </w14:solidFill>
                </w14:textFill>
              </w:rPr>
              <w:t>8</w:t>
            </w:r>
            <w:r>
              <w:rPr>
                <w:rFonts w:hint="eastAsia" w:ascii="宋体" w:hAnsi="宋体"/>
                <w:b/>
                <w:color w:val="000000" w:themeColor="text1"/>
                <w:kern w:val="0"/>
                <w14:textFill>
                  <w14:solidFill>
                    <w14:schemeClr w14:val="tx1"/>
                  </w14:solidFill>
                </w14:textFill>
              </w:rPr>
              <w:t>月</w:t>
            </w:r>
            <w:r>
              <w:rPr>
                <w:rFonts w:hint="eastAsia" w:ascii="宋体" w:hAnsi="宋体"/>
                <w:b/>
                <w:color w:val="000000" w:themeColor="text1"/>
                <w:kern w:val="0"/>
                <w:lang w:val="en-US" w:eastAsia="zh-CN"/>
                <w14:textFill>
                  <w14:solidFill>
                    <w14:schemeClr w14:val="tx1"/>
                  </w14:solidFill>
                </w14:textFill>
              </w:rPr>
              <w:t xml:space="preserve"> </w:t>
            </w:r>
            <w:r>
              <w:rPr>
                <w:rFonts w:hint="eastAsia" w:ascii="宋体" w:hAnsi="宋体"/>
                <w:b/>
                <w:color w:val="000000" w:themeColor="text1"/>
                <w:kern w:val="0"/>
                <w14:textFill>
                  <w14:solidFill>
                    <w14:schemeClr w14:val="tx1"/>
                  </w14:solidFill>
                </w14:textFill>
              </w:rPr>
              <w:t>日 10:00（北京时间）</w:t>
            </w:r>
            <w:r>
              <w:rPr>
                <w:rFonts w:hint="eastAsia" w:ascii="宋体" w:hAnsi="宋体"/>
                <w:bCs/>
                <w:color w:val="000000" w:themeColor="text1"/>
                <w:kern w:val="0"/>
                <w14:textFill>
                  <w14:solidFill>
                    <w14:schemeClr w14:val="tx1"/>
                  </w14:solidFill>
                </w14:textFill>
              </w:rPr>
              <w:t>前提交响应文件。</w:t>
            </w:r>
          </w:p>
        </w:tc>
      </w:tr>
    </w:tbl>
    <w:p w14:paraId="0CAECD74">
      <w:pPr>
        <w:spacing w:line="440" w:lineRule="exact"/>
        <w:ind w:firstLine="420" w:firstLineChars="200"/>
        <w:rPr>
          <w:rFonts w:ascii="宋体" w:hAnsi="宋体"/>
          <w:color w:val="000000" w:themeColor="text1"/>
          <w14:textFill>
            <w14:solidFill>
              <w14:schemeClr w14:val="tx1"/>
            </w14:solidFill>
          </w14:textFill>
        </w:rPr>
      </w:pPr>
      <w:bookmarkStart w:id="4" w:name="_Toc28359089"/>
      <w:bookmarkEnd w:id="4"/>
      <w:bookmarkStart w:id="5" w:name="_Toc35393629"/>
      <w:bookmarkEnd w:id="5"/>
      <w:bookmarkStart w:id="6" w:name="_Toc35393798"/>
      <w:bookmarkEnd w:id="6"/>
      <w:bookmarkStart w:id="7" w:name="_Toc28359012"/>
      <w:bookmarkEnd w:id="7"/>
      <w:r>
        <w:rPr>
          <w:rFonts w:hint="eastAsia" w:ascii="宋体" w:hAnsi="宋体"/>
          <w:color w:val="000000" w:themeColor="text1"/>
          <w14:textFill>
            <w14:solidFill>
              <w14:schemeClr w14:val="tx1"/>
            </w14:solidFill>
          </w14:textFill>
        </w:rPr>
        <w:t>一、项目基本情况</w:t>
      </w:r>
    </w:p>
    <w:p w14:paraId="290C92F7">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项目编号：GXZC2026-C3-00</w:t>
      </w:r>
      <w:r>
        <w:rPr>
          <w:rFonts w:hint="eastAsia" w:ascii="宋体" w:hAnsi="宋体"/>
          <w:color w:val="000000" w:themeColor="text1"/>
          <w:lang w:val="en-US" w:eastAsia="zh-CN"/>
          <w14:textFill>
            <w14:solidFill>
              <w14:schemeClr w14:val="tx1"/>
            </w14:solidFill>
          </w14:textFill>
        </w:rPr>
        <w:t>xx</w:t>
      </w:r>
      <w:r>
        <w:rPr>
          <w:rFonts w:ascii="宋体" w:hAnsi="宋体"/>
          <w:color w:val="000000" w:themeColor="text1"/>
          <w14:textFill>
            <w14:solidFill>
              <w14:schemeClr w14:val="tx1"/>
            </w14:solidFill>
          </w14:textFill>
        </w:rPr>
        <w:t>-CGZX</w:t>
      </w:r>
    </w:p>
    <w:p w14:paraId="626ECD91">
      <w:pPr>
        <w:spacing w:line="440" w:lineRule="exact"/>
        <w:ind w:firstLine="420" w:firstLineChars="200"/>
        <w:rPr>
          <w:rFonts w:ascii="Arial Unicode MS" w:eastAsia="Arial Unicode MS" w:cs="微软雅黑"/>
          <w:color w:val="000000" w:themeColor="text1"/>
          <w:kern w:val="0"/>
          <w:sz w:val="44"/>
          <w:szCs w:val="44"/>
          <w:lang w:val="zh-CN"/>
          <w14:textFill>
            <w14:solidFill>
              <w14:schemeClr w14:val="tx1"/>
            </w14:solidFill>
          </w14:textFill>
        </w:rPr>
      </w:pPr>
      <w:r>
        <w:rPr>
          <w:rFonts w:ascii="宋体" w:hAnsi="宋体"/>
          <w:color w:val="000000" w:themeColor="text1"/>
          <w14:textFill>
            <w14:solidFill>
              <w14:schemeClr w14:val="tx1"/>
            </w14:solidFill>
          </w14:textFill>
        </w:rPr>
        <w:t>项目名称：</w:t>
      </w:r>
      <w:r>
        <w:rPr>
          <w:rFonts w:ascii="宋体" w:hAnsi="宋体"/>
          <w:color w:val="000000" w:themeColor="text1"/>
          <w14:textFill>
            <w14:solidFill>
              <w14:schemeClr w14:val="tx1"/>
            </w14:solidFill>
          </w14:textFill>
        </w:rPr>
        <w:fldChar w:fldCharType="begin"/>
      </w:r>
      <w:r>
        <w:rPr>
          <w:rFonts w:ascii="宋体" w:hAnsi="宋体"/>
          <w:color w:val="000000" w:themeColor="text1"/>
          <w14:textFill>
            <w14:solidFill>
              <w14:schemeClr w14:val="tx1"/>
            </w14:solidFill>
          </w14:textFill>
        </w:rPr>
        <w:instrText xml:space="preserve"> HYPERLINK "https://pay.gcy.zfcg.gxzf.gov.cn/budget-quota-index/" \l "/plan/list/_blank" \t "https://pay.gcy.zfcg.gxzf.gov.cn/purchaseplan_front/" </w:instrText>
      </w:r>
      <w:r>
        <w:rPr>
          <w:rFonts w:ascii="宋体" w:hAnsi="宋体"/>
          <w:color w:val="000000" w:themeColor="text1"/>
          <w14:textFill>
            <w14:solidFill>
              <w14:schemeClr w14:val="tx1"/>
            </w14:solidFill>
          </w14:textFill>
        </w:rPr>
        <w:fldChar w:fldCharType="separate"/>
      </w:r>
      <w:r>
        <w:rPr>
          <w:rFonts w:hint="eastAsia" w:ascii="宋体" w:hAnsi="宋体"/>
          <w:color w:val="000000" w:themeColor="text1"/>
          <w14:textFill>
            <w14:solidFill>
              <w14:schemeClr w14:val="tx1"/>
            </w14:solidFill>
          </w14:textFill>
        </w:rPr>
        <w:fldChar w:fldCharType="begin"/>
      </w:r>
      <w:r>
        <w:rPr>
          <w:rFonts w:hint="eastAsia" w:ascii="宋体" w:hAnsi="宋体"/>
          <w:color w:val="000000" w:themeColor="text1"/>
          <w14:textFill>
            <w14:solidFill>
              <w14:schemeClr w14:val="tx1"/>
            </w14:solidFill>
          </w14:textFill>
        </w:rPr>
        <w:instrText xml:space="preserve"> HYPERLINK "https://middle.gcy.zfcg.gxzf.gov.cn/budget-quota-index/" \l "/purchase/plan/details/22802899" \t "https://middle.gcy.zfcg.gxzf.gov.cn/purchaseplan_front/" \l "/plan/list/_blank" </w:instrText>
      </w:r>
      <w:r>
        <w:rPr>
          <w:rFonts w:hint="eastAsia" w:ascii="宋体" w:hAnsi="宋体"/>
          <w:color w:val="000000" w:themeColor="text1"/>
          <w14:textFill>
            <w14:solidFill>
              <w14:schemeClr w14:val="tx1"/>
            </w14:solidFill>
          </w14:textFill>
        </w:rPr>
        <w:fldChar w:fldCharType="separate"/>
      </w:r>
      <w:r>
        <w:rPr>
          <w:rFonts w:hint="eastAsia" w:ascii="宋体" w:hAnsi="宋体"/>
          <w:color w:val="000000" w:themeColor="text1"/>
          <w14:textFill>
            <w14:solidFill>
              <w14:schemeClr w14:val="tx1"/>
            </w14:solidFill>
          </w14:textFill>
        </w:rPr>
        <w:t>贺州学院2026-2028年互联网宽带接入服务</w:t>
      </w:r>
      <w:r>
        <w:rPr>
          <w:rFonts w:hint="eastAsia" w:ascii="宋体" w:hAnsi="宋体"/>
          <w:color w:val="000000" w:themeColor="text1"/>
          <w14:textFill>
            <w14:solidFill>
              <w14:schemeClr w14:val="tx1"/>
            </w14:solidFill>
          </w14:textFill>
        </w:rPr>
        <w:fldChar w:fldCharType="end"/>
      </w:r>
      <w:r>
        <w:rPr>
          <w:rFonts w:hint="eastAsia" w:ascii="宋体" w:hAnsi="宋体"/>
          <w:color w:val="000000" w:themeColor="text1"/>
          <w14:textFill>
            <w14:solidFill>
              <w14:schemeClr w14:val="tx1"/>
            </w14:solidFill>
          </w14:textFill>
        </w:rPr>
        <w:t>采购</w:t>
      </w:r>
      <w:r>
        <w:rPr>
          <w:rFonts w:ascii="宋体" w:hAnsi="宋体"/>
          <w:color w:val="000000" w:themeColor="text1"/>
          <w14:textFill>
            <w14:solidFill>
              <w14:schemeClr w14:val="tx1"/>
            </w14:solidFill>
          </w14:textFill>
        </w:rPr>
        <w:fldChar w:fldCharType="end"/>
      </w:r>
      <w:r>
        <w:rPr>
          <w:rFonts w:hint="eastAsia" w:ascii="Arial Unicode MS" w:eastAsia="Arial Unicode MS" w:cs="微软雅黑"/>
          <w:color w:val="000000" w:themeColor="text1"/>
          <w:kern w:val="0"/>
          <w:sz w:val="44"/>
          <w:szCs w:val="44"/>
          <w:lang w:val="zh-CN"/>
          <w14:textFill>
            <w14:solidFill>
              <w14:schemeClr w14:val="tx1"/>
            </w14:solidFill>
          </w14:textFill>
        </w:rPr>
        <w:t xml:space="preserve"> </w:t>
      </w:r>
    </w:p>
    <w:p w14:paraId="4FD12A96">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采购</w:t>
      </w:r>
      <w:r>
        <w:rPr>
          <w:rFonts w:ascii="宋体" w:hAnsi="宋体"/>
          <w:color w:val="000000" w:themeColor="text1"/>
          <w14:textFill>
            <w14:solidFill>
              <w14:schemeClr w14:val="tx1"/>
            </w14:solidFill>
          </w14:textFill>
        </w:rPr>
        <w:t>方式：竞争性磋商 </w:t>
      </w:r>
    </w:p>
    <w:p w14:paraId="265BA073">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预算总金额（元）：</w:t>
      </w:r>
      <w:r>
        <w:rPr>
          <w:rFonts w:hint="eastAsia" w:ascii="宋体" w:hAnsi="宋体"/>
          <w:color w:val="000000" w:themeColor="text1"/>
          <w:lang w:val="en-US" w:eastAsia="zh-CN"/>
          <w14:textFill>
            <w14:solidFill>
              <w14:schemeClr w14:val="tx1"/>
            </w14:solidFill>
          </w14:textFill>
        </w:rPr>
        <w:t>1788000</w:t>
      </w:r>
      <w:r>
        <w:rPr>
          <w:rFonts w:ascii="宋体" w:hAnsi="宋体"/>
          <w:color w:val="000000" w:themeColor="text1"/>
          <w14:textFill>
            <w14:solidFill>
              <w14:schemeClr w14:val="tx1"/>
            </w14:solidFill>
          </w14:textFill>
        </w:rPr>
        <w:t>  </w:t>
      </w:r>
    </w:p>
    <w:p w14:paraId="24271B18">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采购需求：</w:t>
      </w:r>
    </w:p>
    <w:p w14:paraId="0B472DDB">
      <w:pPr>
        <w:spacing w:line="440" w:lineRule="exact"/>
        <w:ind w:left="420" w:left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标项一 </w:t>
      </w:r>
      <w:r>
        <w:rPr>
          <w:rFonts w:hint="eastAsia"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标项名称：</w:t>
      </w:r>
      <w:r>
        <w:rPr>
          <w:rFonts w:hint="eastAsia"/>
          <w:color w:val="000000" w:themeColor="text1"/>
          <w14:textFill>
            <w14:solidFill>
              <w14:schemeClr w14:val="tx1"/>
            </w14:solidFill>
          </w14:textFill>
        </w:rPr>
        <w:t>贺州学院2026-202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年互联网专线接入服务</w:t>
      </w:r>
      <w:r>
        <w:rPr>
          <w:rFonts w:hint="eastAsia"/>
          <w:color w:val="000000" w:themeColor="text1"/>
          <w:lang w:val="en-US" w:eastAsia="zh-CN"/>
          <w14:textFill>
            <w14:solidFill>
              <w14:schemeClr w14:val="tx1"/>
            </w14:solidFill>
          </w14:textFill>
        </w:rPr>
        <w:t>一</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数量:</w:t>
      </w: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预算金额（元）:</w:t>
      </w:r>
      <w:r>
        <w:rPr>
          <w:rFonts w:hint="eastAsia" w:ascii="宋体" w:hAnsi="宋体"/>
          <w:color w:val="000000" w:themeColor="text1"/>
          <w:lang w:val="en-US" w:eastAsia="zh-CN"/>
          <w14:textFill>
            <w14:solidFill>
              <w14:schemeClr w14:val="tx1"/>
            </w14:solidFill>
          </w14:textFill>
        </w:rPr>
        <w:t>408000</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00</w:t>
      </w:r>
    </w:p>
    <w:p w14:paraId="44B6DEA2">
      <w:pPr>
        <w:spacing w:line="440" w:lineRule="exact"/>
        <w:ind w:left="420" w:left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简要规格描述或项目基本概况介绍、用途：</w:t>
      </w:r>
      <w:r>
        <w:rPr>
          <w:rFonts w:hint="eastAsia" w:ascii="宋体" w:hAnsi="宋体"/>
          <w:color w:val="000000" w:themeColor="text1"/>
          <w14:textFill>
            <w14:solidFill>
              <w14:schemeClr w14:val="tx1"/>
            </w14:solidFill>
          </w14:textFill>
        </w:rPr>
        <w:t>办公</w:t>
      </w:r>
      <w:r>
        <w:rPr>
          <w:rFonts w:hint="eastAsia" w:ascii="宋体" w:hAnsi="宋体"/>
          <w:color w:val="000000" w:themeColor="text1"/>
          <w:lang w:val="en-US" w:eastAsia="zh-CN"/>
          <w14:textFill>
            <w14:solidFill>
              <w14:schemeClr w14:val="tx1"/>
            </w14:solidFill>
          </w14:textFill>
        </w:rPr>
        <w:t>教学</w:t>
      </w:r>
      <w:r>
        <w:rPr>
          <w:rFonts w:hint="eastAsia" w:ascii="宋体" w:hAnsi="宋体"/>
          <w:color w:val="000000" w:themeColor="text1"/>
          <w14:textFill>
            <w14:solidFill>
              <w14:schemeClr w14:val="tx1"/>
            </w14:solidFill>
          </w14:textFill>
        </w:rPr>
        <w:t>区互联网专线业务接入服务</w:t>
      </w:r>
      <w:r>
        <w:rPr>
          <w:rFonts w:ascii="宋体" w:hAnsi="宋体"/>
          <w:color w:val="000000" w:themeColor="text1"/>
          <w14:textFill>
            <w14:solidFill>
              <w14:schemeClr w14:val="tx1"/>
            </w14:solidFill>
          </w14:textFill>
        </w:rPr>
        <w:t>1项</w:t>
      </w:r>
      <w:r>
        <w:rPr>
          <w:rFonts w:hint="eastAsia" w:ascii="宋体" w:hAnsi="宋体"/>
          <w:color w:val="000000" w:themeColor="text1"/>
          <w:lang w:eastAsia="zh-CN"/>
          <w14:textFill>
            <w14:solidFill>
              <w14:schemeClr w14:val="tx1"/>
            </w14:solidFill>
          </w14:textFill>
        </w:rPr>
        <w:t>。</w:t>
      </w:r>
      <w:r>
        <w:rPr>
          <w:rFonts w:ascii="宋体" w:hAnsi="宋体"/>
          <w:color w:val="000000" w:themeColor="text1"/>
          <w14:textFill>
            <w14:solidFill>
              <w14:schemeClr w14:val="tx1"/>
            </w14:solidFill>
          </w14:textFill>
        </w:rPr>
        <w:t>详见采购文件。</w:t>
      </w:r>
    </w:p>
    <w:p w14:paraId="3687CFE8">
      <w:pPr>
        <w:pStyle w:val="33"/>
        <w:ind w:left="420" w:leftChars="200" w:firstLine="0" w:firstLineChars="0"/>
        <w:rPr>
          <w:rFonts w:hAnsi="宋体"/>
          <w:b w:val="0"/>
          <w:bCs/>
          <w:color w:val="000000" w:themeColor="text1"/>
          <w14:textFill>
            <w14:solidFill>
              <w14:schemeClr w14:val="tx1"/>
            </w14:solidFill>
          </w14:textFill>
        </w:rPr>
      </w:pPr>
      <w:r>
        <w:rPr>
          <w:rFonts w:hint="eastAsia" w:hAnsi="宋体"/>
          <w:b w:val="0"/>
          <w:bCs/>
          <w:color w:val="000000" w:themeColor="text1"/>
          <w14:textFill>
            <w14:solidFill>
              <w14:schemeClr w14:val="tx1"/>
            </w14:solidFill>
          </w14:textFill>
        </w:rPr>
        <w:t>标项二 </w:t>
      </w:r>
      <w:r>
        <w:rPr>
          <w:rFonts w:hint="eastAsia" w:hAnsi="宋体"/>
          <w:b w:val="0"/>
          <w:bCs/>
          <w:color w:val="000000" w:themeColor="text1"/>
          <w14:textFill>
            <w14:solidFill>
              <w14:schemeClr w14:val="tx1"/>
            </w14:solidFill>
          </w14:textFill>
        </w:rPr>
        <w:br w:type="textWrapping"/>
      </w:r>
      <w:r>
        <w:rPr>
          <w:rFonts w:hint="eastAsia" w:ascii="宋体" w:hAnsi="宋体"/>
          <w:b w:val="0"/>
          <w:bCs/>
          <w:color w:val="000000" w:themeColor="text1"/>
          <w14:textFill>
            <w14:solidFill>
              <w14:schemeClr w14:val="tx1"/>
            </w14:solidFill>
          </w14:textFill>
        </w:rPr>
        <w:t>标项名称：</w:t>
      </w:r>
      <w:r>
        <w:rPr>
          <w:rFonts w:hint="eastAsia"/>
          <w:b w:val="0"/>
          <w:bCs/>
          <w:color w:val="000000" w:themeColor="text1"/>
          <w14:textFill>
            <w14:solidFill>
              <w14:schemeClr w14:val="tx1"/>
            </w14:solidFill>
          </w14:textFill>
        </w:rPr>
        <w:t>贺州学院2026-202</w:t>
      </w:r>
      <w:r>
        <w:rPr>
          <w:rFonts w:hint="eastAsia"/>
          <w:b w:val="0"/>
          <w:bCs/>
          <w:color w:val="000000" w:themeColor="text1"/>
          <w:lang w:val="en-US" w:eastAsia="zh-CN"/>
          <w14:textFill>
            <w14:solidFill>
              <w14:schemeClr w14:val="tx1"/>
            </w14:solidFill>
          </w14:textFill>
        </w:rPr>
        <w:t>8</w:t>
      </w:r>
      <w:r>
        <w:rPr>
          <w:rFonts w:hint="eastAsia"/>
          <w:b w:val="0"/>
          <w:bCs/>
          <w:color w:val="000000" w:themeColor="text1"/>
          <w14:textFill>
            <w14:solidFill>
              <w14:schemeClr w14:val="tx1"/>
            </w14:solidFill>
          </w14:textFill>
        </w:rPr>
        <w:t>年互联网专线接入服务</w:t>
      </w:r>
      <w:r>
        <w:rPr>
          <w:rFonts w:hint="eastAsia"/>
          <w:b w:val="0"/>
          <w:bCs/>
          <w:color w:val="000000" w:themeColor="text1"/>
          <w:lang w:val="en-US" w:eastAsia="zh-CN"/>
          <w14:textFill>
            <w14:solidFill>
              <w14:schemeClr w14:val="tx1"/>
            </w14:solidFill>
          </w14:textFill>
        </w:rPr>
        <w:t>二</w:t>
      </w:r>
      <w:r>
        <w:rPr>
          <w:rFonts w:hAnsi="宋体"/>
          <w:b w:val="0"/>
          <w:bCs/>
          <w:color w:val="000000" w:themeColor="text1"/>
          <w14:textFill>
            <w14:solidFill>
              <w14:schemeClr w14:val="tx1"/>
            </w14:solidFill>
          </w14:textFill>
        </w:rPr>
        <w:br w:type="textWrapping"/>
      </w:r>
      <w:r>
        <w:rPr>
          <w:rFonts w:hAnsi="宋体"/>
          <w:b w:val="0"/>
          <w:bCs/>
          <w:color w:val="000000" w:themeColor="text1"/>
          <w14:textFill>
            <w14:solidFill>
              <w14:schemeClr w14:val="tx1"/>
            </w14:solidFill>
          </w14:textFill>
        </w:rPr>
        <w:t>数量:</w:t>
      </w:r>
      <w:r>
        <w:rPr>
          <w:rFonts w:hint="eastAsia" w:hAnsi="宋体"/>
          <w:b w:val="0"/>
          <w:bCs/>
          <w:color w:val="000000" w:themeColor="text1"/>
          <w14:textFill>
            <w14:solidFill>
              <w14:schemeClr w14:val="tx1"/>
            </w14:solidFill>
          </w14:textFill>
        </w:rPr>
        <w:t>1</w:t>
      </w:r>
      <w:r>
        <w:rPr>
          <w:rFonts w:hAnsi="宋体"/>
          <w:b w:val="0"/>
          <w:bCs/>
          <w:color w:val="000000" w:themeColor="text1"/>
          <w14:textFill>
            <w14:solidFill>
              <w14:schemeClr w14:val="tx1"/>
            </w14:solidFill>
          </w14:textFill>
        </w:rPr>
        <w:br w:type="textWrapping"/>
      </w:r>
      <w:r>
        <w:rPr>
          <w:rFonts w:hAnsi="宋体"/>
          <w:b w:val="0"/>
          <w:bCs/>
          <w:color w:val="000000" w:themeColor="text1"/>
          <w14:textFill>
            <w14:solidFill>
              <w14:schemeClr w14:val="tx1"/>
            </w14:solidFill>
          </w14:textFill>
        </w:rPr>
        <w:t>预算金额（元）:</w:t>
      </w:r>
      <w:r>
        <w:rPr>
          <w:rFonts w:hint="eastAsia" w:hAnsi="宋体"/>
          <w:b w:val="0"/>
          <w:bCs/>
          <w:color w:val="000000" w:themeColor="text1"/>
          <w:lang w:val="en-US" w:eastAsia="zh-CN"/>
          <w14:textFill>
            <w14:solidFill>
              <w14:schemeClr w14:val="tx1"/>
            </w14:solidFill>
          </w14:textFill>
        </w:rPr>
        <w:t>612000</w:t>
      </w:r>
      <w:r>
        <w:rPr>
          <w:rFonts w:hAnsi="宋体"/>
          <w:b w:val="0"/>
          <w:bCs/>
          <w:color w:val="000000" w:themeColor="text1"/>
          <w14:textFill>
            <w14:solidFill>
              <w14:schemeClr w14:val="tx1"/>
            </w14:solidFill>
          </w14:textFill>
        </w:rPr>
        <w:t>.00</w:t>
      </w:r>
      <w:r>
        <w:rPr>
          <w:rFonts w:hAnsi="宋体"/>
          <w:b w:val="0"/>
          <w:bCs/>
          <w:color w:val="000000" w:themeColor="text1"/>
          <w14:textFill>
            <w14:solidFill>
              <w14:schemeClr w14:val="tx1"/>
            </w14:solidFill>
          </w14:textFill>
        </w:rPr>
        <w:br w:type="textWrapping"/>
      </w:r>
      <w:r>
        <w:rPr>
          <w:rFonts w:hAnsi="宋体"/>
          <w:b w:val="0"/>
          <w:bCs/>
          <w:color w:val="000000" w:themeColor="text1"/>
          <w14:textFill>
            <w14:solidFill>
              <w14:schemeClr w14:val="tx1"/>
            </w14:solidFill>
          </w14:textFill>
        </w:rPr>
        <w:t>简要规格描述或项目基本概况介绍、用途：</w:t>
      </w:r>
      <w:r>
        <w:rPr>
          <w:rFonts w:hint="eastAsia" w:hAnsi="宋体"/>
          <w:b w:val="0"/>
          <w:bCs/>
          <w:color w:val="000000" w:themeColor="text1"/>
          <w14:textFill>
            <w14:solidFill>
              <w14:schemeClr w14:val="tx1"/>
            </w14:solidFill>
          </w14:textFill>
        </w:rPr>
        <w:t>办公</w:t>
      </w:r>
      <w:r>
        <w:rPr>
          <w:rFonts w:hint="eastAsia" w:hAnsi="宋体"/>
          <w:b w:val="0"/>
          <w:bCs/>
          <w:color w:val="000000" w:themeColor="text1"/>
          <w:lang w:val="en-US" w:eastAsia="zh-CN"/>
          <w14:textFill>
            <w14:solidFill>
              <w14:schemeClr w14:val="tx1"/>
            </w14:solidFill>
          </w14:textFill>
        </w:rPr>
        <w:t>教学</w:t>
      </w:r>
      <w:r>
        <w:rPr>
          <w:rFonts w:hint="eastAsia" w:hAnsi="宋体"/>
          <w:b w:val="0"/>
          <w:bCs/>
          <w:color w:val="000000" w:themeColor="text1"/>
          <w14:textFill>
            <w14:solidFill>
              <w14:schemeClr w14:val="tx1"/>
            </w14:solidFill>
          </w14:textFill>
        </w:rPr>
        <w:t>区互联网专线业务接入服务</w:t>
      </w:r>
      <w:r>
        <w:rPr>
          <w:rFonts w:hAnsi="宋体"/>
          <w:b w:val="0"/>
          <w:bCs/>
          <w:color w:val="000000" w:themeColor="text1"/>
          <w14:textFill>
            <w14:solidFill>
              <w14:schemeClr w14:val="tx1"/>
            </w14:solidFill>
          </w14:textFill>
        </w:rPr>
        <w:t>1项</w:t>
      </w:r>
      <w:r>
        <w:rPr>
          <w:rFonts w:hint="eastAsia" w:hAnsi="宋体"/>
          <w:b w:val="0"/>
          <w:bCs/>
          <w:color w:val="000000" w:themeColor="text1"/>
          <w14:textFill>
            <w14:solidFill>
              <w14:schemeClr w14:val="tx1"/>
            </w14:solidFill>
          </w14:textFill>
        </w:rPr>
        <w:t>。</w:t>
      </w:r>
      <w:r>
        <w:rPr>
          <w:rFonts w:hAnsi="宋体"/>
          <w:b w:val="0"/>
          <w:bCs/>
          <w:color w:val="000000" w:themeColor="text1"/>
          <w14:textFill>
            <w14:solidFill>
              <w14:schemeClr w14:val="tx1"/>
            </w14:solidFill>
          </w14:textFill>
        </w:rPr>
        <w:t>详见采购文件。</w:t>
      </w:r>
    </w:p>
    <w:p w14:paraId="133FD612">
      <w:pPr>
        <w:ind w:left="420" w:hanging="420" w:hangingChars="200"/>
        <w:rPr>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标项三 </w:t>
      </w:r>
      <w:r>
        <w:rPr>
          <w:rFonts w:hint="eastAsia"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标项名称：</w:t>
      </w:r>
      <w:r>
        <w:rPr>
          <w:rFonts w:hint="eastAsia" w:ascii="宋体" w:hAnsi="宋体"/>
          <w:bCs/>
          <w:color w:val="000000" w:themeColor="text1"/>
          <w:kern w:val="0"/>
          <w14:textFill>
            <w14:solidFill>
              <w14:schemeClr w14:val="tx1"/>
            </w14:solidFill>
          </w14:textFill>
        </w:rPr>
        <w:t>贺州学院2026-2028年互联网专线接入服务</w:t>
      </w:r>
      <w:r>
        <w:rPr>
          <w:rFonts w:hint="eastAsia" w:ascii="宋体" w:hAnsi="宋体"/>
          <w:bCs/>
          <w:color w:val="000000" w:themeColor="text1"/>
          <w:kern w:val="0"/>
          <w:lang w:val="en-US" w:eastAsia="zh-CN"/>
          <w14:textFill>
            <w14:solidFill>
              <w14:schemeClr w14:val="tx1"/>
            </w14:solidFill>
          </w14:textFill>
        </w:rPr>
        <w:t>三</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数量:</w:t>
      </w: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预算金额（元）:</w:t>
      </w:r>
      <w:r>
        <w:rPr>
          <w:rFonts w:hint="eastAsia" w:ascii="宋体" w:hAnsi="宋体"/>
          <w:color w:val="000000" w:themeColor="text1"/>
          <w:lang w:val="en-US" w:eastAsia="zh-CN"/>
          <w14:textFill>
            <w14:solidFill>
              <w14:schemeClr w14:val="tx1"/>
            </w14:solidFill>
          </w14:textFill>
        </w:rPr>
        <w:t>768000</w:t>
      </w:r>
      <w:r>
        <w:rPr>
          <w:rFonts w:ascii="宋体" w:hAnsi="宋体"/>
          <w:color w:val="000000" w:themeColor="text1"/>
          <w14:textFill>
            <w14:solidFill>
              <w14:schemeClr w14:val="tx1"/>
            </w14:solidFill>
          </w14:textFill>
        </w:rPr>
        <w:t>.00</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简要规格描述或项目基本概况介绍、用途：</w:t>
      </w:r>
      <w:r>
        <w:rPr>
          <w:rFonts w:hint="eastAsia" w:hAnsi="宋体"/>
          <w:b w:val="0"/>
          <w:bCs/>
          <w:color w:val="000000" w:themeColor="text1"/>
          <w14:textFill>
            <w14:solidFill>
              <w14:schemeClr w14:val="tx1"/>
            </w14:solidFill>
          </w14:textFill>
        </w:rPr>
        <w:t>办公</w:t>
      </w:r>
      <w:r>
        <w:rPr>
          <w:rFonts w:hint="eastAsia" w:hAnsi="宋体"/>
          <w:b w:val="0"/>
          <w:bCs/>
          <w:color w:val="000000" w:themeColor="text1"/>
          <w:lang w:val="en-US" w:eastAsia="zh-CN"/>
          <w14:textFill>
            <w14:solidFill>
              <w14:schemeClr w14:val="tx1"/>
            </w14:solidFill>
          </w14:textFill>
        </w:rPr>
        <w:t>教学</w:t>
      </w:r>
      <w:r>
        <w:rPr>
          <w:rFonts w:hint="eastAsia" w:hAnsi="宋体"/>
          <w:b w:val="0"/>
          <w:bCs/>
          <w:color w:val="000000" w:themeColor="text1"/>
          <w14:textFill>
            <w14:solidFill>
              <w14:schemeClr w14:val="tx1"/>
            </w14:solidFill>
          </w14:textFill>
        </w:rPr>
        <w:t>区互联网专线业务接入服务</w:t>
      </w:r>
      <w:r>
        <w:rPr>
          <w:rFonts w:hAnsi="宋体"/>
          <w:b w:val="0"/>
          <w:bCs/>
          <w:color w:val="000000" w:themeColor="text1"/>
          <w14:textFill>
            <w14:solidFill>
              <w14:schemeClr w14:val="tx1"/>
            </w14:solidFill>
          </w14:textFill>
        </w:rPr>
        <w:t>1项</w:t>
      </w:r>
      <w:r>
        <w:rPr>
          <w:rFonts w:hint="eastAsia" w:hAnsi="宋体"/>
          <w:b w:val="0"/>
          <w:bCs/>
          <w:color w:val="000000" w:themeColor="text1"/>
          <w14:textFill>
            <w14:solidFill>
              <w14:schemeClr w14:val="tx1"/>
            </w14:solidFill>
          </w14:textFill>
        </w:rPr>
        <w:t>。</w:t>
      </w:r>
      <w:r>
        <w:rPr>
          <w:rFonts w:ascii="宋体" w:hAnsi="宋体"/>
          <w:color w:val="000000" w:themeColor="text1"/>
          <w14:textFill>
            <w14:solidFill>
              <w14:schemeClr w14:val="tx1"/>
            </w14:solidFill>
          </w14:textFill>
        </w:rPr>
        <w:t>详见采购文件。</w:t>
      </w:r>
    </w:p>
    <w:p w14:paraId="13041B67">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最高限价（如有）：/</w:t>
      </w:r>
    </w:p>
    <w:p w14:paraId="1F9BEE00">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合同履约期限：</w:t>
      </w:r>
      <w:r>
        <w:rPr>
          <w:rFonts w:hint="eastAsia" w:ascii="宋体" w:hAnsi="宋体"/>
          <w:color w:val="000000" w:themeColor="text1"/>
          <w14:textFill>
            <w14:solidFill>
              <w14:schemeClr w14:val="tx1"/>
            </w14:solidFill>
          </w14:textFill>
        </w:rPr>
        <w:t>自业务交付并经双方验收合格之日起</w:t>
      </w:r>
      <w:r>
        <w:rPr>
          <w:rFonts w:hint="eastAsia" w:ascii="宋体" w:hAnsi="宋体"/>
          <w:color w:val="000000" w:themeColor="text1"/>
          <w:lang w:val="en-US" w:eastAsia="zh-CN"/>
          <w14:textFill>
            <w14:solidFill>
              <w14:schemeClr w14:val="tx1"/>
            </w14:solidFill>
          </w14:textFill>
        </w:rPr>
        <w:t>24</w:t>
      </w:r>
      <w:r>
        <w:rPr>
          <w:rFonts w:hint="eastAsia" w:ascii="宋体" w:hAnsi="宋体"/>
          <w:color w:val="000000" w:themeColor="text1"/>
          <w14:textFill>
            <w14:solidFill>
              <w14:schemeClr w14:val="tx1"/>
            </w14:solidFill>
          </w14:textFill>
        </w:rPr>
        <w:t>个月。</w:t>
      </w:r>
    </w:p>
    <w:p w14:paraId="3C063697">
      <w:pPr>
        <w:spacing w:line="440" w:lineRule="exact"/>
        <w:ind w:left="420" w:left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本标项（否）接受联合体投标</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备注：本项目为线上电子招标项目，有意向参与本项目的供应商应当做好参与全流程电子招投标交易的充分准备。</w:t>
      </w:r>
    </w:p>
    <w:p w14:paraId="5569085C">
      <w:pPr>
        <w:numPr>
          <w:ilvl w:val="0"/>
          <w:numId w:val="1"/>
        </w:numPr>
        <w:spacing w:line="440" w:lineRule="exact"/>
        <w:ind w:firstLine="420" w:firstLineChars="20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申请人的资格要求：</w:t>
      </w:r>
    </w:p>
    <w:p w14:paraId="39729288">
      <w:pPr>
        <w:pStyle w:val="32"/>
        <w:spacing w:before="75" w:beforeAutospacing="0" w:after="75" w:afterAutospacing="0" w:line="380" w:lineRule="exact"/>
        <w:ind w:firstLine="840" w:firstLineChars="4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1.满足《中华人民共和国政府采购法》第二十二条规定；</w:t>
      </w:r>
    </w:p>
    <w:p w14:paraId="7B6C2E77">
      <w:pPr>
        <w:pStyle w:val="32"/>
        <w:spacing w:before="75" w:beforeAutospacing="0" w:after="75" w:afterAutospacing="0" w:line="380" w:lineRule="exac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2.落实政府采购政策需满足的资格要求：无 </w:t>
      </w:r>
    </w:p>
    <w:p w14:paraId="003F7AE1">
      <w:pPr>
        <w:pStyle w:val="33"/>
        <w:ind w:firstLine="0" w:firstLineChars="0"/>
        <w:jc w:val="left"/>
        <w:rPr>
          <w:rFonts w:hAnsi="宋体" w:cs="宋体"/>
          <w:color w:val="000000" w:themeColor="text1"/>
          <w:kern w:val="0"/>
          <w14:textFill>
            <w14:solidFill>
              <w14:schemeClr w14:val="tx1"/>
            </w14:solidFill>
          </w14:textFill>
        </w:rPr>
      </w:pPr>
      <w:r>
        <w:rPr>
          <w:rFonts w:hint="eastAsia"/>
          <w:color w:val="000000" w:themeColor="text1"/>
          <w:szCs w:val="21"/>
          <w14:textFill>
            <w14:solidFill>
              <w14:schemeClr w14:val="tx1"/>
            </w14:solidFill>
          </w14:textFill>
        </w:rPr>
        <w:t xml:space="preserve">       </w:t>
      </w:r>
      <w:r>
        <w:rPr>
          <w:color w:val="000000" w:themeColor="text1"/>
          <w:szCs w:val="21"/>
          <w:lang w:val="en"/>
          <w14:textFill>
            <w14:solidFill>
              <w14:schemeClr w14:val="tx1"/>
            </w14:solidFill>
          </w14:textFill>
        </w:rPr>
        <w:t xml:space="preserve"> </w:t>
      </w:r>
      <w:r>
        <w:rPr>
          <w:rFonts w:hint="eastAsia"/>
          <w:b w:val="0"/>
          <w:bCs/>
          <w:color w:val="000000" w:themeColor="text1"/>
          <w:szCs w:val="21"/>
          <w14:textFill>
            <w14:solidFill>
              <w14:schemeClr w14:val="tx1"/>
            </w14:solidFill>
          </w14:textFill>
        </w:rPr>
        <w:t>3.本项目的特定资格要求：</w:t>
      </w:r>
      <w:r>
        <w:rPr>
          <w:rFonts w:hAnsi="宋体" w:cs="宋体"/>
          <w:color w:val="000000" w:themeColor="text1"/>
          <w:kern w:val="0"/>
          <w14:textFill>
            <w14:solidFill>
              <w14:schemeClr w14:val="tx1"/>
            </w14:solidFill>
          </w14:textFill>
        </w:rPr>
        <w:t>基础电信运营商或具有基础电信运营商有效授权的供应商。</w:t>
      </w:r>
    </w:p>
    <w:p w14:paraId="1E59AFBB">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三、获取采购文件</w:t>
      </w:r>
    </w:p>
    <w:p w14:paraId="71B74FEE">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时间：202</w:t>
      </w:r>
      <w:r>
        <w:rPr>
          <w:rFonts w:hint="eastAsia" w:ascii="宋体" w:hAnsi="宋体"/>
          <w:color w:val="000000" w:themeColor="text1"/>
          <w14:textFill>
            <w14:solidFill>
              <w14:schemeClr w14:val="tx1"/>
            </w14:solidFill>
          </w14:textFill>
        </w:rPr>
        <w:t>6</w:t>
      </w:r>
      <w:r>
        <w:rPr>
          <w:rFonts w:ascii="宋体" w:hAnsi="宋体"/>
          <w:color w:val="000000" w:themeColor="text1"/>
          <w14:textFill>
            <w14:solidFill>
              <w14:schemeClr w14:val="tx1"/>
            </w14:solidFill>
          </w14:textFill>
        </w:rPr>
        <w:t>年</w:t>
      </w:r>
      <w:r>
        <w:rPr>
          <w:rFonts w:hint="eastAsia" w:ascii="宋体" w:hAnsi="宋体"/>
          <w:color w:val="000000" w:themeColor="text1"/>
          <w:lang w:val="en-US" w:eastAsia="zh-CN"/>
          <w14:textFill>
            <w14:solidFill>
              <w14:schemeClr w14:val="tx1"/>
            </w14:solidFill>
          </w14:textFill>
        </w:rPr>
        <w:t>7</w:t>
      </w:r>
      <w:r>
        <w:rPr>
          <w:rFonts w:ascii="宋体" w:hAnsi="宋体"/>
          <w:color w:val="000000" w:themeColor="text1"/>
          <w14:textFill>
            <w14:solidFill>
              <w14:schemeClr w14:val="tx1"/>
            </w14:solidFill>
          </w14:textFill>
        </w:rPr>
        <w:t>月</w:t>
      </w:r>
      <w:r>
        <w:rPr>
          <w:rFonts w:hint="eastAsia" w:ascii="宋体" w:hAnsi="宋体"/>
          <w:color w:val="000000" w:themeColor="text1"/>
          <w:lang w:val="en-US" w:eastAsia="zh-CN"/>
          <w14:textFill>
            <w14:solidFill>
              <w14:schemeClr w14:val="tx1"/>
            </w14:solidFill>
          </w14:textFill>
        </w:rPr>
        <w:t xml:space="preserve"> </w:t>
      </w:r>
      <w:r>
        <w:rPr>
          <w:rFonts w:ascii="宋体" w:hAnsi="宋体"/>
          <w:color w:val="000000" w:themeColor="text1"/>
          <w14:textFill>
            <w14:solidFill>
              <w14:schemeClr w14:val="tx1"/>
            </w14:solidFill>
          </w14:textFill>
        </w:rPr>
        <w:t>日至20</w:t>
      </w:r>
      <w:r>
        <w:rPr>
          <w:rFonts w:hint="eastAsia" w:ascii="宋体" w:hAnsi="宋体"/>
          <w:color w:val="000000" w:themeColor="text1"/>
          <w14:textFill>
            <w14:solidFill>
              <w14:schemeClr w14:val="tx1"/>
            </w14:solidFill>
          </w14:textFill>
        </w:rPr>
        <w:t>26</w:t>
      </w:r>
      <w:r>
        <w:rPr>
          <w:rFonts w:ascii="宋体" w:hAnsi="宋体"/>
          <w:color w:val="000000" w:themeColor="text1"/>
          <w14:textFill>
            <w14:solidFill>
              <w14:schemeClr w14:val="tx1"/>
            </w14:solidFill>
          </w14:textFill>
        </w:rPr>
        <w:t>年</w:t>
      </w:r>
      <w:r>
        <w:rPr>
          <w:rFonts w:hint="eastAsia" w:ascii="宋体" w:hAnsi="宋体"/>
          <w:color w:val="000000" w:themeColor="text1"/>
          <w:lang w:val="en-US" w:eastAsia="zh-CN"/>
          <w14:textFill>
            <w14:solidFill>
              <w14:schemeClr w14:val="tx1"/>
            </w14:solidFill>
          </w14:textFill>
        </w:rPr>
        <w:t>7</w:t>
      </w:r>
      <w:r>
        <w:rPr>
          <w:rFonts w:ascii="宋体" w:hAnsi="宋体"/>
          <w:color w:val="000000" w:themeColor="text1"/>
          <w14:textFill>
            <w14:solidFill>
              <w14:schemeClr w14:val="tx1"/>
            </w14:solidFill>
          </w14:textFill>
        </w:rPr>
        <w:t>月</w:t>
      </w:r>
      <w:r>
        <w:rPr>
          <w:rFonts w:hint="eastAsia" w:ascii="宋体" w:hAnsi="宋体"/>
          <w:color w:val="000000" w:themeColor="text1"/>
          <w:lang w:val="en-US" w:eastAsia="zh-CN"/>
          <w14:textFill>
            <w14:solidFill>
              <w14:schemeClr w14:val="tx1"/>
            </w14:solidFill>
          </w14:textFill>
        </w:rPr>
        <w:t xml:space="preserve"> </w:t>
      </w:r>
      <w:r>
        <w:rPr>
          <w:rFonts w:ascii="宋体" w:hAnsi="宋体"/>
          <w:color w:val="000000" w:themeColor="text1"/>
          <w14:textFill>
            <w14:solidFill>
              <w14:schemeClr w14:val="tx1"/>
            </w14:solidFill>
          </w14:textFill>
        </w:rPr>
        <w:t>日，每天上午00:00至11:59，下午12:00至23:59（北京时间，法定节假日除外）</w:t>
      </w:r>
    </w:p>
    <w:p w14:paraId="20825220">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地点（网址）：广西政府采购云平台（网址：http://www.gcy.zfcg.gxzf.gov.cn/） </w:t>
      </w:r>
    </w:p>
    <w:p w14:paraId="4295686C">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14:paraId="78D3C60E">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售价（元）：0 </w:t>
      </w:r>
    </w:p>
    <w:p w14:paraId="6F620A95">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四、响应文件提交 </w:t>
      </w:r>
    </w:p>
    <w:p w14:paraId="1F3CEDF1">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截止时间：202</w:t>
      </w:r>
      <w:r>
        <w:rPr>
          <w:rFonts w:hint="eastAsia" w:ascii="宋体" w:hAnsi="宋体"/>
          <w:color w:val="000000" w:themeColor="text1"/>
          <w14:textFill>
            <w14:solidFill>
              <w14:schemeClr w14:val="tx1"/>
            </w14:solidFill>
          </w14:textFill>
        </w:rPr>
        <w:t>6</w:t>
      </w:r>
      <w:r>
        <w:rPr>
          <w:rFonts w:ascii="宋体" w:hAnsi="宋体"/>
          <w:color w:val="000000" w:themeColor="text1"/>
          <w14:textFill>
            <w14:solidFill>
              <w14:schemeClr w14:val="tx1"/>
            </w14:solidFill>
          </w14:textFill>
        </w:rPr>
        <w:t>年</w:t>
      </w:r>
      <w:r>
        <w:rPr>
          <w:rFonts w:hint="eastAsia" w:ascii="宋体" w:hAnsi="宋体"/>
          <w:color w:val="000000" w:themeColor="text1"/>
          <w:lang w:val="en-US" w:eastAsia="zh-CN"/>
          <w14:textFill>
            <w14:solidFill>
              <w14:schemeClr w14:val="tx1"/>
            </w14:solidFill>
          </w14:textFill>
        </w:rPr>
        <w:t>7</w:t>
      </w:r>
      <w:r>
        <w:rPr>
          <w:rFonts w:ascii="宋体" w:hAnsi="宋体"/>
          <w:color w:val="000000" w:themeColor="text1"/>
          <w14:textFill>
            <w14:solidFill>
              <w14:schemeClr w14:val="tx1"/>
            </w14:solidFill>
          </w14:textFill>
        </w:rPr>
        <w:t>月</w:t>
      </w:r>
      <w:r>
        <w:rPr>
          <w:rFonts w:hint="eastAsia" w:ascii="宋体" w:hAnsi="宋体"/>
          <w:color w:val="000000" w:themeColor="text1"/>
          <w:lang w:val="en-US" w:eastAsia="zh-CN"/>
          <w14:textFill>
            <w14:solidFill>
              <w14:schemeClr w14:val="tx1"/>
            </w14:solidFill>
          </w14:textFill>
        </w:rPr>
        <w:t xml:space="preserve"> </w:t>
      </w:r>
      <w:r>
        <w:rPr>
          <w:rFonts w:ascii="宋体" w:hAnsi="宋体"/>
          <w:color w:val="000000" w:themeColor="text1"/>
          <w14:textFill>
            <w14:solidFill>
              <w14:schemeClr w14:val="tx1"/>
            </w14:solidFill>
          </w14:textFill>
        </w:rPr>
        <w:t>日 10:00（北京时间）</w:t>
      </w:r>
    </w:p>
    <w:p w14:paraId="7F80FB1B">
      <w:pPr>
        <w:spacing w:line="44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点（网址）：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14:paraId="122E42BB">
      <w:pPr>
        <w:spacing w:line="440" w:lineRule="exact"/>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五、响应文件开启 </w:t>
      </w:r>
    </w:p>
    <w:p w14:paraId="13C2C698">
      <w:pPr>
        <w:spacing w:line="440" w:lineRule="exact"/>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开启时间：202</w:t>
      </w:r>
      <w:r>
        <w:rPr>
          <w:rFonts w:hint="eastAsia" w:ascii="宋体" w:hAnsi="宋体"/>
          <w:color w:val="000000" w:themeColor="text1"/>
          <w14:textFill>
            <w14:solidFill>
              <w14:schemeClr w14:val="tx1"/>
            </w14:solidFill>
          </w14:textFill>
        </w:rPr>
        <w:t>6</w:t>
      </w:r>
      <w:r>
        <w:rPr>
          <w:rFonts w:ascii="宋体" w:hAnsi="宋体"/>
          <w:color w:val="000000" w:themeColor="text1"/>
          <w14:textFill>
            <w14:solidFill>
              <w14:schemeClr w14:val="tx1"/>
            </w14:solidFill>
          </w14:textFill>
        </w:rPr>
        <w:t>年</w:t>
      </w:r>
      <w:r>
        <w:rPr>
          <w:rFonts w:hint="eastAsia" w:ascii="宋体" w:hAnsi="宋体"/>
          <w:color w:val="000000" w:themeColor="text1"/>
          <w:lang w:val="en-US" w:eastAsia="zh-CN"/>
          <w14:textFill>
            <w14:solidFill>
              <w14:schemeClr w14:val="tx1"/>
            </w14:solidFill>
          </w14:textFill>
        </w:rPr>
        <w:t>7</w:t>
      </w:r>
      <w:r>
        <w:rPr>
          <w:rFonts w:ascii="宋体" w:hAnsi="宋体"/>
          <w:color w:val="000000" w:themeColor="text1"/>
          <w14:textFill>
            <w14:solidFill>
              <w14:schemeClr w14:val="tx1"/>
            </w14:solidFill>
          </w14:textFill>
        </w:rPr>
        <w:t>月</w:t>
      </w:r>
      <w:r>
        <w:rPr>
          <w:rFonts w:hint="eastAsia" w:ascii="宋体" w:hAnsi="宋体"/>
          <w:color w:val="000000" w:themeColor="text1"/>
          <w:lang w:val="en-US" w:eastAsia="zh-CN"/>
          <w14:textFill>
            <w14:solidFill>
              <w14:schemeClr w14:val="tx1"/>
            </w14:solidFill>
          </w14:textFill>
        </w:rPr>
        <w:t xml:space="preserve"> </w:t>
      </w:r>
      <w:r>
        <w:rPr>
          <w:rFonts w:ascii="宋体" w:hAnsi="宋体"/>
          <w:color w:val="000000" w:themeColor="text1"/>
          <w14:textFill>
            <w14:solidFill>
              <w14:schemeClr w14:val="tx1"/>
            </w14:solidFill>
          </w14:textFill>
        </w:rPr>
        <w:t>日 10:00 （北京时间）</w:t>
      </w:r>
    </w:p>
    <w:p w14:paraId="324973B6">
      <w:pPr>
        <w:spacing w:line="440" w:lineRule="exact"/>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地点：广西壮族自治区南宁市青秀区广西政府采购云平台开标大厅 </w:t>
      </w:r>
    </w:p>
    <w:p w14:paraId="46E8D353">
      <w:pPr>
        <w:spacing w:line="440" w:lineRule="exact"/>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六、公告期限</w:t>
      </w:r>
    </w:p>
    <w:p w14:paraId="6CFFF88F">
      <w:pPr>
        <w:spacing w:line="440" w:lineRule="exact"/>
        <w:ind w:firstLine="525" w:firstLineChars="25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自本公告发布之日起5个工作日。</w:t>
      </w:r>
    </w:p>
    <w:p w14:paraId="32EF64E2">
      <w:pPr>
        <w:spacing w:line="440" w:lineRule="exact"/>
        <w:ind w:firstLine="525" w:firstLineChars="2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七、其他补充事宜 </w:t>
      </w:r>
    </w:p>
    <w:p w14:paraId="24FE1156">
      <w:pPr>
        <w:spacing w:line="360" w:lineRule="exact"/>
        <w:ind w:left="210" w:leftChars="100" w:firstLine="210" w:firstLineChars="1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 1.磋商保证金（人民币）：</w:t>
      </w:r>
      <w:r>
        <w:rPr>
          <w:rFonts w:hint="eastAsia" w:ascii="宋体" w:hAnsi="宋体"/>
          <w:color w:val="000000" w:themeColor="text1"/>
          <w14:textFill>
            <w14:solidFill>
              <w14:schemeClr w14:val="tx1"/>
            </w14:solidFill>
          </w14:textFill>
        </w:rPr>
        <w:t>分标1：0.</w:t>
      </w:r>
      <w:r>
        <w:rPr>
          <w:rFonts w:hint="eastAsia" w:ascii="宋体" w:hAnsi="宋体"/>
          <w:color w:val="000000" w:themeColor="text1"/>
          <w:lang w:val="en-US" w:eastAsia="zh-CN"/>
          <w14:textFill>
            <w14:solidFill>
              <w14:schemeClr w14:val="tx1"/>
            </w14:solidFill>
          </w14:textFill>
        </w:rPr>
        <w:t>7</w:t>
      </w:r>
      <w:r>
        <w:rPr>
          <w:rFonts w:hint="eastAsia" w:ascii="宋体" w:hAnsi="宋体"/>
          <w:color w:val="000000" w:themeColor="text1"/>
          <w14:textFill>
            <w14:solidFill>
              <w14:schemeClr w14:val="tx1"/>
            </w14:solidFill>
          </w14:textFill>
        </w:rPr>
        <w:t>万</w:t>
      </w:r>
      <w:r>
        <w:rPr>
          <w:rFonts w:ascii="宋体" w:hAnsi="宋体"/>
          <w:color w:val="000000" w:themeColor="text1"/>
          <w14:textFill>
            <w14:solidFill>
              <w14:schemeClr w14:val="tx1"/>
            </w14:solidFill>
          </w14:textFill>
        </w:rPr>
        <w:t>元</w:t>
      </w:r>
      <w:r>
        <w:rPr>
          <w:rFonts w:hint="eastAsia" w:ascii="宋体" w:hAnsi="宋体"/>
          <w:color w:val="000000" w:themeColor="text1"/>
          <w14:textFill>
            <w14:solidFill>
              <w14:schemeClr w14:val="tx1"/>
            </w14:solidFill>
          </w14:textFill>
        </w:rPr>
        <w:t>；分标2：0.</w:t>
      </w:r>
      <w:r>
        <w:rPr>
          <w:rFonts w:hint="eastAsia" w:ascii="宋体" w:hAnsi="宋体"/>
          <w:color w:val="000000" w:themeColor="text1"/>
          <w:lang w:val="en-US" w:eastAsia="zh-CN"/>
          <w14:textFill>
            <w14:solidFill>
              <w14:schemeClr w14:val="tx1"/>
            </w14:solidFill>
          </w14:textFill>
        </w:rPr>
        <w:t>4</w:t>
      </w:r>
      <w:r>
        <w:rPr>
          <w:rFonts w:hint="eastAsia" w:ascii="宋体" w:hAnsi="宋体"/>
          <w:color w:val="000000" w:themeColor="text1"/>
          <w14:textFill>
            <w14:solidFill>
              <w14:schemeClr w14:val="tx1"/>
            </w14:solidFill>
          </w14:textFill>
        </w:rPr>
        <w:t>万</w:t>
      </w:r>
      <w:r>
        <w:rPr>
          <w:rFonts w:ascii="宋体" w:hAnsi="宋体"/>
          <w:color w:val="000000" w:themeColor="text1"/>
          <w14:textFill>
            <w14:solidFill>
              <w14:schemeClr w14:val="tx1"/>
            </w14:solidFill>
          </w14:textFill>
        </w:rPr>
        <w:t>元</w:t>
      </w:r>
      <w:r>
        <w:rPr>
          <w:rFonts w:hint="eastAsia" w:ascii="宋体" w:hAnsi="宋体"/>
          <w:color w:val="000000" w:themeColor="text1"/>
          <w14:textFill>
            <w14:solidFill>
              <w14:schemeClr w14:val="tx1"/>
            </w14:solidFill>
          </w14:textFill>
        </w:rPr>
        <w:t>；分标3：0.</w:t>
      </w:r>
      <w:r>
        <w:rPr>
          <w:rFonts w:hint="eastAsia" w:ascii="宋体" w:hAnsi="宋体"/>
          <w:color w:val="000000" w:themeColor="text1"/>
          <w:lang w:val="en-US" w:eastAsia="zh-CN"/>
          <w14:textFill>
            <w14:solidFill>
              <w14:schemeClr w14:val="tx1"/>
            </w14:solidFill>
          </w14:textFill>
        </w:rPr>
        <w:t>6</w:t>
      </w:r>
      <w:r>
        <w:rPr>
          <w:rFonts w:hint="eastAsia" w:ascii="宋体" w:hAnsi="宋体"/>
          <w:color w:val="000000" w:themeColor="text1"/>
          <w14:textFill>
            <w14:solidFill>
              <w14:schemeClr w14:val="tx1"/>
            </w14:solidFill>
          </w14:textFill>
        </w:rPr>
        <w:t>万</w:t>
      </w:r>
      <w:r>
        <w:rPr>
          <w:rFonts w:ascii="宋体" w:hAnsi="宋体"/>
          <w:color w:val="000000" w:themeColor="text1"/>
          <w14:textFill>
            <w14:solidFill>
              <w14:schemeClr w14:val="tx1"/>
            </w14:solidFill>
          </w14:textFill>
        </w:rPr>
        <w:t>元。(必须足额交纳) </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（1）磋商保证金交纳形式：支票、汇票、本票或者金融机构、担保机构出具的保函等非现金形式。</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（2）采用网上银行转账形式的，磋商供应商应于提交磋商响应文件截止时间前将磋商保证金交至以下账户。 </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开户名称：广西壮族自治区政府采购中心 </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开户银行：中国农业银行股份有限公司南宁市古城支行 </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银行账号：20009101040051648 </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（4）本中心财务处联系方式： 地址：南宁市青秀区星湖路22号广西壮族自治区政府采购中心，电话：0771-8600309。</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.网上公告媒体查询中国政府采购网（www.ccgp.gov.cn）、广西壮族自治区政府采购网（zfcg.gxzf.gov.cn）、广西壮族自治区政府采购中心网站（http://gxggzy.gxzf.gov.cn/）。</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3</w:t>
      </w:r>
      <w:r>
        <w:rPr>
          <w:rFonts w:ascii="宋体" w:hAnsi="宋体"/>
          <w:color w:val="000000" w:themeColor="text1"/>
          <w14:textFill>
            <w14:solidFill>
              <w14:schemeClr w14:val="tx1"/>
            </w14:solidFill>
          </w14:textFill>
        </w:rPr>
        <w:t>.其他注意事项 </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（2）供应商应及时熟悉掌握电子标系统操作指南（见政采云电子卖场首页右上角—服务中心—帮助文档—项目采购）：https://helpcenter.zcygov.cn/document/#/document/dashboard?siteCode=gx。</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（3）供应商应及时完成CA申领和绑定（见广西壮族自治区政府采购网—办事服务—下载专区-政采云CA证书办理操作指南） </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xml:space="preserve">   （5）因未注册入库、未办理CA数字证书、CA证书故障、操作不当等原因造成无法参与或磋商失败等后果由供应商自行承担。</w:t>
      </w:r>
      <w:r>
        <w:rPr>
          <w:rFonts w:ascii="宋体" w:hAnsi="宋体"/>
          <w:color w:val="000000" w:themeColor="text1"/>
          <w14:textFill>
            <w14:solidFill>
              <w14:schemeClr w14:val="tx1"/>
            </w14:solidFill>
          </w14:textFill>
        </w:rPr>
        <w:br w:type="textWrapping"/>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color w:val="000000" w:themeColor="text1"/>
          <w14:textFill>
            <w14:solidFill>
              <w14:schemeClr w14:val="tx1"/>
            </w14:solidFill>
          </w14:textFill>
        </w:rPr>
        <w:br w:type="textWrapping"/>
      </w:r>
      <w:r>
        <w:rPr>
          <w:rFonts w:ascii="宋体" w:hAnsi="宋体"/>
          <w:color w:val="000000" w:themeColor="text1"/>
          <w14:textFill>
            <w14:solidFill>
              <w14:schemeClr w14:val="tx1"/>
            </w14:solidFill>
          </w14:textFill>
        </w:rPr>
        <w:t>  </w:t>
      </w:r>
      <w:r>
        <w:rPr>
          <w:rFonts w:hint="eastAsia" w:ascii="宋体" w:hAnsi="宋体"/>
          <w:color w:val="000000" w:themeColor="text1"/>
          <w14:textFill>
            <w14:solidFill>
              <w14:schemeClr w14:val="tx1"/>
            </w14:solidFill>
          </w14:textFill>
        </w:rPr>
        <w:t>八、凡对本次招标提出询问，请按以下方式联系</w:t>
      </w:r>
    </w:p>
    <w:p w14:paraId="41EBE4E9">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1.采购人信息</w:t>
      </w:r>
    </w:p>
    <w:p w14:paraId="11B9A23A">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名    称：</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"https://middle.gcy.zfcg.gxzf.gov.cn/web-user/" \l "/plan/list/_blank" \t "https://pay.gcy.zfcg.gxzf.gov.cn/purchaseplan_front/" </w:instrText>
      </w:r>
      <w:r>
        <w:rPr>
          <w:color w:val="000000" w:themeColor="text1"/>
          <w14:textFill>
            <w14:solidFill>
              <w14:schemeClr w14:val="tx1"/>
            </w14:solidFill>
          </w14:textFill>
        </w:rPr>
        <w:fldChar w:fldCharType="separate"/>
      </w:r>
      <w:r>
        <w:rPr>
          <w:rFonts w:hint="eastAsia" w:ascii="宋体" w:hAnsi="宋体"/>
          <w:color w:val="000000" w:themeColor="text1"/>
          <w:lang w:eastAsia="zh-CN"/>
          <w14:textFill>
            <w14:solidFill>
              <w14:schemeClr w14:val="tx1"/>
            </w14:solidFill>
          </w14:textFill>
        </w:rPr>
        <w:t>贺州</w:t>
      </w:r>
      <w:r>
        <w:rPr>
          <w:rFonts w:hint="eastAsia" w:ascii="宋体" w:hAnsi="宋体"/>
          <w:color w:val="000000" w:themeColor="text1"/>
          <w14:textFill>
            <w14:solidFill>
              <w14:schemeClr w14:val="tx1"/>
            </w14:solidFill>
          </w14:textFill>
        </w:rPr>
        <w:t>学院</w:t>
      </w:r>
      <w:r>
        <w:rPr>
          <w:rFonts w:ascii="宋体" w:hAnsi="宋体"/>
          <w:color w:val="000000" w:themeColor="text1"/>
          <w14:textFill>
            <w14:solidFill>
              <w14:schemeClr w14:val="tx1"/>
            </w14:solidFill>
          </w14:textFill>
        </w:rPr>
        <w:fldChar w:fldCharType="end"/>
      </w:r>
      <w:r>
        <w:rPr>
          <w:rFonts w:ascii="宋体" w:hAnsi="宋体"/>
          <w:color w:val="000000" w:themeColor="text1"/>
          <w14:textFill>
            <w14:solidFill>
              <w14:schemeClr w14:val="tx1"/>
            </w14:solidFill>
          </w14:textFill>
        </w:rPr>
        <w:t> </w:t>
      </w:r>
    </w:p>
    <w:p w14:paraId="19914DE9">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    址：广西贺州市八步区潇贺大道3261号</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w:t>
      </w:r>
    </w:p>
    <w:p w14:paraId="76669804">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项目联系人：</w:t>
      </w:r>
      <w:r>
        <w:rPr>
          <w:rFonts w:hint="eastAsia" w:ascii="宋体" w:hAnsi="宋体"/>
          <w:color w:val="000000" w:themeColor="text1"/>
          <w:lang w:eastAsia="zh-CN"/>
          <w14:textFill>
            <w14:solidFill>
              <w14:schemeClr w14:val="tx1"/>
            </w14:solidFill>
          </w14:textFill>
        </w:rPr>
        <w:t>李</w:t>
      </w:r>
      <w:r>
        <w:rPr>
          <w:rFonts w:hint="eastAsia" w:ascii="宋体" w:hAnsi="宋体"/>
          <w:color w:val="000000" w:themeColor="text1"/>
          <w14:textFill>
            <w14:solidFill>
              <w14:schemeClr w14:val="tx1"/>
            </w14:solidFill>
          </w14:textFill>
        </w:rPr>
        <w:t>老师</w:t>
      </w:r>
    </w:p>
    <w:p w14:paraId="58E2D061">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项目联系方式：0774</w:t>
      </w:r>
      <w:r>
        <w:rPr>
          <w:rFonts w:hint="eastAsia" w:ascii="宋体" w:hAnsi="宋体"/>
          <w:color w:val="000000" w:themeColor="text1"/>
          <w:lang w:val="en-US" w:eastAsia="zh-CN"/>
          <w14:textFill>
            <w14:solidFill>
              <w14:schemeClr w14:val="tx1"/>
            </w14:solidFill>
          </w14:textFill>
        </w:rPr>
        <w:t>-</w:t>
      </w:r>
      <w:r>
        <w:rPr>
          <w:rFonts w:ascii="宋体" w:hAnsi="宋体"/>
          <w:color w:val="000000" w:themeColor="text1"/>
          <w14:textFill>
            <w14:solidFill>
              <w14:schemeClr w14:val="tx1"/>
            </w14:solidFill>
          </w14:textFill>
        </w:rPr>
        <w:t>5228681  </w:t>
      </w:r>
    </w:p>
    <w:p w14:paraId="10610E0E">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2.采购代理机构信息</w:t>
      </w:r>
    </w:p>
    <w:p w14:paraId="7664E961">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名    称：广西壮族自治区政府采购中心 </w:t>
      </w:r>
    </w:p>
    <w:p w14:paraId="185A1438">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地    址：广西南宁市星湖路22号 </w:t>
      </w:r>
    </w:p>
    <w:p w14:paraId="52C66410">
      <w:pPr>
        <w:spacing w:line="320" w:lineRule="exact"/>
        <w:ind w:firstLine="420" w:firstLineChars="20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项目联系人：</w:t>
      </w:r>
      <w:r>
        <w:rPr>
          <w:rFonts w:hint="eastAsia" w:ascii="宋体" w:hAnsi="宋体"/>
          <w:color w:val="000000" w:themeColor="text1"/>
          <w14:textFill>
            <w14:solidFill>
              <w14:schemeClr w14:val="tx1"/>
            </w14:solidFill>
          </w14:textFill>
        </w:rPr>
        <w:t>陈子希</w:t>
      </w:r>
      <w:r>
        <w:rPr>
          <w:rFonts w:ascii="宋体" w:hAnsi="宋体"/>
          <w:color w:val="000000" w:themeColor="text1"/>
          <w14:textFill>
            <w14:solidFill>
              <w14:schemeClr w14:val="tx1"/>
            </w14:solidFill>
          </w14:textFill>
        </w:rPr>
        <w:t> </w:t>
      </w:r>
    </w:p>
    <w:p w14:paraId="1FF98ABD">
      <w:pPr>
        <w:spacing w:line="320" w:lineRule="exact"/>
        <w:ind w:firstLine="420" w:firstLineChars="200"/>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项目联系方式：0771-8600</w:t>
      </w:r>
      <w:r>
        <w:rPr>
          <w:rFonts w:hint="eastAsia" w:ascii="宋体" w:hAnsi="宋体"/>
          <w:color w:val="000000" w:themeColor="text1"/>
          <w14:textFill>
            <w14:solidFill>
              <w14:schemeClr w14:val="tx1"/>
            </w14:solidFill>
          </w14:textFill>
        </w:rPr>
        <w:t>435</w:t>
      </w:r>
      <w:r>
        <w:rPr>
          <w:rFonts w:ascii="宋体" w:hAnsi="宋体"/>
          <w:color w:val="000000" w:themeColor="text1"/>
          <w14:textFill>
            <w14:solidFill>
              <w14:schemeClr w14:val="tx1"/>
            </w14:solidFill>
          </w14:textFill>
        </w:rPr>
        <w:t> </w:t>
      </w:r>
    </w:p>
    <w:p w14:paraId="434C2EBB">
      <w:pPr>
        <w:widowControl/>
        <w:adjustRightInd w:val="0"/>
        <w:snapToGrid w:val="0"/>
        <w:spacing w:line="320" w:lineRule="exact"/>
        <w:ind w:left="240"/>
        <w:jc w:val="righ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广西壮族自治区政府采购中心</w:t>
      </w:r>
    </w:p>
    <w:p w14:paraId="5CA98D01">
      <w:pPr>
        <w:widowControl/>
        <w:spacing w:line="320" w:lineRule="exact"/>
        <w:ind w:left="240"/>
        <w:jc w:val="center"/>
        <w:rPr>
          <w:rFonts w:ascii="宋体" w:hAnsi="宋体" w:cs="宋体"/>
          <w:color w:val="000000" w:themeColor="text1"/>
          <w:kern w:val="0"/>
          <w14:textFill>
            <w14:solidFill>
              <w14:schemeClr w14:val="tx1"/>
            </w14:solidFill>
          </w14:textFill>
        </w:rPr>
      </w:pPr>
      <w:r>
        <w:rPr>
          <w:rStyle w:val="87"/>
          <w:rFonts w:hint="eastAsia" w:ascii="宋体" w:hAnsi="宋体" w:cs="宋体"/>
          <w:color w:val="000000" w:themeColor="text1"/>
          <w14:textFill>
            <w14:solidFill>
              <w14:schemeClr w14:val="tx1"/>
            </w14:solidFill>
          </w14:textFill>
        </w:rPr>
        <w:t xml:space="preserve">                                                                  2026年</w:t>
      </w:r>
      <w:r>
        <w:rPr>
          <w:rStyle w:val="87"/>
          <w:rFonts w:hint="eastAsia" w:ascii="宋体" w:hAnsi="宋体" w:cs="宋体"/>
          <w:color w:val="000000" w:themeColor="text1"/>
          <w:lang w:val="en-US" w:eastAsia="zh-CN"/>
          <w14:textFill>
            <w14:solidFill>
              <w14:schemeClr w14:val="tx1"/>
            </w14:solidFill>
          </w14:textFill>
        </w:rPr>
        <w:t>7</w:t>
      </w:r>
      <w:r>
        <w:rPr>
          <w:rStyle w:val="87"/>
          <w:rFonts w:hint="eastAsia" w:ascii="宋体" w:hAnsi="宋体" w:cs="宋体"/>
          <w:color w:val="000000" w:themeColor="text1"/>
          <w14:textFill>
            <w14:solidFill>
              <w14:schemeClr w14:val="tx1"/>
            </w14:solidFill>
          </w14:textFill>
        </w:rPr>
        <w:t>月</w:t>
      </w:r>
      <w:r>
        <w:rPr>
          <w:rStyle w:val="87"/>
          <w:rFonts w:hint="eastAsia" w:ascii="宋体" w:hAnsi="宋体" w:cs="宋体"/>
          <w:color w:val="000000" w:themeColor="text1"/>
          <w:lang w:val="en-US" w:eastAsia="zh-CN"/>
          <w14:textFill>
            <w14:solidFill>
              <w14:schemeClr w14:val="tx1"/>
            </w14:solidFill>
          </w14:textFill>
        </w:rPr>
        <w:t xml:space="preserve"> </w:t>
      </w:r>
      <w:r>
        <w:rPr>
          <w:rStyle w:val="87"/>
          <w:rFonts w:hint="eastAsia" w:ascii="宋体" w:hAnsi="宋体" w:cs="宋体"/>
          <w:color w:val="000000" w:themeColor="text1"/>
          <w14:textFill>
            <w14:solidFill>
              <w14:schemeClr w14:val="tx1"/>
            </w14:solidFill>
          </w14:textFill>
        </w:rPr>
        <w:t>日</w:t>
      </w:r>
    </w:p>
    <w:p w14:paraId="6F934DBB">
      <w:pPr>
        <w:widowControl/>
        <w:spacing w:line="380" w:lineRule="exact"/>
        <w:ind w:left="240"/>
        <w:jc w:val="right"/>
        <w:rPr>
          <w:rFonts w:ascii="宋体" w:hAnsi="宋体" w:cs="宋体"/>
          <w:b/>
          <w:bCs/>
          <w:color w:val="000000" w:themeColor="text1"/>
          <w14:textFill>
            <w14:solidFill>
              <w14:schemeClr w14:val="tx1"/>
            </w14:solidFill>
          </w14:textFill>
        </w:rPr>
      </w:pPr>
    </w:p>
    <w:p w14:paraId="0119EE22">
      <w:pPr>
        <w:widowControl/>
        <w:spacing w:line="380" w:lineRule="exact"/>
        <w:ind w:left="240"/>
        <w:jc w:val="right"/>
        <w:rPr>
          <w:rFonts w:ascii="宋体" w:hAnsi="宋体" w:cs="宋体"/>
          <w:b/>
          <w:bCs/>
          <w:color w:val="000000" w:themeColor="text1"/>
          <w14:textFill>
            <w14:solidFill>
              <w14:schemeClr w14:val="tx1"/>
            </w14:solidFill>
          </w14:textFill>
        </w:rPr>
      </w:pPr>
    </w:p>
    <w:p w14:paraId="5AD130BE">
      <w:pPr>
        <w:widowControl/>
        <w:spacing w:line="380" w:lineRule="exact"/>
        <w:ind w:left="240"/>
        <w:jc w:val="right"/>
        <w:rPr>
          <w:rFonts w:ascii="宋体" w:hAnsi="宋体" w:cs="宋体"/>
          <w:b/>
          <w:bCs/>
          <w:color w:val="000000" w:themeColor="text1"/>
          <w14:textFill>
            <w14:solidFill>
              <w14:schemeClr w14:val="tx1"/>
            </w14:solidFill>
          </w14:textFill>
        </w:rPr>
      </w:pPr>
    </w:p>
    <w:p w14:paraId="2647D12D">
      <w:pPr>
        <w:widowControl/>
        <w:spacing w:line="380" w:lineRule="exact"/>
        <w:ind w:left="240"/>
        <w:jc w:val="right"/>
        <w:rPr>
          <w:rFonts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 xml:space="preserve"> </w:t>
      </w:r>
    </w:p>
    <w:p w14:paraId="2C307CB9">
      <w:pPr>
        <w:spacing w:line="38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14:paraId="5B2D82B9">
      <w:pPr>
        <w:spacing w:line="38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14:paraId="7BFCD1EA">
      <w:pPr>
        <w:spacing w:line="38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14:paraId="2D0DEEA0">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0A884A44">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2995D9E3">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74D4A25E">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1C65E63D">
      <w:pPr>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0C3E6FD4">
      <w:pPr>
        <w:pStyle w:val="2"/>
        <w:jc w:val="center"/>
        <w:rPr>
          <w:rFonts w:ascii="宋体" w:hAnsi="宋体"/>
          <w:color w:val="000000" w:themeColor="text1"/>
          <w14:textFill>
            <w14:solidFill>
              <w14:schemeClr w14:val="tx1"/>
            </w14:solidFill>
          </w14:textFill>
        </w:rPr>
      </w:pPr>
      <w:bookmarkStart w:id="8" w:name="_Toc18481385"/>
      <w:bookmarkEnd w:id="8"/>
    </w:p>
    <w:p w14:paraId="5254DE4C">
      <w:pPr>
        <w:pStyle w:val="2"/>
        <w:jc w:val="center"/>
        <w:rPr>
          <w:rFonts w:ascii="宋体" w:hAnsi="宋体"/>
          <w:color w:val="000000" w:themeColor="text1"/>
          <w14:textFill>
            <w14:solidFill>
              <w14:schemeClr w14:val="tx1"/>
            </w14:solidFill>
          </w14:textFill>
        </w:rPr>
      </w:pPr>
    </w:p>
    <w:p w14:paraId="1CE0F1FD">
      <w:pPr>
        <w:pStyle w:val="2"/>
        <w:rPr>
          <w:rFonts w:ascii="宋体" w:hAnsi="宋体"/>
          <w:color w:val="000000" w:themeColor="text1"/>
          <w14:textFill>
            <w14:solidFill>
              <w14:schemeClr w14:val="tx1"/>
            </w14:solidFill>
          </w14:textFill>
        </w:rPr>
      </w:pPr>
    </w:p>
    <w:p w14:paraId="7CB02B5B">
      <w:pPr>
        <w:pStyle w:val="2"/>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第二章  供应商须知</w:t>
      </w:r>
    </w:p>
    <w:p w14:paraId="0D7C47F5">
      <w:pPr>
        <w:spacing w:line="400" w:lineRule="exact"/>
        <w:ind w:firstLine="3855" w:firstLineChars="1200"/>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73E14C41">
      <w:pPr>
        <w:spacing w:line="400" w:lineRule="exact"/>
        <w:ind w:firstLine="3855" w:firstLineChars="1200"/>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25375A0B">
      <w:pPr>
        <w:pageBreakBefore/>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供应商须知前附表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14:paraId="0822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tcPr>
          <w:p w14:paraId="5786185C">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序号</w:t>
            </w:r>
          </w:p>
        </w:tc>
        <w:tc>
          <w:tcPr>
            <w:tcW w:w="8365" w:type="dxa"/>
            <w:tcBorders>
              <w:top w:val="single" w:color="auto" w:sz="4" w:space="0"/>
              <w:left w:val="nil"/>
              <w:bottom w:val="single" w:color="auto" w:sz="4" w:space="0"/>
              <w:right w:val="single" w:color="auto" w:sz="4" w:space="0"/>
            </w:tcBorders>
          </w:tcPr>
          <w:p w14:paraId="4E615C62">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内    容</w:t>
            </w:r>
          </w:p>
        </w:tc>
      </w:tr>
      <w:tr w14:paraId="350A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1CC2DFD7">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w:t>
            </w:r>
          </w:p>
        </w:tc>
        <w:tc>
          <w:tcPr>
            <w:tcW w:w="8365" w:type="dxa"/>
            <w:tcBorders>
              <w:top w:val="single" w:color="auto" w:sz="4" w:space="0"/>
              <w:left w:val="nil"/>
              <w:bottom w:val="single" w:color="auto" w:sz="4" w:space="0"/>
              <w:right w:val="single" w:color="auto" w:sz="4" w:space="0"/>
            </w:tcBorders>
            <w:vAlign w:val="center"/>
          </w:tcPr>
          <w:p w14:paraId="7B120EF2">
            <w:pPr>
              <w:pStyle w:val="107"/>
              <w:spacing w:line="360" w:lineRule="exact"/>
              <w:rPr>
                <w:rFonts w:hAnsi="宋体" w:cs="Times New Roman"/>
                <w:color w:val="000000" w:themeColor="text1"/>
                <w:lang w:val="en"/>
                <w14:textFill>
                  <w14:solidFill>
                    <w14:schemeClr w14:val="tx1"/>
                  </w14:solidFill>
                </w14:textFill>
              </w:rPr>
            </w:pPr>
            <w:r>
              <w:rPr>
                <w:rFonts w:hint="eastAsia" w:hAnsi="宋体" w:cs="Times New Roman"/>
                <w:color w:val="000000" w:themeColor="text1"/>
                <w14:textFill>
                  <w14:solidFill>
                    <w14:schemeClr w14:val="tx1"/>
                  </w14:solidFill>
                </w14:textFill>
              </w:rPr>
              <w:t>项目名称：</w:t>
            </w:r>
            <w:r>
              <w:rPr>
                <w:rFonts w:hint="eastAsia" w:hAnsi="宋体" w:cs="Times New Roman"/>
                <w:color w:val="000000" w:themeColor="text1"/>
                <w14:textFill>
                  <w14:solidFill>
                    <w14:schemeClr w14:val="tx1"/>
                  </w14:solidFill>
                </w14:textFill>
              </w:rPr>
              <w:fldChar w:fldCharType="begin"/>
            </w:r>
            <w:r>
              <w:rPr>
                <w:rFonts w:hint="eastAsia" w:hAnsi="宋体" w:cs="Times New Roman"/>
                <w:color w:val="000000" w:themeColor="text1"/>
                <w14:textFill>
                  <w14:solidFill>
                    <w14:schemeClr w14:val="tx1"/>
                  </w14:solidFill>
                </w14:textFill>
              </w:rPr>
              <w:instrText xml:space="preserve"> HYPERLINK "https://pay.gcy.zfcg.gxzf.gov.cn/budget-quota-index/" \l "/plan/list/_blank" \t "https://pay.gcy.zfcg.gxzf.gov.cn/purchaseplan_front/" </w:instrText>
            </w:r>
            <w:r>
              <w:rPr>
                <w:rFonts w:hint="eastAsia" w:hAnsi="宋体" w:cs="Times New Roman"/>
                <w:color w:val="000000" w:themeColor="text1"/>
                <w14:textFill>
                  <w14:solidFill>
                    <w14:schemeClr w14:val="tx1"/>
                  </w14:solidFill>
                </w14:textFill>
              </w:rPr>
              <w:fldChar w:fldCharType="separate"/>
            </w:r>
            <w:r>
              <w:rPr>
                <w:rFonts w:hint="eastAsia" w:hAnsi="宋体" w:cs="Times New Roman"/>
                <w:color w:val="000000" w:themeColor="text1"/>
                <w14:textFill>
                  <w14:solidFill>
                    <w14:schemeClr w14:val="tx1"/>
                  </w14:solidFill>
                </w14:textFill>
              </w:rPr>
              <w:fldChar w:fldCharType="begin"/>
            </w:r>
            <w:r>
              <w:rPr>
                <w:rFonts w:hint="eastAsia" w:hAnsi="宋体" w:cs="Times New Roman"/>
                <w:color w:val="000000" w:themeColor="text1"/>
                <w14:textFill>
                  <w14:solidFill>
                    <w14:schemeClr w14:val="tx1"/>
                  </w14:solidFill>
                </w14:textFill>
              </w:rPr>
              <w:instrText xml:space="preserve"> HYPERLINK "https://middle.gcy.zfcg.gxzf.gov.cn/budget-quota-index/" \l "/purchase/plan/details/22802899" \t "https://middle.gcy.zfcg.gxzf.gov.cn/purchaseplan_front/" \l "/plan/list/_blank" </w:instrText>
            </w:r>
            <w:r>
              <w:rPr>
                <w:rFonts w:hint="eastAsia" w:hAnsi="宋体" w:cs="Times New Roman"/>
                <w:color w:val="000000" w:themeColor="text1"/>
                <w14:textFill>
                  <w14:solidFill>
                    <w14:schemeClr w14:val="tx1"/>
                  </w14:solidFill>
                </w14:textFill>
              </w:rPr>
              <w:fldChar w:fldCharType="separate"/>
            </w:r>
            <w:r>
              <w:rPr>
                <w:rFonts w:hint="eastAsia" w:hAnsi="宋体" w:cs="Times New Roman"/>
                <w:color w:val="000000" w:themeColor="text1"/>
                <w14:textFill>
                  <w14:solidFill>
                    <w14:schemeClr w14:val="tx1"/>
                  </w14:solidFill>
                </w14:textFill>
              </w:rPr>
              <w:t>贺州学院2026-2028年互联网宽带接入服务</w:t>
            </w:r>
            <w:r>
              <w:rPr>
                <w:rFonts w:hint="eastAsia" w:hAnsi="宋体" w:cs="Times New Roman"/>
                <w:color w:val="000000" w:themeColor="text1"/>
                <w14:textFill>
                  <w14:solidFill>
                    <w14:schemeClr w14:val="tx1"/>
                  </w14:solidFill>
                </w14:textFill>
              </w:rPr>
              <w:fldChar w:fldCharType="end"/>
            </w:r>
            <w:r>
              <w:rPr>
                <w:rFonts w:hint="eastAsia" w:hAnsi="宋体" w:cs="Times New Roman"/>
                <w:color w:val="000000" w:themeColor="text1"/>
                <w14:textFill>
                  <w14:solidFill>
                    <w14:schemeClr w14:val="tx1"/>
                  </w14:solidFill>
                </w14:textFill>
              </w:rPr>
              <w:t>采购</w:t>
            </w:r>
            <w:r>
              <w:rPr>
                <w:rFonts w:hint="eastAsia" w:hAnsi="宋体" w:cs="Times New Roman"/>
                <w:color w:val="000000" w:themeColor="text1"/>
                <w14:textFill>
                  <w14:solidFill>
                    <w14:schemeClr w14:val="tx1"/>
                  </w14:solidFill>
                </w14:textFill>
              </w:rPr>
              <w:fldChar w:fldCharType="end"/>
            </w:r>
          </w:p>
          <w:p w14:paraId="7ED463EE">
            <w:pPr>
              <w:pStyle w:val="107"/>
              <w:spacing w:line="360" w:lineRule="exact"/>
              <w:rPr>
                <w:rFonts w:hAnsi="宋体" w:cs="Times New Roman"/>
                <w:bCs/>
                <w:color w:val="000000" w:themeColor="text1"/>
                <w:lang w:val="en"/>
                <w14:textFill>
                  <w14:solidFill>
                    <w14:schemeClr w14:val="tx1"/>
                  </w14:solidFill>
                </w14:textFill>
              </w:rPr>
            </w:pPr>
            <w:r>
              <w:rPr>
                <w:rFonts w:hint="eastAsia" w:hAnsi="宋体" w:cs="Times New Roman"/>
                <w:color w:val="000000" w:themeColor="text1"/>
                <w14:textFill>
                  <w14:solidFill>
                    <w14:schemeClr w14:val="tx1"/>
                  </w14:solidFill>
                </w14:textFill>
              </w:rPr>
              <w:t>项目编号：</w:t>
            </w:r>
            <w:r>
              <w:rPr>
                <w:rFonts w:hAnsi="宋体" w:cs="Times New Roman"/>
                <w:color w:val="000000" w:themeColor="text1"/>
                <w:lang w:val="en"/>
                <w14:textFill>
                  <w14:solidFill>
                    <w14:schemeClr w14:val="tx1"/>
                  </w14:solidFill>
                </w14:textFill>
              </w:rPr>
              <w:t xml:space="preserve"> </w:t>
            </w:r>
            <w:r>
              <w:rPr>
                <w:rFonts w:hint="eastAsia" w:hAnsi="宋体" w:cs="Times New Roman"/>
                <w:color w:val="000000" w:themeColor="text1"/>
                <w:lang w:val="en"/>
                <w14:textFill>
                  <w14:solidFill>
                    <w14:schemeClr w14:val="tx1"/>
                  </w14:solidFill>
                </w14:textFill>
              </w:rPr>
              <w:t>GXZC2026-C3-000</w:t>
            </w:r>
            <w:r>
              <w:rPr>
                <w:rFonts w:hint="eastAsia" w:hAnsi="宋体" w:cs="Times New Roman"/>
                <w:color w:val="000000" w:themeColor="text1"/>
                <w:lang w:val="en-US" w:eastAsia="zh-CN"/>
                <w14:textFill>
                  <w14:solidFill>
                    <w14:schemeClr w14:val="tx1"/>
                  </w14:solidFill>
                </w14:textFill>
              </w:rPr>
              <w:t>xx</w:t>
            </w:r>
            <w:r>
              <w:rPr>
                <w:rFonts w:hint="eastAsia" w:hAnsi="宋体" w:cs="Times New Roman"/>
                <w:color w:val="000000" w:themeColor="text1"/>
                <w:lang w:val="en"/>
                <w14:textFill>
                  <w14:solidFill>
                    <w14:schemeClr w14:val="tx1"/>
                  </w14:solidFill>
                </w14:textFill>
              </w:rPr>
              <w:t>-CGZX</w:t>
            </w:r>
          </w:p>
        </w:tc>
      </w:tr>
      <w:tr w14:paraId="17E1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718763EB">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2</w:t>
            </w:r>
          </w:p>
        </w:tc>
        <w:tc>
          <w:tcPr>
            <w:tcW w:w="8365" w:type="dxa"/>
            <w:tcBorders>
              <w:top w:val="single" w:color="auto" w:sz="4" w:space="0"/>
              <w:left w:val="nil"/>
              <w:bottom w:val="single" w:color="auto" w:sz="4" w:space="0"/>
              <w:right w:val="single" w:color="auto" w:sz="4" w:space="0"/>
            </w:tcBorders>
            <w:vAlign w:val="center"/>
          </w:tcPr>
          <w:p w14:paraId="72112C66">
            <w:pPr>
              <w:pStyle w:val="107"/>
              <w:spacing w:line="360" w:lineRule="exact"/>
              <w:ind w:left="-36" w:firstLine="36"/>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供应商资格：具备《中华人民共和国政府采购法》第二十二条规定的条件。</w:t>
            </w:r>
          </w:p>
        </w:tc>
      </w:tr>
      <w:tr w14:paraId="429F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356D6648">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3</w:t>
            </w:r>
          </w:p>
        </w:tc>
        <w:tc>
          <w:tcPr>
            <w:tcW w:w="8365" w:type="dxa"/>
            <w:tcBorders>
              <w:top w:val="single" w:color="auto" w:sz="4" w:space="0"/>
              <w:left w:val="nil"/>
              <w:bottom w:val="single" w:color="auto" w:sz="4" w:space="0"/>
              <w:right w:val="single" w:color="auto" w:sz="4" w:space="0"/>
            </w:tcBorders>
            <w:vAlign w:val="center"/>
          </w:tcPr>
          <w:p w14:paraId="40F99A3E">
            <w:pPr>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报价：磋商供应商就《采购需求》中的服务内容作完整唯一报价。</w:t>
            </w:r>
          </w:p>
        </w:tc>
      </w:tr>
      <w:tr w14:paraId="1785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6D5A71BF">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4</w:t>
            </w:r>
          </w:p>
        </w:tc>
        <w:tc>
          <w:tcPr>
            <w:tcW w:w="8365" w:type="dxa"/>
            <w:tcBorders>
              <w:top w:val="single" w:color="auto" w:sz="4" w:space="0"/>
              <w:left w:val="nil"/>
              <w:bottom w:val="single" w:color="auto" w:sz="4" w:space="0"/>
              <w:right w:val="single" w:color="auto" w:sz="4" w:space="0"/>
            </w:tcBorders>
            <w:vAlign w:val="center"/>
          </w:tcPr>
          <w:p w14:paraId="41CA9D4E">
            <w:pPr>
              <w:pStyle w:val="19"/>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响应文件的上传和提交：</w:t>
            </w:r>
          </w:p>
          <w:p w14:paraId="150188FD">
            <w:pPr>
              <w:pStyle w:val="19"/>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本项目通过“</w:t>
            </w:r>
            <w:r>
              <w:rPr>
                <w:rFonts w:hAnsi="宋体"/>
                <w:color w:val="000000" w:themeColor="text1"/>
                <w:lang w:val="en"/>
                <w14:textFill>
                  <w14:solidFill>
                    <w14:schemeClr w14:val="tx1"/>
                  </w14:solidFill>
                </w14:textFill>
              </w:rPr>
              <w:t>广西政府采购云平台</w:t>
            </w:r>
            <w:r>
              <w:rPr>
                <w:rFonts w:hint="eastAsia" w:hAnsi="宋体"/>
                <w:color w:val="000000" w:themeColor="text1"/>
                <w14:textFill>
                  <w14:solidFill>
                    <w14:schemeClr w14:val="tx1"/>
                  </w14:solidFill>
                </w14:textFill>
              </w:rPr>
              <w:t>（https://www.gcy.zfcg.gxzf.gov.cn/</w:t>
            </w:r>
            <w:r>
              <w:rPr>
                <w:rFonts w:hAnsi="宋体"/>
                <w:color w:val="000000" w:themeColor="text1"/>
                <w14:textFill>
                  <w14:solidFill>
                    <w14:schemeClr w14:val="tx1"/>
                  </w14:solidFill>
                </w14:textFill>
              </w:rPr>
              <w:t>）”实行在线</w:t>
            </w:r>
            <w:r>
              <w:rPr>
                <w:rFonts w:hint="eastAsia" w:hAnsi="宋体"/>
                <w:color w:val="000000" w:themeColor="text1"/>
                <w14:textFill>
                  <w14:solidFill>
                    <w14:schemeClr w14:val="tx1"/>
                  </w14:solidFill>
                </w14:textFill>
              </w:rPr>
              <w:t>磋商</w:t>
            </w:r>
            <w:r>
              <w:rPr>
                <w:rFonts w:hAnsi="宋体"/>
                <w:color w:val="000000" w:themeColor="text1"/>
                <w14:textFill>
                  <w14:solidFill>
                    <w14:schemeClr w14:val="tx1"/>
                  </w14:solidFill>
                </w14:textFill>
              </w:rPr>
              <w:t>响应（电子标），</w:t>
            </w:r>
            <w:r>
              <w:rPr>
                <w:rFonts w:hint="eastAsia" w:hAnsi="宋体"/>
                <w:color w:val="000000" w:themeColor="text1"/>
                <w14:textFill>
                  <w14:solidFill>
                    <w14:schemeClr w14:val="tx1"/>
                  </w14:solidFill>
                </w14:textFill>
              </w:rPr>
              <w:t>磋商</w:t>
            </w:r>
            <w:r>
              <w:rPr>
                <w:rFonts w:hAnsi="宋体"/>
                <w:color w:val="000000" w:themeColor="text1"/>
                <w14:textFill>
                  <w14:solidFill>
                    <w14:schemeClr w14:val="tx1"/>
                  </w14:solidFill>
                </w14:textFill>
              </w:rPr>
              <w:t>供应商应当在</w:t>
            </w:r>
            <w:r>
              <w:rPr>
                <w:rFonts w:hint="eastAsia" w:hAnsi="宋体"/>
                <w:b/>
                <w:color w:val="000000" w:themeColor="text1"/>
                <w14:textFill>
                  <w14:solidFill>
                    <w14:schemeClr w14:val="tx1"/>
                  </w14:solidFill>
                </w14:textFill>
              </w:rPr>
              <w:t>上传响应文件截止时间</w:t>
            </w:r>
            <w:r>
              <w:rPr>
                <w:rFonts w:hAnsi="宋体"/>
                <w:color w:val="000000" w:themeColor="text1"/>
                <w14:textFill>
                  <w14:solidFill>
                    <w14:schemeClr w14:val="tx1"/>
                  </w14:solidFill>
                </w14:textFill>
              </w:rPr>
              <w:t>前，将生成的“电子加密</w:t>
            </w:r>
            <w:r>
              <w:rPr>
                <w:rFonts w:hint="eastAsia" w:hAnsi="宋体"/>
                <w:color w:val="000000" w:themeColor="text1"/>
                <w14:textFill>
                  <w14:solidFill>
                    <w14:schemeClr w14:val="tx1"/>
                  </w14:solidFill>
                </w14:textFill>
              </w:rPr>
              <w:t>响应</w:t>
            </w:r>
            <w:r>
              <w:rPr>
                <w:rFonts w:hAnsi="宋体"/>
                <w:color w:val="000000" w:themeColor="text1"/>
                <w14:textFill>
                  <w14:solidFill>
                    <w14:schemeClr w14:val="tx1"/>
                  </w14:solidFill>
                </w14:textFill>
              </w:rPr>
              <w:t>文件”上传</w:t>
            </w:r>
            <w:r>
              <w:rPr>
                <w:rFonts w:hint="eastAsia" w:hAnsi="宋体"/>
                <w:color w:val="000000" w:themeColor="text1"/>
                <w14:textFill>
                  <w14:solidFill>
                    <w14:schemeClr w14:val="tx1"/>
                  </w14:solidFill>
                </w14:textFill>
              </w:rPr>
              <w:t>提交</w:t>
            </w:r>
            <w:r>
              <w:rPr>
                <w:rFonts w:hAnsi="宋体"/>
                <w:color w:val="000000" w:themeColor="text1"/>
                <w14:textFill>
                  <w14:solidFill>
                    <w14:schemeClr w14:val="tx1"/>
                  </w14:solidFill>
                </w14:textFill>
              </w:rPr>
              <w:t>至“</w:t>
            </w:r>
            <w:r>
              <w:rPr>
                <w:rFonts w:hAnsi="宋体"/>
                <w:color w:val="000000" w:themeColor="text1"/>
                <w:lang w:val="en"/>
                <w14:textFill>
                  <w14:solidFill>
                    <w14:schemeClr w14:val="tx1"/>
                  </w14:solidFill>
                </w14:textFill>
              </w:rPr>
              <w:t>广西政府采购云平台</w:t>
            </w:r>
            <w:r>
              <w:rPr>
                <w:rFonts w:hAnsi="宋体"/>
                <w:color w:val="000000" w:themeColor="text1"/>
                <w14:textFill>
                  <w14:solidFill>
                    <w14:schemeClr w14:val="tx1"/>
                  </w14:solidFill>
                </w14:textFill>
              </w:rPr>
              <w:t>”。</w:t>
            </w:r>
          </w:p>
          <w:p w14:paraId="76F1089B">
            <w:pPr>
              <w:pStyle w:val="19"/>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“电子加密响应文件”的上传、提交：</w:t>
            </w:r>
          </w:p>
          <w:p w14:paraId="17E41314">
            <w:pPr>
              <w:pStyle w:val="19"/>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a.磋商供应商应在</w:t>
            </w:r>
            <w:r>
              <w:rPr>
                <w:rFonts w:hint="eastAsia" w:hAnsi="宋体"/>
                <w:b/>
                <w:color w:val="000000" w:themeColor="text1"/>
                <w14:textFill>
                  <w14:solidFill>
                    <w14:schemeClr w14:val="tx1"/>
                  </w14:solidFill>
                </w14:textFill>
              </w:rPr>
              <w:t>上传响应文件截止时间</w:t>
            </w:r>
            <w:r>
              <w:rPr>
                <w:rFonts w:hint="eastAsia" w:hAnsi="宋体"/>
                <w:color w:val="000000" w:themeColor="text1"/>
                <w14:textFill>
                  <w14:solidFill>
                    <w14:schemeClr w14:val="tx1"/>
                  </w14:solidFill>
                </w14:textFill>
              </w:rPr>
              <w:t>前将“电子加密响应文件”成功上传提交至</w:t>
            </w:r>
            <w:r>
              <w:rPr>
                <w:rFonts w:hAnsi="宋体"/>
                <w:color w:val="000000" w:themeColor="text1"/>
                <w14:textFill>
                  <w14:solidFill>
                    <w14:schemeClr w14:val="tx1"/>
                  </w14:solidFill>
                </w14:textFill>
              </w:rPr>
              <w:t>“</w:t>
            </w:r>
            <w:r>
              <w:rPr>
                <w:rFonts w:hAnsi="宋体"/>
                <w:color w:val="000000" w:themeColor="text1"/>
                <w:lang w:val="en"/>
                <w14:textFill>
                  <w14:solidFill>
                    <w14:schemeClr w14:val="tx1"/>
                  </w14:solidFill>
                </w14:textFill>
              </w:rPr>
              <w:t>广西政府采购云平台</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，否则磋商无效。</w:t>
            </w:r>
          </w:p>
          <w:p w14:paraId="23BCA7FB">
            <w:pPr>
              <w:pStyle w:val="19"/>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b.“电子加密磋商响应文件”成功上传提交后，供应商可自行打印响应文件接收回执。</w:t>
            </w:r>
          </w:p>
        </w:tc>
      </w:tr>
      <w:tr w14:paraId="0149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656F2047">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5</w:t>
            </w:r>
          </w:p>
        </w:tc>
        <w:tc>
          <w:tcPr>
            <w:tcW w:w="8365" w:type="dxa"/>
            <w:tcBorders>
              <w:top w:val="single" w:color="auto" w:sz="4" w:space="0"/>
              <w:left w:val="nil"/>
              <w:bottom w:val="single" w:color="auto" w:sz="4" w:space="0"/>
              <w:right w:val="single" w:color="auto" w:sz="4" w:space="0"/>
            </w:tcBorders>
            <w:vAlign w:val="center"/>
          </w:tcPr>
          <w:p w14:paraId="733632D5">
            <w:pPr>
              <w:pStyle w:val="107"/>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提交响应文件截止时间：见竞争性磋商公告</w:t>
            </w:r>
          </w:p>
        </w:tc>
      </w:tr>
      <w:tr w14:paraId="6CC3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6CE77A33">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6</w:t>
            </w:r>
          </w:p>
        </w:tc>
        <w:tc>
          <w:tcPr>
            <w:tcW w:w="8365" w:type="dxa"/>
            <w:tcBorders>
              <w:top w:val="single" w:color="auto" w:sz="4" w:space="0"/>
              <w:left w:val="nil"/>
              <w:bottom w:val="single" w:color="auto" w:sz="4" w:space="0"/>
              <w:right w:val="single" w:color="auto" w:sz="4" w:space="0"/>
            </w:tcBorders>
            <w:vAlign w:val="center"/>
          </w:tcPr>
          <w:p w14:paraId="0747E906">
            <w:pPr>
              <w:pStyle w:val="107"/>
              <w:spacing w:line="360" w:lineRule="exact"/>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响应文件有效期：响应文件提交截止日期后六十日。</w:t>
            </w:r>
          </w:p>
        </w:tc>
      </w:tr>
      <w:tr w14:paraId="0228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18674ECB">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7</w:t>
            </w:r>
          </w:p>
        </w:tc>
        <w:tc>
          <w:tcPr>
            <w:tcW w:w="8365" w:type="dxa"/>
            <w:tcBorders>
              <w:top w:val="single" w:color="auto" w:sz="4" w:space="0"/>
              <w:left w:val="nil"/>
              <w:bottom w:val="single" w:color="auto" w:sz="4" w:space="0"/>
              <w:right w:val="single" w:color="auto" w:sz="4" w:space="0"/>
            </w:tcBorders>
            <w:vAlign w:val="center"/>
          </w:tcPr>
          <w:p w14:paraId="4E46834F">
            <w:pPr>
              <w:pStyle w:val="19"/>
              <w:spacing w:line="36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保证金：见竞争性磋商公告。</w:t>
            </w:r>
          </w:p>
        </w:tc>
      </w:tr>
      <w:tr w14:paraId="66F5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5DEE6F12">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8</w:t>
            </w:r>
          </w:p>
        </w:tc>
        <w:tc>
          <w:tcPr>
            <w:tcW w:w="8365" w:type="dxa"/>
            <w:tcBorders>
              <w:top w:val="single" w:color="auto" w:sz="4" w:space="0"/>
              <w:left w:val="nil"/>
              <w:bottom w:val="single" w:color="auto" w:sz="4" w:space="0"/>
              <w:right w:val="single" w:color="auto" w:sz="4" w:space="0"/>
            </w:tcBorders>
            <w:vAlign w:val="center"/>
          </w:tcPr>
          <w:p w14:paraId="1F27F3D7">
            <w:pPr>
              <w:pStyle w:val="107"/>
              <w:spacing w:line="360" w:lineRule="exact"/>
              <w:rPr>
                <w:rFonts w:hAnsi="宋体" w:cs="Times New Roman"/>
                <w:b/>
                <w:bCs/>
                <w:color w:val="000000" w:themeColor="text1"/>
                <w14:textFill>
                  <w14:solidFill>
                    <w14:schemeClr w14:val="tx1"/>
                  </w14:solidFill>
                </w14:textFill>
              </w:rPr>
            </w:pPr>
            <w:r>
              <w:rPr>
                <w:rFonts w:hint="eastAsia" w:hAnsi="宋体" w:cs="Times New Roman"/>
                <w:b/>
                <w:bCs/>
                <w:color w:val="000000" w:themeColor="text1"/>
                <w14:textFill>
                  <w14:solidFill>
                    <w14:schemeClr w14:val="tx1"/>
                  </w14:solidFill>
                </w14:textFill>
              </w:rPr>
              <w:t>磋商时间：</w:t>
            </w:r>
            <w:r>
              <w:rPr>
                <w:rFonts w:hAnsi="宋体" w:cs="Times New Roman"/>
                <w:b/>
                <w:bCs/>
                <w:color w:val="000000" w:themeColor="text1"/>
                <w:u w:val="single"/>
                <w:lang w:val="en"/>
                <w14:textFill>
                  <w14:solidFill>
                    <w14:schemeClr w14:val="tx1"/>
                  </w14:solidFill>
                </w14:textFill>
              </w:rPr>
              <w:t>202</w:t>
            </w:r>
            <w:r>
              <w:rPr>
                <w:rFonts w:hint="eastAsia" w:hAnsi="宋体" w:cs="Times New Roman"/>
                <w:b/>
                <w:bCs/>
                <w:color w:val="000000" w:themeColor="text1"/>
                <w:u w:val="single"/>
                <w14:textFill>
                  <w14:solidFill>
                    <w14:schemeClr w14:val="tx1"/>
                  </w14:solidFill>
                </w14:textFill>
              </w:rPr>
              <w:t>6</w:t>
            </w:r>
            <w:r>
              <w:rPr>
                <w:rFonts w:hAnsi="宋体" w:cs="Times New Roman"/>
                <w:b/>
                <w:bCs/>
                <w:color w:val="000000" w:themeColor="text1"/>
                <w:u w:val="single"/>
                <w:lang w:val="en"/>
                <w14:textFill>
                  <w14:solidFill>
                    <w14:schemeClr w14:val="tx1"/>
                  </w14:solidFill>
                </w14:textFill>
              </w:rPr>
              <w:t>年</w:t>
            </w:r>
            <w:r>
              <w:rPr>
                <w:rFonts w:hint="eastAsia" w:hAnsi="宋体" w:cs="Times New Roman"/>
                <w:b/>
                <w:bCs/>
                <w:color w:val="000000" w:themeColor="text1"/>
                <w:u w:val="single"/>
                <w:lang w:val="en-US" w:eastAsia="zh-CN"/>
                <w14:textFill>
                  <w14:solidFill>
                    <w14:schemeClr w14:val="tx1"/>
                  </w14:solidFill>
                </w14:textFill>
              </w:rPr>
              <w:t>7</w:t>
            </w:r>
            <w:r>
              <w:rPr>
                <w:rFonts w:hAnsi="宋体" w:cs="Times New Roman"/>
                <w:b/>
                <w:bCs/>
                <w:color w:val="000000" w:themeColor="text1"/>
                <w:u w:val="single"/>
                <w:lang w:val="en"/>
                <w14:textFill>
                  <w14:solidFill>
                    <w14:schemeClr w14:val="tx1"/>
                  </w14:solidFill>
                </w14:textFill>
              </w:rPr>
              <w:t>月</w:t>
            </w:r>
            <w:r>
              <w:rPr>
                <w:rFonts w:hint="eastAsia" w:hAnsi="宋体" w:cs="Times New Roman"/>
                <w:b/>
                <w:bCs/>
                <w:color w:val="000000" w:themeColor="text1"/>
                <w:u w:val="single"/>
                <w:lang w:val="en-US" w:eastAsia="zh-CN"/>
                <w14:textFill>
                  <w14:solidFill>
                    <w14:schemeClr w14:val="tx1"/>
                  </w14:solidFill>
                </w14:textFill>
              </w:rPr>
              <w:t xml:space="preserve"> </w:t>
            </w:r>
            <w:r>
              <w:rPr>
                <w:rFonts w:hAnsi="宋体" w:cs="Times New Roman"/>
                <w:b/>
                <w:bCs/>
                <w:color w:val="000000" w:themeColor="text1"/>
                <w:u w:val="single"/>
                <w:lang w:val="en"/>
                <w14:textFill>
                  <w14:solidFill>
                    <w14:schemeClr w14:val="tx1"/>
                  </w14:solidFill>
                </w14:textFill>
              </w:rPr>
              <w:t>日</w:t>
            </w:r>
            <w:r>
              <w:rPr>
                <w:rFonts w:hint="eastAsia" w:hAnsi="宋体" w:cs="Times New Roman"/>
                <w:b/>
                <w:bCs/>
                <w:color w:val="000000" w:themeColor="text1"/>
                <w14:textFill>
                  <w14:solidFill>
                    <w14:schemeClr w14:val="tx1"/>
                  </w14:solidFill>
                </w14:textFill>
              </w:rPr>
              <w:t>10时整截标后（如有变动，具体时间由广西壮族自治区政府采购中心另行通知）</w:t>
            </w:r>
          </w:p>
          <w:p w14:paraId="5AC2319B">
            <w:pPr>
              <w:pStyle w:val="107"/>
              <w:spacing w:line="360" w:lineRule="exact"/>
              <w:rPr>
                <w:rFonts w:hAnsi="宋体" w:cs="Times New Roman"/>
                <w:color w:val="000000" w:themeColor="text1"/>
                <w:kern w:val="0"/>
                <w14:textFill>
                  <w14:solidFill>
                    <w14:schemeClr w14:val="tx1"/>
                  </w14:solidFill>
                </w14:textFill>
              </w:rPr>
            </w:pPr>
            <w:r>
              <w:rPr>
                <w:rFonts w:hint="eastAsia" w:hAnsi="宋体" w:cs="Times New Roman"/>
                <w:b/>
                <w:bCs/>
                <w:color w:val="000000" w:themeColor="text1"/>
                <w14:textFill>
                  <w14:solidFill>
                    <w14:schemeClr w14:val="tx1"/>
                  </w14:solidFill>
                </w14:textFill>
              </w:rPr>
              <w:t>磋商地点：南宁市星湖路22号广西壮族自治区政府采购中心</w:t>
            </w:r>
            <w:r>
              <w:rPr>
                <w:rFonts w:hint="eastAsia" w:hAnsi="宋体" w:cs="Times New Roman"/>
                <w:color w:val="000000" w:themeColor="text1"/>
                <w:kern w:val="0"/>
                <w14:textFill>
                  <w14:solidFill>
                    <w14:schemeClr w14:val="tx1"/>
                  </w14:solidFill>
                </w14:textFill>
              </w:rPr>
              <w:t>，广西壮族自治区政府采购中心评标室</w:t>
            </w:r>
            <w:r>
              <w:rPr>
                <w:rFonts w:hint="eastAsia"/>
                <w:color w:val="000000" w:themeColor="text1"/>
                <w14:textFill>
                  <w14:solidFill>
                    <w14:schemeClr w14:val="tx1"/>
                  </w14:solidFill>
                </w14:textFill>
              </w:rPr>
              <w:t>（本项目实施电子标，不要求供应商到达磋商现场）</w:t>
            </w:r>
          </w:p>
        </w:tc>
      </w:tr>
      <w:tr w14:paraId="1A2E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043DE44A">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9</w:t>
            </w:r>
          </w:p>
        </w:tc>
        <w:tc>
          <w:tcPr>
            <w:tcW w:w="8365" w:type="dxa"/>
            <w:tcBorders>
              <w:top w:val="single" w:color="auto" w:sz="4" w:space="0"/>
              <w:left w:val="nil"/>
              <w:bottom w:val="single" w:color="auto" w:sz="4" w:space="0"/>
              <w:right w:val="single" w:color="auto" w:sz="4" w:space="0"/>
            </w:tcBorders>
            <w:vAlign w:val="center"/>
          </w:tcPr>
          <w:p w14:paraId="556B8DE0">
            <w:pPr>
              <w:pStyle w:val="107"/>
              <w:spacing w:line="360" w:lineRule="exact"/>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评审方法：综合评分法（详细见第六章）</w:t>
            </w:r>
          </w:p>
        </w:tc>
      </w:tr>
      <w:tr w14:paraId="40EF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095ECF2A">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10</w:t>
            </w:r>
          </w:p>
        </w:tc>
        <w:tc>
          <w:tcPr>
            <w:tcW w:w="8365" w:type="dxa"/>
            <w:tcBorders>
              <w:top w:val="single" w:color="auto" w:sz="4" w:space="0"/>
              <w:left w:val="nil"/>
              <w:bottom w:val="single" w:color="auto" w:sz="4" w:space="0"/>
              <w:right w:val="single" w:color="auto" w:sz="4" w:space="0"/>
            </w:tcBorders>
            <w:vAlign w:val="center"/>
          </w:tcPr>
          <w:p w14:paraId="153E46CB">
            <w:pPr>
              <w:spacing w:line="360" w:lineRule="exact"/>
              <w:rPr>
                <w:rFonts w:ascii="宋体"/>
                <w:snapToGrid w:val="0"/>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响应文件形式：</w:t>
            </w:r>
            <w:r>
              <w:rPr>
                <w:rFonts w:hint="eastAsia" w:ascii="宋体"/>
                <w:snapToGrid w:val="0"/>
                <w:color w:val="000000" w:themeColor="text1"/>
                <w14:textFill>
                  <w14:solidFill>
                    <w14:schemeClr w14:val="tx1"/>
                  </w14:solidFill>
                </w14:textFill>
              </w:rPr>
              <w:t>磋商供应商应准备电子响应文件。</w:t>
            </w:r>
          </w:p>
          <w:p w14:paraId="112E86A2">
            <w:pPr>
              <w:pStyle w:val="107"/>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电子响应文件是指通过“政采云电子投标客户端”完成响应文件编制后生成并加密的数据电文形式的电子加密响应文件。</w:t>
            </w:r>
          </w:p>
        </w:tc>
      </w:tr>
      <w:tr w14:paraId="367D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43F71D40">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11</w:t>
            </w:r>
          </w:p>
        </w:tc>
        <w:tc>
          <w:tcPr>
            <w:tcW w:w="8365" w:type="dxa"/>
            <w:tcBorders>
              <w:top w:val="single" w:color="auto" w:sz="4" w:space="0"/>
              <w:left w:val="nil"/>
              <w:bottom w:val="single" w:color="auto" w:sz="4" w:space="0"/>
              <w:right w:val="single" w:color="auto" w:sz="4" w:space="0"/>
            </w:tcBorders>
            <w:vAlign w:val="center"/>
          </w:tcPr>
          <w:p w14:paraId="7A29F3DE">
            <w:pPr>
              <w:pStyle w:val="107"/>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响应文件的编制：供应商应先安装“政采云电子投标客户端”，并按照本竞争性磋商文件和“</w:t>
            </w:r>
            <w:r>
              <w:rPr>
                <w:snapToGrid w:val="0"/>
                <w:color w:val="000000" w:themeColor="text1"/>
                <w:lang w:val="en"/>
                <w14:textFill>
                  <w14:solidFill>
                    <w14:schemeClr w14:val="tx1"/>
                  </w14:solidFill>
                </w14:textFill>
              </w:rPr>
              <w:t>广西政府采购云平台</w:t>
            </w:r>
            <w:r>
              <w:rPr>
                <w:rFonts w:hint="eastAsia"/>
                <w:snapToGrid w:val="0"/>
                <w:color w:val="000000" w:themeColor="text1"/>
                <w14:textFill>
                  <w14:solidFill>
                    <w14:schemeClr w14:val="tx1"/>
                  </w14:solidFill>
                </w14:textFill>
              </w:rPr>
              <w:t>”的要求，通过“政采云电子投标客户端”编制并加密响应文件。</w:t>
            </w:r>
          </w:p>
        </w:tc>
      </w:tr>
      <w:tr w14:paraId="7EB9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07C18F16">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12</w:t>
            </w:r>
          </w:p>
        </w:tc>
        <w:tc>
          <w:tcPr>
            <w:tcW w:w="8365" w:type="dxa"/>
            <w:tcBorders>
              <w:top w:val="single" w:color="auto" w:sz="4" w:space="0"/>
              <w:left w:val="nil"/>
              <w:bottom w:val="single" w:color="auto" w:sz="4" w:space="0"/>
              <w:right w:val="single" w:color="auto" w:sz="4" w:space="0"/>
            </w:tcBorders>
            <w:vAlign w:val="center"/>
          </w:tcPr>
          <w:p w14:paraId="279AF518">
            <w:pPr>
              <w:pStyle w:val="107"/>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响应文件的盖章：响应文件中所涉及的加盖公章均采用CA电子签章。</w:t>
            </w:r>
          </w:p>
        </w:tc>
      </w:tr>
      <w:tr w14:paraId="005F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26A7FF45">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13</w:t>
            </w:r>
          </w:p>
        </w:tc>
        <w:tc>
          <w:tcPr>
            <w:tcW w:w="8365" w:type="dxa"/>
            <w:tcBorders>
              <w:top w:val="single" w:color="auto" w:sz="4" w:space="0"/>
              <w:left w:val="nil"/>
              <w:bottom w:val="single" w:color="auto" w:sz="4" w:space="0"/>
              <w:right w:val="single" w:color="auto" w:sz="4" w:space="0"/>
            </w:tcBorders>
            <w:vAlign w:val="center"/>
          </w:tcPr>
          <w:p w14:paraId="15F8AF0B">
            <w:pPr>
              <w:pStyle w:val="107"/>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14:paraId="219D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7D69B3D2">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14</w:t>
            </w:r>
          </w:p>
        </w:tc>
        <w:tc>
          <w:tcPr>
            <w:tcW w:w="8365" w:type="dxa"/>
            <w:tcBorders>
              <w:top w:val="single" w:color="auto" w:sz="4" w:space="0"/>
              <w:left w:val="nil"/>
              <w:bottom w:val="single" w:color="auto" w:sz="4" w:space="0"/>
              <w:right w:val="single" w:color="auto" w:sz="4" w:space="0"/>
            </w:tcBorders>
            <w:vAlign w:val="center"/>
          </w:tcPr>
          <w:p w14:paraId="5B247B5F">
            <w:pPr>
              <w:pStyle w:val="107"/>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响应文件份数：电子加密响应文件在线上传提交一份。</w:t>
            </w:r>
          </w:p>
        </w:tc>
      </w:tr>
      <w:tr w14:paraId="1C13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14:paraId="3DA5D3FD">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15</w:t>
            </w:r>
          </w:p>
        </w:tc>
        <w:tc>
          <w:tcPr>
            <w:tcW w:w="8365" w:type="dxa"/>
            <w:tcBorders>
              <w:top w:val="single" w:color="auto" w:sz="4" w:space="0"/>
              <w:left w:val="nil"/>
              <w:bottom w:val="single" w:color="auto" w:sz="4" w:space="0"/>
              <w:right w:val="single" w:color="auto" w:sz="4" w:space="0"/>
            </w:tcBorders>
            <w:vAlign w:val="center"/>
          </w:tcPr>
          <w:p w14:paraId="1DC258EB">
            <w:pPr>
              <w:pStyle w:val="107"/>
              <w:spacing w:line="360" w:lineRule="exact"/>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电子加密响应文件的解密：</w:t>
            </w:r>
          </w:p>
          <w:p w14:paraId="43D9F834">
            <w:pPr>
              <w:pStyle w:val="107"/>
              <w:spacing w:line="360" w:lineRule="exact"/>
              <w:rPr>
                <w:rFonts w:hAnsi="宋体"/>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磋商开启后，本中心将向各参与磋商供应商发出“电子加密响应文件”的解密通知，各磋商供应商代表应当在接到解密通知后30分钟内自行完成“电子加密响应文件”的在线解密。</w:t>
            </w:r>
          </w:p>
        </w:tc>
      </w:tr>
      <w:tr w14:paraId="302B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vAlign w:val="center"/>
          </w:tcPr>
          <w:p w14:paraId="39ACC118">
            <w:pPr>
              <w:pStyle w:val="107"/>
              <w:spacing w:line="360" w:lineRule="exact"/>
              <w:jc w:val="center"/>
              <w:rPr>
                <w:rFonts w:hAnsi="宋体" w:cs="Times New Roman"/>
                <w:color w:val="000000" w:themeColor="text1"/>
                <w14:textFill>
                  <w14:solidFill>
                    <w14:schemeClr w14:val="tx1"/>
                  </w14:solidFill>
                </w14:textFill>
              </w:rPr>
            </w:pPr>
            <w:r>
              <w:rPr>
                <w:rFonts w:hint="eastAsia" w:hAnsi="宋体" w:cs="Times New Roman"/>
                <w:color w:val="000000" w:themeColor="text1"/>
                <w14:textFill>
                  <w14:solidFill>
                    <w14:schemeClr w14:val="tx1"/>
                  </w14:solidFill>
                </w14:textFill>
              </w:rPr>
              <w:t>16</w:t>
            </w:r>
          </w:p>
        </w:tc>
        <w:tc>
          <w:tcPr>
            <w:tcW w:w="8365" w:type="dxa"/>
            <w:tcBorders>
              <w:top w:val="single" w:color="auto" w:sz="4" w:space="0"/>
              <w:left w:val="nil"/>
              <w:bottom w:val="single" w:color="auto" w:sz="4" w:space="0"/>
              <w:right w:val="single" w:color="auto" w:sz="4" w:space="0"/>
            </w:tcBorders>
            <w:vAlign w:val="center"/>
          </w:tcPr>
          <w:p w14:paraId="33787BA1">
            <w:pPr>
              <w:snapToGrid w:val="0"/>
              <w:spacing w:line="360" w:lineRule="exact"/>
              <w:rPr>
                <w:snapToGrid w:val="0"/>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对采购文件、采购过程或者中标（成交）结果的质疑由采购人接收或采购代理机构代为接收，由采购人负责答复。</w:t>
            </w:r>
          </w:p>
        </w:tc>
      </w:tr>
      <w:tr w14:paraId="65C4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14:paraId="1300D03D">
            <w:pPr>
              <w:pStyle w:val="107"/>
              <w:spacing w:line="360" w:lineRule="exact"/>
              <w:jc w:val="center"/>
              <w:rPr>
                <w:rFonts w:hAnsi="宋体" w:cs="Times New Roman"/>
                <w:color w:val="000000" w:themeColor="text1"/>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14:paraId="21416B76">
            <w:pPr>
              <w:snapToGrid w:val="0"/>
              <w:spacing w:line="360" w:lineRule="exact"/>
              <w:rPr>
                <w:snapToGrid w:val="0"/>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接收质疑函方式：以书面形式。</w:t>
            </w:r>
          </w:p>
        </w:tc>
      </w:tr>
      <w:tr w14:paraId="7CC6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14:paraId="35565B47">
            <w:pPr>
              <w:pStyle w:val="107"/>
              <w:spacing w:line="360" w:lineRule="exact"/>
              <w:jc w:val="center"/>
              <w:rPr>
                <w:rFonts w:hAnsi="宋体" w:cs="Times New Roman"/>
                <w:color w:val="000000" w:themeColor="text1"/>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14:paraId="4CF89420">
            <w:pPr>
              <w:snapToGrid w:val="0"/>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质疑联系部门及联系方式：</w:t>
            </w:r>
          </w:p>
          <w:p w14:paraId="77576796">
            <w:pPr>
              <w:snapToGrid w:val="0"/>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（1）广西壮族自治区政府采购中心内审科     </w:t>
            </w:r>
          </w:p>
          <w:p w14:paraId="6F2DEF22">
            <w:pPr>
              <w:snapToGrid w:val="0"/>
              <w:spacing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电话：0771-8600453</w:t>
            </w:r>
          </w:p>
          <w:p w14:paraId="503BDF1D">
            <w:pPr>
              <w:snapToGrid w:val="0"/>
              <w:spacing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地址：广西南宁市星湖路22号</w:t>
            </w:r>
          </w:p>
          <w:p w14:paraId="23EB4DCE">
            <w:pPr>
              <w:snapToGrid w:val="0"/>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 w:eastAsia="zh-CN"/>
                <w14:textFill>
                  <w14:solidFill>
                    <w14:schemeClr w14:val="tx1"/>
                  </w14:solidFill>
                </w14:textFill>
              </w:rPr>
              <w:t>贺州</w:t>
            </w:r>
            <w:r>
              <w:rPr>
                <w:rFonts w:hint="eastAsia"/>
                <w:color w:val="000000" w:themeColor="text1"/>
                <w:lang w:val="en"/>
                <w14:textFill>
                  <w14:solidFill>
                    <w14:schemeClr w14:val="tx1"/>
                  </w14:solidFill>
                </w14:textFill>
              </w:rPr>
              <w:t>学院</w:t>
            </w:r>
          </w:p>
          <w:p w14:paraId="15148B64">
            <w:pPr>
              <w:snapToGrid w:val="0"/>
              <w:spacing w:line="360" w:lineRule="exact"/>
              <w:ind w:firstLine="420" w:firstLineChars="20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电话：077</w:t>
            </w:r>
            <w:r>
              <w:rPr>
                <w:rFonts w:hint="eastAsia"/>
                <w:color w:val="000000" w:themeColor="text1"/>
                <w:lang w:val="en-US" w:eastAsia="zh-CN"/>
                <w14:textFill>
                  <w14:solidFill>
                    <w14:schemeClr w14:val="tx1"/>
                  </w14:solidFill>
                </w14:textFill>
              </w:rPr>
              <w:t>4-5228681</w:t>
            </w:r>
          </w:p>
          <w:p w14:paraId="50342D9B">
            <w:pPr>
              <w:snapToGrid w:val="0"/>
              <w:spacing w:line="360" w:lineRule="exact"/>
              <w:ind w:firstLine="420" w:firstLineChars="200"/>
              <w:rPr>
                <w:snapToGrid w:val="0"/>
                <w:color w:val="000000" w:themeColor="text1"/>
                <w14:textFill>
                  <w14:solidFill>
                    <w14:schemeClr w14:val="tx1"/>
                  </w14:solidFill>
                </w14:textFill>
              </w:rPr>
            </w:pPr>
            <w:r>
              <w:rPr>
                <w:rFonts w:hint="eastAsia"/>
                <w:color w:val="000000" w:themeColor="text1"/>
                <w14:textFill>
                  <w14:solidFill>
                    <w14:schemeClr w14:val="tx1"/>
                  </w14:solidFill>
                </w14:textFill>
              </w:rPr>
              <w:t>地址：</w:t>
            </w: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广西贺州市八步区潇贺大道3261号</w:t>
            </w:r>
            <w:r>
              <w:rPr>
                <w:rFonts w:hint="eastAsia"/>
                <w:color w:val="000000" w:themeColor="text1"/>
                <w14:textFill>
                  <w14:solidFill>
                    <w14:schemeClr w14:val="tx1"/>
                  </w14:solidFill>
                </w14:textFill>
              </w:rPr>
              <w:t xml:space="preserve"> </w:t>
            </w:r>
          </w:p>
        </w:tc>
      </w:tr>
      <w:tr w14:paraId="4078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vAlign w:val="center"/>
          </w:tcPr>
          <w:p w14:paraId="62A6C45D">
            <w:pPr>
              <w:pStyle w:val="107"/>
              <w:spacing w:line="360" w:lineRule="exact"/>
              <w:jc w:val="center"/>
              <w:rPr>
                <w:rFonts w:hAnsi="宋体" w:cs="Times New Roman"/>
                <w:color w:val="000000" w:themeColor="text1"/>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14:paraId="32C81275">
            <w:pPr>
              <w:snapToGrid w:val="0"/>
              <w:spacing w:line="360" w:lineRule="exact"/>
              <w:rPr>
                <w:snapToGrid w:val="0"/>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现场提交质疑办理业务时间：质疑期内每个工作日采购人或采购代理机构正常工作时间（其中采购代理机构为9：00到12：00，14：00到17：00）</w:t>
            </w:r>
          </w:p>
        </w:tc>
      </w:tr>
    </w:tbl>
    <w:p w14:paraId="75F0CD1A">
      <w:pPr>
        <w:pageBreakBefore/>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供应商须知</w:t>
      </w:r>
    </w:p>
    <w:p w14:paraId="31F94818">
      <w:pPr>
        <w:spacing w:line="44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一、总 则</w:t>
      </w:r>
    </w:p>
    <w:p w14:paraId="434F9F0E">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适用范围</w:t>
      </w:r>
    </w:p>
    <w:p w14:paraId="6095A9DC">
      <w:pPr>
        <w:pStyle w:val="19"/>
        <w:spacing w:line="440" w:lineRule="exact"/>
        <w:ind w:firstLine="411" w:firstLineChars="196"/>
        <w:rPr>
          <w:rFonts w:hAnsi="宋体"/>
          <w:b/>
          <w:bCs/>
          <w:color w:val="000000" w:themeColor="text1"/>
          <w:lang w:val="en"/>
          <w14:textFill>
            <w14:solidFill>
              <w14:schemeClr w14:val="tx1"/>
            </w14:solidFill>
          </w14:textFill>
        </w:rPr>
      </w:pPr>
      <w:r>
        <w:rPr>
          <w:rFonts w:hint="eastAsia" w:hAnsi="宋体"/>
          <w:color w:val="000000" w:themeColor="text1"/>
          <w14:textFill>
            <w14:solidFill>
              <w14:schemeClr w14:val="tx1"/>
            </w14:solidFill>
          </w14:textFill>
        </w:rPr>
        <w:t xml:space="preserve">1.1项目名称： </w:t>
      </w:r>
      <w:r>
        <w:rPr>
          <w:rFonts w:hint="eastAsia" w:hAnsi="宋体"/>
          <w:color w:val="000000" w:themeColor="text1"/>
          <w14:textFill>
            <w14:solidFill>
              <w14:schemeClr w14:val="tx1"/>
            </w14:solidFill>
          </w14:textFill>
        </w:rPr>
        <w:fldChar w:fldCharType="begin"/>
      </w:r>
      <w:r>
        <w:rPr>
          <w:rFonts w:hint="eastAsia" w:hAnsi="宋体"/>
          <w:color w:val="000000" w:themeColor="text1"/>
          <w14:textFill>
            <w14:solidFill>
              <w14:schemeClr w14:val="tx1"/>
            </w14:solidFill>
          </w14:textFill>
        </w:rPr>
        <w:instrText xml:space="preserve"> HYPERLINK "https://pay.gcy.zfcg.gxzf.gov.cn/budget-quota-index/" \l "/plan/list/_blank" \t "https://pay.gcy.zfcg.gxzf.gov.cn/purchaseplan_front/" </w:instrText>
      </w:r>
      <w:r>
        <w:rPr>
          <w:rFonts w:hint="eastAsia" w:hAnsi="宋体"/>
          <w:color w:val="000000" w:themeColor="text1"/>
          <w14:textFill>
            <w14:solidFill>
              <w14:schemeClr w14:val="tx1"/>
            </w14:solidFill>
          </w14:textFill>
        </w:rPr>
        <w:fldChar w:fldCharType="separate"/>
      </w:r>
      <w:r>
        <w:rPr>
          <w:rFonts w:hint="eastAsia" w:hAnsi="宋体"/>
          <w:color w:val="000000" w:themeColor="text1"/>
          <w14:textFill>
            <w14:solidFill>
              <w14:schemeClr w14:val="tx1"/>
            </w14:solidFill>
          </w14:textFill>
        </w:rPr>
        <w:fldChar w:fldCharType="begin"/>
      </w:r>
      <w:r>
        <w:rPr>
          <w:rFonts w:hint="eastAsia" w:hAnsi="宋体"/>
          <w:color w:val="000000" w:themeColor="text1"/>
          <w14:textFill>
            <w14:solidFill>
              <w14:schemeClr w14:val="tx1"/>
            </w14:solidFill>
          </w14:textFill>
        </w:rPr>
        <w:instrText xml:space="preserve"> HYPERLINK "https://middle.gcy.zfcg.gxzf.gov.cn/budget-quota-index/" \l "/purchase/plan/details/22802899" \t "https://middle.gcy.zfcg.gxzf.gov.cn/purchaseplan_front/" \l "/plan/list/_blank" </w:instrText>
      </w:r>
      <w:r>
        <w:rPr>
          <w:rFonts w:hint="eastAsia" w:hAnsi="宋体"/>
          <w:color w:val="000000" w:themeColor="text1"/>
          <w14:textFill>
            <w14:solidFill>
              <w14:schemeClr w14:val="tx1"/>
            </w14:solidFill>
          </w14:textFill>
        </w:rPr>
        <w:fldChar w:fldCharType="separate"/>
      </w:r>
      <w:r>
        <w:rPr>
          <w:rFonts w:hint="eastAsia" w:hAnsi="宋体"/>
          <w:color w:val="000000" w:themeColor="text1"/>
          <w14:textFill>
            <w14:solidFill>
              <w14:schemeClr w14:val="tx1"/>
            </w14:solidFill>
          </w14:textFill>
        </w:rPr>
        <w:t>贺州学院2026-2028年互联网宽带接入服务</w:t>
      </w:r>
      <w:r>
        <w:rPr>
          <w:rFonts w:hint="eastAsia" w:hAnsi="宋体"/>
          <w:color w:val="000000" w:themeColor="text1"/>
          <w14:textFill>
            <w14:solidFill>
              <w14:schemeClr w14:val="tx1"/>
            </w14:solidFill>
          </w14:textFill>
        </w:rPr>
        <w:fldChar w:fldCharType="end"/>
      </w:r>
      <w:r>
        <w:rPr>
          <w:rFonts w:hint="eastAsia" w:hAnsi="宋体"/>
          <w:color w:val="000000" w:themeColor="text1"/>
          <w14:textFill>
            <w14:solidFill>
              <w14:schemeClr w14:val="tx1"/>
            </w14:solidFill>
          </w14:textFill>
        </w:rPr>
        <w:t>采购</w:t>
      </w:r>
      <w:r>
        <w:rPr>
          <w:rFonts w:hint="eastAsia" w:hAnsi="宋体"/>
          <w:color w:val="000000" w:themeColor="text1"/>
          <w14:textFill>
            <w14:solidFill>
              <w14:schemeClr w14:val="tx1"/>
            </w14:solidFill>
          </w14:textFill>
        </w:rPr>
        <w:fldChar w:fldCharType="end"/>
      </w:r>
    </w:p>
    <w:p w14:paraId="68A24B97">
      <w:pPr>
        <w:pStyle w:val="19"/>
        <w:spacing w:line="440" w:lineRule="exact"/>
        <w:ind w:firstLine="411" w:firstLineChars="196"/>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本文件仅适用于本文件中所叙述的服务类政府采购项目。</w:t>
      </w:r>
    </w:p>
    <w:p w14:paraId="353AC48F">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定义</w:t>
      </w:r>
    </w:p>
    <w:p w14:paraId="2A938096">
      <w:pPr>
        <w:spacing w:line="440" w:lineRule="exact"/>
        <w:ind w:firstLine="420" w:firstLineChars="200"/>
        <w:rPr>
          <w:rFonts w:ascii="宋体" w:hAnsi="宋体"/>
          <w:b/>
          <w:bCs/>
          <w:color w:val="000000" w:themeColor="text1"/>
          <w:lang w:val="en"/>
          <w14:textFill>
            <w14:solidFill>
              <w14:schemeClr w14:val="tx1"/>
            </w14:solidFill>
          </w14:textFill>
        </w:rPr>
      </w:pPr>
      <w:r>
        <w:rPr>
          <w:rFonts w:hint="eastAsia" w:ascii="宋体" w:hAnsi="宋体"/>
          <w:color w:val="000000" w:themeColor="text1"/>
          <w14:textFill>
            <w14:solidFill>
              <w14:schemeClr w14:val="tx1"/>
            </w14:solidFill>
          </w14:textFill>
        </w:rPr>
        <w:t>2.1“采购人”是指：</w:t>
      </w:r>
      <w:r>
        <w:rPr>
          <w:rFonts w:hint="eastAsia"/>
          <w:color w:val="000000" w:themeColor="text1"/>
          <w:lang w:val="en" w:eastAsia="zh-CN"/>
          <w14:textFill>
            <w14:solidFill>
              <w14:schemeClr w14:val="tx1"/>
            </w14:solidFill>
          </w14:textFill>
        </w:rPr>
        <w:t>贺州</w:t>
      </w:r>
      <w:r>
        <w:rPr>
          <w:rFonts w:hint="eastAsia"/>
          <w:color w:val="000000" w:themeColor="text1"/>
          <w:lang w:val="en"/>
          <w14:textFill>
            <w14:solidFill>
              <w14:schemeClr w14:val="tx1"/>
            </w14:solidFill>
          </w14:textFill>
        </w:rPr>
        <w:t>学院</w:t>
      </w:r>
    </w:p>
    <w:p w14:paraId="77B8BDC6">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2.2“采购代理机构”是指：广西壮族自治区政府采购中心(以下简称“本中心”)。</w:t>
      </w:r>
    </w:p>
    <w:p w14:paraId="0555597B">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2.3“供应商”是指响应本文件要求，参加磋商的法人或者其他组织和自然人。如果该供应商在本次磋商中成交,即成为“成交供应商”。</w:t>
      </w:r>
    </w:p>
    <w:p w14:paraId="36568399">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2.4“货物”是指各种形态和种类的物品，包括原材料、燃料、设备、产品等。</w:t>
      </w:r>
    </w:p>
    <w:p w14:paraId="30035C19">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2.5“服务”是指除货物和工程以外的其他政府采购对象。</w:t>
      </w:r>
    </w:p>
    <w:p w14:paraId="0BF10AEB">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2.6“竞争性磋商响应文件”是指：供应商根据本文件要求，编制包含报价、技术和服务等所有内容的文件。</w:t>
      </w:r>
    </w:p>
    <w:p w14:paraId="393C9910">
      <w:pPr>
        <w:spacing w:line="44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 供应商的基本条件</w:t>
      </w:r>
    </w:p>
    <w:p w14:paraId="64C8BD6C">
      <w:pPr>
        <w:spacing w:line="440" w:lineRule="exact"/>
        <w:ind w:firstLine="424" w:firstLineChars="202"/>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3.1供应商资格：具备《中华人民共和国政府采购法》第二十二条规定的条件。</w:t>
      </w:r>
    </w:p>
    <w:p w14:paraId="0417C46F">
      <w:pPr>
        <w:spacing w:line="440" w:lineRule="exact"/>
        <w:ind w:firstLine="424" w:firstLineChars="202"/>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14:paraId="1ED794E4">
      <w:pPr>
        <w:spacing w:line="440" w:lineRule="exact"/>
        <w:ind w:firstLine="424" w:firstLineChars="201"/>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4. 磋商费用、竞争性磋商公告、竞争性磋商文件的澄清和修改</w:t>
      </w:r>
    </w:p>
    <w:p w14:paraId="4F77BC01">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4.1磋商费用：供应商应自行承担所有与编写和提交竞争性磋商响应文件有关的费用，不论磋商结果如何，采购人和本中心在任何情况下无义务和责任承担此类费用。</w:t>
      </w:r>
    </w:p>
    <w:p w14:paraId="3F744FA6">
      <w:pPr>
        <w:pStyle w:val="19"/>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4.2</w:t>
      </w:r>
      <w:r>
        <w:rPr>
          <w:rFonts w:hint="eastAsia" w:hAnsi="宋体"/>
          <w:b/>
          <w:bCs/>
          <w:color w:val="000000" w:themeColor="text1"/>
          <w14:textFill>
            <w14:solidFill>
              <w14:schemeClr w14:val="tx1"/>
            </w14:solidFill>
          </w14:textFill>
        </w:rPr>
        <w:t>竞争性磋商公告</w:t>
      </w:r>
      <w:r>
        <w:rPr>
          <w:rFonts w:hint="eastAsia" w:hAnsi="宋体"/>
          <w:color w:val="000000" w:themeColor="text1"/>
          <w14:textFill>
            <w14:solidFill>
              <w14:schemeClr w14:val="tx1"/>
            </w14:solidFill>
          </w14:textFill>
        </w:rPr>
        <w:t>：见中国政府采购网(www.ccgp.gov.cn)、广西政府采购网（http://zfcg.gxzf.gov.cn）及本中心网站（http://gxggzy.gxzf.gov.cn/）。</w:t>
      </w:r>
    </w:p>
    <w:p w14:paraId="6C20729C">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4.3竞争性磋商文件的澄清和修改：</w:t>
      </w:r>
    </w:p>
    <w:p w14:paraId="33D9CCAC">
      <w:pPr>
        <w:pStyle w:val="19"/>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4.3.1供应商应认真审核《采购需求》中的技术参数、配置及要求，如发现采购需求中技术参数、配置有误或要求不合理的，供应商必须在规定的时间前要求澄清，否则，由此产生的后果由供应商负责。</w:t>
      </w:r>
    </w:p>
    <w:p w14:paraId="458DC205">
      <w:pPr>
        <w:pStyle w:val="19"/>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4.3.2任何要求澄清竞争性磋商文件的供应商，均应在响应文件递交截止日期三日前的正常工作时间以传真等书面形式通知本中心，同时认定其他澄清方式为无效。本中心将以书面形式予以答复。</w:t>
      </w:r>
    </w:p>
    <w:p w14:paraId="6A5903FE">
      <w:pPr>
        <w:widowControl/>
        <w:spacing w:line="44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olor w:val="000000" w:themeColor="text1"/>
          <w:u w:val="single"/>
          <w14:textFill>
            <w14:solidFill>
              <w14:schemeClr w14:val="tx1"/>
            </w14:solidFill>
          </w14:textFill>
        </w:rPr>
        <w:t>(www.ccgp.gov.cn)</w:t>
      </w:r>
      <w:r>
        <w:rPr>
          <w:rFonts w:hint="eastAsia" w:ascii="宋体" w:hAnsi="宋体"/>
          <w:color w:val="000000" w:themeColor="text1"/>
          <w14:textFill>
            <w14:solidFill>
              <w14:schemeClr w14:val="tx1"/>
            </w14:solidFill>
          </w14:textFill>
        </w:rPr>
        <w:t>、广西政府采购网(</w:t>
      </w:r>
      <w:r>
        <w:rPr>
          <w:rFonts w:hint="eastAsia" w:ascii="宋体" w:hAnsi="宋体" w:cs="Courier New"/>
          <w:color w:val="000000" w:themeColor="text1"/>
          <w14:textFill>
            <w14:solidFill>
              <w14:schemeClr w14:val="tx1"/>
            </w14:solidFill>
          </w14:textFill>
        </w:rPr>
        <w:t>http://</w:t>
      </w:r>
      <w:r>
        <w:rPr>
          <w:rFonts w:hint="eastAsia" w:ascii="宋体" w:hAnsi="宋体"/>
          <w:color w:val="000000" w:themeColor="text1"/>
          <w14:textFill>
            <w14:solidFill>
              <w14:schemeClr w14:val="tx1"/>
            </w14:solidFill>
          </w14:textFill>
        </w:rPr>
        <w:t>zfcg.gxzf.gov.cn）及本中心网站（http://gxzfcg.gxzf.gov.cn）上发布更正公告，并通知所有竞争性磋商文件收受人。该澄清或者修改的内容为竞争性磋商文件的组成部分。</w:t>
      </w:r>
    </w:p>
    <w:p w14:paraId="73FB20BB">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gxzfcg.gxzf.gov.cn）上发布变更公告。</w:t>
      </w:r>
    </w:p>
    <w:p w14:paraId="042390A3">
      <w:pPr>
        <w:widowControl/>
        <w:spacing w:line="44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5.特别说明：</w:t>
      </w:r>
    </w:p>
    <w:p w14:paraId="63706380">
      <w:pPr>
        <w:widowControl/>
        <w:spacing w:line="44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▲5.1 单位负责人为同一人或者存在直接控股、管理关系的不同供应商，不得参加同一合同项下的政府采购活动。</w:t>
      </w:r>
    </w:p>
    <w:p w14:paraId="69A61EBB">
      <w:pPr>
        <w:widowControl/>
        <w:spacing w:line="44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▲5.2供应商在磋商响应活动中提供任何虚假材料、互相串通投标，其响应无效，并报监管部门查处。</w:t>
      </w:r>
    </w:p>
    <w:p w14:paraId="24F5E817">
      <w:pPr>
        <w:widowControl/>
        <w:spacing w:line="44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14:paraId="08D59360">
      <w:pPr>
        <w:widowControl/>
        <w:spacing w:line="44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▲5.4 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评审方法及评分标准”。</w:t>
      </w:r>
    </w:p>
    <w:p w14:paraId="04837543">
      <w:pPr>
        <w:spacing w:line="44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二、竞争性磋商响应文件的编制</w:t>
      </w:r>
    </w:p>
    <w:p w14:paraId="42364556">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 竞争性磋商响应文件编制基本要求</w:t>
      </w:r>
    </w:p>
    <w:p w14:paraId="370EBE59">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14:paraId="4BA92875">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6.2响应文件须由磋商供应商在规定位置盖章并由法定代表人或法定代表人的授权委托人签署，磋商供应商应写全称。</w:t>
      </w:r>
    </w:p>
    <w:p w14:paraId="3381FF53">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6.3响应文件不得涂改，若有修改错漏处，须加盖单位公章或者法定代表人或授权委托人签字或盖章。响应文件因扫描不清晰或乱码或表达不清所引起的后果由磋商供应商负责。</w:t>
      </w:r>
    </w:p>
    <w:p w14:paraId="1D2CDF6F">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6.4竞争性磋商响应文件的组成：竞争性磋商响应文件应分为价格文件和商务技术文件两个部分组成。</w:t>
      </w:r>
    </w:p>
    <w:p w14:paraId="5D84555A">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6.5.1价格文件</w:t>
      </w:r>
    </w:p>
    <w:p w14:paraId="38CB4818">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1）报价表；（附件二）[</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14:paraId="699997DC">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6.5.2 商务技术文件（应该有的必须提供,如未提供,磋商小组有权拒绝其竞争性磋商响应文件）</w:t>
      </w:r>
    </w:p>
    <w:p w14:paraId="4463B647">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1）磋商响应函；（附件一）[</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14:paraId="40549616">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2）商务、技术响应、偏离情况说明表（附件三）；[</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14:paraId="080EB119">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3）法定代表人(负责人)授权委托书原件和委托代理人身份证扫描件或其他电子文件[</w:t>
      </w:r>
      <w:r>
        <w:rPr>
          <w:rFonts w:hint="eastAsia" w:ascii="宋体" w:hAnsi="宋体"/>
          <w:b/>
          <w:color w:val="000000" w:themeColor="text1"/>
          <w14:textFill>
            <w14:solidFill>
              <w14:schemeClr w14:val="tx1"/>
            </w14:solidFill>
          </w14:textFill>
        </w:rPr>
        <w:t>委托代理时必须提供</w:t>
      </w:r>
      <w:r>
        <w:rPr>
          <w:rFonts w:hint="eastAsia" w:ascii="宋体" w:hAnsi="宋体"/>
          <w:bCs/>
          <w:color w:val="000000" w:themeColor="text1"/>
          <w14:textFill>
            <w14:solidFill>
              <w14:schemeClr w14:val="tx1"/>
            </w14:solidFill>
          </w14:textFill>
        </w:rPr>
        <w:t>]；[附件四]；</w:t>
      </w:r>
    </w:p>
    <w:p w14:paraId="36ACBD29">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4）法定代表人(负责人)身份证扫描件或其他电子文件；[当法定代表人(负责人)参加磋商时，</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14:paraId="1BE1A6C3">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5）有效的营业执照等证明文件扫描件或其他电子文件；</w:t>
      </w:r>
    </w:p>
    <w:p w14:paraId="3AC74AA7">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①供应商有效的“营业执照”等证明文件扫描件或其他电子文件。[</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14:paraId="11B44FA4">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6)财务状况报告[格式自拟，</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w:t>
      </w:r>
    </w:p>
    <w:p w14:paraId="4D5FF362">
      <w:pPr>
        <w:spacing w:line="440" w:lineRule="exact"/>
        <w:ind w:firstLine="420" w:firstLineChars="20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7）响应文件递交截止之日前半年内供应商连续三个月的依法缴纳税费或依法免缴税费的证明[扫描件或其他电子文件，格式自拟，</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]；无纳税记录的，应提供由供应商所在地主管国税或地税部门出具的《依法纳税或依法免税证明》[格式自拟，扫描件或其他电子文件]。</w:t>
      </w:r>
    </w:p>
    <w:p w14:paraId="7508E844">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8）响应文件递交截止之日前半年内供应商连续三个月的依法缴纳社保费的缴费凭证（扫描件或其他电子文件，格式自拟）[</w:t>
      </w:r>
      <w:r>
        <w:rPr>
          <w:rFonts w:hint="eastAsia" w:ascii="宋体" w:hAnsi="宋体"/>
          <w:b/>
          <w:color w:val="000000" w:themeColor="text1"/>
          <w14:textFill>
            <w14:solidFill>
              <w14:schemeClr w14:val="tx1"/>
            </w14:solidFill>
          </w14:textFill>
        </w:rPr>
        <w:t>必须提供</w:t>
      </w:r>
      <w:r>
        <w:rPr>
          <w:rFonts w:hint="eastAsia" w:ascii="宋体" w:hAnsi="宋体"/>
          <w:bCs/>
          <w:color w:val="000000" w:themeColor="text1"/>
          <w14:textFill>
            <w14:solidFill>
              <w14:schemeClr w14:val="tx1"/>
            </w14:solidFill>
          </w14:textFill>
        </w:rPr>
        <w:t>]；无缴费记录的，应提供由供应商所在地社保部门出具的《依法缴纳或依法免缴社保费证明》[格式自拟，扫描件或其他电子文件]。</w:t>
      </w:r>
    </w:p>
    <w:p w14:paraId="71C36798">
      <w:pPr>
        <w:snapToGrid w:val="0"/>
        <w:spacing w:line="440" w:lineRule="exact"/>
        <w:ind w:firstLine="411" w:firstLineChars="196"/>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9）</w:t>
      </w:r>
      <w:r>
        <w:rPr>
          <w:rFonts w:hint="eastAsia" w:ascii="宋体" w:hAnsi="宋体"/>
          <w:color w:val="000000" w:themeColor="text1"/>
          <w14:textFill>
            <w14:solidFill>
              <w14:schemeClr w14:val="tx1"/>
            </w14:solidFill>
          </w14:textFill>
        </w:rPr>
        <w:t>具备履行合同所必需的设备和专业技术能力的证明材料</w:t>
      </w:r>
      <w:r>
        <w:rPr>
          <w:rFonts w:hint="eastAsia" w:ascii="宋体" w:hAnsi="宋体"/>
          <w:color w:val="000000" w:themeColor="text1"/>
          <w:kern w:val="0"/>
          <w14:textFill>
            <w14:solidFill>
              <w14:schemeClr w14:val="tx1"/>
            </w14:solidFill>
          </w14:textFill>
        </w:rPr>
        <w:t>；</w:t>
      </w:r>
      <w:r>
        <w:rPr>
          <w:rFonts w:hint="eastAsia" w:ascii="宋体" w:hAnsi="宋体"/>
          <w:color w:val="000000" w:themeColor="text1"/>
          <w14:textFill>
            <w14:solidFill>
              <w14:schemeClr w14:val="tx1"/>
            </w14:solidFill>
          </w14:textFill>
        </w:rPr>
        <w:t>[格式自拟，</w:t>
      </w:r>
      <w:r>
        <w:rPr>
          <w:rFonts w:hint="eastAsia" w:ascii="宋体" w:hAnsi="宋体"/>
          <w:b/>
          <w:bCs/>
          <w:color w:val="000000" w:themeColor="text1"/>
          <w14:textFill>
            <w14:solidFill>
              <w14:schemeClr w14:val="tx1"/>
            </w14:solidFill>
          </w14:textFill>
        </w:rPr>
        <w:t>必须提供</w:t>
      </w:r>
      <w:r>
        <w:rPr>
          <w:rFonts w:hint="eastAsia" w:ascii="宋体" w:hAnsi="宋体"/>
          <w:color w:val="000000" w:themeColor="text1"/>
          <w14:textFill>
            <w14:solidFill>
              <w14:schemeClr w14:val="tx1"/>
            </w14:solidFill>
          </w14:textFill>
        </w:rPr>
        <w:t>]</w:t>
      </w:r>
    </w:p>
    <w:p w14:paraId="706A2BD3">
      <w:pPr>
        <w:snapToGrid w:val="0"/>
        <w:spacing w:line="440" w:lineRule="exact"/>
        <w:ind w:firstLine="424" w:firstLineChars="202"/>
        <w:jc w:val="left"/>
        <w:rPr>
          <w:rFonts w:ascii="宋体" w:hAnsi="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10）</w:t>
      </w:r>
      <w:r>
        <w:rPr>
          <w:rFonts w:hint="eastAsia" w:ascii="宋体" w:hAnsi="宋体"/>
          <w:color w:val="000000" w:themeColor="text1"/>
          <w:kern w:val="0"/>
          <w14:textFill>
            <w14:solidFill>
              <w14:schemeClr w14:val="tx1"/>
            </w14:solidFill>
          </w14:textFill>
        </w:rPr>
        <w:t>参加政府采购活动前三年内在经营活动中没有重大违法记录的书面声明；（附件五）【格式自拟，</w:t>
      </w:r>
      <w:r>
        <w:rPr>
          <w:rFonts w:hint="eastAsia" w:ascii="宋体" w:hAnsi="宋体"/>
          <w:b/>
          <w:bCs/>
          <w:color w:val="000000" w:themeColor="text1"/>
          <w:kern w:val="0"/>
          <w14:textFill>
            <w14:solidFill>
              <w14:schemeClr w14:val="tx1"/>
            </w14:solidFill>
          </w14:textFill>
        </w:rPr>
        <w:t>必须提供</w:t>
      </w:r>
      <w:r>
        <w:rPr>
          <w:rFonts w:hint="eastAsia" w:ascii="宋体" w:hAnsi="宋体"/>
          <w:color w:val="000000" w:themeColor="text1"/>
          <w:kern w:val="0"/>
          <w14:textFill>
            <w14:solidFill>
              <w14:schemeClr w14:val="tx1"/>
            </w14:solidFill>
          </w14:textFill>
        </w:rPr>
        <w:t>】</w:t>
      </w:r>
    </w:p>
    <w:p w14:paraId="3420365D">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xml:space="preserve">（供应商可在“信用中国”网站（www.creditchina.gov.cn）、中国政府采购网（www.ccgp.gov.cn）查询相关供应商主体信用记录。 </w:t>
      </w:r>
    </w:p>
    <w:p w14:paraId="52D2593D">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“信用中国”网站查询方法：供应商在本项目磋商截止时间前10日内,进入供应商基本信息页面，点击“下载信用报告”后点击“下载”。</w:t>
      </w:r>
    </w:p>
    <w:p w14:paraId="6AB64FA0">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“中国政府采购网”的查询方法：点击“政府采购严重违法失信行为记录名单”进行查询。截止时间为本项目磋商截止时间前10日至磋商截止时间中任意一天。</w:t>
      </w:r>
    </w:p>
    <w:p w14:paraId="6F199E7D">
      <w:pPr>
        <w:spacing w:line="440" w:lineRule="exact"/>
        <w:ind w:firstLine="420" w:firstLineChars="200"/>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14:paraId="44E21ACB">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11）服务承诺书（内容可以是提供的切实可行的服务和承诺）</w:t>
      </w:r>
      <w:r>
        <w:rPr>
          <w:rFonts w:hint="eastAsia" w:ascii="宋体" w:hAnsi="宋体"/>
          <w:b/>
          <w:bCs/>
          <w:color w:val="000000" w:themeColor="text1"/>
          <w14:textFill>
            <w14:solidFill>
              <w14:schemeClr w14:val="tx1"/>
            </w14:solidFill>
          </w14:textFill>
        </w:rPr>
        <w:t>[格式自拟，必须提供]</w:t>
      </w:r>
      <w:r>
        <w:rPr>
          <w:rFonts w:hint="eastAsia" w:ascii="宋体" w:hAnsi="宋体"/>
          <w:color w:val="000000" w:themeColor="text1"/>
          <w14:textFill>
            <w14:solidFill>
              <w14:schemeClr w14:val="tx1"/>
            </w14:solidFill>
          </w14:textFill>
        </w:rPr>
        <w:t>；</w:t>
      </w:r>
    </w:p>
    <w:p w14:paraId="312AC17A">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12）服务检验、测试、验收执行的标准；</w:t>
      </w:r>
    </w:p>
    <w:p w14:paraId="504D3618">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13）服务获奖证书； </w:t>
      </w:r>
    </w:p>
    <w:p w14:paraId="3D210937">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14）服务保证措施；</w:t>
      </w:r>
    </w:p>
    <w:p w14:paraId="376B5C4C">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15）供应商认为需要提供的有关资料。</w:t>
      </w:r>
    </w:p>
    <w:p w14:paraId="2CC096DE">
      <w:pPr>
        <w:spacing w:line="440" w:lineRule="exact"/>
        <w:ind w:firstLine="420" w:firstLineChars="200"/>
        <w:rPr>
          <w:rFonts w:ascii="宋体" w:hAnsi="宋体"/>
          <w:b/>
          <w:bCs/>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16）中小型企业声明函/监狱企业证明/残疾人福利性单位声明函（附件六</w:t>
      </w:r>
      <w:r>
        <w:rPr>
          <w:rFonts w:hint="eastAsia" w:ascii="宋体" w:hAnsi="宋体"/>
          <w:b/>
          <w:bCs/>
          <w:color w:val="000000" w:themeColor="text1"/>
          <w14:textFill>
            <w14:solidFill>
              <w14:schemeClr w14:val="tx1"/>
            </w14:solidFill>
          </w14:textFill>
        </w:rPr>
        <w:t>）[必须提供]。</w:t>
      </w:r>
    </w:p>
    <w:p w14:paraId="73689285">
      <w:pPr>
        <w:spacing w:line="380" w:lineRule="exact"/>
        <w:ind w:firstLine="420"/>
        <w:rPr>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17）</w:t>
      </w:r>
      <w:r>
        <w:rPr>
          <w:rFonts w:hint="eastAsia" w:hAnsi="宋体"/>
          <w:b/>
          <w:bCs/>
          <w:color w:val="000000" w:themeColor="text1"/>
          <w14:textFill>
            <w14:solidFill>
              <w14:schemeClr w14:val="tx1"/>
            </w14:solidFill>
          </w14:textFill>
        </w:rPr>
        <w:t>关于符合本国产品标准的声明函</w:t>
      </w:r>
      <w:r>
        <w:rPr>
          <w:rFonts w:hint="eastAsia" w:ascii="宋体" w:hAnsi="宋体"/>
          <w:b/>
          <w:bCs/>
          <w:color w:val="000000" w:themeColor="text1"/>
          <w:kern w:val="0"/>
          <w14:textFill>
            <w14:solidFill>
              <w14:schemeClr w14:val="tx1"/>
            </w14:solidFill>
          </w14:textFill>
        </w:rPr>
        <w:t>（附件七）</w:t>
      </w:r>
      <w:r>
        <w:rPr>
          <w:rFonts w:hint="eastAsia" w:ascii="宋体" w:hAnsi="宋体"/>
          <w:b/>
          <w:bCs/>
          <w:color w:val="000000" w:themeColor="text1"/>
          <w14:textFill>
            <w14:solidFill>
              <w14:schemeClr w14:val="tx1"/>
            </w14:solidFill>
          </w14:textFill>
        </w:rPr>
        <w:t>（如有，请提供）</w:t>
      </w:r>
    </w:p>
    <w:p w14:paraId="0DC9EA49">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 计量单位</w:t>
      </w:r>
    </w:p>
    <w:p w14:paraId="162DB0A3">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7.1除技术要求中另有规定外，本文件所要求使用的计量单位均应采用国家法定计量单位。</w:t>
      </w:r>
    </w:p>
    <w:p w14:paraId="71DE26F1">
      <w:pPr>
        <w:spacing w:line="44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三、报价要求</w:t>
      </w:r>
    </w:p>
    <w:p w14:paraId="7288E18F">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8.1对于本文件中未列明，而供应商认为必需的费用也需列入总报价。在合同实施时，采购人将不予支付成交供应商没有列入的项目费用，并认为此项目的费用已包括在总报价中。</w:t>
      </w:r>
    </w:p>
    <w:p w14:paraId="08422E74">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8.2成交供应商负责本项目所需服务的全部工作。</w:t>
      </w:r>
    </w:p>
    <w:p w14:paraId="6DFCC339">
      <w:pPr>
        <w:pStyle w:val="19"/>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8.3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14:paraId="14DA4C8F">
      <w:pPr>
        <w:spacing w:line="4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8.4报价：供应商就《采购需求》中的服务内容作完整唯一报价。</w:t>
      </w:r>
    </w:p>
    <w:p w14:paraId="15B7BE54">
      <w:pPr>
        <w:widowControl/>
        <w:spacing w:line="440" w:lineRule="exact"/>
        <w:ind w:firstLine="422" w:firstLineChars="200"/>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四、竞争性磋商响应文件的上传、提交、修改、撤回和解密</w:t>
      </w:r>
    </w:p>
    <w:p w14:paraId="450D4EB8">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9. 竞争性磋商响应文件的上传和提交</w:t>
      </w:r>
    </w:p>
    <w:p w14:paraId="2A91B725">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见须知前附表。</w:t>
      </w:r>
    </w:p>
    <w:p w14:paraId="332BD92A">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10.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14:paraId="3436E81D">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电子加密响应文件的解密：见须知前附表。</w:t>
      </w:r>
    </w:p>
    <w:p w14:paraId="397381CB">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11.保证金说明及要求</w:t>
      </w:r>
    </w:p>
    <w:p w14:paraId="1F4719BF">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11.1保证金应用人民币：具体金额详见采购公告。</w:t>
      </w:r>
    </w:p>
    <w:p w14:paraId="05B3756E">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11.2 保证金交纳方式：支票、汇票、本票或者金融机构、担保机构出具的保函等非现金形式交纳。</w:t>
      </w:r>
    </w:p>
    <w:p w14:paraId="50ACA38C">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11.3办理保证金手续时，请务必在银行相关票据（非现金）或凭证的用途或空白栏上注明项目名称及项目编号，以免耽误竞争性磋商。</w:t>
      </w:r>
    </w:p>
    <w:p w14:paraId="0A0B209B">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11.4保证金相关事宜：电话：0771-8600309，地址：南宁市星湖路22号。</w:t>
      </w:r>
    </w:p>
    <w:p w14:paraId="67EE9F9D">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11.5未成交供应商的保证金，将在成交通知书发出后4个工作日内予以退还，不计利息。</w:t>
      </w:r>
    </w:p>
    <w:p w14:paraId="486E4AE9">
      <w:pPr>
        <w:widowControl/>
        <w:spacing w:line="440" w:lineRule="exact"/>
        <w:ind w:firstLine="420" w:firstLineChars="200"/>
        <w:jc w:val="lef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成交人的保证金在合同签订后4个工作日内退还（合同签订后送达本中心），不计利息。</w:t>
      </w:r>
    </w:p>
    <w:p w14:paraId="4A3CB6AB">
      <w:pPr>
        <w:widowControl/>
        <w:spacing w:line="440" w:lineRule="exact"/>
        <w:ind w:firstLine="420" w:firstLineChars="200"/>
        <w:jc w:val="left"/>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11.6对应交未交保证金的竞争性磋商响应文件，将会在评审中按照无效竞争性磋商响应文件处理。</w:t>
      </w:r>
    </w:p>
    <w:p w14:paraId="163898CA">
      <w:pPr>
        <w:snapToGrid w:val="0"/>
        <w:spacing w:line="440" w:lineRule="exact"/>
        <w:ind w:firstLine="413" w:firstLineChars="196"/>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（说明：评审时，磋商小组将以本中心财务室编制的《竞争性磋商文件报名登记名单及保证金收缴情况表》作为评审依据）。</w:t>
      </w:r>
    </w:p>
    <w:p w14:paraId="144A289F">
      <w:pPr>
        <w:snapToGrid w:val="0"/>
        <w:spacing w:line="440" w:lineRule="exact"/>
        <w:ind w:firstLine="413" w:firstLineChars="196"/>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11.7供应商有下列情形之一的，保证金将不予退还：</w:t>
      </w:r>
    </w:p>
    <w:p w14:paraId="7C0507D1">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（1）供应商在竞争性磋商有效期内撤回竞争性磋商响应文件的；</w:t>
      </w:r>
    </w:p>
    <w:p w14:paraId="6809D5A2">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（2）供应商在竞争性磋商响应文件中提供虚假材料的；</w:t>
      </w:r>
    </w:p>
    <w:p w14:paraId="5C5599AB">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（3）除因不可抗力或竞争性磋商文件认可的情形以外，成交供应商不与采购人签订合同的；</w:t>
      </w:r>
    </w:p>
    <w:p w14:paraId="5AF50B96">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（4）供应商与采购人、其他供应商或者采购代理机构恶意串通的；</w:t>
      </w:r>
    </w:p>
    <w:p w14:paraId="05CA6ADD">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 磋商文件规定的其他情形。</w:t>
      </w:r>
    </w:p>
    <w:p w14:paraId="41724CF1">
      <w:pPr>
        <w:snapToGrid w:val="0"/>
        <w:spacing w:line="440" w:lineRule="exact"/>
        <w:ind w:firstLine="411" w:firstLineChars="196"/>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注：供应商已经被推荐为第一成交候选供应商后撤回竞争性磋商响应文件或拒绝签订政府采购合同的，其保证金将不予退还，并上缴国库，给采购人造成其损失的，还应当赔偿损失，并作为不良行为记录在案。</w:t>
      </w:r>
    </w:p>
    <w:p w14:paraId="58FE9D47">
      <w:pPr>
        <w:spacing w:line="44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五</w:t>
      </w:r>
      <w:r>
        <w:rPr>
          <w:rFonts w:hint="eastAsia" w:ascii="宋体" w:hAnsi="宋体"/>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磋商程序及评审方法</w:t>
      </w:r>
    </w:p>
    <w:p w14:paraId="3AE4A3EE">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12.1未实质性响应竞争性磋商文件的竞争性磋商响应文件按无效处理。</w:t>
      </w:r>
    </w:p>
    <w:p w14:paraId="7071B3F4">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12.2 最后报价超过采购预算、最高限价或经启动异常低价响应审查程序后，供应商不能证明其最后报价合理性的，其响应文件按无效处理。</w:t>
      </w:r>
    </w:p>
    <w:p w14:paraId="55119751">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12.3有下列情形之一的视为供应商相互串通参与磋商活动，竞争性磋商响应文件将被视为无效：</w:t>
      </w:r>
    </w:p>
    <w:p w14:paraId="1EE6EC0C">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（1）不同供应商的竞争性磋商响应文件由同一单位或者个人编制；或不同供应商报名的IP地址一致的；</w:t>
      </w:r>
    </w:p>
    <w:p w14:paraId="1BFA583C">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（2）不同供应商委托同一单位或者个人办理磋商活动事宜；</w:t>
      </w:r>
    </w:p>
    <w:p w14:paraId="6E17C166">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（3）不同的供应商的竞争性磋商响应文件载明的项目管理员为同一个人；</w:t>
      </w:r>
    </w:p>
    <w:p w14:paraId="20634A76">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（4）不同供应商的竞争性磋商响应文件异常一致或磋商报价呈规律性差异；</w:t>
      </w:r>
    </w:p>
    <w:p w14:paraId="1C2C53A1">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（5）不同供应商的竞争性磋商响应文件相互混装；</w:t>
      </w:r>
    </w:p>
    <w:p w14:paraId="6B911B41">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（6）不同供应商的保证金从同一单位或者个人账户转出。</w:t>
      </w:r>
    </w:p>
    <w:p w14:paraId="38CF8FAA">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12.4有下列情形之一的视为关联供应商参加同一合同项下政府采购活动，竞争性磋商响应文件将被视为无效：单位负责人为同一人或者存在直接控股、管理关系的不同供应商，参加同一合同项下政府采购活动；</w:t>
      </w:r>
    </w:p>
    <w:p w14:paraId="0DC73AC3">
      <w:pPr>
        <w:widowControl/>
        <w:spacing w:line="400" w:lineRule="exact"/>
        <w:ind w:firstLine="420" w:firstLineChars="200"/>
        <w:jc w:val="left"/>
        <w:rPr>
          <w:rFonts w:ascii="宋体" w:hAnsi="宋体"/>
          <w:bCs/>
          <w:color w:val="000000" w:themeColor="text1"/>
          <w:kern w:val="0"/>
          <w14:textFill>
            <w14:solidFill>
              <w14:schemeClr w14:val="tx1"/>
            </w14:solidFill>
          </w14:textFill>
        </w:rPr>
      </w:pPr>
      <w:r>
        <w:rPr>
          <w:rFonts w:hint="eastAsia" w:ascii="宋体" w:hAnsi="宋体"/>
          <w:bCs/>
          <w:color w:val="000000" w:themeColor="text1"/>
          <w:kern w:val="0"/>
          <w14:textFill>
            <w14:solidFill>
              <w14:schemeClr w14:val="tx1"/>
            </w14:solidFill>
          </w14:textFill>
        </w:rPr>
        <w:t>12.5其他投标无效的情形：</w:t>
      </w:r>
    </w:p>
    <w:p w14:paraId="2F2601B0">
      <w:pPr>
        <w:widowControl/>
        <w:spacing w:line="400" w:lineRule="exact"/>
        <w:ind w:firstLine="422" w:firstLineChars="200"/>
        <w:jc w:val="left"/>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（1）竞争性磋商响应文件未按竞争性磋商文件要求签署或CA电子签章的；</w:t>
      </w:r>
    </w:p>
    <w:p w14:paraId="601B9547">
      <w:pPr>
        <w:widowControl/>
        <w:spacing w:line="400" w:lineRule="exact"/>
        <w:ind w:firstLine="422" w:firstLineChars="200"/>
        <w:jc w:val="left"/>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（2）供应商提交两份或两份以上内容不同的竞争性磋商响应文件的；</w:t>
      </w:r>
    </w:p>
    <w:p w14:paraId="1D3AA48E">
      <w:pPr>
        <w:widowControl/>
        <w:spacing w:line="400" w:lineRule="exact"/>
        <w:ind w:firstLine="422" w:firstLineChars="200"/>
        <w:jc w:val="left"/>
        <w:rPr>
          <w:rFonts w:ascii="宋体" w:hAnsi="宋体"/>
          <w:b/>
          <w:bCs/>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（3）磋商</w:t>
      </w:r>
      <w:r>
        <w:rPr>
          <w:rFonts w:ascii="宋体" w:hAnsi="宋体"/>
          <w:b/>
          <w:bCs/>
          <w:color w:val="000000" w:themeColor="text1"/>
          <w:kern w:val="0"/>
          <w14:textFill>
            <w14:solidFill>
              <w14:schemeClr w14:val="tx1"/>
            </w14:solidFill>
          </w14:textFill>
        </w:rPr>
        <w:t>供应商在线制作</w:t>
      </w:r>
      <w:r>
        <w:rPr>
          <w:rFonts w:hint="eastAsia" w:ascii="宋体" w:hAnsi="宋体"/>
          <w:b/>
          <w:bCs/>
          <w:color w:val="000000" w:themeColor="text1"/>
          <w:kern w:val="0"/>
          <w14:textFill>
            <w14:solidFill>
              <w14:schemeClr w14:val="tx1"/>
            </w14:solidFill>
          </w14:textFill>
        </w:rPr>
        <w:t>竞争性磋商响应文件</w:t>
      </w:r>
      <w:r>
        <w:rPr>
          <w:rFonts w:ascii="宋体" w:hAnsi="宋体"/>
          <w:b/>
          <w:bCs/>
          <w:color w:val="000000" w:themeColor="text1"/>
          <w:kern w:val="0"/>
          <w14:textFill>
            <w14:solidFill>
              <w14:schemeClr w14:val="tx1"/>
            </w14:solidFill>
          </w14:textFill>
        </w:rPr>
        <w:t>时填写的</w:t>
      </w:r>
      <w:r>
        <w:rPr>
          <w:rFonts w:hint="eastAsia" w:ascii="宋体" w:hAnsi="宋体"/>
          <w:b/>
          <w:bCs/>
          <w:color w:val="000000" w:themeColor="text1"/>
          <w:kern w:val="0"/>
          <w14:textFill>
            <w14:solidFill>
              <w14:schemeClr w14:val="tx1"/>
            </w14:solidFill>
          </w14:textFill>
        </w:rPr>
        <w:t>报价</w:t>
      </w:r>
      <w:r>
        <w:rPr>
          <w:rFonts w:ascii="宋体" w:hAnsi="宋体"/>
          <w:b/>
          <w:bCs/>
          <w:color w:val="000000" w:themeColor="text1"/>
          <w:kern w:val="0"/>
          <w14:textFill>
            <w14:solidFill>
              <w14:schemeClr w14:val="tx1"/>
            </w14:solidFill>
          </w14:textFill>
        </w:rPr>
        <w:t>金额与解密后“电子加密</w:t>
      </w:r>
      <w:r>
        <w:rPr>
          <w:rFonts w:hint="eastAsia" w:ascii="宋体" w:hAnsi="宋体"/>
          <w:b/>
          <w:bCs/>
          <w:color w:val="000000" w:themeColor="text1"/>
          <w:kern w:val="0"/>
          <w14:textFill>
            <w14:solidFill>
              <w14:schemeClr w14:val="tx1"/>
            </w14:solidFill>
          </w14:textFill>
        </w:rPr>
        <w:t>响应</w:t>
      </w:r>
      <w:r>
        <w:rPr>
          <w:rFonts w:ascii="宋体" w:hAnsi="宋体"/>
          <w:b/>
          <w:bCs/>
          <w:color w:val="000000" w:themeColor="text1"/>
          <w:kern w:val="0"/>
          <w14:textFill>
            <w14:solidFill>
              <w14:schemeClr w14:val="tx1"/>
            </w14:solidFill>
          </w14:textFill>
        </w:rPr>
        <w:t>文件”中《</w:t>
      </w:r>
      <w:r>
        <w:rPr>
          <w:rFonts w:hint="eastAsia" w:ascii="宋体" w:hAnsi="宋体"/>
          <w:b/>
          <w:bCs/>
          <w:color w:val="000000" w:themeColor="text1"/>
          <w:kern w:val="0"/>
          <w14:textFill>
            <w14:solidFill>
              <w14:schemeClr w14:val="tx1"/>
            </w14:solidFill>
          </w14:textFill>
        </w:rPr>
        <w:t>报价文件</w:t>
      </w:r>
      <w:r>
        <w:rPr>
          <w:rFonts w:ascii="宋体" w:hAnsi="宋体"/>
          <w:b/>
          <w:bCs/>
          <w:color w:val="000000" w:themeColor="text1"/>
          <w:kern w:val="0"/>
          <w14:textFill>
            <w14:solidFill>
              <w14:schemeClr w14:val="tx1"/>
            </w14:solidFill>
          </w14:textFill>
        </w:rPr>
        <w:t>》填写的金额不一致并拒绝按</w:t>
      </w:r>
      <w:r>
        <w:rPr>
          <w:rFonts w:hint="eastAsia" w:ascii="宋体" w:hAnsi="宋体"/>
          <w:b/>
          <w:bCs/>
          <w:color w:val="000000" w:themeColor="text1"/>
          <w:kern w:val="0"/>
          <w14:textFill>
            <w14:solidFill>
              <w14:schemeClr w14:val="tx1"/>
            </w14:solidFill>
          </w14:textFill>
        </w:rPr>
        <w:t>采购</w:t>
      </w:r>
      <w:r>
        <w:rPr>
          <w:rFonts w:ascii="宋体" w:hAnsi="宋体"/>
          <w:b/>
          <w:bCs/>
          <w:color w:val="000000" w:themeColor="text1"/>
          <w:kern w:val="0"/>
          <w14:textFill>
            <w14:solidFill>
              <w14:schemeClr w14:val="tx1"/>
            </w14:solidFill>
          </w14:textFill>
        </w:rPr>
        <w:t>文件要求接受调整的；</w:t>
      </w:r>
    </w:p>
    <w:p w14:paraId="6DC7944E">
      <w:pPr>
        <w:widowControl/>
        <w:spacing w:line="400" w:lineRule="exact"/>
        <w:ind w:firstLine="422" w:firstLineChars="200"/>
        <w:jc w:val="left"/>
        <w:rPr>
          <w:rFonts w:ascii="宋体" w:hAnsi="宋体"/>
          <w:color w:val="000000" w:themeColor="text1"/>
          <w:kern w:val="0"/>
          <w14:textFill>
            <w14:solidFill>
              <w14:schemeClr w14:val="tx1"/>
            </w14:solidFill>
          </w14:textFill>
        </w:rPr>
      </w:pPr>
      <w:r>
        <w:rPr>
          <w:rFonts w:hint="eastAsia" w:ascii="宋体" w:hAnsi="宋体"/>
          <w:b/>
          <w:bCs/>
          <w:color w:val="000000" w:themeColor="text1"/>
          <w:kern w:val="0"/>
          <w14:textFill>
            <w14:solidFill>
              <w14:schemeClr w14:val="tx1"/>
            </w14:solidFill>
          </w14:textFill>
        </w:rPr>
        <w:t>（4）</w:t>
      </w:r>
      <w:r>
        <w:rPr>
          <w:rFonts w:ascii="宋体" w:hAnsi="宋体"/>
          <w:b/>
          <w:bCs/>
          <w:color w:val="000000" w:themeColor="text1"/>
          <w:kern w:val="0"/>
          <w14:textFill>
            <w14:solidFill>
              <w14:schemeClr w14:val="tx1"/>
            </w14:solidFill>
          </w14:textFill>
        </w:rPr>
        <w:t>法律、法规和招标文件规定的其他无效情形（或出现重大偏差）。</w:t>
      </w:r>
    </w:p>
    <w:p w14:paraId="1C91616F">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12.6被拒绝的响应文件为无效。</w:t>
      </w:r>
    </w:p>
    <w:p w14:paraId="1053A4C9">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供应商竞争性磋商响应文件无效的，磋商小组应当告知有关供应商。</w:t>
      </w:r>
    </w:p>
    <w:p w14:paraId="73E5751A">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13.1</w:t>
      </w:r>
      <w:r>
        <w:rPr>
          <w:rFonts w:hint="eastAsia" w:ascii="宋体" w:hAnsi="宋体"/>
          <w:b/>
          <w:color w:val="000000" w:themeColor="text1"/>
          <w:kern w:val="0"/>
          <w14:textFill>
            <w14:solidFill>
              <w14:schemeClr w14:val="tx1"/>
            </w14:solidFill>
          </w14:textFill>
        </w:rPr>
        <w:t>第一轮磋商</w:t>
      </w:r>
    </w:p>
    <w:p w14:paraId="44CA6E97">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（一）</w:t>
      </w:r>
      <w:r>
        <w:rPr>
          <w:rFonts w:hint="eastAsia" w:ascii="宋体" w:hAnsi="宋体"/>
          <w:b/>
          <w:color w:val="000000" w:themeColor="text1"/>
          <w:kern w:val="0"/>
          <w14:textFill>
            <w14:solidFill>
              <w14:schemeClr w14:val="tx1"/>
            </w14:solidFill>
          </w14:textFill>
        </w:rPr>
        <w:t>磋商准备</w:t>
      </w:r>
    </w:p>
    <w:p w14:paraId="25017258">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本中心将在规定的时间和地点进行电子磋商，磋商供应商的法定代表人或其委托代理人应做好磋商准备，准时在线参加电子磋商会议，随时关注磋商进度。</w:t>
      </w:r>
    </w:p>
    <w:p w14:paraId="438C6B7E">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（二）</w:t>
      </w:r>
      <w:r>
        <w:rPr>
          <w:rFonts w:hint="eastAsia" w:ascii="宋体" w:hAnsi="宋体"/>
          <w:b/>
          <w:color w:val="000000" w:themeColor="text1"/>
          <w:kern w:val="0"/>
          <w14:textFill>
            <w14:solidFill>
              <w14:schemeClr w14:val="tx1"/>
            </w14:solidFill>
          </w14:textFill>
        </w:rPr>
        <w:t xml:space="preserve"> 第一轮磋商程序：</w:t>
      </w:r>
    </w:p>
    <w:p w14:paraId="7D048C39">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1.磋商会由本中心主持，主持人宣布磋商会议开始；</w:t>
      </w:r>
    </w:p>
    <w:p w14:paraId="3284638A">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 xml:space="preserve">2.主持人介绍参加磋商会的人员名单； </w:t>
      </w:r>
    </w:p>
    <w:p w14:paraId="1BEB704A">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3.主持人宣布磋商会议纪律及评审期间的有关事项；告知应当回避的情形,提请有关人员回避；</w:t>
      </w:r>
    </w:p>
    <w:p w14:paraId="323F817A">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4.磋商及评审程序</w:t>
      </w:r>
    </w:p>
    <w:p w14:paraId="495700CF">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（1）在磋商开始时间截止后30分钟内由各供应商自行对磋商响应文件进行解密；</w:t>
      </w:r>
    </w:p>
    <w:p w14:paraId="29C6D6B9">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（2）由磋商小组进行资格审查和符合性审查，审查结束后，在线通知无效磋商供应商磋商响应文件无效理由，有效磋商供应商进入磋商程序。</w:t>
      </w:r>
    </w:p>
    <w:p w14:paraId="4C2842A9">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（3）系统对各供应商的商务技术进行汇总；</w:t>
      </w:r>
    </w:p>
    <w:p w14:paraId="3F9223DD">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（4）磋商小组所有成员应当集中与单一供应商分别进行在线磋商，并给予所有参加磋商的供应商平等的磋商机会。</w:t>
      </w:r>
    </w:p>
    <w:p w14:paraId="6476A049">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14:paraId="35F009E8">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13.2竞争性磋商文件变动</w:t>
      </w:r>
    </w:p>
    <w:p w14:paraId="54B8C6A6">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4FA99F14">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对竞争性磋商文件作出的实质性变动是竞争性磋商文件的有效组成部分，磋商小组应当在询标规定时间内及时通知所有参加磋商的供应商，并要求供应商做出响应（需盖CA电子签章）。</w:t>
      </w:r>
    </w:p>
    <w:p w14:paraId="394894C3">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13.3第二轮磋商</w:t>
      </w:r>
    </w:p>
    <w:p w14:paraId="307FD628">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磋商小组集中就重新递交的响应材料或磋商小组提出的磋商意见与单一响应供应商分别进行在线磋商。</w:t>
      </w:r>
    </w:p>
    <w:p w14:paraId="334783CA">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磋商后，在询标规定时间内供应商根据磋商小组统一整理的磋商记录要求做出承诺（需盖CA电子签章）。</w:t>
      </w:r>
    </w:p>
    <w:p w14:paraId="5997AC41">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14:paraId="2AB82B95">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特别说明：</w:t>
      </w:r>
    </w:p>
    <w:p w14:paraId="766CB12B">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政采云公司如对电子化开标及评审程序有调整的，按调整后的程序操作。</w:t>
      </w:r>
    </w:p>
    <w:p w14:paraId="42D5A7BF">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磋商评审在严格保密的情况下进行，磋商的任何一方不得透露与磋商有关的其他供应商的技术资料、价格和其他信息。</w:t>
      </w:r>
    </w:p>
    <w:p w14:paraId="19911E3C">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电子磋商过程中需要供应商在线确认的所有内容，供应商不予确认的应说明理由，超过规定时间未确认的，将被视为放弃确认或者无异议。</w:t>
      </w:r>
    </w:p>
    <w:p w14:paraId="6F41A116">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14:paraId="43CDB929">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13.4最后报价及成交候选供应商推荐</w:t>
      </w:r>
    </w:p>
    <w:p w14:paraId="46453096">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13.4.1 最后报价</w:t>
      </w:r>
    </w:p>
    <w:p w14:paraId="6765CA66">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磋商结束后，磋商小组应要求所有实质性响应磋商文件且继续参加磋商的供应商，在规定时间内通过广西政府采购云平台提交最终、不可更改的最后报价。该报价须由供应商的法定代表人或其授权代表进行CA电子签章确认方为有效。</w:t>
      </w:r>
    </w:p>
    <w:p w14:paraId="47129813">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供应商提交的最后报价，自动成为其竞争性磋商响应文件的组成部分。</w:t>
      </w:r>
    </w:p>
    <w:p w14:paraId="2F60F5C2">
      <w:pPr>
        <w:widowControl/>
        <w:spacing w:line="380" w:lineRule="exact"/>
        <w:ind w:firstLine="420"/>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13.4.2 异常低价审查</w:t>
      </w:r>
    </w:p>
    <w:p w14:paraId="35C0D9AF">
      <w:pPr>
        <w:widowControl/>
        <w:spacing w:line="380" w:lineRule="exact"/>
        <w:ind w:firstLine="420"/>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供应商的最后报价如触发下列任一情形，磋商小组应当启动异常低价审查程序：</w:t>
      </w:r>
    </w:p>
    <w:p w14:paraId="426BEFFB">
      <w:pPr>
        <w:snapToGrid w:val="0"/>
        <w:spacing w:line="360" w:lineRule="exact"/>
        <w:ind w:firstLine="632" w:firstLineChars="3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１）报价低于全部通过符合性审查供应商响应报价平均值50%的；</w:t>
      </w:r>
    </w:p>
    <w:p w14:paraId="41E24F1E">
      <w:pPr>
        <w:snapToGrid w:val="0"/>
        <w:spacing w:line="36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２）报价低于通过符合性审查的次低报价供应商响应报价50%的；</w:t>
      </w:r>
    </w:p>
    <w:p w14:paraId="2202110F">
      <w:pPr>
        <w:snapToGrid w:val="0"/>
        <w:spacing w:line="36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３）报价低于采购项目最高限价45%的；</w:t>
      </w:r>
    </w:p>
    <w:p w14:paraId="44553A26">
      <w:pPr>
        <w:widowControl/>
        <w:spacing w:line="380" w:lineRule="exact"/>
        <w:ind w:firstLine="420"/>
        <w:jc w:val="left"/>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４）磋商小组基于专业判断，认为供应商报价过低，有可能影响产品质量或者不能诚信履约的其他情形。</w:t>
      </w:r>
    </w:p>
    <w:p w14:paraId="14A4AB82">
      <w:pPr>
        <w:snapToGrid w:val="0"/>
        <w:spacing w:line="36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磋商小组通过电子询标方式，要求相关供应商在规定时间内提供有关书面说明及必要的证明材料。供应商不能提供书面说明、证明材料，或者提供的提供书面说明、证明材料不能证明其报价合理性的，谈判小组应将其作为无效响应处理。</w:t>
      </w:r>
    </w:p>
    <w:p w14:paraId="0C545CB1">
      <w:pPr>
        <w:widowControl/>
        <w:spacing w:line="380" w:lineRule="exact"/>
        <w:ind w:firstLine="42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13.4.3 成交候选供应商推荐</w:t>
      </w:r>
    </w:p>
    <w:p w14:paraId="1B74AA33">
      <w:pPr>
        <w:widowControl/>
        <w:spacing w:line="400" w:lineRule="exact"/>
        <w:ind w:firstLine="420" w:firstLineChars="20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完成符合性审查、详细评审及异常低价审查后，磋商小组应根据综合评分情况，按照评审得分由高到低顺序推荐3名以上成交候选供应商，并对《评审报告》予以确认。市场竞争不充分的科研项目，以及需要扶持的科技成果转化项目，可以推荐2家成交候选供应商。评审得分相同的，按照评审价由低到高的顺序推荐。评审得分且评审价相同的，按照服务方案优劣顺序推荐。</w:t>
      </w:r>
    </w:p>
    <w:p w14:paraId="65B22D55">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磋商小组按照少数服从多数的原则推荐成交候选供应商，采购程序继续进行。对评审报告有异议的磋商小组成员，应当明确不同意见并说明理由。磋商小组成员拒绝提出理由的，视为同意评审结果。</w:t>
      </w:r>
    </w:p>
    <w:p w14:paraId="7F8208AA">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13.5供应商的报价均超过了政府采购最高限价，采购人不能支付的，磋商活动终止。</w:t>
      </w:r>
    </w:p>
    <w:p w14:paraId="3A936C73">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13.6本采购项目的评审依据为竞争性磋商文件和竞争性磋商响应文件，采用的评审方法为综合评分法。</w:t>
      </w:r>
    </w:p>
    <w:p w14:paraId="44B45A02">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13.7 可中止电子交易活动的情形</w:t>
      </w:r>
    </w:p>
    <w:p w14:paraId="55EDDD96">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采购过程中出现以下情形，导致电子交易平台无法正常运行，或者无法保证电子交易的公平、公正和安全时，本中心可中止电子交易活动：</w:t>
      </w:r>
    </w:p>
    <w:p w14:paraId="215A9BAF">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(1)</w:t>
      </w:r>
      <w:r>
        <w:rPr>
          <w:rFonts w:hint="eastAsia" w:ascii="宋体" w:hAnsi="宋体"/>
          <w:color w:val="000000" w:themeColor="text1"/>
          <w:kern w:val="0"/>
          <w14:textFill>
            <w14:solidFill>
              <w14:schemeClr w14:val="tx1"/>
            </w14:solidFill>
          </w14:textFill>
        </w:rPr>
        <w:t>电子交易平台发生故障而无法登录访问的；</w:t>
      </w:r>
    </w:p>
    <w:p w14:paraId="2C135A66">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(2)</w:t>
      </w:r>
      <w:r>
        <w:rPr>
          <w:rFonts w:hint="eastAsia" w:ascii="宋体" w:hAnsi="宋体"/>
          <w:color w:val="000000" w:themeColor="text1"/>
          <w:kern w:val="0"/>
          <w14:textFill>
            <w14:solidFill>
              <w14:schemeClr w14:val="tx1"/>
            </w14:solidFill>
          </w14:textFill>
        </w:rPr>
        <w:t>电子交易平台应用或数据库出现错误，不能进行正常操作的；</w:t>
      </w:r>
    </w:p>
    <w:p w14:paraId="7D7FBC04">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(3)</w:t>
      </w:r>
      <w:r>
        <w:rPr>
          <w:rFonts w:hint="eastAsia" w:ascii="宋体" w:hAnsi="宋体"/>
          <w:color w:val="000000" w:themeColor="text1"/>
          <w:kern w:val="0"/>
          <w14:textFill>
            <w14:solidFill>
              <w14:schemeClr w14:val="tx1"/>
            </w14:solidFill>
          </w14:textFill>
        </w:rPr>
        <w:t>电子交易平台发现严重安全漏洞，有潜在泄密危险的；</w:t>
      </w:r>
    </w:p>
    <w:p w14:paraId="285CD1CD">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(4)</w:t>
      </w:r>
      <w:r>
        <w:rPr>
          <w:rFonts w:hint="eastAsia" w:ascii="宋体" w:hAnsi="宋体"/>
          <w:color w:val="000000" w:themeColor="text1"/>
          <w:kern w:val="0"/>
          <w14:textFill>
            <w14:solidFill>
              <w14:schemeClr w14:val="tx1"/>
            </w14:solidFill>
          </w14:textFill>
        </w:rPr>
        <w:t>病毒发作导致不能进行正常操作的；</w:t>
      </w:r>
    </w:p>
    <w:p w14:paraId="0BE97221">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ascii="宋体" w:hAnsi="宋体"/>
          <w:color w:val="000000" w:themeColor="text1"/>
          <w:kern w:val="0"/>
          <w14:textFill>
            <w14:solidFill>
              <w14:schemeClr w14:val="tx1"/>
            </w14:solidFill>
          </w14:textFill>
        </w:rPr>
        <w:t>(5)</w:t>
      </w:r>
      <w:r>
        <w:rPr>
          <w:rFonts w:hint="eastAsia" w:ascii="宋体" w:hAnsi="宋体"/>
          <w:color w:val="000000" w:themeColor="text1"/>
          <w:kern w:val="0"/>
          <w14:textFill>
            <w14:solidFill>
              <w14:schemeClr w14:val="tx1"/>
            </w14:solidFill>
          </w14:textFill>
        </w:rPr>
        <w:t>其他无法保证电子交易的公平、公正和安全的情况。</w:t>
      </w:r>
    </w:p>
    <w:p w14:paraId="15CC0880">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出现前款规定情形，不影响采购公平、公正性的，本中心待上述情形消除后继续组织电子交易活动；影响或可能影响采购公平、公正性的，重新组织采购活动。</w:t>
      </w:r>
    </w:p>
    <w:p w14:paraId="4F6EC5EE">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13.8</w:t>
      </w:r>
      <w:r>
        <w:rPr>
          <w:rFonts w:ascii="宋体" w:hAnsi="宋体"/>
          <w:color w:val="000000" w:themeColor="text1"/>
          <w:kern w:val="0"/>
          <w14:textFill>
            <w14:solidFill>
              <w14:schemeClr w14:val="tx1"/>
            </w14:solidFill>
          </w14:textFill>
        </w:rPr>
        <w:t>.</w:t>
      </w:r>
      <w:r>
        <w:rPr>
          <w:rFonts w:hint="eastAsia" w:ascii="宋体" w:hAnsi="宋体"/>
          <w:color w:val="000000" w:themeColor="text1"/>
          <w:kern w:val="0"/>
          <w14:textFill>
            <w14:solidFill>
              <w14:schemeClr w14:val="tx1"/>
            </w14:solidFill>
          </w14:textFill>
        </w:rPr>
        <w:t>终止竞争性磋商采购活动</w:t>
      </w:r>
    </w:p>
    <w:p w14:paraId="67AC1479">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在竞争性磋商采购活动过程中，出现下列情形之一的，采购人或者本中心将终止竞争性磋商采购活动，发布项目终止公告并说明原因，重新开展采购活动：</w:t>
      </w:r>
    </w:p>
    <w:p w14:paraId="4F9A5E11">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w:t>
      </w:r>
      <w:r>
        <w:rPr>
          <w:rFonts w:ascii="宋体" w:hAnsi="宋体"/>
          <w:color w:val="000000" w:themeColor="text1"/>
          <w:kern w:val="0"/>
          <w14:textFill>
            <w14:solidFill>
              <w14:schemeClr w14:val="tx1"/>
            </w14:solidFill>
          </w14:textFill>
        </w:rPr>
        <w:t>1)</w:t>
      </w:r>
      <w:r>
        <w:rPr>
          <w:rFonts w:hint="eastAsia" w:ascii="宋体" w:hAnsi="宋体"/>
          <w:color w:val="000000" w:themeColor="text1"/>
          <w:kern w:val="0"/>
          <w14:textFill>
            <w14:solidFill>
              <w14:schemeClr w14:val="tx1"/>
            </w14:solidFill>
          </w14:textFill>
        </w:rPr>
        <w:t>因情况变化，不再符合规定的竞争性磋商采购方式适用情形的；</w:t>
      </w:r>
    </w:p>
    <w:p w14:paraId="70179288">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w:t>
      </w:r>
      <w:r>
        <w:rPr>
          <w:rFonts w:ascii="宋体" w:hAnsi="宋体"/>
          <w:color w:val="000000" w:themeColor="text1"/>
          <w:kern w:val="0"/>
          <w14:textFill>
            <w14:solidFill>
              <w14:schemeClr w14:val="tx1"/>
            </w14:solidFill>
          </w14:textFill>
        </w:rPr>
        <w:t>2)</w:t>
      </w:r>
      <w:r>
        <w:rPr>
          <w:rFonts w:hint="eastAsia" w:ascii="宋体" w:hAnsi="宋体"/>
          <w:color w:val="000000" w:themeColor="text1"/>
          <w:kern w:val="0"/>
          <w14:textFill>
            <w14:solidFill>
              <w14:schemeClr w14:val="tx1"/>
            </w14:solidFill>
          </w14:textFill>
        </w:rPr>
        <w:t>出现影响采购公正的违法、违规行为的；</w:t>
      </w:r>
    </w:p>
    <w:p w14:paraId="535D5BDF">
      <w:pPr>
        <w:widowControl/>
        <w:spacing w:line="400" w:lineRule="exact"/>
        <w:ind w:firstLine="420" w:firstLineChars="20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w:t>
      </w:r>
      <w:r>
        <w:rPr>
          <w:rFonts w:ascii="宋体" w:hAnsi="宋体"/>
          <w:color w:val="000000" w:themeColor="text1"/>
          <w:kern w:val="0"/>
          <w14:textFill>
            <w14:solidFill>
              <w14:schemeClr w14:val="tx1"/>
            </w14:solidFill>
          </w14:textFill>
        </w:rPr>
        <w:t>3)</w:t>
      </w:r>
      <w:r>
        <w:rPr>
          <w:rFonts w:hint="eastAsia" w:ascii="宋体" w:hAnsi="宋体"/>
          <w:color w:val="000000" w:themeColor="text1"/>
          <w:kern w:val="0"/>
          <w14:textFill>
            <w14:solidFill>
              <w14:schemeClr w14:val="tx1"/>
            </w14:solidFill>
          </w14:textFill>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14:paraId="3F9A6C94">
      <w:pPr>
        <w:widowControl/>
        <w:spacing w:line="400" w:lineRule="exact"/>
        <w:ind w:firstLine="420" w:firstLineChars="200"/>
        <w:jc w:val="left"/>
        <w:rPr>
          <w:rFonts w:hAnsi="宋体"/>
          <w:color w:val="000000" w:themeColor="text1"/>
          <w14:textFill>
            <w14:solidFill>
              <w14:schemeClr w14:val="tx1"/>
            </w14:solidFill>
          </w14:textFill>
        </w:rPr>
      </w:pPr>
      <w:r>
        <w:rPr>
          <w:rFonts w:hint="eastAsia" w:ascii="宋体" w:hAnsi="宋体"/>
          <w:color w:val="000000" w:themeColor="text1"/>
          <w:kern w:val="0"/>
          <w14:textFill>
            <w14:solidFill>
              <w14:schemeClr w14:val="tx1"/>
            </w14:solidFill>
          </w14:textFill>
        </w:rPr>
        <w:t>在采购活动中因重大变故，采购任务取消的，采购人或者本中心将终止采购活动，通知所有参加采购活动的供应商，并将项目实施情况和采购任务取消原因报送本级财政部门。</w:t>
      </w:r>
    </w:p>
    <w:p w14:paraId="22443931">
      <w:pPr>
        <w:spacing w:line="44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六、确定成交供应商办法</w:t>
      </w:r>
    </w:p>
    <w:p w14:paraId="2E52D4F5">
      <w:pPr>
        <w:widowControl/>
        <w:spacing w:line="440" w:lineRule="exact"/>
        <w:ind w:firstLine="525" w:firstLineChars="250"/>
        <w:jc w:val="left"/>
        <w:rPr>
          <w:rFonts w:ascii="宋体" w:hAnsi="宋体"/>
          <w:color w:val="000000" w:themeColor="text1"/>
          <w:kern w:val="0"/>
          <w14:textFill>
            <w14:solidFill>
              <w14:schemeClr w14:val="tx1"/>
            </w14:solidFill>
          </w14:textFill>
        </w:rPr>
      </w:pPr>
      <w:r>
        <w:rPr>
          <w:rFonts w:hint="eastAsia" w:ascii="宋体" w:hAnsi="宋体"/>
          <w:color w:val="000000" w:themeColor="text1"/>
          <w:kern w:val="0"/>
          <w14:textFill>
            <w14:solidFill>
              <w14:schemeClr w14:val="tx1"/>
            </w14:solidFill>
          </w14:textFill>
        </w:rPr>
        <w:t>14.1 根据以下原则确定成交供应商：</w:t>
      </w:r>
    </w:p>
    <w:p w14:paraId="3AC091C6">
      <w:pPr>
        <w:pStyle w:val="19"/>
        <w:spacing w:line="440" w:lineRule="exact"/>
        <w:ind w:firstLine="525" w:firstLineChars="250"/>
        <w:rPr>
          <w:rFonts w:hAnsi="宋体"/>
          <w:color w:val="000000" w:themeColor="text1"/>
          <w:kern w:val="0"/>
          <w:sz w:val="24"/>
          <w:szCs w:val="24"/>
          <w14:textFill>
            <w14:solidFill>
              <w14:schemeClr w14:val="tx1"/>
            </w14:solidFill>
          </w14:textFill>
        </w:rPr>
      </w:pPr>
      <w:r>
        <w:rPr>
          <w:rFonts w:hint="eastAsia" w:hAnsi="宋体"/>
          <w:color w:val="000000" w:themeColor="text1"/>
          <w:kern w:val="0"/>
          <w14:textFill>
            <w14:solidFill>
              <w14:schemeClr w14:val="tx1"/>
            </w14:solidFill>
          </w14:textFill>
        </w:rPr>
        <w:t>14.2响应文件满足磋商文件全部实质性要求且按评审因素的量化指标评审得分最高的供应商为成交供应商。</w:t>
      </w:r>
    </w:p>
    <w:p w14:paraId="08A51972">
      <w:pPr>
        <w:pStyle w:val="19"/>
        <w:spacing w:line="440" w:lineRule="exact"/>
        <w:ind w:firstLine="413" w:firstLineChars="196"/>
        <w:rPr>
          <w:rFonts w:hAnsi="宋体"/>
          <w:b/>
          <w:bCs/>
          <w:color w:val="000000" w:themeColor="text1"/>
          <w:szCs w:val="21"/>
          <w14:textFill>
            <w14:solidFill>
              <w14:schemeClr w14:val="tx1"/>
            </w14:solidFill>
          </w14:textFill>
        </w:rPr>
      </w:pPr>
      <w:r>
        <w:rPr>
          <w:rFonts w:hint="eastAsia" w:hAnsi="宋体"/>
          <w:b/>
          <w:bCs/>
          <w:color w:val="000000" w:themeColor="text1"/>
          <w14:textFill>
            <w14:solidFill>
              <w14:schemeClr w14:val="tx1"/>
            </w14:solidFill>
          </w14:textFill>
        </w:rPr>
        <w:t>七、成交结果公告</w:t>
      </w:r>
    </w:p>
    <w:p w14:paraId="40CDECF3">
      <w:pPr>
        <w:pStyle w:val="19"/>
        <w:spacing w:line="44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15.本中心在评审结束后二个工作日内将磋商评审报告送采购人确认，</w:t>
      </w:r>
      <w:r>
        <w:rPr>
          <w:rFonts w:hint="eastAsia" w:hAnsi="宋体"/>
          <w:color w:val="000000" w:themeColor="text1"/>
          <w:kern w:val="0"/>
          <w14:textFill>
            <w14:solidFill>
              <w14:schemeClr w14:val="tx1"/>
            </w14:solidFill>
          </w14:textFill>
        </w:rPr>
        <w:t>成交供应商确定后</w:t>
      </w:r>
      <w:r>
        <w:rPr>
          <w:rFonts w:hint="eastAsia" w:hAnsi="宋体"/>
          <w:color w:val="000000" w:themeColor="text1"/>
          <w14:textFill>
            <w14:solidFill>
              <w14:schemeClr w14:val="tx1"/>
            </w14:solidFill>
          </w14:textFill>
        </w:rPr>
        <w:t>二个工作日内，</w:t>
      </w:r>
      <w:r>
        <w:rPr>
          <w:rFonts w:hint="eastAsia" w:hAnsi="宋体"/>
          <w:b/>
          <w:bCs/>
          <w:color w:val="000000" w:themeColor="text1"/>
          <w14:textFill>
            <w14:solidFill>
              <w14:schemeClr w14:val="tx1"/>
            </w14:solidFill>
          </w14:textFill>
        </w:rPr>
        <w:t>成交结果公告</w:t>
      </w:r>
      <w:r>
        <w:rPr>
          <w:rFonts w:hint="eastAsia" w:hAnsi="宋体"/>
          <w:color w:val="000000" w:themeColor="text1"/>
          <w14:textFill>
            <w14:solidFill>
              <w14:schemeClr w14:val="tx1"/>
            </w14:solidFill>
          </w14:textFill>
        </w:rPr>
        <w:t>将在中国政府采购网(www.ccgp.gov.cn)、广西政府采购网（http://zfcg.gxzf.gov.cn）及本中心网站（http://gxggzy.gxzf.gov.cn/）上发布，</w:t>
      </w:r>
      <w:r>
        <w:rPr>
          <w:rFonts w:hint="eastAsia" w:hAnsi="宋体"/>
          <w:color w:val="000000" w:themeColor="text1"/>
          <w:kern w:val="0"/>
          <w14:textFill>
            <w14:solidFill>
              <w14:schemeClr w14:val="tx1"/>
            </w14:solidFill>
          </w14:textFill>
        </w:rPr>
        <w:t>同时向成交供应商发出成交通知书</w:t>
      </w:r>
      <w:r>
        <w:rPr>
          <w:rFonts w:hint="eastAsia" w:hAnsi="宋体"/>
          <w:color w:val="000000" w:themeColor="text1"/>
          <w14:textFill>
            <w14:solidFill>
              <w14:schemeClr w14:val="tx1"/>
            </w14:solidFill>
          </w14:textFill>
        </w:rPr>
        <w:t>。</w:t>
      </w:r>
    </w:p>
    <w:p w14:paraId="37080B82">
      <w:pPr>
        <w:spacing w:line="440" w:lineRule="exact"/>
        <w:ind w:left="420" w:leftChars="200" w:firstLine="105" w:firstLineChars="5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八、签订合同</w:t>
      </w:r>
    </w:p>
    <w:p w14:paraId="4AAE3CEA">
      <w:pPr>
        <w:spacing w:line="440" w:lineRule="exact"/>
        <w:ind w:firstLine="472" w:firstLineChars="225"/>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16.1成交供应商</w:t>
      </w:r>
      <w:r>
        <w:rPr>
          <w:rFonts w:hint="eastAsia" w:ascii="宋体" w:hAnsi="宋体"/>
          <w:b/>
          <w:bCs/>
          <w:color w:val="000000" w:themeColor="text1"/>
          <w14:textFill>
            <w14:solidFill>
              <w14:schemeClr w14:val="tx1"/>
            </w14:solidFill>
          </w14:textFill>
        </w:rPr>
        <w:t>自成交通知书发出之日起二十五日内</w:t>
      </w:r>
      <w:r>
        <w:rPr>
          <w:rFonts w:hint="eastAsia" w:ascii="宋体" w:hAnsi="宋体"/>
          <w:color w:val="000000" w:themeColor="text1"/>
          <w14:textFill>
            <w14:solidFill>
              <w14:schemeClr w14:val="tx1"/>
            </w14:solidFill>
          </w14:textFill>
        </w:rPr>
        <w:t>与采购人签订合同。采购人另有要求的，按要求执行。</w:t>
      </w:r>
    </w:p>
    <w:p w14:paraId="1963A9D0">
      <w:pPr>
        <w:spacing w:line="440" w:lineRule="exact"/>
        <w:ind w:firstLine="472" w:firstLineChars="225"/>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16.2</w:t>
      </w:r>
      <w:r>
        <w:rPr>
          <w:rFonts w:hint="eastAsia" w:ascii="宋体" w:hAnsi="宋体"/>
          <w:color w:val="000000" w:themeColor="text1"/>
          <w:kern w:val="0"/>
          <w14:textFill>
            <w14:solidFill>
              <w14:schemeClr w14:val="tx1"/>
            </w14:solidFill>
          </w14:textFill>
        </w:rPr>
        <w:t>成交供应商拒绝签订政府采购合同的</w:t>
      </w:r>
      <w:r>
        <w:rPr>
          <w:rFonts w:hint="eastAsia" w:ascii="宋体" w:hAnsi="宋体"/>
          <w:color w:val="000000" w:themeColor="text1"/>
          <w14:textFill>
            <w14:solidFill>
              <w14:schemeClr w14:val="tx1"/>
            </w14:solidFill>
          </w14:textFill>
        </w:rPr>
        <w:t>，采购人可以根据磋商评审报告确定成交供应商之后排名第一的成交候选供应商</w:t>
      </w:r>
      <w:r>
        <w:rPr>
          <w:rFonts w:hint="eastAsia" w:ascii="宋体" w:hAnsi="宋体"/>
          <w:color w:val="000000" w:themeColor="text1"/>
          <w:kern w:val="0"/>
          <w14:textFill>
            <w14:solidFill>
              <w14:schemeClr w14:val="tx1"/>
            </w14:solidFill>
          </w14:textFill>
        </w:rPr>
        <w:t>作为</w:t>
      </w:r>
      <w:r>
        <w:rPr>
          <w:rFonts w:hint="eastAsia" w:ascii="宋体" w:hAnsi="宋体"/>
          <w:color w:val="000000" w:themeColor="text1"/>
          <w14:textFill>
            <w14:solidFill>
              <w14:schemeClr w14:val="tx1"/>
            </w14:solidFill>
          </w14:textFill>
        </w:rPr>
        <w:t>成交供应商</w:t>
      </w:r>
      <w:r>
        <w:rPr>
          <w:rFonts w:hint="eastAsia" w:ascii="宋体" w:hAnsi="宋体"/>
          <w:color w:val="000000" w:themeColor="text1"/>
          <w:kern w:val="0"/>
          <w14:textFill>
            <w14:solidFill>
              <w14:schemeClr w14:val="tx1"/>
            </w14:solidFill>
          </w14:textFill>
        </w:rPr>
        <w:t>并签订政府采购合同，也可以重新开展采购活动。拒绝签订政府采购合同的成交供应商不得参加对该项目重新开展的采购活动。</w:t>
      </w:r>
    </w:p>
    <w:p w14:paraId="1F764B02">
      <w:pPr>
        <w:spacing w:line="440" w:lineRule="exact"/>
        <w:ind w:firstLine="422" w:firstLineChars="20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16.3</w:t>
      </w:r>
      <w:r>
        <w:rPr>
          <w:rFonts w:hint="eastAsia" w:ascii="宋体" w:hAnsi="宋体"/>
          <w:color w:val="000000" w:themeColor="text1"/>
          <w:kern w:val="0"/>
          <w14:textFill>
            <w14:solidFill>
              <w14:schemeClr w14:val="tx1"/>
            </w14:solidFill>
          </w14:textFill>
        </w:rPr>
        <w:t>成交供应商拒绝签订政府采购合同的</w:t>
      </w:r>
      <w:r>
        <w:rPr>
          <w:rFonts w:hint="eastAsia" w:ascii="宋体" w:hAnsi="宋体"/>
          <w:b/>
          <w:bCs/>
          <w:color w:val="000000" w:themeColor="text1"/>
          <w14:textFill>
            <w14:solidFill>
              <w14:schemeClr w14:val="tx1"/>
            </w14:solidFill>
          </w14:textFill>
        </w:rPr>
        <w:t>，其保证金将不予退还，并上缴国库，给采购人造成其损失的，还应当赔偿损失，并作为不良行为记录在案。</w:t>
      </w:r>
    </w:p>
    <w:p w14:paraId="18285948">
      <w:pPr>
        <w:snapToGrid w:val="0"/>
        <w:spacing w:line="440" w:lineRule="exact"/>
        <w:ind w:firstLine="310" w:firstLineChars="147"/>
        <w:outlineLvl w:val="0"/>
        <w:rPr>
          <w:rFonts w:ascii="宋体" w:hAnsi="Courier New" w:cs="Courier New"/>
          <w:b/>
          <w:bCs/>
          <w:color w:val="000000" w:themeColor="text1"/>
          <w14:textFill>
            <w14:solidFill>
              <w14:schemeClr w14:val="tx1"/>
            </w14:solidFill>
          </w14:textFill>
        </w:rPr>
      </w:pPr>
      <w:r>
        <w:rPr>
          <w:rFonts w:hint="eastAsia" w:ascii="宋体" w:hAnsi="Courier New" w:cs="Courier New"/>
          <w:b/>
          <w:bCs/>
          <w:color w:val="000000" w:themeColor="text1"/>
          <w14:textFill>
            <w14:solidFill>
              <w14:schemeClr w14:val="tx1"/>
            </w14:solidFill>
          </w14:textFill>
        </w:rPr>
        <w:t xml:space="preserve"> 九、</w:t>
      </w:r>
      <w:r>
        <w:rPr>
          <w:rFonts w:hint="eastAsia" w:ascii="宋体" w:hAnsi="Courier New" w:cs="Courier New"/>
          <w:b/>
          <w:color w:val="000000" w:themeColor="text1"/>
          <w14:textFill>
            <w14:solidFill>
              <w14:schemeClr w14:val="tx1"/>
            </w14:solidFill>
          </w14:textFill>
        </w:rPr>
        <w:t>询问、质疑和投诉</w:t>
      </w:r>
    </w:p>
    <w:p w14:paraId="5EF5D28E">
      <w:pPr>
        <w:snapToGrid w:val="0"/>
        <w:spacing w:line="440" w:lineRule="exact"/>
        <w:ind w:firstLine="420" w:firstLineChars="200"/>
        <w:rPr>
          <w:rFonts w:ascii="宋体" w:hAnsi="Courier New" w:cs="Courier New"/>
          <w:color w:val="000000" w:themeColor="text1"/>
          <w14:textFill>
            <w14:solidFill>
              <w14:schemeClr w14:val="tx1"/>
            </w14:solidFill>
          </w14:textFill>
        </w:rPr>
      </w:pPr>
      <w:r>
        <w:rPr>
          <w:rFonts w:hint="eastAsia" w:ascii="宋体" w:hAnsi="Courier New" w:cs="Courier New"/>
          <w:color w:val="000000" w:themeColor="text1"/>
          <w14:textFill>
            <w14:solidFill>
              <w14:schemeClr w14:val="tx1"/>
            </w14:solidFill>
          </w14:textFill>
        </w:rPr>
        <w:t>17.1 供应商对政府采购活动事项有疑问的，可以向采购人、采购代理机构提出询问。</w:t>
      </w:r>
    </w:p>
    <w:p w14:paraId="179B82A8">
      <w:pPr>
        <w:snapToGrid w:val="0"/>
        <w:spacing w:line="440" w:lineRule="exact"/>
        <w:ind w:firstLine="420" w:firstLineChars="200"/>
        <w:rPr>
          <w:rFonts w:ascii="宋体" w:hAnsi="Courier New" w:cs="Courier New"/>
          <w:color w:val="000000" w:themeColor="text1"/>
          <w14:textFill>
            <w14:solidFill>
              <w14:schemeClr w14:val="tx1"/>
            </w14:solidFill>
          </w14:textFill>
        </w:rPr>
      </w:pPr>
      <w:r>
        <w:rPr>
          <w:rFonts w:hint="eastAsia" w:ascii="宋体" w:hAnsi="Courier New" w:cs="Courier New"/>
          <w:color w:val="000000" w:themeColor="text1"/>
          <w14:textFill>
            <w14:solidFill>
              <w14:schemeClr w14:val="tx1"/>
            </w14:solidFill>
          </w14:textFill>
        </w:rPr>
        <w:t>17.2 供应商认为采购文件、采购过程或中标（成交）结果使自己的合法权益受到损害的，应当在知道或者应知其权益受到损害之日起七个工作日内，以书面形式向</w:t>
      </w:r>
      <w:r>
        <w:rPr>
          <w:rFonts w:hint="eastAsia" w:ascii="宋体" w:hAnsi="Courier New" w:cs="Courier New"/>
          <w:b/>
          <w:bCs/>
          <w:color w:val="000000" w:themeColor="text1"/>
          <w14:textFill>
            <w14:solidFill>
              <w14:schemeClr w14:val="tx1"/>
            </w14:solidFill>
          </w14:textFill>
        </w:rPr>
        <w:t>采购人</w:t>
      </w:r>
      <w:r>
        <w:rPr>
          <w:rFonts w:hint="eastAsia" w:ascii="宋体" w:hAnsi="Courier New" w:cs="Courier New"/>
          <w:color w:val="000000" w:themeColor="text1"/>
          <w14:textFill>
            <w14:solidFill>
              <w14:schemeClr w14:val="tx1"/>
            </w14:solidFill>
          </w14:textFill>
        </w:rPr>
        <w:t>提出质疑。具体计算时间如下：</w:t>
      </w:r>
    </w:p>
    <w:p w14:paraId="43F01E2E">
      <w:pPr>
        <w:snapToGrid w:val="0"/>
        <w:spacing w:line="440" w:lineRule="exact"/>
        <w:ind w:firstLine="310" w:firstLineChars="147"/>
        <w:rPr>
          <w:rFonts w:ascii="宋体" w:hAnsi="Courier New" w:cs="Courier New"/>
          <w:bCs/>
          <w:color w:val="000000" w:themeColor="text1"/>
          <w14:textFill>
            <w14:solidFill>
              <w14:schemeClr w14:val="tx1"/>
            </w14:solidFill>
          </w14:textFill>
        </w:rPr>
      </w:pPr>
      <w:r>
        <w:rPr>
          <w:rFonts w:hint="eastAsia" w:ascii="宋体" w:hAnsi="Courier New" w:cs="Courier New"/>
          <w:b/>
          <w:color w:val="000000" w:themeColor="text1"/>
          <w14:textFill>
            <w14:solidFill>
              <w14:schemeClr w14:val="tx1"/>
            </w14:solidFill>
          </w14:textFill>
        </w:rPr>
        <w:t>（1）对可以质疑的采购文件提出质疑的，为收到采购文件之日；</w:t>
      </w:r>
    </w:p>
    <w:p w14:paraId="6DC2988F">
      <w:pPr>
        <w:widowControl/>
        <w:spacing w:line="440" w:lineRule="exact"/>
        <w:jc w:val="left"/>
        <w:rPr>
          <w:rFonts w:ascii="宋体" w:cs="Courier New"/>
          <w:b/>
          <w:color w:val="000000" w:themeColor="text1"/>
          <w14:textFill>
            <w14:solidFill>
              <w14:schemeClr w14:val="tx1"/>
            </w14:solidFill>
          </w14:textFill>
        </w:rPr>
      </w:pPr>
      <w:r>
        <w:rPr>
          <w:rFonts w:hint="eastAsia" w:ascii="宋体" w:cs="Courier New"/>
          <w:color w:val="000000" w:themeColor="text1"/>
          <w14:textFill>
            <w14:solidFill>
              <w14:schemeClr w14:val="tx1"/>
            </w14:solidFill>
          </w14:textFill>
        </w:rPr>
        <w:t xml:space="preserve">　 </w:t>
      </w:r>
      <w:r>
        <w:rPr>
          <w:rFonts w:hint="eastAsia" w:ascii="宋体" w:cs="Courier New"/>
          <w:b/>
          <w:color w:val="000000" w:themeColor="text1"/>
          <w14:textFill>
            <w14:solidFill>
              <w14:schemeClr w14:val="tx1"/>
            </w14:solidFill>
          </w14:textFill>
        </w:rPr>
        <w:t>（2）对招标采购过程提出质疑的，为各采购程序环节结束之日；</w:t>
      </w:r>
    </w:p>
    <w:p w14:paraId="5D639B96">
      <w:pPr>
        <w:widowControl/>
        <w:spacing w:line="440" w:lineRule="exact"/>
        <w:ind w:firstLine="310" w:firstLineChars="147"/>
        <w:jc w:val="left"/>
        <w:rPr>
          <w:rFonts w:ascii="宋体" w:cs="Courier New"/>
          <w:b/>
          <w:color w:val="000000" w:themeColor="text1"/>
          <w14:textFill>
            <w14:solidFill>
              <w14:schemeClr w14:val="tx1"/>
            </w14:solidFill>
          </w14:textFill>
        </w:rPr>
      </w:pPr>
      <w:r>
        <w:rPr>
          <w:rFonts w:hint="eastAsia" w:cs="Courier New"/>
          <w:b/>
          <w:color w:val="000000" w:themeColor="text1"/>
          <w14:textFill>
            <w14:solidFill>
              <w14:schemeClr w14:val="tx1"/>
            </w14:solidFill>
          </w14:textFill>
        </w:rPr>
        <w:t>（3）对成交结果提出质疑的，为成交结果公告期限届满之日。供应商对采购人的质疑答复不满意或者</w:t>
      </w:r>
      <w:r>
        <w:rPr>
          <w:rFonts w:hint="eastAsia" w:ascii="宋体" w:hAnsi="宋体" w:cs="Courier New"/>
          <w:b/>
          <w:color w:val="000000" w:themeColor="text1"/>
          <w14:textFill>
            <w14:solidFill>
              <w14:schemeClr w14:val="tx1"/>
            </w14:solidFill>
          </w14:textFill>
        </w:rPr>
        <w:t>采购人</w:t>
      </w:r>
      <w:r>
        <w:rPr>
          <w:rFonts w:hint="eastAsia" w:cs="Courier New"/>
          <w:b/>
          <w:color w:val="000000" w:themeColor="text1"/>
          <w14:textFill>
            <w14:solidFill>
              <w14:schemeClr w14:val="tx1"/>
            </w14:solidFill>
          </w14:textFill>
        </w:rPr>
        <w:t>未在规定时间内作出答复的，可以在答复期满后十五个工作日内向同级采购监管部门投诉。</w:t>
      </w:r>
    </w:p>
    <w:p w14:paraId="5154AA39">
      <w:pPr>
        <w:snapToGrid w:val="0"/>
        <w:spacing w:line="440" w:lineRule="exact"/>
        <w:ind w:firstLine="420" w:firstLineChars="200"/>
        <w:rPr>
          <w:rFonts w:ascii="宋体" w:hAnsi="Courier New" w:cs="Courier New"/>
          <w:bCs/>
          <w:color w:val="000000" w:themeColor="text1"/>
          <w14:textFill>
            <w14:solidFill>
              <w14:schemeClr w14:val="tx1"/>
            </w14:solidFill>
          </w14:textFill>
        </w:rPr>
      </w:pPr>
      <w:r>
        <w:rPr>
          <w:rFonts w:hint="eastAsia" w:ascii="宋体" w:hAnsi="Courier New" w:cs="Courier New"/>
          <w:bCs/>
          <w:color w:val="000000" w:themeColor="text1"/>
          <w14:textFill>
            <w14:solidFill>
              <w14:schemeClr w14:val="tx1"/>
            </w14:solidFill>
          </w14:textFill>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14:paraId="381339A7">
      <w:pPr>
        <w:snapToGrid w:val="0"/>
        <w:spacing w:line="440" w:lineRule="exact"/>
        <w:ind w:firstLine="420" w:firstLineChars="200"/>
        <w:rPr>
          <w:rFonts w:ascii="宋体" w:hAnsi="Courier New" w:cs="Courier New"/>
          <w:bCs/>
          <w:color w:val="000000" w:themeColor="text1"/>
          <w:highlight w:val="green"/>
          <w14:textFill>
            <w14:solidFill>
              <w14:schemeClr w14:val="tx1"/>
            </w14:solidFill>
          </w14:textFill>
        </w:rPr>
      </w:pPr>
      <w:r>
        <w:rPr>
          <w:rFonts w:hint="eastAsia" w:ascii="宋体" w:hAnsi="Courier New" w:cs="Courier New"/>
          <w:bCs/>
          <w:color w:val="000000" w:themeColor="text1"/>
          <w14:textFill>
            <w14:solidFill>
              <w14:schemeClr w14:val="tx1"/>
            </w14:solidFill>
          </w14:textFill>
        </w:rPr>
        <w:t>17.4采购人、采购代理机构接收质疑函的方式、联系部门、联系电话和地址等信息详见“供应商须知前附表”。</w:t>
      </w:r>
    </w:p>
    <w:p w14:paraId="5497998D">
      <w:pPr>
        <w:spacing w:line="440" w:lineRule="exact"/>
        <w:ind w:left="420" w:leftChars="200" w:firstLine="105" w:firstLineChars="5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十、适用法律</w:t>
      </w:r>
    </w:p>
    <w:p w14:paraId="56EAA6EA">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18.采购当事人的一切活动均适用于《中华人民共和国政府采购法》及相关规定。最终磋商结束后，</w:t>
      </w:r>
    </w:p>
    <w:p w14:paraId="0312400B">
      <w:pPr>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磋商小组不得再与供应商进行任何形式的磋商。</w:t>
      </w:r>
    </w:p>
    <w:p w14:paraId="6E2FA216">
      <w:pPr>
        <w:spacing w:line="440" w:lineRule="exact"/>
        <w:ind w:left="420" w:leftChars="200" w:firstLine="105" w:firstLineChars="50"/>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十一、其他事项</w:t>
      </w:r>
    </w:p>
    <w:p w14:paraId="346A19C3">
      <w:pPr>
        <w:spacing w:line="440" w:lineRule="exact"/>
        <w:ind w:firstLine="472" w:firstLineChars="225"/>
        <w:rPr>
          <w:rFonts w:ascii="宋体" w:hAnsi="宋体"/>
          <w:b/>
          <w:bCs/>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19.1</w:t>
      </w:r>
      <w:r>
        <w:rPr>
          <w:rFonts w:hint="eastAsia" w:ascii="宋体" w:hAnsi="宋体"/>
          <w:b/>
          <w:bCs/>
          <w:color w:val="000000" w:themeColor="text1"/>
          <w14:textFill>
            <w14:solidFill>
              <w14:schemeClr w14:val="tx1"/>
            </w14:solidFill>
          </w14:textFill>
        </w:rPr>
        <w:t>解释权</w:t>
      </w:r>
    </w:p>
    <w:p w14:paraId="656B0A4E">
      <w:pPr>
        <w:pStyle w:val="19"/>
        <w:spacing w:line="440" w:lineRule="exact"/>
        <w:ind w:firstLine="454" w:firstLineChars="225"/>
        <w:rPr>
          <w:rFonts w:hAnsi="宋体"/>
          <w:color w:val="000000" w:themeColor="text1"/>
          <w:spacing w:val="-4"/>
          <w14:textFill>
            <w14:solidFill>
              <w14:schemeClr w14:val="tx1"/>
            </w14:solidFill>
          </w14:textFill>
        </w:rPr>
      </w:pPr>
      <w:r>
        <w:rPr>
          <w:rFonts w:hint="eastAsia" w:hAnsi="宋体"/>
          <w:color w:val="000000" w:themeColor="text1"/>
          <w:spacing w:val="-4"/>
          <w14:textFill>
            <w14:solidFill>
              <w14:schemeClr w14:val="tx1"/>
            </w14:solidFill>
          </w14:textFill>
        </w:rPr>
        <w:t>本</w:t>
      </w:r>
      <w:r>
        <w:rPr>
          <w:rFonts w:hint="eastAsia" w:hAnsi="宋体"/>
          <w:color w:val="000000" w:themeColor="text1"/>
          <w14:textFill>
            <w14:solidFill>
              <w14:schemeClr w14:val="tx1"/>
            </w14:solidFill>
          </w14:textFill>
        </w:rPr>
        <w:t>竞争性磋商</w:t>
      </w:r>
      <w:r>
        <w:rPr>
          <w:rFonts w:hint="eastAsia" w:hAnsi="宋体"/>
          <w:color w:val="000000" w:themeColor="text1"/>
          <w:spacing w:val="-4"/>
          <w14:textFill>
            <w14:solidFill>
              <w14:schemeClr w14:val="tx1"/>
            </w14:solidFill>
          </w14:textFill>
        </w:rPr>
        <w:t>文件解释权属本中心。</w:t>
      </w:r>
    </w:p>
    <w:p w14:paraId="56774294">
      <w:pPr>
        <w:pStyle w:val="19"/>
        <w:spacing w:line="440" w:lineRule="exact"/>
        <w:ind w:firstLine="474" w:firstLineChars="225"/>
        <w:rPr>
          <w:rFonts w:hAnsi="宋体"/>
          <w:color w:val="000000" w:themeColor="text1"/>
          <w14:textFill>
            <w14:solidFill>
              <w14:schemeClr w14:val="tx1"/>
            </w14:solidFill>
          </w14:textFill>
        </w:rPr>
      </w:pPr>
      <w:r>
        <w:rPr>
          <w:rFonts w:hint="eastAsia" w:hAnsi="宋体"/>
          <w:b/>
          <w:bCs/>
          <w:color w:val="000000" w:themeColor="text1"/>
          <w14:textFill>
            <w14:solidFill>
              <w14:schemeClr w14:val="tx1"/>
            </w14:solidFill>
          </w14:textFill>
        </w:rPr>
        <w:t>19.2 有关事宜</w:t>
      </w:r>
    </w:p>
    <w:p w14:paraId="3842055A">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所有与本竞争性磋商文件有关的函件请按下列通讯地址联系：</w:t>
      </w:r>
    </w:p>
    <w:p w14:paraId="57D42283">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广西壮族自治区政府采购中心</w:t>
      </w:r>
    </w:p>
    <w:p w14:paraId="003CED1C">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邮政编码：530022</w:t>
      </w:r>
    </w:p>
    <w:p w14:paraId="3C6105C4">
      <w:pPr>
        <w:spacing w:line="440" w:lineRule="exact"/>
        <w:ind w:left="420" w:leftChars="200" w:firstLine="105" w:firstLineChars="5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通讯地址：广西南宁市星湖路22号</w:t>
      </w:r>
    </w:p>
    <w:p w14:paraId="71270BB0">
      <w:pPr>
        <w:spacing w:line="440" w:lineRule="exact"/>
        <w:ind w:left="420" w:leftChars="200" w:firstLine="105" w:firstLineChars="50"/>
        <w:rPr>
          <w:rFonts w:ascii="宋体" w:hAnsi="宋体"/>
          <w:color w:val="000000" w:themeColor="text1"/>
          <w:highlight w:val="yellow"/>
          <w14:textFill>
            <w14:solidFill>
              <w14:schemeClr w14:val="tx1"/>
            </w14:solidFill>
          </w14:textFill>
        </w:rPr>
      </w:pPr>
      <w:r>
        <w:rPr>
          <w:rFonts w:hint="eastAsia" w:ascii="宋体" w:hAnsi="宋体"/>
          <w:color w:val="000000" w:themeColor="text1"/>
          <w14:textFill>
            <w14:solidFill>
              <w14:schemeClr w14:val="tx1"/>
            </w14:solidFill>
          </w14:textFill>
        </w:rPr>
        <w:t>电    话：</w:t>
      </w:r>
      <w:r>
        <w:rPr>
          <w:rFonts w:ascii="宋体" w:hAnsi="宋体"/>
          <w:color w:val="000000" w:themeColor="text1"/>
          <w:lang w:val="en"/>
          <w14:textFill>
            <w14:solidFill>
              <w14:schemeClr w14:val="tx1"/>
            </w14:solidFill>
          </w14:textFill>
        </w:rPr>
        <w:t>0771-8600</w:t>
      </w:r>
      <w:r>
        <w:rPr>
          <w:rFonts w:hint="eastAsia" w:ascii="宋体" w:hAnsi="宋体"/>
          <w:color w:val="000000" w:themeColor="text1"/>
          <w14:textFill>
            <w14:solidFill>
              <w14:schemeClr w14:val="tx1"/>
            </w14:solidFill>
          </w14:textFill>
        </w:rPr>
        <w:t>349</w:t>
      </w:r>
    </w:p>
    <w:p w14:paraId="01F86537">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314F8F47">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54385549">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102CAEBC">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1D381447">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0B6EA131">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2E2A8D86">
      <w:pPr>
        <w:pStyle w:val="33"/>
        <w:ind w:firstLine="640"/>
        <w:rPr>
          <w:rFonts w:hAnsi="宋体"/>
          <w:b w:val="0"/>
          <w:bCs/>
          <w:color w:val="000000" w:themeColor="text1"/>
          <w:sz w:val="32"/>
          <w:szCs w:val="32"/>
          <w14:textFill>
            <w14:solidFill>
              <w14:schemeClr w14:val="tx1"/>
            </w14:solidFill>
          </w14:textFill>
        </w:rPr>
      </w:pPr>
    </w:p>
    <w:p w14:paraId="3184146A">
      <w:pPr>
        <w:rPr>
          <w:rFonts w:ascii="宋体" w:hAnsi="宋体"/>
          <w:b/>
          <w:bCs/>
          <w:color w:val="000000" w:themeColor="text1"/>
          <w:sz w:val="32"/>
          <w:szCs w:val="32"/>
          <w14:textFill>
            <w14:solidFill>
              <w14:schemeClr w14:val="tx1"/>
            </w14:solidFill>
          </w14:textFill>
        </w:rPr>
      </w:pPr>
    </w:p>
    <w:p w14:paraId="330FEBF8">
      <w:pPr>
        <w:pStyle w:val="33"/>
        <w:ind w:firstLine="640"/>
        <w:rPr>
          <w:rFonts w:hAnsi="宋体"/>
          <w:b w:val="0"/>
          <w:bCs/>
          <w:color w:val="000000" w:themeColor="text1"/>
          <w:sz w:val="32"/>
          <w:szCs w:val="32"/>
          <w14:textFill>
            <w14:solidFill>
              <w14:schemeClr w14:val="tx1"/>
            </w14:solidFill>
          </w14:textFill>
        </w:rPr>
      </w:pPr>
    </w:p>
    <w:p w14:paraId="04DC4B2F">
      <w:pPr>
        <w:rPr>
          <w:rFonts w:ascii="宋体" w:hAnsi="宋体"/>
          <w:b/>
          <w:bCs/>
          <w:color w:val="000000" w:themeColor="text1"/>
          <w:sz w:val="32"/>
          <w:szCs w:val="32"/>
          <w14:textFill>
            <w14:solidFill>
              <w14:schemeClr w14:val="tx1"/>
            </w14:solidFill>
          </w14:textFill>
        </w:rPr>
      </w:pPr>
    </w:p>
    <w:p w14:paraId="123D057F">
      <w:pPr>
        <w:pStyle w:val="33"/>
        <w:ind w:firstLine="640"/>
        <w:rPr>
          <w:rFonts w:hAnsi="宋体"/>
          <w:b w:val="0"/>
          <w:bCs/>
          <w:color w:val="000000" w:themeColor="text1"/>
          <w:sz w:val="32"/>
          <w:szCs w:val="32"/>
          <w14:textFill>
            <w14:solidFill>
              <w14:schemeClr w14:val="tx1"/>
            </w14:solidFill>
          </w14:textFill>
        </w:rPr>
      </w:pPr>
    </w:p>
    <w:p w14:paraId="4A088E30">
      <w:pPr>
        <w:rPr>
          <w:color w:val="000000" w:themeColor="text1"/>
          <w14:textFill>
            <w14:solidFill>
              <w14:schemeClr w14:val="tx1"/>
            </w14:solidFill>
          </w14:textFill>
        </w:rPr>
      </w:pPr>
    </w:p>
    <w:p w14:paraId="454391FE">
      <w:pPr>
        <w:spacing w:line="500" w:lineRule="exact"/>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 </w:t>
      </w:r>
    </w:p>
    <w:p w14:paraId="4C448CD9">
      <w:pPr>
        <w:pStyle w:val="2"/>
        <w:jc w:val="center"/>
        <w:rPr>
          <w:rFonts w:ascii="宋体" w:hAnsi="宋体"/>
          <w:color w:val="000000" w:themeColor="text1"/>
          <w14:textFill>
            <w14:solidFill>
              <w14:schemeClr w14:val="tx1"/>
            </w14:solidFill>
          </w14:textFill>
        </w:rPr>
      </w:pPr>
      <w:bookmarkStart w:id="9" w:name="_Toc18481386"/>
      <w:bookmarkEnd w:id="9"/>
      <w:r>
        <w:rPr>
          <w:rFonts w:hint="eastAsia" w:ascii="宋体" w:hAnsi="宋体"/>
          <w:color w:val="000000" w:themeColor="text1"/>
          <w14:textFill>
            <w14:solidFill>
              <w14:schemeClr w14:val="tx1"/>
            </w14:solidFill>
          </w14:textFill>
        </w:rPr>
        <w:t>第三章  采购需求</w:t>
      </w:r>
    </w:p>
    <w:p w14:paraId="7CDC36EC">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14:paraId="2733F0A0">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14:paraId="0EA2EB64">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1B2D16D3">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2BD158AC">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194384EB">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4E4EFB52">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470C4B5C">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3DB3E8B5">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39F32AE4">
      <w:pPr>
        <w:adjustRightInd w:val="0"/>
        <w:snapToGrid w:val="0"/>
        <w:spacing w:line="500" w:lineRule="exact"/>
        <w:ind w:left="2"/>
        <w:jc w:val="center"/>
        <w:rPr>
          <w:rFonts w:ascii="宋体" w:hAnsi="宋体"/>
          <w:b/>
          <w:bCs/>
          <w:color w:val="000000" w:themeColor="text1"/>
          <w:sz w:val="32"/>
          <w:szCs w:val="32"/>
          <w14:textFill>
            <w14:solidFill>
              <w14:schemeClr w14:val="tx1"/>
            </w14:solidFill>
          </w14:textFill>
        </w:rPr>
      </w:pPr>
    </w:p>
    <w:p w14:paraId="40C13D14">
      <w:pPr>
        <w:pStyle w:val="33"/>
        <w:ind w:firstLine="640"/>
        <w:rPr>
          <w:rFonts w:hAnsi="宋体"/>
          <w:b w:val="0"/>
          <w:bCs/>
          <w:color w:val="000000" w:themeColor="text1"/>
          <w:sz w:val="32"/>
          <w:szCs w:val="32"/>
          <w14:textFill>
            <w14:solidFill>
              <w14:schemeClr w14:val="tx1"/>
            </w14:solidFill>
          </w14:textFill>
        </w:rPr>
      </w:pPr>
    </w:p>
    <w:p w14:paraId="5050F059">
      <w:pPr>
        <w:rPr>
          <w:rFonts w:hAnsi="宋体"/>
          <w:bCs/>
          <w:color w:val="000000" w:themeColor="text1"/>
          <w:sz w:val="32"/>
          <w:szCs w:val="32"/>
          <w14:textFill>
            <w14:solidFill>
              <w14:schemeClr w14:val="tx1"/>
            </w14:solidFill>
          </w14:textFill>
        </w:rPr>
      </w:pPr>
    </w:p>
    <w:p w14:paraId="4C215621">
      <w:pPr>
        <w:pStyle w:val="33"/>
        <w:ind w:firstLine="422"/>
        <w:rPr>
          <w:color w:val="000000" w:themeColor="text1"/>
          <w14:textFill>
            <w14:solidFill>
              <w14:schemeClr w14:val="tx1"/>
            </w14:solidFill>
          </w14:textFill>
        </w:rPr>
      </w:pPr>
    </w:p>
    <w:p w14:paraId="35F21AFD">
      <w:pPr>
        <w:rPr>
          <w:rFonts w:ascii="宋体" w:hAnsi="宋体"/>
          <w:b/>
          <w:bCs/>
          <w:color w:val="000000" w:themeColor="text1"/>
          <w:sz w:val="32"/>
          <w:szCs w:val="32"/>
          <w14:textFill>
            <w14:solidFill>
              <w14:schemeClr w14:val="tx1"/>
            </w14:solidFill>
          </w14:textFill>
        </w:rPr>
      </w:pPr>
    </w:p>
    <w:p w14:paraId="2E16ACE6">
      <w:pPr>
        <w:adjustRightInd w:val="0"/>
        <w:snapToGrid w:val="0"/>
        <w:spacing w:line="440" w:lineRule="exact"/>
        <w:ind w:left="2" w:firstLine="2570" w:firstLineChars="800"/>
        <w:jc w:val="left"/>
        <w:rPr>
          <w:rFonts w:hint="eastAsia" w:ascii="仿宋_GB2312" w:hAnsi="宋体" w:eastAsia="仿宋_GB2312"/>
          <w:b/>
          <w:color w:val="000000" w:themeColor="text1"/>
          <w:sz w:val="32"/>
          <w:szCs w:val="32"/>
          <w14:textFill>
            <w14:solidFill>
              <w14:schemeClr w14:val="tx1"/>
            </w14:solidFill>
          </w14:textFill>
        </w:rPr>
      </w:pPr>
    </w:p>
    <w:p w14:paraId="24021E13">
      <w:pPr>
        <w:adjustRightInd w:val="0"/>
        <w:snapToGrid w:val="0"/>
        <w:spacing w:line="440" w:lineRule="exact"/>
        <w:ind w:left="2" w:firstLine="2570" w:firstLineChars="800"/>
        <w:jc w:val="left"/>
        <w:rPr>
          <w:rFonts w:ascii="仿宋_GB2312" w:hAnsi="宋体" w:eastAsia="仿宋_GB2312"/>
          <w:b/>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采购项目技术规格、参数及要求</w:t>
      </w:r>
    </w:p>
    <w:p w14:paraId="0048814B">
      <w:pPr>
        <w:adjustRightInd w:val="0"/>
        <w:snapToGrid w:val="0"/>
        <w:spacing w:line="440" w:lineRule="exact"/>
        <w:ind w:left="2" w:firstLine="2570" w:firstLineChars="800"/>
        <w:jc w:val="left"/>
        <w:rPr>
          <w:rFonts w:ascii="仿宋_GB2312" w:hAnsi="宋体" w:eastAsia="仿宋_GB2312"/>
          <w:b/>
          <w:color w:val="000000" w:themeColor="text1"/>
          <w:sz w:val="32"/>
          <w:szCs w:val="32"/>
          <w:highlight w:val="yellow"/>
          <w14:textFill>
            <w14:solidFill>
              <w14:schemeClr w14:val="tx1"/>
            </w14:solidFill>
          </w14:textFill>
        </w:rPr>
      </w:pPr>
    </w:p>
    <w:p w14:paraId="7894CB2C">
      <w:pPr>
        <w:tabs>
          <w:tab w:val="left" w:pos="180"/>
          <w:tab w:val="left" w:pos="1620"/>
        </w:tabs>
        <w:spacing w:line="312" w:lineRule="auto"/>
        <w:ind w:left="53" w:leftChars="25" w:right="53" w:rightChars="25" w:firstLine="422" w:firstLineChars="200"/>
        <w:rPr>
          <w:rFonts w:ascii="宋体" w:hAnsi="宋体"/>
          <w:b/>
          <w:bCs/>
          <w:color w:val="000000" w:themeColor="text1"/>
          <w:u w:val="single"/>
          <w14:textFill>
            <w14:solidFill>
              <w14:schemeClr w14:val="tx1"/>
            </w14:solidFill>
          </w14:textFill>
        </w:rPr>
      </w:pPr>
      <w:r>
        <w:rPr>
          <w:rFonts w:hint="eastAsia" w:ascii="宋体" w:hAnsi="宋体"/>
          <w:b/>
          <w:bCs/>
          <w:color w:val="000000" w:themeColor="text1"/>
          <w14:textFill>
            <w14:solidFill>
              <w14:schemeClr w14:val="tx1"/>
            </w14:solidFill>
          </w14:textFill>
        </w:rPr>
        <w:t>一、项目名称：</w:t>
      </w:r>
      <w:r>
        <w:rPr>
          <w:rFonts w:hint="eastAsia" w:ascii="宋体" w:hAnsi="宋体"/>
          <w:b/>
          <w:bCs/>
          <w:color w:val="000000" w:themeColor="text1"/>
          <w14:textFill>
            <w14:solidFill>
              <w14:schemeClr w14:val="tx1"/>
            </w14:solidFill>
          </w14:textFill>
        </w:rPr>
        <w:fldChar w:fldCharType="begin"/>
      </w:r>
      <w:r>
        <w:rPr>
          <w:rFonts w:hint="eastAsia" w:ascii="宋体" w:hAnsi="宋体"/>
          <w:b/>
          <w:bCs/>
          <w:color w:val="000000" w:themeColor="text1"/>
          <w14:textFill>
            <w14:solidFill>
              <w14:schemeClr w14:val="tx1"/>
            </w14:solidFill>
          </w14:textFill>
        </w:rPr>
        <w:instrText xml:space="preserve"> HYPERLINK "https://pay.gcy.zfcg.gxzf.gov.cn/budget-quota-index/" \l "/plan/list/_blank" \t "https://pay.gcy.zfcg.gxzf.gov.cn/purchaseplan_front/" </w:instrText>
      </w:r>
      <w:r>
        <w:rPr>
          <w:rFonts w:hint="eastAsia" w:ascii="宋体" w:hAnsi="宋体"/>
          <w:b/>
          <w:bCs/>
          <w:color w:val="000000" w:themeColor="text1"/>
          <w14:textFill>
            <w14:solidFill>
              <w14:schemeClr w14:val="tx1"/>
            </w14:solidFill>
          </w14:textFill>
        </w:rPr>
        <w:fldChar w:fldCharType="separate"/>
      </w:r>
      <w:r>
        <w:rPr>
          <w:rFonts w:hint="eastAsia" w:ascii="宋体" w:hAnsi="宋体"/>
          <w:b/>
          <w:bCs/>
          <w:color w:val="000000" w:themeColor="text1"/>
          <w14:textFill>
            <w14:solidFill>
              <w14:schemeClr w14:val="tx1"/>
            </w14:solidFill>
          </w14:textFill>
        </w:rPr>
        <w:fldChar w:fldCharType="begin"/>
      </w:r>
      <w:r>
        <w:rPr>
          <w:rFonts w:hint="eastAsia" w:ascii="宋体" w:hAnsi="宋体"/>
          <w:b/>
          <w:bCs/>
          <w:color w:val="000000" w:themeColor="text1"/>
          <w14:textFill>
            <w14:solidFill>
              <w14:schemeClr w14:val="tx1"/>
            </w14:solidFill>
          </w14:textFill>
        </w:rPr>
        <w:instrText xml:space="preserve"> HYPERLINK "https://middle.gcy.zfcg.gxzf.gov.cn/budget-quota-index/" \l "/purchase/plan/details/22802899" \t "https://middle.gcy.zfcg.gxzf.gov.cn/purchaseplan_front/" \l "/plan/list/_blank" </w:instrText>
      </w:r>
      <w:r>
        <w:rPr>
          <w:rFonts w:hint="eastAsia" w:ascii="宋体" w:hAnsi="宋体"/>
          <w:b/>
          <w:bCs/>
          <w:color w:val="000000" w:themeColor="text1"/>
          <w14:textFill>
            <w14:solidFill>
              <w14:schemeClr w14:val="tx1"/>
            </w14:solidFill>
          </w14:textFill>
        </w:rPr>
        <w:fldChar w:fldCharType="separate"/>
      </w:r>
      <w:r>
        <w:rPr>
          <w:rFonts w:hint="eastAsia" w:ascii="宋体" w:hAnsi="宋体"/>
          <w:b/>
          <w:bCs/>
          <w:color w:val="000000" w:themeColor="text1"/>
          <w14:textFill>
            <w14:solidFill>
              <w14:schemeClr w14:val="tx1"/>
            </w14:solidFill>
          </w14:textFill>
        </w:rPr>
        <w:t>贺州学院2026-2028年互联网宽带接入服务</w:t>
      </w:r>
      <w:r>
        <w:rPr>
          <w:rFonts w:hint="eastAsia" w:ascii="宋体" w:hAnsi="宋体"/>
          <w:b/>
          <w:bCs/>
          <w:color w:val="000000" w:themeColor="text1"/>
          <w14:textFill>
            <w14:solidFill>
              <w14:schemeClr w14:val="tx1"/>
            </w14:solidFill>
          </w14:textFill>
        </w:rPr>
        <w:fldChar w:fldCharType="end"/>
      </w:r>
      <w:r>
        <w:rPr>
          <w:rFonts w:hint="eastAsia" w:ascii="宋体" w:hAnsi="宋体"/>
          <w:b/>
          <w:bCs/>
          <w:color w:val="000000" w:themeColor="text1"/>
          <w14:textFill>
            <w14:solidFill>
              <w14:schemeClr w14:val="tx1"/>
            </w14:solidFill>
          </w14:textFill>
        </w:rPr>
        <w:t>采购</w:t>
      </w:r>
      <w:r>
        <w:rPr>
          <w:rFonts w:hint="eastAsia" w:ascii="宋体" w:hAnsi="宋体"/>
          <w:b/>
          <w:bCs/>
          <w:color w:val="000000" w:themeColor="text1"/>
          <w14:textFill>
            <w14:solidFill>
              <w14:schemeClr w14:val="tx1"/>
            </w14:solidFill>
          </w14:textFill>
        </w:rPr>
        <w:fldChar w:fldCharType="end"/>
      </w:r>
    </w:p>
    <w:p w14:paraId="7F434846">
      <w:pPr>
        <w:tabs>
          <w:tab w:val="left" w:pos="180"/>
          <w:tab w:val="left" w:pos="1620"/>
        </w:tabs>
        <w:spacing w:line="312" w:lineRule="auto"/>
        <w:ind w:left="53" w:leftChars="25" w:right="53" w:rightChars="25" w:firstLine="422" w:firstLineChars="200"/>
        <w:rPr>
          <w:rFonts w:ascii="宋体" w:hAnsi="宋体"/>
          <w:b/>
          <w:bCs/>
          <w:color w:val="000000" w:themeColor="text1"/>
          <w:u w:val="single"/>
          <w:lang w:val="en"/>
          <w14:textFill>
            <w14:solidFill>
              <w14:schemeClr w14:val="tx1"/>
            </w14:solidFill>
          </w14:textFill>
        </w:rPr>
      </w:pPr>
      <w:r>
        <w:rPr>
          <w:rFonts w:hint="eastAsia" w:ascii="宋体" w:hAnsi="宋体"/>
          <w:b/>
          <w:bCs/>
          <w:color w:val="000000" w:themeColor="text1"/>
          <w14:textFill>
            <w14:solidFill>
              <w14:schemeClr w14:val="tx1"/>
            </w14:solidFill>
          </w14:textFill>
        </w:rPr>
        <w:t>二、项目编号:GXZC2026-C3-000</w:t>
      </w:r>
      <w:r>
        <w:rPr>
          <w:rFonts w:hint="eastAsia" w:ascii="宋体" w:hAnsi="宋体"/>
          <w:b/>
          <w:bCs/>
          <w:color w:val="000000" w:themeColor="text1"/>
          <w:lang w:val="en-US" w:eastAsia="zh-CN"/>
          <w14:textFill>
            <w14:solidFill>
              <w14:schemeClr w14:val="tx1"/>
            </w14:solidFill>
          </w14:textFill>
        </w:rPr>
        <w:t>xx</w:t>
      </w:r>
      <w:r>
        <w:rPr>
          <w:rFonts w:hint="eastAsia" w:ascii="宋体" w:hAnsi="宋体"/>
          <w:b/>
          <w:bCs/>
          <w:color w:val="000000" w:themeColor="text1"/>
          <w14:textFill>
            <w14:solidFill>
              <w14:schemeClr w14:val="tx1"/>
            </w14:solidFill>
          </w14:textFill>
        </w:rPr>
        <w:t>-CGZX</w:t>
      </w:r>
    </w:p>
    <w:p w14:paraId="5338A63B">
      <w:pPr>
        <w:tabs>
          <w:tab w:val="left" w:pos="180"/>
          <w:tab w:val="left" w:pos="1620"/>
        </w:tabs>
        <w:spacing w:line="312" w:lineRule="auto"/>
        <w:ind w:left="53" w:leftChars="25" w:right="53" w:rightChars="25" w:firstLine="422" w:firstLineChars="200"/>
        <w:rPr>
          <w:rFonts w:ascii="宋体" w:hAnsi="宋体"/>
          <w:color w:val="000000" w:themeColor="text1"/>
          <w:u w:val="single"/>
          <w14:textFill>
            <w14:solidFill>
              <w14:schemeClr w14:val="tx1"/>
            </w14:solidFill>
          </w14:textFill>
        </w:rPr>
      </w:pPr>
      <w:r>
        <w:rPr>
          <w:rFonts w:hint="eastAsia" w:ascii="宋体" w:hAnsi="宋体"/>
          <w:b/>
          <w:bCs/>
          <w:color w:val="000000" w:themeColor="text1"/>
          <w14:textFill>
            <w14:solidFill>
              <w14:schemeClr w14:val="tx1"/>
            </w14:solidFill>
          </w14:textFill>
        </w:rPr>
        <w:t>三、项目类别：</w:t>
      </w:r>
      <w:r>
        <w:rPr>
          <w:rFonts w:hint="eastAsia" w:ascii="宋体" w:hAnsi="宋体"/>
          <w:b/>
          <w:bCs/>
          <w:color w:val="000000" w:themeColor="text1"/>
          <w:u w:val="single"/>
          <w14:textFill>
            <w14:solidFill>
              <w14:schemeClr w14:val="tx1"/>
            </w14:solidFill>
          </w14:textFill>
        </w:rPr>
        <w:t>服务类</w:t>
      </w:r>
    </w:p>
    <w:p w14:paraId="3F4E0890">
      <w:pPr>
        <w:spacing w:line="312" w:lineRule="auto"/>
        <w:ind w:left="53" w:leftChars="25" w:right="53" w:rightChars="25" w:firstLine="422" w:firstLineChars="200"/>
        <w:rPr>
          <w:rFonts w:ascii="宋体" w:hAnsi="宋体"/>
          <w:b/>
          <w:bCs/>
          <w:color w:val="000000" w:themeColor="text1"/>
          <w:u w:val="single"/>
          <w14:textFill>
            <w14:solidFill>
              <w14:schemeClr w14:val="tx1"/>
            </w14:solidFill>
          </w14:textFill>
        </w:rPr>
      </w:pPr>
      <w:r>
        <w:rPr>
          <w:rFonts w:hint="eastAsia" w:ascii="宋体" w:hAnsi="宋体"/>
          <w:b/>
          <w:bCs/>
          <w:color w:val="000000" w:themeColor="text1"/>
          <w14:textFill>
            <w14:solidFill>
              <w14:schemeClr w14:val="tx1"/>
            </w14:solidFill>
          </w14:textFill>
        </w:rPr>
        <w:t>四、本项目采购总预算：</w:t>
      </w:r>
      <w:r>
        <w:rPr>
          <w:rFonts w:hint="eastAsia" w:ascii="宋体" w:hAnsi="宋体"/>
          <w:b/>
          <w:bCs/>
          <w:color w:val="000000" w:themeColor="text1"/>
          <w:lang w:val="en-US" w:eastAsia="zh-CN"/>
          <w14:textFill>
            <w14:solidFill>
              <w14:schemeClr w14:val="tx1"/>
            </w14:solidFill>
          </w14:textFill>
        </w:rPr>
        <w:t>178.8</w:t>
      </w:r>
      <w:r>
        <w:rPr>
          <w:rFonts w:hint="eastAsia" w:ascii="宋体" w:hAnsi="宋体"/>
          <w:b/>
          <w:bCs/>
          <w:color w:val="000000" w:themeColor="text1"/>
          <w14:textFill>
            <w14:solidFill>
              <w14:schemeClr w14:val="tx1"/>
            </w14:solidFill>
          </w14:textFill>
        </w:rPr>
        <w:t>万元，其中分标1采购预算：</w:t>
      </w:r>
      <w:r>
        <w:rPr>
          <w:rFonts w:hint="eastAsia" w:ascii="宋体" w:hAnsi="宋体"/>
          <w:b/>
          <w:bCs/>
          <w:color w:val="000000" w:themeColor="text1"/>
          <w:lang w:val="en-US" w:eastAsia="zh-CN"/>
          <w14:textFill>
            <w14:solidFill>
              <w14:schemeClr w14:val="tx1"/>
            </w14:solidFill>
          </w14:textFill>
        </w:rPr>
        <w:t>40.8</w:t>
      </w:r>
      <w:r>
        <w:rPr>
          <w:rFonts w:hint="eastAsia" w:ascii="宋体" w:hAnsi="宋体"/>
          <w:b/>
          <w:bCs/>
          <w:color w:val="000000" w:themeColor="text1"/>
          <w14:textFill>
            <w14:solidFill>
              <w14:schemeClr w14:val="tx1"/>
            </w14:solidFill>
          </w14:textFill>
        </w:rPr>
        <w:t>万元；分标2采购预算：</w:t>
      </w:r>
      <w:r>
        <w:rPr>
          <w:rFonts w:hint="eastAsia" w:ascii="宋体" w:hAnsi="宋体"/>
          <w:b/>
          <w:bCs/>
          <w:color w:val="000000" w:themeColor="text1"/>
          <w:lang w:val="en-US" w:eastAsia="zh-CN"/>
          <w14:textFill>
            <w14:solidFill>
              <w14:schemeClr w14:val="tx1"/>
            </w14:solidFill>
          </w14:textFill>
        </w:rPr>
        <w:t>61.2</w:t>
      </w:r>
      <w:r>
        <w:rPr>
          <w:rFonts w:hint="eastAsia" w:ascii="宋体" w:hAnsi="宋体"/>
          <w:b/>
          <w:bCs/>
          <w:color w:val="000000" w:themeColor="text1"/>
          <w14:textFill>
            <w14:solidFill>
              <w14:schemeClr w14:val="tx1"/>
            </w14:solidFill>
          </w14:textFill>
        </w:rPr>
        <w:t>万元；分标3采购预算：</w:t>
      </w:r>
      <w:r>
        <w:rPr>
          <w:rFonts w:hint="eastAsia" w:ascii="宋体" w:hAnsi="宋体"/>
          <w:b/>
          <w:bCs/>
          <w:color w:val="000000" w:themeColor="text1"/>
          <w:lang w:val="en-US" w:eastAsia="zh-CN"/>
          <w14:textFill>
            <w14:solidFill>
              <w14:schemeClr w14:val="tx1"/>
            </w14:solidFill>
          </w14:textFill>
        </w:rPr>
        <w:t>76.8</w:t>
      </w:r>
      <w:r>
        <w:rPr>
          <w:rFonts w:hint="eastAsia" w:ascii="宋体" w:hAnsi="宋体"/>
          <w:b/>
          <w:bCs/>
          <w:color w:val="000000" w:themeColor="text1"/>
          <w14:textFill>
            <w14:solidFill>
              <w14:schemeClr w14:val="tx1"/>
            </w14:solidFill>
          </w14:textFill>
        </w:rPr>
        <w:t>万元。</w:t>
      </w:r>
    </w:p>
    <w:p w14:paraId="2FAB6211">
      <w:pPr>
        <w:spacing w:line="312" w:lineRule="auto"/>
        <w:ind w:left="53" w:leftChars="25" w:right="53" w:rightChars="25" w:firstLine="422" w:firstLineChars="200"/>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五、本项目采购标的对应的中小企业划分标准所属行业为：</w:t>
      </w:r>
      <w:r>
        <w:rPr>
          <w:rFonts w:hint="eastAsia" w:ascii="宋体" w:hAnsi="宋体"/>
          <w:b/>
          <w:bCs/>
          <w:color w:val="000000" w:themeColor="text1"/>
          <w:u w:val="single"/>
          <w14:textFill>
            <w14:solidFill>
              <w14:schemeClr w14:val="tx1"/>
            </w14:solidFill>
          </w14:textFill>
        </w:rPr>
        <w:t>信息传输业</w:t>
      </w:r>
      <w:r>
        <w:rPr>
          <w:rFonts w:hint="eastAsia" w:ascii="宋体" w:hAnsi="宋体"/>
          <w:b/>
          <w:color w:val="000000" w:themeColor="text1"/>
          <w14:textFill>
            <w14:solidFill>
              <w14:schemeClr w14:val="tx1"/>
            </w14:solidFill>
          </w14:textFill>
        </w:rPr>
        <w:t>。</w:t>
      </w:r>
    </w:p>
    <w:p w14:paraId="5CDDF347">
      <w:pPr>
        <w:pStyle w:val="33"/>
        <w:ind w:firstLine="422"/>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六、成交推荐原则：磋商供应商可对所有分标进行响应并报价，一个供应商只能成交其中一个分标，评定顺序为：分标1→分标2→分标3。</w:t>
      </w:r>
    </w:p>
    <w:p w14:paraId="49CAC11C">
      <w:pPr>
        <w:pStyle w:val="33"/>
        <w:ind w:firstLine="422"/>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分标1</w:t>
      </w:r>
    </w:p>
    <w:tbl>
      <w:tblPr>
        <w:tblStyle w:val="38"/>
        <w:tblpPr w:leftFromText="180" w:rightFromText="180" w:vertAnchor="text" w:horzAnchor="page" w:tblpX="1162" w:tblpY="235"/>
        <w:tblOverlap w:val="never"/>
        <w:tblW w:w="103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831"/>
        <w:gridCol w:w="161"/>
        <w:gridCol w:w="480"/>
        <w:gridCol w:w="683"/>
        <w:gridCol w:w="7593"/>
      </w:tblGrid>
      <w:tr w14:paraId="062F91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14:paraId="025F329B">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项号</w:t>
            </w:r>
          </w:p>
        </w:tc>
        <w:tc>
          <w:tcPr>
            <w:tcW w:w="831" w:type="dxa"/>
            <w:tcBorders>
              <w:top w:val="single" w:color="auto" w:sz="4" w:space="0"/>
              <w:left w:val="single" w:color="auto" w:sz="4" w:space="0"/>
              <w:bottom w:val="single" w:color="auto" w:sz="4" w:space="0"/>
              <w:right w:val="single" w:color="auto" w:sz="4" w:space="0"/>
            </w:tcBorders>
            <w:noWrap/>
            <w:vAlign w:val="center"/>
          </w:tcPr>
          <w:p w14:paraId="19251936">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服务名称</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14:paraId="3F44E93D">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数量</w:t>
            </w:r>
          </w:p>
        </w:tc>
        <w:tc>
          <w:tcPr>
            <w:tcW w:w="683" w:type="dxa"/>
            <w:tcBorders>
              <w:top w:val="single" w:color="auto" w:sz="4" w:space="0"/>
              <w:left w:val="single" w:color="auto" w:sz="4" w:space="0"/>
              <w:bottom w:val="single" w:color="auto" w:sz="4" w:space="0"/>
              <w:right w:val="single" w:color="auto" w:sz="4" w:space="0"/>
            </w:tcBorders>
            <w:noWrap/>
            <w:vAlign w:val="center"/>
          </w:tcPr>
          <w:p w14:paraId="51B4919D">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bCs/>
                <w:color w:val="000000" w:themeColor="text1"/>
                <w:kern w:val="0"/>
                <w14:textFill>
                  <w14:solidFill>
                    <w14:schemeClr w14:val="tx1"/>
                  </w14:solidFill>
                </w14:textFill>
              </w:rPr>
              <w:t>带宽</w:t>
            </w:r>
          </w:p>
        </w:tc>
        <w:tc>
          <w:tcPr>
            <w:tcW w:w="7593" w:type="dxa"/>
            <w:tcBorders>
              <w:top w:val="single" w:color="auto" w:sz="4" w:space="0"/>
              <w:left w:val="single" w:color="auto" w:sz="4" w:space="0"/>
              <w:bottom w:val="single" w:color="auto" w:sz="4" w:space="0"/>
              <w:right w:val="single" w:color="auto" w:sz="4" w:space="0"/>
            </w:tcBorders>
            <w:noWrap/>
            <w:vAlign w:val="center"/>
          </w:tcPr>
          <w:p w14:paraId="174326AE">
            <w:pPr>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b/>
                <w:bCs/>
                <w:color w:val="000000" w:themeColor="text1"/>
                <w14:textFill>
                  <w14:solidFill>
                    <w14:schemeClr w14:val="tx1"/>
                  </w14:solidFill>
                </w14:textFill>
              </w:rPr>
              <w:t>服务内容、参数及要求</w:t>
            </w:r>
          </w:p>
        </w:tc>
      </w:tr>
      <w:tr w14:paraId="5F9777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14:paraId="69E3BB8E">
            <w:pPr>
              <w:widowControl/>
              <w:spacing w:line="280" w:lineRule="exact"/>
              <w:jc w:val="center"/>
              <w:textAlignment w:val="center"/>
              <w:rPr>
                <w:rFonts w:ascii="宋体" w:hAnsi="宋体" w:cs="Arial"/>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1</w:t>
            </w:r>
          </w:p>
        </w:tc>
        <w:tc>
          <w:tcPr>
            <w:tcW w:w="831" w:type="dxa"/>
            <w:tcBorders>
              <w:top w:val="single" w:color="auto" w:sz="4" w:space="0"/>
              <w:left w:val="single" w:color="auto" w:sz="4" w:space="0"/>
              <w:bottom w:val="single" w:color="auto" w:sz="4" w:space="0"/>
              <w:right w:val="single" w:color="auto" w:sz="4" w:space="0"/>
            </w:tcBorders>
            <w:noWrap/>
            <w:vAlign w:val="center"/>
          </w:tcPr>
          <w:p w14:paraId="609F3417">
            <w:pPr>
              <w:widowControl/>
              <w:jc w:val="center"/>
              <w:rPr>
                <w:rFonts w:hint="eastAsia" w:ascii="宋体" w:hAnsi="宋体" w:eastAsia="宋体" w:cs="宋体"/>
                <w:color w:val="000000" w:themeColor="text1"/>
                <w:kern w:val="0"/>
                <w:lang w:val="en-US" w:eastAsia="zh-CN"/>
                <w14:textFill>
                  <w14:solidFill>
                    <w14:schemeClr w14:val="tx1"/>
                  </w14:solidFill>
                </w14:textFill>
              </w:rPr>
            </w:pPr>
            <w:r>
              <w:rPr>
                <w:rFonts w:hint="eastAsia"/>
                <w:color w:val="000000" w:themeColor="text1"/>
                <w14:textFill>
                  <w14:solidFill>
                    <w14:schemeClr w14:val="tx1"/>
                  </w14:solidFill>
                </w14:textFill>
              </w:rPr>
              <w:t>贺州学院2026-202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年互联网专线接入服务</w:t>
            </w:r>
            <w:r>
              <w:rPr>
                <w:rFonts w:hint="eastAsia"/>
                <w:color w:val="000000" w:themeColor="text1"/>
                <w:lang w:val="en-US" w:eastAsia="zh-CN"/>
                <w14:textFill>
                  <w14:solidFill>
                    <w14:schemeClr w14:val="tx1"/>
                  </w14:solidFill>
                </w14:textFill>
              </w:rPr>
              <w:t>一</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14:paraId="569E39B6">
            <w:pPr>
              <w:widowControl/>
              <w:spacing w:line="28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1项</w:t>
            </w:r>
          </w:p>
        </w:tc>
        <w:tc>
          <w:tcPr>
            <w:tcW w:w="683" w:type="dxa"/>
            <w:tcBorders>
              <w:top w:val="single" w:color="auto" w:sz="4" w:space="0"/>
              <w:left w:val="single" w:color="auto" w:sz="4" w:space="0"/>
              <w:bottom w:val="single" w:color="auto" w:sz="4" w:space="0"/>
              <w:right w:val="single" w:color="auto" w:sz="4" w:space="0"/>
            </w:tcBorders>
            <w:noWrap/>
            <w:vAlign w:val="center"/>
          </w:tcPr>
          <w:p w14:paraId="0F18CF6A">
            <w:pPr>
              <w:pStyle w:val="16"/>
              <w:jc w:val="center"/>
              <w:rPr>
                <w:rFonts w:ascii="宋体" w:hAnsi="宋体"/>
                <w:color w:val="000000" w:themeColor="text1"/>
                <w:sz w:val="21"/>
                <w:szCs w:val="21"/>
                <w14:textFill>
                  <w14:solidFill>
                    <w14:schemeClr w14:val="tx1"/>
                  </w14:solidFill>
                </w14:textFill>
              </w:rPr>
            </w:pPr>
            <w:r>
              <w:rPr>
                <w:rFonts w:hint="eastAsia" w:ascii="宋体" w:hAnsi="宋体" w:cs="宋体"/>
                <w:color w:val="000000" w:themeColor="text1"/>
                <w:kern w:val="0"/>
                <w:sz w:val="21"/>
                <w:szCs w:val="21"/>
                <w:lang w:val="en-US" w:eastAsia="zh-CN"/>
                <w14:textFill>
                  <w14:solidFill>
                    <w14:schemeClr w14:val="tx1"/>
                  </w14:solidFill>
                </w14:textFill>
              </w:rPr>
              <w:t>1</w:t>
            </w:r>
            <w:r>
              <w:rPr>
                <w:rFonts w:ascii="宋体" w:hAnsi="宋体" w:cs="宋体"/>
                <w:color w:val="000000" w:themeColor="text1"/>
                <w:kern w:val="0"/>
                <w:sz w:val="21"/>
                <w:szCs w:val="21"/>
                <w14:textFill>
                  <w14:solidFill>
                    <w14:schemeClr w14:val="tx1"/>
                  </w14:solidFill>
                </w14:textFill>
              </w:rPr>
              <w:t>0</w:t>
            </w:r>
            <w:r>
              <w:rPr>
                <w:rFonts w:hint="eastAsia" w:ascii="宋体" w:hAnsi="宋体" w:cs="宋体"/>
                <w:color w:val="000000" w:themeColor="text1"/>
                <w:kern w:val="0"/>
                <w:sz w:val="21"/>
                <w:szCs w:val="21"/>
                <w14:textFill>
                  <w14:solidFill>
                    <w14:schemeClr w14:val="tx1"/>
                  </w14:solidFill>
                </w14:textFill>
              </w:rPr>
              <w:t>00M</w:t>
            </w:r>
          </w:p>
        </w:tc>
        <w:tc>
          <w:tcPr>
            <w:tcW w:w="7593" w:type="dxa"/>
            <w:tcBorders>
              <w:top w:val="single" w:color="auto" w:sz="4" w:space="0"/>
              <w:left w:val="single" w:color="auto" w:sz="4" w:space="0"/>
              <w:bottom w:val="single" w:color="auto" w:sz="4" w:space="0"/>
              <w:right w:val="single" w:color="auto" w:sz="4" w:space="0"/>
            </w:tcBorders>
            <w:noWrap/>
          </w:tcPr>
          <w:p w14:paraId="3B129055">
            <w:pPr>
              <w:widowControl/>
              <w:jc w:val="left"/>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1.提供1条互联网专线，线路速率≥1000Mbps、上下行均为对等速率的光纤链路。</w:t>
            </w:r>
          </w:p>
          <w:p w14:paraId="4CF073CB">
            <w:pPr>
              <w:widowControl/>
              <w:jc w:val="left"/>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▲2.带宽速率可按月进行动态调整，遇学校寒暑假期间或根据学校需要可进行暂停服务，每次调整幅度以</w:t>
            </w:r>
            <w:r>
              <w:rPr>
                <w:rFonts w:hint="eastAsia" w:ascii="宋体" w:hAnsi="宋体" w:cs="宋体"/>
                <w:color w:val="000000" w:themeColor="text1"/>
                <w:kern w:val="0"/>
                <w:sz w:val="20"/>
                <w:szCs w:val="20"/>
                <w:lang w:val="en-US" w:eastAsia="zh-CN" w:bidi="ar"/>
                <w14:textFill>
                  <w14:solidFill>
                    <w14:schemeClr w14:val="tx1"/>
                  </w14:solidFill>
                </w14:textFill>
              </w:rPr>
              <w:t>1</w:t>
            </w:r>
            <w:r>
              <w:rPr>
                <w:rFonts w:hint="eastAsia" w:ascii="宋体" w:hAnsi="宋体" w:cs="宋体"/>
                <w:color w:val="000000" w:themeColor="text1"/>
                <w:kern w:val="0"/>
                <w:sz w:val="20"/>
                <w:szCs w:val="20"/>
                <w:lang w:bidi="ar"/>
                <w14:textFill>
                  <w14:solidFill>
                    <w14:schemeClr w14:val="tx1"/>
                  </w14:solidFill>
                </w14:textFill>
              </w:rPr>
              <w:t>00Mpbs为单位，供应商应根据不同速率报价，根据采购人实际使用带宽和天数进行费用计算，每季度进行一次费用结算。服务周期从专线提供服务之日起开始计算，至202</w:t>
            </w:r>
            <w:r>
              <w:rPr>
                <w:rFonts w:hint="eastAsia" w:ascii="宋体" w:hAnsi="宋体" w:cs="宋体"/>
                <w:color w:val="000000" w:themeColor="text1"/>
                <w:kern w:val="0"/>
                <w:sz w:val="20"/>
                <w:szCs w:val="20"/>
                <w:lang w:val="en-US" w:eastAsia="zh-CN" w:bidi="ar"/>
                <w14:textFill>
                  <w14:solidFill>
                    <w14:schemeClr w14:val="tx1"/>
                  </w14:solidFill>
                </w14:textFill>
              </w:rPr>
              <w:t>8</w:t>
            </w:r>
            <w:r>
              <w:rPr>
                <w:rFonts w:hint="eastAsia" w:ascii="宋体" w:hAnsi="宋体" w:cs="宋体"/>
                <w:color w:val="000000" w:themeColor="text1"/>
                <w:kern w:val="0"/>
                <w:sz w:val="20"/>
                <w:szCs w:val="20"/>
                <w:lang w:bidi="ar"/>
                <w14:textFill>
                  <w14:solidFill>
                    <w14:schemeClr w14:val="tx1"/>
                  </w14:solidFill>
                </w14:textFill>
              </w:rPr>
              <w:t>年7月结束。</w:t>
            </w:r>
          </w:p>
          <w:p w14:paraId="1967F3D4">
            <w:pPr>
              <w:pStyle w:val="24"/>
              <w:rPr>
                <w:color w:val="000000" w:themeColor="text1"/>
                <w14:textFill>
                  <w14:solidFill>
                    <w14:schemeClr w14:val="tx1"/>
                  </w14:solidFill>
                </w14:textFill>
              </w:rPr>
            </w:pPr>
            <w:r>
              <w:rPr>
                <w:rFonts w:hint="eastAsia" w:hAnsi="宋体" w:cs="宋体"/>
                <w:color w:val="000000" w:themeColor="text1"/>
                <w:kern w:val="0"/>
                <w:sz w:val="20"/>
                <w:szCs w:val="20"/>
                <w:lang w:bidi="ar"/>
                <w14:textFill>
                  <w14:solidFill>
                    <w14:schemeClr w14:val="tx1"/>
                  </w14:solidFill>
                </w14:textFill>
              </w:rPr>
              <w:t>3.提供对应专线上的互联网安全服务。</w:t>
            </w:r>
          </w:p>
          <w:p w14:paraId="054CC85C">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▲4.线路技术指标:互联网可用率≥99.99%，至网关最大时延≤3ms，时延抖动率≤3ms。</w:t>
            </w:r>
          </w:p>
          <w:p w14:paraId="5581E7B0">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▲5.互联网专线中我单位机房至核心层必须采用光传输通信系统或裸光纤进行接入，上下行带宽保持一致，提供独享带宽，互联网质量应符合国家相关标准和规定。</w:t>
            </w:r>
          </w:p>
          <w:p w14:paraId="32639722">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6.专线链路须满足双物理路由要求，所有互联网要求网络传输服务提供商提供的互联网必须是双物理路由接入，即从两个不同通讯局的两根不同光缆线路（必须是不同物理路由）接入用户节点。同缆不同芯的方式实现环路不能认定为双物理路由。</w:t>
            </w:r>
          </w:p>
          <w:p w14:paraId="04437620">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▲7.互联网专线包含≥8个连续的IPv4公网地址；提供的专线需同时支持IPv6。</w:t>
            </w:r>
          </w:p>
          <w:p w14:paraId="36B2F953">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8.要求光传输系统均为自愈环保护，具有故障自动倒换功能，能保证各电路不会因光传输系统环光缆内一侧光纤的意外阻断的故障而中断;自愈保护是指在网络发生故障（例如光纤断）时，无需人为干预，网络自动地在极短的时间内，使业务自动从故障中恢复。</w:t>
            </w:r>
          </w:p>
          <w:p w14:paraId="2580FCEE">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w:t>
            </w:r>
            <w:r>
              <w:rPr>
                <w:rFonts w:hint="eastAsia" w:ascii="宋体" w:hAnsi="宋体" w:cs="宋体"/>
                <w:color w:val="000000" w:themeColor="text1"/>
                <w:kern w:val="0"/>
                <w:sz w:val="20"/>
                <w:szCs w:val="20"/>
                <w:lang w:bidi="ar"/>
                <w14:textFill>
                  <w14:solidFill>
                    <w14:schemeClr w14:val="tx1"/>
                  </w14:solidFill>
                </w14:textFill>
              </w:rPr>
              <w:t>端到端电路故障次数≤1次/6个月，所有端到端电路累计故障次数≤2次/1个月。</w:t>
            </w:r>
          </w:p>
          <w:p w14:paraId="02A800D1">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w:t>
            </w:r>
            <w:r>
              <w:rPr>
                <w:rFonts w:hint="eastAsia" w:ascii="宋体" w:hAnsi="宋体" w:cs="宋体"/>
                <w:color w:val="000000" w:themeColor="text1"/>
                <w:kern w:val="0"/>
                <w:sz w:val="20"/>
                <w:szCs w:val="20"/>
                <w:lang w:bidi="ar"/>
                <w14:textFill>
                  <w14:solidFill>
                    <w14:schemeClr w14:val="tx1"/>
                  </w14:solidFill>
                </w14:textFill>
              </w:rPr>
              <w:t>提供7</w:t>
            </w:r>
            <w:r>
              <w:rPr>
                <w:rFonts w:hint="eastAsia" w:ascii="宋体" w:hAnsi="宋体" w:cs="宋体"/>
                <w:color w:val="000000" w:themeColor="text1"/>
                <w:kern w:val="0"/>
                <w:sz w:val="20"/>
                <w:szCs w:val="20"/>
                <w:lang w:val="en-US" w:eastAsia="zh-CN"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24小时响应服务,并提供多个故障申告途径及绿色通道，做到全方位响应，指定专人负责日常维护调试及维护检测等工作；提供网络线路故障处理进度跟踪服务。</w:t>
            </w:r>
          </w:p>
          <w:p w14:paraId="1E47E55B">
            <w:pPr>
              <w:widowControl/>
              <w:jc w:val="left"/>
              <w:rPr>
                <w:rFonts w:ascii="宋体" w:hAnsi="宋体" w:cs="宋体"/>
                <w:color w:val="000000" w:themeColor="text1"/>
                <w:kern w:val="0"/>
                <w:sz w:val="20"/>
                <w:szCs w:val="20"/>
                <w:lang w:bidi="ar"/>
                <w14:textFill>
                  <w14:solidFill>
                    <w14:schemeClr w14:val="tx1"/>
                  </w14:solidFill>
                </w14:textFill>
              </w:rPr>
            </w:pPr>
            <w:r>
              <w:rPr>
                <w:rFonts w:hint="eastAsia"/>
                <w:color w:val="000000" w:themeColor="text1"/>
                <w14:textFill>
                  <w14:solidFill>
                    <w14:schemeClr w14:val="tx1"/>
                  </w14:solidFill>
                </w14:textFill>
              </w:rPr>
              <w:t>11.</w:t>
            </w:r>
            <w:r>
              <w:rPr>
                <w:rFonts w:hint="eastAsia" w:ascii="宋体" w:hAnsi="宋体" w:cs="宋体"/>
                <w:color w:val="000000" w:themeColor="text1"/>
                <w:kern w:val="0"/>
                <w:sz w:val="20"/>
                <w:szCs w:val="20"/>
                <w:lang w:bidi="ar"/>
                <w14:textFill>
                  <w14:solidFill>
                    <w14:schemeClr w14:val="tx1"/>
                  </w14:solidFill>
                </w14:textFill>
              </w:rPr>
              <w:t>响应人需提供用户传输端设备，支持单条电路扩容至10Gbps能力，且具备双电源供电。</w:t>
            </w:r>
          </w:p>
          <w:p w14:paraId="68959095">
            <w:pPr>
              <w:widowControl/>
              <w:jc w:val="left"/>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12.互联网专线要求具有核心网全程网管监控功能，并实行7</w:t>
            </w:r>
            <w:r>
              <w:rPr>
                <w:rFonts w:hint="eastAsia" w:ascii="宋体" w:hAnsi="宋体" w:cs="宋体"/>
                <w:color w:val="000000" w:themeColor="text1"/>
                <w:kern w:val="0"/>
                <w:sz w:val="20"/>
                <w:szCs w:val="20"/>
                <w:lang w:val="en-US" w:eastAsia="zh-CN"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24小时实时监控，具备自动告警、日志查询等功能。</w:t>
            </w:r>
          </w:p>
          <w:p w14:paraId="749631C1">
            <w:pPr>
              <w:widowControl/>
              <w:jc w:val="left"/>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13.接入地点:贺州学院</w:t>
            </w:r>
            <w:r>
              <w:rPr>
                <w:rFonts w:hint="eastAsia" w:ascii="宋体" w:hAnsi="宋体" w:cs="宋体"/>
                <w:color w:val="000000" w:themeColor="text1"/>
                <w:kern w:val="0"/>
                <w:sz w:val="20"/>
                <w:szCs w:val="20"/>
                <w:lang w:val="en-US" w:eastAsia="zh-CN" w:bidi="ar"/>
                <w14:textFill>
                  <w14:solidFill>
                    <w14:schemeClr w14:val="tx1"/>
                  </w14:solidFill>
                </w14:textFill>
              </w:rPr>
              <w:t>西校区</w:t>
            </w:r>
            <w:r>
              <w:rPr>
                <w:rFonts w:hint="eastAsia" w:ascii="宋体" w:hAnsi="宋体" w:cs="宋体"/>
                <w:color w:val="000000" w:themeColor="text1"/>
                <w:kern w:val="0"/>
                <w:sz w:val="20"/>
                <w:szCs w:val="20"/>
                <w:lang w:bidi="ar"/>
                <w14:textFill>
                  <w14:solidFill>
                    <w14:schemeClr w14:val="tx1"/>
                  </w14:solidFill>
                </w14:textFill>
              </w:rPr>
              <w:t>信息楼，且响应人需铺设线路至采购人指定接入设备前，铺设路程由响应人自行勘探。</w:t>
            </w:r>
          </w:p>
          <w:p w14:paraId="137631DF">
            <w:pPr>
              <w:pStyle w:val="16"/>
              <w:spacing w:line="280" w:lineRule="exact"/>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val="en-US" w:eastAsia="zh-CN" w:bidi="ar"/>
                <w14:textFill>
                  <w14:solidFill>
                    <w14:schemeClr w14:val="tx1"/>
                  </w14:solidFill>
                </w14:textFill>
              </w:rPr>
              <w:t>14.</w:t>
            </w:r>
            <w:r>
              <w:rPr>
                <w:rFonts w:hint="eastAsia" w:ascii="宋体" w:hAnsi="宋体" w:cs="宋体"/>
                <w:color w:val="000000" w:themeColor="text1"/>
                <w:kern w:val="0"/>
                <w:sz w:val="20"/>
                <w:szCs w:val="20"/>
                <w:lang w:bidi="ar"/>
                <w14:textFill>
                  <w14:solidFill>
                    <w14:schemeClr w14:val="tx1"/>
                  </w14:solidFill>
                </w14:textFill>
              </w:rPr>
              <w:t>在服务周期内提供东、西两校区互联传输链路。提供4条</w:t>
            </w:r>
            <w:r>
              <w:rPr>
                <w:rFonts w:hint="eastAsia" w:ascii="宋体" w:hAnsi="宋体" w:cs="宋体"/>
                <w:color w:val="000000" w:themeColor="text1"/>
                <w:kern w:val="0"/>
                <w:sz w:val="20"/>
                <w:szCs w:val="20"/>
                <w:lang w:val="en-US" w:eastAsia="zh-CN"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200M</w:t>
            </w:r>
            <w:r>
              <w:rPr>
                <w:rFonts w:hint="eastAsia" w:ascii="宋体" w:hAnsi="宋体" w:cs="宋体"/>
                <w:color w:val="000000" w:themeColor="text1"/>
                <w:kern w:val="0"/>
                <w:sz w:val="20"/>
                <w:szCs w:val="20"/>
                <w:lang w:val="en-US" w:eastAsia="zh-CN" w:bidi="ar"/>
                <w14:textFill>
                  <w14:solidFill>
                    <w14:schemeClr w14:val="tx1"/>
                  </w14:solidFill>
                </w14:textFill>
              </w:rPr>
              <w:t>bps</w:t>
            </w:r>
            <w:r>
              <w:rPr>
                <w:rFonts w:hint="eastAsia" w:ascii="宋体" w:hAnsi="宋体" w:cs="宋体"/>
                <w:color w:val="000000" w:themeColor="text1"/>
                <w:kern w:val="0"/>
                <w:sz w:val="20"/>
                <w:szCs w:val="20"/>
                <w:lang w:bidi="ar"/>
                <w14:textFill>
                  <w14:solidFill>
                    <w14:schemeClr w14:val="tx1"/>
                  </w14:solidFill>
                </w14:textFill>
              </w:rPr>
              <w:t>电路专线，全程提供MSTP电路或优于以上技术的专线接入技术，点对点提供独享带宽，全程不进行IP层转发，不得利用VPN组网，电路质量应符合国家相关标准和规定</w:t>
            </w:r>
            <w:r>
              <w:rPr>
                <w:color w:val="000000" w:themeColor="text1"/>
                <w:sz w:val="20"/>
                <w:szCs w:val="20"/>
                <w14:textFill>
                  <w14:solidFill>
                    <w14:schemeClr w14:val="tx1"/>
                  </w14:solidFill>
                </w14:textFill>
              </w:rPr>
              <w:t>。</w:t>
            </w:r>
          </w:p>
        </w:tc>
      </w:tr>
      <w:tr w14:paraId="01B94C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21" w:type="dxa"/>
            <w:gridSpan w:val="6"/>
            <w:tcBorders>
              <w:top w:val="single" w:color="auto" w:sz="4" w:space="0"/>
              <w:left w:val="single" w:color="auto" w:sz="4" w:space="0"/>
              <w:bottom w:val="single" w:color="auto" w:sz="4" w:space="0"/>
              <w:right w:val="single" w:color="auto" w:sz="4" w:space="0"/>
            </w:tcBorders>
            <w:noWrap/>
            <w:vAlign w:val="center"/>
          </w:tcPr>
          <w:p w14:paraId="50DE7848">
            <w:pPr>
              <w:widowControl/>
              <w:spacing w:line="360" w:lineRule="exac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商务及其他要求表</w:t>
            </w:r>
          </w:p>
        </w:tc>
      </w:tr>
      <w:tr w14:paraId="66368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3CC91A15">
            <w:pPr>
              <w:widowControl/>
              <w:jc w:val="center"/>
              <w:textAlignment w:val="center"/>
              <w:rPr>
                <w:rFonts w:ascii="宋体"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“▲”号说明</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09FA6662">
            <w:pPr>
              <w:autoSpaceDN w:val="0"/>
              <w:rPr>
                <w:rFonts w:ascii="宋体" w:hAnsi="宋体" w:cs="宋体"/>
                <w:color w:val="000000" w:themeColor="text1"/>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服务内容、参数及要求中标明“▲”号的参数为必须响应的实质性要求，否则磋商响应文件无效。</w:t>
            </w:r>
          </w:p>
        </w:tc>
      </w:tr>
      <w:tr w14:paraId="53F9E5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54827C92">
            <w:pPr>
              <w:widowControl/>
              <w:jc w:val="center"/>
              <w:textAlignment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服务期限</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2CF1D15F">
            <w:pPr>
              <w:autoSpaceDN w:val="0"/>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服务期</w:t>
            </w:r>
            <w:r>
              <w:rPr>
                <w:rFonts w:hint="eastAsia" w:ascii="宋体" w:hAnsi="宋体" w:cs="宋体"/>
                <w:color w:val="000000" w:themeColor="text1"/>
                <w:lang w:val="en-US" w:eastAsia="zh-CN"/>
                <w14:textFill>
                  <w14:solidFill>
                    <w14:schemeClr w14:val="tx1"/>
                  </w14:solidFill>
                </w14:textFill>
              </w:rPr>
              <w:t>24</w:t>
            </w:r>
            <w:r>
              <w:rPr>
                <w:rFonts w:hint="eastAsia" w:ascii="宋体" w:hAnsi="宋体" w:cs="宋体"/>
                <w:color w:val="000000" w:themeColor="text1"/>
                <w14:textFill>
                  <w14:solidFill>
                    <w14:schemeClr w14:val="tx1"/>
                  </w14:solidFill>
                </w14:textFill>
              </w:rPr>
              <w:t>个月（按合同要求提供服务之日起）。</w:t>
            </w:r>
          </w:p>
        </w:tc>
      </w:tr>
      <w:tr w14:paraId="6D18E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34DEB93A">
            <w:pPr>
              <w:widowControl/>
              <w:jc w:val="center"/>
              <w:textAlignment w:val="center"/>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交付时间及地点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5F74C261">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1.交付时间：签订合同后10个工作日。</w:t>
            </w:r>
          </w:p>
          <w:p w14:paraId="1D51FB0D">
            <w:pPr>
              <w:autoSpaceDN w:val="0"/>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2.交付地点：广西区南宁市内（采购人指定地点）。</w:t>
            </w:r>
          </w:p>
        </w:tc>
      </w:tr>
      <w:tr w14:paraId="67F03B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6F4459D7">
            <w:pPr>
              <w:jc w:val="center"/>
              <w:rPr>
                <w:rFonts w:ascii="宋体" w:hAnsi="宋体" w:cs="仿宋"/>
                <w:color w:val="000000" w:themeColor="text1"/>
                <w:kern w:val="0"/>
                <w:lang w:val="zh-CN"/>
                <w14:textFill>
                  <w14:solidFill>
                    <w14:schemeClr w14:val="tx1"/>
                  </w14:solidFill>
                </w14:textFill>
              </w:rPr>
            </w:pPr>
            <w:r>
              <w:rPr>
                <w:rFonts w:hint="eastAsia" w:ascii="宋体" w:hAnsi="宋体"/>
                <w:color w:val="000000" w:themeColor="text1"/>
                <w14:textFill>
                  <w14:solidFill>
                    <w14:schemeClr w14:val="tx1"/>
                  </w14:solidFill>
                </w14:textFill>
              </w:rPr>
              <w:t>付款方式</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2C377E2C">
            <w:pPr>
              <w:autoSpaceDN w:val="0"/>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本项目无预付款，成交供应商按要求开通网络线路，项目经采购人验收合格后，成交供应商根据采购人实际使用带宽和天数进行费用计算</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14:textFill>
                  <w14:solidFill>
                    <w14:schemeClr w14:val="tx1"/>
                  </w14:solidFill>
                </w14:textFill>
              </w:rPr>
              <w:t>每季度进行一次费用结算</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14:textFill>
                  <w14:solidFill>
                    <w14:schemeClr w14:val="tx1"/>
                  </w14:solidFill>
                </w14:textFill>
              </w:rPr>
              <w:t>开具增值税专用发票给采购人，采购人收到发票后支付</w:t>
            </w:r>
            <w:r>
              <w:rPr>
                <w:rFonts w:hint="eastAsia" w:ascii="宋体" w:hAnsi="宋体" w:cs="宋体"/>
                <w:color w:val="000000" w:themeColor="text1"/>
                <w:lang w:val="en-US" w:eastAsia="zh-CN"/>
                <w14:textFill>
                  <w14:solidFill>
                    <w14:schemeClr w14:val="tx1"/>
                  </w14:solidFill>
                </w14:textFill>
              </w:rPr>
              <w:t>相应费用</w:t>
            </w:r>
            <w:r>
              <w:rPr>
                <w:rFonts w:hint="eastAsia" w:ascii="宋体" w:hAnsi="宋体" w:cs="宋体"/>
                <w:color w:val="000000" w:themeColor="text1"/>
                <w14:textFill>
                  <w14:solidFill>
                    <w14:schemeClr w14:val="tx1"/>
                  </w14:solidFill>
                </w14:textFill>
              </w:rPr>
              <w:t>。</w:t>
            </w:r>
          </w:p>
        </w:tc>
      </w:tr>
      <w:tr w14:paraId="154BD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062A24DD">
            <w:pPr>
              <w:jc w:val="center"/>
              <w:rPr>
                <w:rFonts w:ascii="宋体" w:hAnsi="宋体" w:cs="仿宋"/>
                <w:color w:val="000000" w:themeColor="text1"/>
                <w:kern w:val="0"/>
                <w:lang w:val="zh-CN"/>
                <w14:textFill>
                  <w14:solidFill>
                    <w14:schemeClr w14:val="tx1"/>
                  </w14:solidFill>
                </w14:textFill>
              </w:rPr>
            </w:pPr>
            <w:r>
              <w:rPr>
                <w:rFonts w:hint="eastAsia" w:ascii="宋体" w:hAnsi="宋体"/>
                <w:color w:val="000000" w:themeColor="text1"/>
                <w14:textFill>
                  <w14:solidFill>
                    <w14:schemeClr w14:val="tx1"/>
                  </w14:solidFill>
                </w14:textFill>
              </w:rPr>
              <w:t>履约保证金</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19D4D714">
            <w:pPr>
              <w:autoSpaceDN w:val="0"/>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本项目无履约保证金。</w:t>
            </w:r>
          </w:p>
        </w:tc>
      </w:tr>
      <w:tr w14:paraId="5D828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1931D769">
            <w:pPr>
              <w:jc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服务要求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2821A8AB">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1.成交人送货上门，并安装调试；</w:t>
            </w:r>
          </w:p>
          <w:p w14:paraId="2E507393">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2.提供网络运维服务；</w:t>
            </w:r>
          </w:p>
          <w:p w14:paraId="5F6EA4DE">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提供网络安全运维巡检服务，保障网络使用安全。</w:t>
            </w:r>
          </w:p>
          <w:p w14:paraId="32B7CA04">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2.2.如若采购人需要提供网络接口对接服务，</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应按照需求提供对接。</w:t>
            </w:r>
          </w:p>
          <w:p w14:paraId="4FCDCE79">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2.3.如果涉及第三方软件接口开发服务，</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将配合开发对接端口。</w:t>
            </w:r>
          </w:p>
          <w:p w14:paraId="2576DBB0">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3.故障响应时间：</w:t>
            </w:r>
            <w:r>
              <w:rPr>
                <w:rFonts w:hint="eastAsia" w:hAnsi="宋体"/>
                <w:color w:val="000000" w:themeColor="text1"/>
                <w:kern w:val="0"/>
                <w14:textFill>
                  <w14:solidFill>
                    <w14:schemeClr w14:val="tx1"/>
                  </w14:solidFill>
                </w14:textFill>
              </w:rPr>
              <w:t>故障申报15分钟内响应，3小时到达现场，10小时恢复业务（自然灾害等不可抗拒原因除外）。</w:t>
            </w:r>
          </w:p>
          <w:p w14:paraId="5BD6BFB5">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Ansi="宋体"/>
                <w:color w:val="000000" w:themeColor="text1"/>
                <w:kern w:val="0"/>
                <w:lang w:val="en"/>
                <w14:textFill>
                  <w14:solidFill>
                    <w14:schemeClr w14:val="tx1"/>
                  </w14:solidFill>
                </w14:textFill>
              </w:rPr>
              <w:t>成交</w:t>
            </w:r>
            <w:r>
              <w:rPr>
                <w:rFonts w:hint="eastAsia" w:hAnsi="宋体"/>
                <w:color w:val="000000" w:themeColor="text1"/>
                <w:kern w:val="0"/>
                <w14:textFill>
                  <w14:solidFill>
                    <w14:schemeClr w14:val="tx1"/>
                  </w14:solidFill>
                </w14:textFill>
              </w:rPr>
              <w:t>供应商需安排专门技术人员提供7×24小时热线电话服务，并提供多个故障申告途径及绿色通道，做到全方位响应，并指定专人负责上门受理调试日常维护及平时协助甲方维护检测等工作；提供故障处理进度跟踪服务，提供7×24小时的售后服务响应。</w:t>
            </w:r>
          </w:p>
          <w:p w14:paraId="58857B9D">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在租用期内，成交供应商应严格遵守《中华人民共和国电信条例》，维护双方权益，按工信部颁布的《电信服务标准》的电路质量要求，保证采购人租用系统畅通及安全使用，保证采购人网络的连续稳定运行。</w:t>
            </w:r>
          </w:p>
          <w:p w14:paraId="13E40F5A">
            <w:pPr>
              <w:ind w:firstLine="420" w:firstLineChars="200"/>
              <w:jc w:val="left"/>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6.因成交供应商施工、网络割接等原因影响宽带网络运行的，应当提前一天通知采购人，并且尽快消除故障、恢复通信线路；</w:t>
            </w:r>
          </w:p>
          <w:p w14:paraId="2F2DB6F4">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7.当采购人网络需要扩展或升级时，成交供应商负责提供相应解决方案。</w:t>
            </w:r>
          </w:p>
          <w:p w14:paraId="07D07E85">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8.在线路服务期内，每个季度至少派人对线路进行一次巡检，检查网络设备和主干光缆的运行情况，并提交巡检报告。</w:t>
            </w:r>
          </w:p>
          <w:p w14:paraId="6492598E">
            <w:pPr>
              <w:ind w:firstLine="420" w:firstLineChars="200"/>
              <w:jc w:val="left"/>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9.项目团队具备一定行业实施经验，实施及售后人员团队规模不能低于10人。</w:t>
            </w:r>
          </w:p>
        </w:tc>
      </w:tr>
      <w:tr w14:paraId="01709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729B5308">
            <w:pPr>
              <w:widowControl/>
              <w:snapToGrid w:val="0"/>
              <w:jc w:val="center"/>
              <w:textAlignment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验收要求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4BCD540A">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要求履约过程中所有服务行为、软件、成果文件等均不涉及任何法律纠纷。</w:t>
            </w:r>
          </w:p>
          <w:p w14:paraId="1F1DE079">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项目必须通过采购人的验收。验收不合格的，采购人可在五个工作日内以书面形式向成交供应商提出</w:t>
            </w:r>
            <w:r>
              <w:rPr>
                <w:rFonts w:hint="eastAsia" w:ascii="宋体" w:hAnsi="宋体" w:cs="宋体"/>
                <w:color w:val="000000" w:themeColor="text1"/>
                <w:lang w:eastAsia="zh-Hans"/>
                <w14:textFill>
                  <w14:solidFill>
                    <w14:schemeClr w14:val="tx1"/>
                  </w14:solidFill>
                </w14:textFill>
              </w:rPr>
              <w:t>整改要求</w:t>
            </w:r>
            <w:r>
              <w:rPr>
                <w:rFonts w:hint="eastAsia" w:ascii="宋体" w:hAnsi="宋体" w:cs="宋体"/>
                <w:color w:val="000000" w:themeColor="text1"/>
                <w14:textFill>
                  <w14:solidFill>
                    <w14:schemeClr w14:val="tx1"/>
                  </w14:solidFill>
                </w14:textFill>
              </w:rPr>
              <w:t>，成交供应商应自收到采购人整改要求</w:t>
            </w:r>
            <w:r>
              <w:rPr>
                <w:rFonts w:hint="eastAsia" w:ascii="宋体" w:hAnsi="宋体" w:cs="宋体"/>
                <w:color w:val="000000" w:themeColor="text1"/>
                <w:lang w:eastAsia="zh-Hans"/>
                <w14:textFill>
                  <w14:solidFill>
                    <w14:schemeClr w14:val="tx1"/>
                  </w14:solidFill>
                </w14:textFill>
              </w:rPr>
              <w:t>之日起</w:t>
            </w:r>
            <w:r>
              <w:rPr>
                <w:rFonts w:hint="eastAsia" w:ascii="宋体" w:hAnsi="宋体" w:cs="宋体"/>
                <w:color w:val="000000" w:themeColor="text1"/>
                <w14:textFill>
                  <w14:solidFill>
                    <w14:schemeClr w14:val="tx1"/>
                  </w14:solidFill>
                </w14:textFill>
              </w:rPr>
              <w:t>三日内及时予以解决。若整改后仍无法通过验收，采购人有权不起租或解除合同。</w:t>
            </w:r>
          </w:p>
          <w:p w14:paraId="58393774">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本项目须严格执行国家、地方及行业相关验收标准及规范。</w:t>
            </w:r>
          </w:p>
          <w:p w14:paraId="26115182">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验收过程中所产生的一切费用均由成交供应商承担，报价时应考虑相关费用。</w:t>
            </w:r>
          </w:p>
        </w:tc>
      </w:tr>
      <w:tr w14:paraId="5442F2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5893743E">
            <w:pPr>
              <w:widowControl/>
              <w:snapToGrid w:val="0"/>
              <w:jc w:val="center"/>
              <w:textAlignment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报价要求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2BDF4E49">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本项目按服务总价包干，为交钥匙工程，采购人不对项目服务、货物、施工等一切内容追加支付费用，而由</w:t>
            </w:r>
            <w:r>
              <w:rPr>
                <w:rFonts w:hint="eastAsia" w:ascii="宋体" w:hAnsi="宋体"/>
                <w:color w:val="000000" w:themeColor="text1"/>
                <w14:textFill>
                  <w14:solidFill>
                    <w14:schemeClr w14:val="tx1"/>
                  </w14:solidFill>
                </w14:textFill>
              </w:rPr>
              <w:t>成交供应商</w:t>
            </w:r>
            <w:r>
              <w:rPr>
                <w:rFonts w:hint="eastAsia" w:ascii="宋体" w:hAnsi="宋体"/>
                <w:color w:val="000000" w:themeColor="text1"/>
                <w:lang w:eastAsia="zh-Hans"/>
                <w14:textFill>
                  <w14:solidFill>
                    <w14:schemeClr w14:val="tx1"/>
                  </w14:solidFill>
                </w14:textFill>
              </w:rPr>
              <w:t>在合同价内全部提供或解决，报价必须含以下部分：</w:t>
            </w:r>
          </w:p>
          <w:p w14:paraId="30CB0AB5">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（1）服务的价格；</w:t>
            </w:r>
          </w:p>
          <w:p w14:paraId="78668077">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（2）必要的保险费用和各项税金；</w:t>
            </w:r>
          </w:p>
          <w:p w14:paraId="0F5B56B6">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（3）安装、调试、培训、技术支持、售后服务、更新升级等费用；</w:t>
            </w:r>
          </w:p>
          <w:p w14:paraId="3E1A32CC">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（4）验收时的专家服务费和采购代理费用；</w:t>
            </w:r>
          </w:p>
          <w:p w14:paraId="0E1B9C2C">
            <w:pPr>
              <w:ind w:firstLine="420" w:firstLineChars="200"/>
              <w:jc w:val="left"/>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lang w:eastAsia="zh-Hans"/>
                <w14:textFill>
                  <w14:solidFill>
                    <w14:schemeClr w14:val="tx1"/>
                  </w14:solidFill>
                </w14:textFill>
              </w:rPr>
              <w:t>（5）租用线路的开通费、初装费，并承担所提供的线路相关配件设备一年内的维修维护费及调整测试费</w:t>
            </w:r>
            <w:r>
              <w:rPr>
                <w:rFonts w:hint="eastAsia" w:ascii="宋体" w:hAnsi="宋体"/>
                <w:color w:val="000000" w:themeColor="text1"/>
                <w:lang w:eastAsia="zh-CN"/>
                <w14:textFill>
                  <w14:solidFill>
                    <w14:schemeClr w14:val="tx1"/>
                  </w14:solidFill>
                </w14:textFill>
              </w:rPr>
              <w:t>。</w:t>
            </w:r>
          </w:p>
        </w:tc>
      </w:tr>
      <w:tr w14:paraId="69536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27530498">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cs="仿宋"/>
                <w:color w:val="000000" w:themeColor="text1"/>
                <w:kern w:val="0"/>
                <w:lang w:val="zh-CN"/>
                <w14:textFill>
                  <w14:solidFill>
                    <w14:schemeClr w14:val="tx1"/>
                  </w14:solidFill>
                </w14:textFill>
              </w:rPr>
              <w:t>其他要求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36E4022D">
            <w:pPr>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▲1.本项目磋商时以预算金额为最高限价，磋商时以最高限价为评审依据，供应商磋商报价超最高限价的作无效处理；</w:t>
            </w:r>
          </w:p>
          <w:p w14:paraId="643452B6">
            <w:pPr>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2.供应商必须服从采购人现场负责人的指挥，按指定地点进行安装；</w:t>
            </w:r>
          </w:p>
          <w:p w14:paraId="4655EC34">
            <w:pPr>
              <w:pStyle w:val="16"/>
              <w:spacing w:line="240" w:lineRule="auto"/>
              <w:ind w:firstLine="420" w:firstLineChars="200"/>
              <w:rPr>
                <w:rFonts w:ascii="宋体" w:hAnsi="宋体"/>
                <w:color w:val="000000" w:themeColor="text1"/>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▲3.由于成交供应商原因，未能按本项目合同规定的内容、时间及相关要求向采购人交付服务成果的，采购人有权解除合同，并追究成交供应商违约责任。</w:t>
            </w:r>
          </w:p>
        </w:tc>
      </w:tr>
      <w:tr w14:paraId="15931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400E87F5">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cs="仿宋"/>
                <w:color w:val="000000" w:themeColor="text1"/>
                <w:kern w:val="0"/>
                <w:lang w:val="zh-CN"/>
                <w14:textFill>
                  <w14:solidFill>
                    <w14:schemeClr w14:val="tx1"/>
                  </w14:solidFill>
                </w14:textFill>
              </w:rPr>
              <w:t>方案要求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08829B79">
            <w:pPr>
              <w:pStyle w:val="16"/>
              <w:ind w:left="210" w:hanging="210" w:hangingChars="100"/>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根据采购需求提供技术方案、项目施工进度方案、项目实施方案、服务方案。</w:t>
            </w:r>
          </w:p>
        </w:tc>
      </w:tr>
      <w:tr w14:paraId="25853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48375004">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b/>
                <w:bCs/>
                <w:color w:val="000000" w:themeColor="text1"/>
                <w14:textFill>
                  <w14:solidFill>
                    <w14:schemeClr w14:val="tx1"/>
                  </w14:solidFill>
                </w14:textFill>
              </w:rPr>
              <w:t>可磋商内容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0D0575CF">
            <w:pPr>
              <w:pStyle w:val="16"/>
              <w:ind w:left="210" w:hanging="210" w:hangingChars="100"/>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磋商小组根据与供应商磋商情况可能实质性变动的内容：未标明“▲”号的参数及要求。</w:t>
            </w:r>
          </w:p>
        </w:tc>
      </w:tr>
    </w:tbl>
    <w:p w14:paraId="03898D72">
      <w:pPr>
        <w:pStyle w:val="16"/>
        <w:rPr>
          <w:rFonts w:ascii="宋体" w:hAnsi="宋体" w:cs="宋体"/>
          <w:b/>
          <w:color w:val="000000" w:themeColor="text1"/>
          <w:kern w:val="0"/>
          <w14:textFill>
            <w14:solidFill>
              <w14:schemeClr w14:val="tx1"/>
            </w14:solidFill>
          </w14:textFill>
        </w:rPr>
      </w:pPr>
    </w:p>
    <w:p w14:paraId="49055122">
      <w:pPr>
        <w:rPr>
          <w:rFonts w:hint="eastAsia"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br w:type="page"/>
      </w:r>
    </w:p>
    <w:p w14:paraId="4F03FF91">
      <w:pPr>
        <w:pStyle w:val="16"/>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分标2</w:t>
      </w:r>
    </w:p>
    <w:p w14:paraId="67703D82">
      <w:pPr>
        <w:pStyle w:val="16"/>
        <w:rPr>
          <w:rFonts w:ascii="宋体" w:hAnsi="宋体" w:cs="宋体"/>
          <w:b/>
          <w:color w:val="000000" w:themeColor="text1"/>
          <w:kern w:val="0"/>
          <w14:textFill>
            <w14:solidFill>
              <w14:schemeClr w14:val="tx1"/>
            </w14:solidFill>
          </w14:textFill>
        </w:rPr>
      </w:pPr>
    </w:p>
    <w:tbl>
      <w:tblPr>
        <w:tblStyle w:val="38"/>
        <w:tblpPr w:leftFromText="180" w:rightFromText="180" w:vertAnchor="text" w:horzAnchor="page" w:tblpX="1162" w:tblpY="235"/>
        <w:tblOverlap w:val="never"/>
        <w:tblW w:w="103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831"/>
        <w:gridCol w:w="161"/>
        <w:gridCol w:w="480"/>
        <w:gridCol w:w="683"/>
        <w:gridCol w:w="7593"/>
      </w:tblGrid>
      <w:tr w14:paraId="70F3C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14:paraId="57F48A47">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项号</w:t>
            </w:r>
          </w:p>
        </w:tc>
        <w:tc>
          <w:tcPr>
            <w:tcW w:w="831" w:type="dxa"/>
            <w:tcBorders>
              <w:top w:val="single" w:color="auto" w:sz="4" w:space="0"/>
              <w:left w:val="single" w:color="auto" w:sz="4" w:space="0"/>
              <w:bottom w:val="single" w:color="auto" w:sz="4" w:space="0"/>
              <w:right w:val="single" w:color="auto" w:sz="4" w:space="0"/>
            </w:tcBorders>
            <w:noWrap/>
            <w:vAlign w:val="center"/>
          </w:tcPr>
          <w:p w14:paraId="5B69AEC4">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服务名称</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14:paraId="00628167">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数量</w:t>
            </w:r>
          </w:p>
        </w:tc>
        <w:tc>
          <w:tcPr>
            <w:tcW w:w="683" w:type="dxa"/>
            <w:tcBorders>
              <w:top w:val="single" w:color="auto" w:sz="4" w:space="0"/>
              <w:left w:val="single" w:color="auto" w:sz="4" w:space="0"/>
              <w:bottom w:val="single" w:color="auto" w:sz="4" w:space="0"/>
              <w:right w:val="single" w:color="auto" w:sz="4" w:space="0"/>
            </w:tcBorders>
            <w:noWrap/>
            <w:vAlign w:val="center"/>
          </w:tcPr>
          <w:p w14:paraId="5E0B0AFB">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bCs/>
                <w:color w:val="000000" w:themeColor="text1"/>
                <w:kern w:val="0"/>
                <w14:textFill>
                  <w14:solidFill>
                    <w14:schemeClr w14:val="tx1"/>
                  </w14:solidFill>
                </w14:textFill>
              </w:rPr>
              <w:t>带宽</w:t>
            </w:r>
          </w:p>
        </w:tc>
        <w:tc>
          <w:tcPr>
            <w:tcW w:w="7593" w:type="dxa"/>
            <w:tcBorders>
              <w:top w:val="single" w:color="auto" w:sz="4" w:space="0"/>
              <w:left w:val="single" w:color="auto" w:sz="4" w:space="0"/>
              <w:bottom w:val="single" w:color="auto" w:sz="4" w:space="0"/>
              <w:right w:val="single" w:color="auto" w:sz="4" w:space="0"/>
            </w:tcBorders>
            <w:noWrap/>
            <w:vAlign w:val="center"/>
          </w:tcPr>
          <w:p w14:paraId="68B132B9">
            <w:pPr>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b/>
                <w:bCs/>
                <w:color w:val="000000" w:themeColor="text1"/>
                <w14:textFill>
                  <w14:solidFill>
                    <w14:schemeClr w14:val="tx1"/>
                  </w14:solidFill>
                </w14:textFill>
              </w:rPr>
              <w:t>服务内容、参数及要求</w:t>
            </w:r>
          </w:p>
        </w:tc>
      </w:tr>
      <w:tr w14:paraId="52BBE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14:paraId="54546840">
            <w:pPr>
              <w:widowControl/>
              <w:spacing w:line="280" w:lineRule="exact"/>
              <w:jc w:val="center"/>
              <w:textAlignment w:val="center"/>
              <w:rPr>
                <w:rFonts w:ascii="宋体" w:hAnsi="宋体" w:cs="Arial"/>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1</w:t>
            </w:r>
          </w:p>
        </w:tc>
        <w:tc>
          <w:tcPr>
            <w:tcW w:w="831" w:type="dxa"/>
            <w:tcBorders>
              <w:top w:val="single" w:color="auto" w:sz="4" w:space="0"/>
              <w:left w:val="single" w:color="auto" w:sz="4" w:space="0"/>
              <w:bottom w:val="single" w:color="auto" w:sz="4" w:space="0"/>
              <w:right w:val="single" w:color="auto" w:sz="4" w:space="0"/>
            </w:tcBorders>
            <w:noWrap/>
            <w:vAlign w:val="center"/>
          </w:tcPr>
          <w:p w14:paraId="45304946">
            <w:pPr>
              <w:widowControl/>
              <w:jc w:val="center"/>
              <w:rPr>
                <w:rFonts w:hint="eastAsia" w:ascii="宋体" w:hAnsi="宋体" w:eastAsia="宋体" w:cs="宋体"/>
                <w:color w:val="000000" w:themeColor="text1"/>
                <w:kern w:val="0"/>
                <w:lang w:val="en-US" w:eastAsia="zh-CN"/>
                <w14:textFill>
                  <w14:solidFill>
                    <w14:schemeClr w14:val="tx1"/>
                  </w14:solidFill>
                </w14:textFill>
              </w:rPr>
            </w:pPr>
            <w:r>
              <w:rPr>
                <w:rFonts w:hint="eastAsia"/>
                <w:color w:val="000000" w:themeColor="text1"/>
                <w14:textFill>
                  <w14:solidFill>
                    <w14:schemeClr w14:val="tx1"/>
                  </w14:solidFill>
                </w14:textFill>
              </w:rPr>
              <w:t>贺州学院2026-202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年互联网专线接入服务</w:t>
            </w:r>
            <w:r>
              <w:rPr>
                <w:rFonts w:hint="eastAsia"/>
                <w:color w:val="000000" w:themeColor="text1"/>
                <w:lang w:val="en-US" w:eastAsia="zh-CN"/>
                <w14:textFill>
                  <w14:solidFill>
                    <w14:schemeClr w14:val="tx1"/>
                  </w14:solidFill>
                </w14:textFill>
              </w:rPr>
              <w:t>二</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14:paraId="6877DD17">
            <w:pPr>
              <w:widowControl/>
              <w:spacing w:line="28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1项</w:t>
            </w:r>
          </w:p>
        </w:tc>
        <w:tc>
          <w:tcPr>
            <w:tcW w:w="683" w:type="dxa"/>
            <w:tcBorders>
              <w:top w:val="single" w:color="auto" w:sz="4" w:space="0"/>
              <w:left w:val="single" w:color="auto" w:sz="4" w:space="0"/>
              <w:bottom w:val="single" w:color="auto" w:sz="4" w:space="0"/>
              <w:right w:val="single" w:color="auto" w:sz="4" w:space="0"/>
            </w:tcBorders>
            <w:noWrap/>
            <w:vAlign w:val="center"/>
          </w:tcPr>
          <w:p w14:paraId="5969B350">
            <w:pPr>
              <w:pStyle w:val="16"/>
              <w:jc w:val="center"/>
              <w:rPr>
                <w:rFonts w:ascii="宋体" w:hAnsi="宋体"/>
                <w:color w:val="000000" w:themeColor="text1"/>
                <w:sz w:val="21"/>
                <w:szCs w:val="21"/>
                <w14:textFill>
                  <w14:solidFill>
                    <w14:schemeClr w14:val="tx1"/>
                  </w14:solidFill>
                </w14:textFill>
              </w:rPr>
            </w:pPr>
            <w:r>
              <w:rPr>
                <w:rFonts w:hint="eastAsia" w:ascii="宋体" w:hAnsi="宋体" w:cs="宋体"/>
                <w:color w:val="000000" w:themeColor="text1"/>
                <w:kern w:val="0"/>
                <w:sz w:val="21"/>
                <w:szCs w:val="21"/>
                <w:lang w:val="en-US" w:eastAsia="zh-CN"/>
                <w14:textFill>
                  <w14:solidFill>
                    <w14:schemeClr w14:val="tx1"/>
                  </w14:solidFill>
                </w14:textFill>
              </w:rPr>
              <w:t>15</w:t>
            </w:r>
            <w:r>
              <w:rPr>
                <w:rFonts w:hint="eastAsia" w:ascii="宋体" w:hAnsi="宋体" w:cs="宋体"/>
                <w:color w:val="000000" w:themeColor="text1"/>
                <w:kern w:val="0"/>
                <w:sz w:val="21"/>
                <w:szCs w:val="21"/>
                <w14:textFill>
                  <w14:solidFill>
                    <w14:schemeClr w14:val="tx1"/>
                  </w14:solidFill>
                </w14:textFill>
              </w:rPr>
              <w:t>00M</w:t>
            </w:r>
          </w:p>
        </w:tc>
        <w:tc>
          <w:tcPr>
            <w:tcW w:w="7593" w:type="dxa"/>
            <w:tcBorders>
              <w:top w:val="single" w:color="auto" w:sz="4" w:space="0"/>
              <w:left w:val="single" w:color="auto" w:sz="4" w:space="0"/>
              <w:bottom w:val="single" w:color="auto" w:sz="4" w:space="0"/>
              <w:right w:val="single" w:color="auto" w:sz="4" w:space="0"/>
            </w:tcBorders>
            <w:noWrap/>
          </w:tcPr>
          <w:p w14:paraId="28FB85A7">
            <w:pPr>
              <w:widowControl/>
              <w:jc w:val="left"/>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1.提供1条互联网专线，线路速率≥</w:t>
            </w:r>
            <w:r>
              <w:rPr>
                <w:rFonts w:hint="eastAsia" w:ascii="宋体" w:hAnsi="宋体" w:cs="宋体"/>
                <w:color w:val="000000" w:themeColor="text1"/>
                <w:kern w:val="0"/>
                <w:sz w:val="20"/>
                <w:szCs w:val="20"/>
                <w:lang w:val="en-US" w:eastAsia="zh-CN" w:bidi="ar"/>
                <w14:textFill>
                  <w14:solidFill>
                    <w14:schemeClr w14:val="tx1"/>
                  </w14:solidFill>
                </w14:textFill>
              </w:rPr>
              <w:t>15</w:t>
            </w:r>
            <w:r>
              <w:rPr>
                <w:rFonts w:hint="eastAsia" w:ascii="宋体" w:hAnsi="宋体" w:cs="宋体"/>
                <w:color w:val="000000" w:themeColor="text1"/>
                <w:kern w:val="0"/>
                <w:sz w:val="20"/>
                <w:szCs w:val="20"/>
                <w:lang w:bidi="ar"/>
                <w14:textFill>
                  <w14:solidFill>
                    <w14:schemeClr w14:val="tx1"/>
                  </w14:solidFill>
                </w14:textFill>
              </w:rPr>
              <w:t>00Mbps、上下行均为对等速率的光纤链路。</w:t>
            </w:r>
          </w:p>
          <w:p w14:paraId="0D44BDCB">
            <w:pPr>
              <w:widowControl/>
              <w:jc w:val="left"/>
              <w:rPr>
                <w:rFonts w:hint="eastAsia"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2.带宽速率可按月进行动态调整，遇学校寒暑假期间或根据学校需要可进行暂停服务，每次调整幅度以100Mbps为单位，供应商应根据不同速率报价，根据采购人实际使用带宽和天数进行费用计算，每季度进行一次费用结算。服务周期从专线提供服务之日起开始计算，至202</w:t>
            </w:r>
            <w:r>
              <w:rPr>
                <w:rFonts w:hint="eastAsia" w:ascii="宋体" w:hAnsi="宋体" w:cs="宋体"/>
                <w:color w:val="000000" w:themeColor="text1"/>
                <w:kern w:val="0"/>
                <w:sz w:val="20"/>
                <w:szCs w:val="20"/>
                <w:lang w:val="en-US" w:eastAsia="zh-CN" w:bidi="ar"/>
                <w14:textFill>
                  <w14:solidFill>
                    <w14:schemeClr w14:val="tx1"/>
                  </w14:solidFill>
                </w14:textFill>
              </w:rPr>
              <w:t>8</w:t>
            </w:r>
            <w:r>
              <w:rPr>
                <w:rFonts w:hint="eastAsia" w:ascii="宋体" w:hAnsi="宋体" w:cs="宋体"/>
                <w:color w:val="000000" w:themeColor="text1"/>
                <w:kern w:val="0"/>
                <w:sz w:val="20"/>
                <w:szCs w:val="20"/>
                <w:lang w:bidi="ar"/>
                <w14:textFill>
                  <w14:solidFill>
                    <w14:schemeClr w14:val="tx1"/>
                  </w14:solidFill>
                </w14:textFill>
              </w:rPr>
              <w:t>年</w:t>
            </w:r>
            <w:r>
              <w:rPr>
                <w:rFonts w:ascii="宋体" w:hAnsi="宋体" w:cs="宋体"/>
                <w:color w:val="000000" w:themeColor="text1"/>
                <w:kern w:val="0"/>
                <w:sz w:val="20"/>
                <w:szCs w:val="20"/>
                <w:lang w:bidi="ar"/>
                <w14:textFill>
                  <w14:solidFill>
                    <w14:schemeClr w14:val="tx1"/>
                  </w14:solidFill>
                </w14:textFill>
              </w:rPr>
              <w:t>7</w:t>
            </w:r>
            <w:r>
              <w:rPr>
                <w:rFonts w:hint="eastAsia" w:ascii="宋体" w:hAnsi="宋体" w:cs="宋体"/>
                <w:color w:val="000000" w:themeColor="text1"/>
                <w:kern w:val="0"/>
                <w:sz w:val="20"/>
                <w:szCs w:val="20"/>
                <w:lang w:bidi="ar"/>
                <w14:textFill>
                  <w14:solidFill>
                    <w14:schemeClr w14:val="tx1"/>
                  </w14:solidFill>
                </w14:textFill>
              </w:rPr>
              <w:t>月结束。</w:t>
            </w:r>
          </w:p>
          <w:p w14:paraId="734549B4">
            <w:pPr>
              <w:widowControl/>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eastAsia" w:ascii="宋体" w:hAnsi="宋体" w:cs="宋体"/>
                <w:color w:val="000000" w:themeColor="text1"/>
                <w:kern w:val="0"/>
                <w:sz w:val="20"/>
                <w:szCs w:val="20"/>
                <w:lang w:val="en-US" w:eastAsia="zh-CN" w:bidi="ar"/>
                <w14:textFill>
                  <w14:solidFill>
                    <w14:schemeClr w14:val="tx1"/>
                  </w14:solidFill>
                </w14:textFill>
              </w:rPr>
              <w:t>3.提供对应专线上的互联网安全服务。</w:t>
            </w:r>
          </w:p>
          <w:p w14:paraId="19AF833A">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val="en-US" w:eastAsia="zh-CN" w:bidi="ar"/>
                <w14:textFill>
                  <w14:solidFill>
                    <w14:schemeClr w14:val="tx1"/>
                  </w14:solidFill>
                </w14:textFill>
              </w:rPr>
              <w:t>4</w:t>
            </w:r>
            <w:r>
              <w:rPr>
                <w:rFonts w:hint="eastAsia" w:ascii="宋体" w:hAnsi="宋体" w:cs="宋体"/>
                <w:color w:val="000000" w:themeColor="text1"/>
                <w:kern w:val="0"/>
                <w:sz w:val="20"/>
                <w:szCs w:val="20"/>
                <w:lang w:bidi="ar"/>
                <w14:textFill>
                  <w14:solidFill>
                    <w14:schemeClr w14:val="tx1"/>
                  </w14:solidFill>
                </w14:textFill>
              </w:rPr>
              <w:t>.线路技术指标:互联网可用率≥99.99%，至网关最大时延≤3ms，时延抖动率≤3ms。</w:t>
            </w:r>
          </w:p>
          <w:p w14:paraId="5E3429EB">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val="en-US" w:eastAsia="zh-CN" w:bidi="ar"/>
                <w14:textFill>
                  <w14:solidFill>
                    <w14:schemeClr w14:val="tx1"/>
                  </w14:solidFill>
                </w14:textFill>
              </w:rPr>
              <w:t>5</w:t>
            </w:r>
            <w:r>
              <w:rPr>
                <w:rFonts w:hint="eastAsia" w:ascii="宋体" w:hAnsi="宋体" w:cs="宋体"/>
                <w:color w:val="000000" w:themeColor="text1"/>
                <w:kern w:val="0"/>
                <w:sz w:val="20"/>
                <w:szCs w:val="20"/>
                <w:lang w:bidi="ar"/>
                <w14:textFill>
                  <w14:solidFill>
                    <w14:schemeClr w14:val="tx1"/>
                  </w14:solidFill>
                </w14:textFill>
              </w:rPr>
              <w:t>.互联网专线中我单位机房至核心层必须采用光传输通信系统或裸光纤进行接入，上下行带宽保持一致，提供独享带宽，互联网质量应符合国家相关标准和规定。</w:t>
            </w:r>
          </w:p>
          <w:p w14:paraId="7F09E85A">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val="en-US" w:eastAsia="zh-CN" w:bidi="ar"/>
                <w14:textFill>
                  <w14:solidFill>
                    <w14:schemeClr w14:val="tx1"/>
                  </w14:solidFill>
                </w14:textFill>
              </w:rPr>
              <w:t>6</w:t>
            </w: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val="en-US" w:eastAsia="zh-CN" w:bidi="ar"/>
                <w14:textFill>
                  <w14:solidFill>
                    <w14:schemeClr w14:val="tx1"/>
                  </w14:solidFill>
                </w14:textFill>
              </w:rPr>
              <w:t>专项链路须满足</w:t>
            </w:r>
            <w:r>
              <w:rPr>
                <w:rFonts w:hint="eastAsia" w:ascii="宋体" w:hAnsi="宋体" w:cs="宋体"/>
                <w:color w:val="000000" w:themeColor="text1"/>
                <w:kern w:val="0"/>
                <w:sz w:val="20"/>
                <w:szCs w:val="20"/>
                <w:lang w:bidi="ar"/>
                <w14:textFill>
                  <w14:solidFill>
                    <w14:schemeClr w14:val="tx1"/>
                  </w14:solidFill>
                </w14:textFill>
              </w:rPr>
              <w:t>双物理路由要求，所有互联网要求网络传输服务提供商提供的互联网必须是双物理路由接入，即从两个不同通讯局的两根不同光缆线路（必须是不同物理路由）接入用户节点。同缆不同芯的方式实现环路</w:t>
            </w:r>
            <w:r>
              <w:rPr>
                <w:rFonts w:hint="eastAsia" w:ascii="宋体" w:hAnsi="宋体" w:cs="宋体"/>
                <w:color w:val="000000" w:themeColor="text1"/>
                <w:kern w:val="0"/>
                <w:sz w:val="20"/>
                <w:szCs w:val="20"/>
                <w:lang w:val="en-US" w:eastAsia="zh-CN" w:bidi="ar"/>
                <w14:textFill>
                  <w14:solidFill>
                    <w14:schemeClr w14:val="tx1"/>
                  </w14:solidFill>
                </w14:textFill>
              </w:rPr>
              <w:t>不能认定为双</w:t>
            </w:r>
            <w:r>
              <w:rPr>
                <w:rFonts w:hint="eastAsia" w:ascii="宋体" w:hAnsi="宋体" w:cs="宋体"/>
                <w:color w:val="000000" w:themeColor="text1"/>
                <w:kern w:val="0"/>
                <w:sz w:val="20"/>
                <w:szCs w:val="20"/>
                <w:lang w:bidi="ar"/>
                <w14:textFill>
                  <w14:solidFill>
                    <w14:schemeClr w14:val="tx1"/>
                  </w14:solidFill>
                </w14:textFill>
              </w:rPr>
              <w:t>物理路由。</w:t>
            </w:r>
          </w:p>
          <w:p w14:paraId="3265652D">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val="en-US" w:eastAsia="zh-CN" w:bidi="ar"/>
                <w14:textFill>
                  <w14:solidFill>
                    <w14:schemeClr w14:val="tx1"/>
                  </w14:solidFill>
                </w14:textFill>
              </w:rPr>
              <w:t>7</w:t>
            </w:r>
            <w:r>
              <w:rPr>
                <w:rFonts w:hint="eastAsia" w:ascii="宋体" w:hAnsi="宋体" w:cs="宋体"/>
                <w:color w:val="000000" w:themeColor="text1"/>
                <w:kern w:val="0"/>
                <w:sz w:val="20"/>
                <w:szCs w:val="20"/>
                <w:lang w:bidi="ar"/>
                <w14:textFill>
                  <w14:solidFill>
                    <w14:schemeClr w14:val="tx1"/>
                  </w14:solidFill>
                </w14:textFill>
              </w:rPr>
              <w:t>.互联网专线包含≥8个连续的IPv4公网地址；提供的专线需同时支持IPv6。</w:t>
            </w:r>
          </w:p>
          <w:p w14:paraId="662E0569">
            <w:pPr>
              <w:widowControl/>
              <w:jc w:val="left"/>
              <w:rPr>
                <w:color w:val="000000" w:themeColor="text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val="en-US" w:eastAsia="zh-CN" w:bidi="ar"/>
                <w14:textFill>
                  <w14:solidFill>
                    <w14:schemeClr w14:val="tx1"/>
                  </w14:solidFill>
                </w14:textFill>
              </w:rPr>
              <w:t>8</w:t>
            </w:r>
            <w:r>
              <w:rPr>
                <w:rFonts w:hint="eastAsia" w:ascii="宋体" w:hAnsi="宋体" w:cs="宋体"/>
                <w:color w:val="000000" w:themeColor="text1"/>
                <w:kern w:val="0"/>
                <w:sz w:val="20"/>
                <w:szCs w:val="20"/>
                <w:lang w:bidi="ar"/>
                <w14:textFill>
                  <w14:solidFill>
                    <w14:schemeClr w14:val="tx1"/>
                  </w14:solidFill>
                </w14:textFill>
              </w:rPr>
              <w:t>.要求光传输系统均为自愈环保护，具有故障自动倒换功能，能保证各电路不会因光传输系统环光缆内一侧光纤的意外阻断的故障而中断</w:t>
            </w:r>
            <w:r>
              <w:rPr>
                <w:rFonts w:hint="eastAsia" w:ascii="宋体" w:hAnsi="宋体" w:cs="宋体"/>
                <w:color w:val="000000" w:themeColor="text1"/>
                <w:kern w:val="0"/>
                <w:sz w:val="20"/>
                <w:szCs w:val="20"/>
                <w:lang w:eastAsia="zh-CN"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自愈保护是指在网络发生故障（例如光纤断）时，无需人为干预，网络自动地在极短的时间内，使业务自动从故障中恢复。</w:t>
            </w:r>
          </w:p>
          <w:p w14:paraId="71742D5F">
            <w:pPr>
              <w:widowControl/>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端到端电路故障次数≤1次/6个月，所有端到端电路累计故障次数≤2次/1个月。</w:t>
            </w:r>
          </w:p>
          <w:p w14:paraId="4A902EE5">
            <w:pPr>
              <w:widowControl/>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提供7</w:t>
            </w:r>
            <w:r>
              <w:rPr>
                <w:rFonts w:hint="eastAsia" w:ascii="宋体" w:hAnsi="宋体" w:cs="宋体"/>
                <w:color w:val="000000" w:themeColor="text1"/>
                <w:kern w:val="0"/>
                <w:sz w:val="20"/>
                <w:szCs w:val="20"/>
                <w:lang w:val="en-US" w:eastAsia="zh-CN"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24小时响应服务,并提供多个故障申告途径及绿色通道，做到全方位响应，指定专人负责日常维护调试及维护检测等工作；提供网络线路故障处理进度跟踪服务。</w:t>
            </w:r>
          </w:p>
          <w:p w14:paraId="60950305">
            <w:pPr>
              <w:widowControl/>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响应人需提供用户传输端设备，支持单条电路扩容至10Gbps能力，且具备双电源供电。</w:t>
            </w:r>
          </w:p>
          <w:p w14:paraId="47EFA1EF">
            <w:pPr>
              <w:widowControl/>
              <w:jc w:val="left"/>
              <w:rPr>
                <w:rFonts w:ascii="宋体" w:hAnsi="宋体" w:cs="宋体"/>
                <w:color w:val="000000" w:themeColor="text1"/>
                <w:kern w:val="0"/>
                <w:sz w:val="20"/>
                <w:szCs w:val="20"/>
                <w:lang w:bidi="ar"/>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互联网专线要求具有核心网全程网管监控功能，并实行7</w:t>
            </w:r>
            <w:r>
              <w:rPr>
                <w:rFonts w:hint="eastAsia" w:ascii="宋体" w:hAnsi="宋体" w:cs="宋体"/>
                <w:color w:val="000000" w:themeColor="text1"/>
                <w:kern w:val="0"/>
                <w:sz w:val="20"/>
                <w:szCs w:val="20"/>
                <w:lang w:val="en-US" w:eastAsia="zh-CN"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24小时实时监控，具备自动告警、日志查询等功能。</w:t>
            </w:r>
          </w:p>
          <w:p w14:paraId="07E1A727">
            <w:pPr>
              <w:widowControl/>
              <w:spacing w:line="240" w:lineRule="exact"/>
              <w:jc w:val="left"/>
              <w:rPr>
                <w:rFonts w:ascii="宋体" w:hAnsi="宋体" w:cs="宋体"/>
                <w:color w:val="000000" w:themeColor="text1"/>
                <w:kern w:val="0"/>
                <w:sz w:val="20"/>
                <w:szCs w:val="20"/>
                <w:lang w:bidi="ar"/>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接入地点:贺州学院</w:t>
            </w:r>
            <w:r>
              <w:rPr>
                <w:rFonts w:hint="eastAsia" w:ascii="宋体" w:hAnsi="宋体" w:cs="宋体"/>
                <w:color w:val="000000" w:themeColor="text1"/>
                <w:kern w:val="0"/>
                <w:sz w:val="20"/>
                <w:szCs w:val="20"/>
                <w:lang w:val="en-US" w:eastAsia="zh-CN" w:bidi="ar"/>
                <w14:textFill>
                  <w14:solidFill>
                    <w14:schemeClr w14:val="tx1"/>
                  </w14:solidFill>
                </w14:textFill>
              </w:rPr>
              <w:t>西校区</w:t>
            </w:r>
            <w:r>
              <w:rPr>
                <w:rFonts w:hint="eastAsia" w:ascii="宋体" w:hAnsi="宋体" w:cs="宋体"/>
                <w:color w:val="000000" w:themeColor="text1"/>
                <w:kern w:val="0"/>
                <w:sz w:val="20"/>
                <w:szCs w:val="20"/>
                <w:lang w:bidi="ar"/>
                <w14:textFill>
                  <w14:solidFill>
                    <w14:schemeClr w14:val="tx1"/>
                  </w14:solidFill>
                </w14:textFill>
              </w:rPr>
              <w:t>信息楼，且响应人需铺设线路至采购人指定接入设备前，铺设路程由响应人自行勘探。</w:t>
            </w:r>
          </w:p>
          <w:p w14:paraId="141B662B">
            <w:pPr>
              <w:pStyle w:val="16"/>
              <w:spacing w:line="280" w:lineRule="exact"/>
              <w:rPr>
                <w:rFonts w:ascii="宋体" w:hAnsi="宋体" w:cs="宋体"/>
                <w:b/>
                <w:bCs/>
                <w:color w:val="000000" w:themeColor="text1"/>
                <w:sz w:val="21"/>
                <w:szCs w:val="21"/>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▲1</w:t>
            </w:r>
            <w:r>
              <w:rPr>
                <w:rFonts w:hint="eastAsia" w:ascii="宋体" w:hAnsi="宋体" w:cs="宋体"/>
                <w:color w:val="000000" w:themeColor="text1"/>
                <w:kern w:val="0"/>
                <w:sz w:val="20"/>
                <w:szCs w:val="20"/>
                <w:lang w:val="en-US" w:eastAsia="zh-CN" w:bidi="ar"/>
                <w14:textFill>
                  <w14:solidFill>
                    <w14:schemeClr w14:val="tx1"/>
                  </w14:solidFill>
                </w14:textFill>
              </w:rPr>
              <w:t>4</w:t>
            </w:r>
            <w:r>
              <w:rPr>
                <w:rFonts w:ascii="宋体" w:hAnsi="宋体" w:cs="宋体"/>
                <w:color w:val="000000" w:themeColor="text1"/>
                <w:kern w:val="0"/>
                <w:sz w:val="20"/>
                <w:szCs w:val="20"/>
                <w:lang w:bidi="ar"/>
                <w14:textFill>
                  <w14:solidFill>
                    <w14:schemeClr w14:val="tx1"/>
                  </w14:solidFill>
                </w14:textFill>
              </w:rPr>
              <w:t>.</w:t>
            </w:r>
            <w:r>
              <w:rPr>
                <w:rFonts w:hint="eastAsia" w:ascii="宋体" w:hAnsi="宋体" w:cs="宋体"/>
                <w:color w:val="000000" w:themeColor="text1"/>
                <w:kern w:val="0"/>
                <w:sz w:val="20"/>
                <w:szCs w:val="20"/>
                <w:lang w:bidi="ar"/>
                <w14:textFill>
                  <w14:solidFill>
                    <w14:schemeClr w14:val="tx1"/>
                  </w14:solidFill>
                </w14:textFill>
              </w:rPr>
              <w:t>在服务周期内提供东、西两校区互联传输链路。提供4条</w:t>
            </w:r>
            <w:r>
              <w:rPr>
                <w:rFonts w:hint="eastAsia" w:ascii="宋体" w:hAnsi="宋体" w:cs="宋体"/>
                <w:color w:val="000000" w:themeColor="text1"/>
                <w:kern w:val="0"/>
                <w:sz w:val="20"/>
                <w:szCs w:val="20"/>
                <w:lang w:val="en-US" w:eastAsia="zh-CN" w:bidi="ar"/>
                <w14:textFill>
                  <w14:solidFill>
                    <w14:schemeClr w14:val="tx1"/>
                  </w14:solidFill>
                </w14:textFill>
              </w:rPr>
              <w:t>≥3</w:t>
            </w:r>
            <w:r>
              <w:rPr>
                <w:rFonts w:hint="eastAsia" w:ascii="宋体" w:hAnsi="宋体" w:cs="宋体"/>
                <w:color w:val="000000" w:themeColor="text1"/>
                <w:kern w:val="0"/>
                <w:sz w:val="20"/>
                <w:szCs w:val="20"/>
                <w:lang w:bidi="ar"/>
                <w14:textFill>
                  <w14:solidFill>
                    <w14:schemeClr w14:val="tx1"/>
                  </w14:solidFill>
                </w14:textFill>
              </w:rPr>
              <w:t>00M</w:t>
            </w:r>
            <w:r>
              <w:rPr>
                <w:rFonts w:hint="eastAsia" w:ascii="宋体" w:hAnsi="宋体" w:cs="宋体"/>
                <w:color w:val="000000" w:themeColor="text1"/>
                <w:kern w:val="0"/>
                <w:sz w:val="20"/>
                <w:szCs w:val="20"/>
                <w:lang w:val="en-US" w:eastAsia="zh-CN" w:bidi="ar"/>
                <w14:textFill>
                  <w14:solidFill>
                    <w14:schemeClr w14:val="tx1"/>
                  </w14:solidFill>
                </w14:textFill>
              </w:rPr>
              <w:t>bps</w:t>
            </w:r>
            <w:r>
              <w:rPr>
                <w:rFonts w:hint="eastAsia" w:ascii="宋体" w:hAnsi="宋体" w:cs="宋体"/>
                <w:color w:val="000000" w:themeColor="text1"/>
                <w:kern w:val="0"/>
                <w:sz w:val="20"/>
                <w:szCs w:val="20"/>
                <w:lang w:bidi="ar"/>
                <w14:textFill>
                  <w14:solidFill>
                    <w14:schemeClr w14:val="tx1"/>
                  </w14:solidFill>
                </w14:textFill>
              </w:rPr>
              <w:t>电路专线，全程提供MSTP电路或优于以上技术的专线接入技术，点对点提供独享带宽，全程不进行IP层转发，不得利用VPN组网，电路质量应符合国家相关标准和规定。</w:t>
            </w:r>
          </w:p>
        </w:tc>
      </w:tr>
      <w:tr w14:paraId="7913B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21" w:type="dxa"/>
            <w:gridSpan w:val="6"/>
            <w:tcBorders>
              <w:top w:val="single" w:color="auto" w:sz="4" w:space="0"/>
              <w:left w:val="single" w:color="auto" w:sz="4" w:space="0"/>
              <w:bottom w:val="single" w:color="auto" w:sz="4" w:space="0"/>
              <w:right w:val="single" w:color="auto" w:sz="4" w:space="0"/>
            </w:tcBorders>
            <w:noWrap/>
            <w:vAlign w:val="center"/>
          </w:tcPr>
          <w:p w14:paraId="0CDF9995">
            <w:pPr>
              <w:widowControl/>
              <w:spacing w:line="360" w:lineRule="exac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商务及其他要求表</w:t>
            </w:r>
          </w:p>
        </w:tc>
      </w:tr>
      <w:tr w14:paraId="72887A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038AD408">
            <w:pPr>
              <w:widowControl/>
              <w:jc w:val="center"/>
              <w:textAlignment w:val="center"/>
              <w:rPr>
                <w:rFonts w:ascii="宋体"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“▲”号说明</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7FF4EF2C">
            <w:pPr>
              <w:autoSpaceDN w:val="0"/>
              <w:rPr>
                <w:rFonts w:ascii="宋体" w:hAnsi="宋体" w:cs="宋体"/>
                <w:color w:val="000000" w:themeColor="text1"/>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服务内容、参数及要求中标明“▲”号的参数为必须响应的实质性要求，否则磋商响应文件无效。</w:t>
            </w:r>
          </w:p>
        </w:tc>
      </w:tr>
      <w:tr w14:paraId="539AA2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78E366F8">
            <w:pPr>
              <w:widowControl/>
              <w:jc w:val="center"/>
              <w:textAlignment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服务期限</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46F22C4F">
            <w:pPr>
              <w:autoSpaceDN w:val="0"/>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服务期</w:t>
            </w:r>
            <w:r>
              <w:rPr>
                <w:rFonts w:hint="eastAsia" w:ascii="宋体" w:hAnsi="宋体" w:cs="宋体"/>
                <w:color w:val="000000" w:themeColor="text1"/>
                <w:lang w:val="en-US" w:eastAsia="zh-CN"/>
                <w14:textFill>
                  <w14:solidFill>
                    <w14:schemeClr w14:val="tx1"/>
                  </w14:solidFill>
                </w14:textFill>
              </w:rPr>
              <w:t>24</w:t>
            </w:r>
            <w:r>
              <w:rPr>
                <w:rFonts w:hint="eastAsia" w:ascii="宋体" w:hAnsi="宋体" w:cs="宋体"/>
                <w:color w:val="000000" w:themeColor="text1"/>
                <w14:textFill>
                  <w14:solidFill>
                    <w14:schemeClr w14:val="tx1"/>
                  </w14:solidFill>
                </w14:textFill>
              </w:rPr>
              <w:t>个月（按合同要求提供服务之日起）。</w:t>
            </w:r>
          </w:p>
        </w:tc>
      </w:tr>
      <w:tr w14:paraId="4353C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6E478DE8">
            <w:pPr>
              <w:widowControl/>
              <w:jc w:val="center"/>
              <w:textAlignment w:val="center"/>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交付时间及地点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4A1BFE88">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1.交付时间：签订合同后10个工作日。</w:t>
            </w:r>
          </w:p>
          <w:p w14:paraId="2F008DFC">
            <w:pPr>
              <w:autoSpaceDN w:val="0"/>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2.交付地点：广西区南宁市内（采购人指定地点）。</w:t>
            </w:r>
          </w:p>
        </w:tc>
      </w:tr>
      <w:tr w14:paraId="49ED3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0068DBC1">
            <w:pPr>
              <w:jc w:val="center"/>
              <w:rPr>
                <w:rFonts w:ascii="宋体" w:hAnsi="宋体" w:cs="仿宋"/>
                <w:color w:val="000000" w:themeColor="text1"/>
                <w:kern w:val="0"/>
                <w:lang w:val="zh-CN"/>
                <w14:textFill>
                  <w14:solidFill>
                    <w14:schemeClr w14:val="tx1"/>
                  </w14:solidFill>
                </w14:textFill>
              </w:rPr>
            </w:pPr>
            <w:r>
              <w:rPr>
                <w:rFonts w:hint="eastAsia" w:ascii="宋体" w:hAnsi="宋体"/>
                <w:color w:val="000000" w:themeColor="text1"/>
                <w14:textFill>
                  <w14:solidFill>
                    <w14:schemeClr w14:val="tx1"/>
                  </w14:solidFill>
                </w14:textFill>
              </w:rPr>
              <w:t>付款方式</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51C33C4D">
            <w:pPr>
              <w:autoSpaceDN w:val="0"/>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本项目无预付款，成交供应商按要求开通网络线路，项目经采购人验收合格后，成交供应商根据采购人实际使用带宽和天数进行费用计算</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14:textFill>
                  <w14:solidFill>
                    <w14:schemeClr w14:val="tx1"/>
                  </w14:solidFill>
                </w14:textFill>
              </w:rPr>
              <w:t>每季度进行一次费用结算</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14:textFill>
                  <w14:solidFill>
                    <w14:schemeClr w14:val="tx1"/>
                  </w14:solidFill>
                </w14:textFill>
              </w:rPr>
              <w:t>开具增值税专用发票给采购人，采购人收到发票后支付</w:t>
            </w:r>
            <w:r>
              <w:rPr>
                <w:rFonts w:hint="eastAsia" w:ascii="宋体" w:hAnsi="宋体" w:cs="宋体"/>
                <w:color w:val="000000" w:themeColor="text1"/>
                <w:lang w:val="en-US" w:eastAsia="zh-CN"/>
                <w14:textFill>
                  <w14:solidFill>
                    <w14:schemeClr w14:val="tx1"/>
                  </w14:solidFill>
                </w14:textFill>
              </w:rPr>
              <w:t>相应费用</w:t>
            </w:r>
            <w:r>
              <w:rPr>
                <w:rFonts w:hint="eastAsia" w:ascii="宋体" w:hAnsi="宋体" w:cs="宋体"/>
                <w:color w:val="000000" w:themeColor="text1"/>
                <w14:textFill>
                  <w14:solidFill>
                    <w14:schemeClr w14:val="tx1"/>
                  </w14:solidFill>
                </w14:textFill>
              </w:rPr>
              <w:t>。</w:t>
            </w:r>
          </w:p>
        </w:tc>
      </w:tr>
      <w:tr w14:paraId="20957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2B785CD0">
            <w:pPr>
              <w:jc w:val="center"/>
              <w:rPr>
                <w:rFonts w:ascii="宋体" w:hAnsi="宋体" w:cs="仿宋"/>
                <w:color w:val="000000" w:themeColor="text1"/>
                <w:kern w:val="0"/>
                <w:lang w:val="zh-CN"/>
                <w14:textFill>
                  <w14:solidFill>
                    <w14:schemeClr w14:val="tx1"/>
                  </w14:solidFill>
                </w14:textFill>
              </w:rPr>
            </w:pPr>
            <w:r>
              <w:rPr>
                <w:rFonts w:hint="eastAsia" w:ascii="宋体" w:hAnsi="宋体"/>
                <w:color w:val="000000" w:themeColor="text1"/>
                <w14:textFill>
                  <w14:solidFill>
                    <w14:schemeClr w14:val="tx1"/>
                  </w14:solidFill>
                </w14:textFill>
              </w:rPr>
              <w:t>履约保证金</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438D58D3">
            <w:pPr>
              <w:autoSpaceDN w:val="0"/>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本项目无履约保证金。</w:t>
            </w:r>
          </w:p>
        </w:tc>
      </w:tr>
      <w:tr w14:paraId="16AF3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213CF59C">
            <w:pPr>
              <w:jc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服务要求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3AA7281B">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1.成交人送货上门，并安装调试；</w:t>
            </w:r>
          </w:p>
          <w:p w14:paraId="39BA63C2">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2.提供网络运维服务；</w:t>
            </w:r>
          </w:p>
          <w:p w14:paraId="3E91DC0C">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提供网络安全运维巡检服务，保障网络使用安全。</w:t>
            </w:r>
          </w:p>
          <w:p w14:paraId="7CB398A4">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2.2.如若采购人需要提供网络接口对接服务，</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应按照需求提供对接。</w:t>
            </w:r>
          </w:p>
          <w:p w14:paraId="10F3B515">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2.3.如果涉及第三方软件接口开发服务，</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将配合开发对接端口。</w:t>
            </w:r>
          </w:p>
          <w:p w14:paraId="70769083">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3.故障响应时间：</w:t>
            </w:r>
            <w:r>
              <w:rPr>
                <w:rFonts w:hint="eastAsia" w:hAnsi="宋体"/>
                <w:color w:val="000000" w:themeColor="text1"/>
                <w:kern w:val="0"/>
                <w14:textFill>
                  <w14:solidFill>
                    <w14:schemeClr w14:val="tx1"/>
                  </w14:solidFill>
                </w14:textFill>
              </w:rPr>
              <w:t>故障申报1个小时内做出响应，2个小时内赶往现场，4个小时恢复业务（自然灾害等不可抗拒原因除外）</w:t>
            </w:r>
            <w:r>
              <w:rPr>
                <w:rFonts w:hint="eastAsia" w:ascii="宋体" w:hAnsi="宋体" w:cs="宋体"/>
                <w:color w:val="000000" w:themeColor="text1"/>
                <w:szCs w:val="21"/>
                <w14:textFill>
                  <w14:solidFill>
                    <w14:schemeClr w14:val="tx1"/>
                  </w14:solidFill>
                </w14:textFill>
              </w:rPr>
              <w:t>。</w:t>
            </w:r>
          </w:p>
          <w:p w14:paraId="0F92E00A">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Ansi="宋体"/>
                <w:color w:val="000000" w:themeColor="text1"/>
                <w:kern w:val="0"/>
                <w:lang w:val="en"/>
                <w14:textFill>
                  <w14:solidFill>
                    <w14:schemeClr w14:val="tx1"/>
                  </w14:solidFill>
                </w14:textFill>
              </w:rPr>
              <w:t>成交</w:t>
            </w:r>
            <w:r>
              <w:rPr>
                <w:rFonts w:hint="eastAsia" w:hAnsi="宋体"/>
                <w:color w:val="000000" w:themeColor="text1"/>
                <w:kern w:val="0"/>
                <w14:textFill>
                  <w14:solidFill>
                    <w14:schemeClr w14:val="tx1"/>
                  </w14:solidFill>
                </w14:textFill>
              </w:rPr>
              <w:t>供应商需安排专门技术人员提供7×24小时热线电话服务，并提供多个故障申告途径及绿色通道，做到全方位响应，并指定专人负责上门受理调试日常维护及平时协助甲方维护检测等工作；提供故障处理进度跟踪服务，提供7×24小时的售后服务响应。</w:t>
            </w:r>
          </w:p>
          <w:p w14:paraId="10A98939">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在租用期内，成交供应商应严格遵守《中华人民共和国电信条例》，维护双方权益，按工信部颁布的《电信服务标准》的电路质量要求，保证采购人租用系统畅通及安全使用，保证采购人网络的连续稳定运行。</w:t>
            </w:r>
          </w:p>
          <w:p w14:paraId="5301FBEA">
            <w:pPr>
              <w:ind w:firstLine="420" w:firstLineChars="200"/>
              <w:jc w:val="left"/>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6.因成交供应商施工、网络割接等原因影响宽带网络运行的，应当提前一天通知采购人，并且尽快消除故障、恢复通信线路；</w:t>
            </w:r>
          </w:p>
          <w:p w14:paraId="0E2A204B">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7.当采购人网络需要扩展或升级时，成交供应商负责提供相应解决方案。</w:t>
            </w:r>
          </w:p>
          <w:p w14:paraId="0125A063">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8.在线路服务期内，每个季度至少派人对线路进行一次巡检，检查网络设备和主干光缆的运行情况，并提交巡检报告。</w:t>
            </w:r>
          </w:p>
          <w:p w14:paraId="1B869FDA">
            <w:pPr>
              <w:ind w:firstLine="420" w:firstLineChars="200"/>
              <w:jc w:val="left"/>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9.项目团队具备一定行业实施经验，实施及售后人员团队规模不能低于10人。</w:t>
            </w:r>
          </w:p>
        </w:tc>
      </w:tr>
      <w:tr w14:paraId="1B9A7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5AC21D17">
            <w:pPr>
              <w:widowControl/>
              <w:snapToGrid w:val="0"/>
              <w:jc w:val="center"/>
              <w:textAlignment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验收要求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63E2F500">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要求履约过程中所有服务行为、软件、成果文件等均不涉及任何法律纠纷。</w:t>
            </w:r>
          </w:p>
          <w:p w14:paraId="14DDE9E7">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项目必须通过采购人的验收。验收不合格的，采购人可在五个工作日内以书面形式向成交供应商提出</w:t>
            </w:r>
            <w:r>
              <w:rPr>
                <w:rFonts w:hint="eastAsia" w:ascii="宋体" w:hAnsi="宋体" w:cs="宋体"/>
                <w:color w:val="000000" w:themeColor="text1"/>
                <w:lang w:eastAsia="zh-Hans"/>
                <w14:textFill>
                  <w14:solidFill>
                    <w14:schemeClr w14:val="tx1"/>
                  </w14:solidFill>
                </w14:textFill>
              </w:rPr>
              <w:t>整改要求</w:t>
            </w:r>
            <w:r>
              <w:rPr>
                <w:rFonts w:hint="eastAsia" w:ascii="宋体" w:hAnsi="宋体" w:cs="宋体"/>
                <w:color w:val="000000" w:themeColor="text1"/>
                <w14:textFill>
                  <w14:solidFill>
                    <w14:schemeClr w14:val="tx1"/>
                  </w14:solidFill>
                </w14:textFill>
              </w:rPr>
              <w:t>，成交供应商应自收到采购人整改要求</w:t>
            </w:r>
            <w:r>
              <w:rPr>
                <w:rFonts w:hint="eastAsia" w:ascii="宋体" w:hAnsi="宋体" w:cs="宋体"/>
                <w:color w:val="000000" w:themeColor="text1"/>
                <w:lang w:eastAsia="zh-Hans"/>
                <w14:textFill>
                  <w14:solidFill>
                    <w14:schemeClr w14:val="tx1"/>
                  </w14:solidFill>
                </w14:textFill>
              </w:rPr>
              <w:t>之日起</w:t>
            </w:r>
            <w:r>
              <w:rPr>
                <w:rFonts w:hint="eastAsia" w:ascii="宋体" w:hAnsi="宋体" w:cs="宋体"/>
                <w:color w:val="000000" w:themeColor="text1"/>
                <w14:textFill>
                  <w14:solidFill>
                    <w14:schemeClr w14:val="tx1"/>
                  </w14:solidFill>
                </w14:textFill>
              </w:rPr>
              <w:t>三日内及时予以解决。若整改后仍无法通过验收，采购人有权不起租或解除合同。</w:t>
            </w:r>
          </w:p>
          <w:p w14:paraId="206301C9">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本项目须严格执行国家、地方及行业相关验收标准及规范。</w:t>
            </w:r>
          </w:p>
          <w:p w14:paraId="11483EB5">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验收过程中所产生的一切费用均由成交供应商承担，报价时应考虑相关费用。</w:t>
            </w:r>
          </w:p>
        </w:tc>
      </w:tr>
      <w:tr w14:paraId="5A93F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0F299266">
            <w:pPr>
              <w:widowControl/>
              <w:snapToGrid w:val="0"/>
              <w:jc w:val="center"/>
              <w:textAlignment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报价要求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48E1FA3E">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本项目按服务总价包干，为交钥匙工程，采购人不对项目服务、货物、施工等一切内容追加支付费用，而由</w:t>
            </w:r>
            <w:r>
              <w:rPr>
                <w:rFonts w:hint="eastAsia" w:ascii="宋体" w:hAnsi="宋体"/>
                <w:color w:val="000000" w:themeColor="text1"/>
                <w14:textFill>
                  <w14:solidFill>
                    <w14:schemeClr w14:val="tx1"/>
                  </w14:solidFill>
                </w14:textFill>
              </w:rPr>
              <w:t>成交供应商</w:t>
            </w:r>
            <w:r>
              <w:rPr>
                <w:rFonts w:hint="eastAsia" w:ascii="宋体" w:hAnsi="宋体"/>
                <w:color w:val="000000" w:themeColor="text1"/>
                <w:lang w:eastAsia="zh-Hans"/>
                <w14:textFill>
                  <w14:solidFill>
                    <w14:schemeClr w14:val="tx1"/>
                  </w14:solidFill>
                </w14:textFill>
              </w:rPr>
              <w:t>在合同价内全部提供或解决，报价必须含以下部分：</w:t>
            </w:r>
          </w:p>
          <w:p w14:paraId="2049F64A">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（1）服务的价格；</w:t>
            </w:r>
          </w:p>
          <w:p w14:paraId="507A3F96">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（2）必要的保险费用和各项税金；</w:t>
            </w:r>
          </w:p>
          <w:p w14:paraId="7CE63B00">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（3）安装、调试、培训、技术支持、售后服务、更新升级等费用；</w:t>
            </w:r>
          </w:p>
          <w:p w14:paraId="27726337">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（4）验收时的专家服务费和采购代理费用；</w:t>
            </w:r>
          </w:p>
          <w:p w14:paraId="6A550454">
            <w:pPr>
              <w:ind w:firstLine="420" w:firstLineChars="200"/>
              <w:jc w:val="left"/>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lang w:eastAsia="zh-Hans"/>
                <w14:textFill>
                  <w14:solidFill>
                    <w14:schemeClr w14:val="tx1"/>
                  </w14:solidFill>
                </w14:textFill>
              </w:rPr>
              <w:t>（5）租用线路的开通费、初装费，并承担所提供的线路相关配件设备一年内的维修维护费及调整测试费</w:t>
            </w:r>
            <w:r>
              <w:rPr>
                <w:rFonts w:hint="eastAsia" w:ascii="宋体" w:hAnsi="宋体"/>
                <w:color w:val="000000" w:themeColor="text1"/>
                <w:lang w:eastAsia="zh-CN"/>
                <w14:textFill>
                  <w14:solidFill>
                    <w14:schemeClr w14:val="tx1"/>
                  </w14:solidFill>
                </w14:textFill>
              </w:rPr>
              <w:t>。</w:t>
            </w:r>
          </w:p>
        </w:tc>
      </w:tr>
      <w:tr w14:paraId="65ED05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78BA5110">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cs="仿宋"/>
                <w:color w:val="000000" w:themeColor="text1"/>
                <w:kern w:val="0"/>
                <w:lang w:val="zh-CN"/>
                <w14:textFill>
                  <w14:solidFill>
                    <w14:schemeClr w14:val="tx1"/>
                  </w14:solidFill>
                </w14:textFill>
              </w:rPr>
              <w:t>其他要求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1EC4B951">
            <w:pPr>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▲1.本项目磋商时以预算金额为最高限价，磋商时以最高限价为评审依据，供应商磋商报价超最高限价的作无效处理；</w:t>
            </w:r>
          </w:p>
          <w:p w14:paraId="7C061E7B">
            <w:pPr>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2.供应商必须服从采购人现场负责人的指挥，按指定地点进行安装；</w:t>
            </w:r>
          </w:p>
          <w:p w14:paraId="11CC4E85">
            <w:pPr>
              <w:pStyle w:val="16"/>
              <w:spacing w:line="240" w:lineRule="auto"/>
              <w:ind w:firstLine="420" w:firstLineChars="200"/>
              <w:rPr>
                <w:rFonts w:ascii="宋体" w:hAnsi="宋体"/>
                <w:color w:val="000000" w:themeColor="text1"/>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▲3.由于成交供应商原因，未能按本项目合同规定的内容、时间及相关要求向采购人交付服务成果的，采购人有权解除合同，并追究成交供应商违约责任。</w:t>
            </w:r>
          </w:p>
        </w:tc>
      </w:tr>
      <w:tr w14:paraId="075E0F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50F06123">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cs="仿宋"/>
                <w:color w:val="000000" w:themeColor="text1"/>
                <w:kern w:val="0"/>
                <w:lang w:val="zh-CN"/>
                <w14:textFill>
                  <w14:solidFill>
                    <w14:schemeClr w14:val="tx1"/>
                  </w14:solidFill>
                </w14:textFill>
              </w:rPr>
              <w:t>方案要求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30CB6E95">
            <w:pPr>
              <w:pStyle w:val="16"/>
              <w:ind w:left="210" w:hanging="210" w:hangingChars="100"/>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根据采购需求提供技术方案、项目施工进度方案、项目实施方案、服务方案。</w:t>
            </w:r>
          </w:p>
        </w:tc>
      </w:tr>
      <w:tr w14:paraId="345A46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3E74B6D9">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b/>
                <w:bCs/>
                <w:color w:val="000000" w:themeColor="text1"/>
                <w14:textFill>
                  <w14:solidFill>
                    <w14:schemeClr w14:val="tx1"/>
                  </w14:solidFill>
                </w14:textFill>
              </w:rPr>
              <w:t>可磋商内容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1E977B1A">
            <w:pPr>
              <w:pStyle w:val="16"/>
              <w:ind w:left="210" w:hanging="210" w:hangingChars="100"/>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磋商小组根据与供应商磋商情况可能实质性变动的内容：未标明“▲”号的参数及要求。</w:t>
            </w:r>
          </w:p>
        </w:tc>
      </w:tr>
    </w:tbl>
    <w:p w14:paraId="0D78A060">
      <w:pPr>
        <w:pStyle w:val="16"/>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分标3</w:t>
      </w:r>
    </w:p>
    <w:p w14:paraId="67AD3334">
      <w:pPr>
        <w:pStyle w:val="16"/>
        <w:rPr>
          <w:rFonts w:ascii="宋体" w:hAnsi="宋体" w:cs="宋体"/>
          <w:b/>
          <w:color w:val="000000" w:themeColor="text1"/>
          <w:kern w:val="0"/>
          <w14:textFill>
            <w14:solidFill>
              <w14:schemeClr w14:val="tx1"/>
            </w14:solidFill>
          </w14:textFill>
        </w:rPr>
      </w:pPr>
    </w:p>
    <w:tbl>
      <w:tblPr>
        <w:tblStyle w:val="38"/>
        <w:tblpPr w:leftFromText="180" w:rightFromText="180" w:vertAnchor="text" w:horzAnchor="page" w:tblpX="1162" w:tblpY="235"/>
        <w:tblOverlap w:val="never"/>
        <w:tblW w:w="103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831"/>
        <w:gridCol w:w="161"/>
        <w:gridCol w:w="480"/>
        <w:gridCol w:w="683"/>
        <w:gridCol w:w="7593"/>
      </w:tblGrid>
      <w:tr w14:paraId="4E8D4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14:paraId="7A9231CC">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项号</w:t>
            </w:r>
          </w:p>
        </w:tc>
        <w:tc>
          <w:tcPr>
            <w:tcW w:w="831" w:type="dxa"/>
            <w:tcBorders>
              <w:top w:val="single" w:color="auto" w:sz="4" w:space="0"/>
              <w:left w:val="single" w:color="auto" w:sz="4" w:space="0"/>
              <w:bottom w:val="single" w:color="auto" w:sz="4" w:space="0"/>
              <w:right w:val="single" w:color="auto" w:sz="4" w:space="0"/>
            </w:tcBorders>
            <w:noWrap/>
            <w:vAlign w:val="center"/>
          </w:tcPr>
          <w:p w14:paraId="558D4C21">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服务名称</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14:paraId="28AE72EB">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color w:val="000000" w:themeColor="text1"/>
                <w:kern w:val="0"/>
                <w14:textFill>
                  <w14:solidFill>
                    <w14:schemeClr w14:val="tx1"/>
                  </w14:solidFill>
                </w14:textFill>
              </w:rPr>
              <w:t>数量</w:t>
            </w:r>
          </w:p>
        </w:tc>
        <w:tc>
          <w:tcPr>
            <w:tcW w:w="683" w:type="dxa"/>
            <w:tcBorders>
              <w:top w:val="single" w:color="auto" w:sz="4" w:space="0"/>
              <w:left w:val="single" w:color="auto" w:sz="4" w:space="0"/>
              <w:bottom w:val="single" w:color="auto" w:sz="4" w:space="0"/>
              <w:right w:val="single" w:color="auto" w:sz="4" w:space="0"/>
            </w:tcBorders>
            <w:noWrap/>
            <w:vAlign w:val="center"/>
          </w:tcPr>
          <w:p w14:paraId="477B6E8C">
            <w:pPr>
              <w:widowControl/>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cs="宋体"/>
                <w:b/>
                <w:bCs/>
                <w:color w:val="000000" w:themeColor="text1"/>
                <w:kern w:val="0"/>
                <w14:textFill>
                  <w14:solidFill>
                    <w14:schemeClr w14:val="tx1"/>
                  </w14:solidFill>
                </w14:textFill>
              </w:rPr>
              <w:t>带宽</w:t>
            </w:r>
          </w:p>
        </w:tc>
        <w:tc>
          <w:tcPr>
            <w:tcW w:w="7593" w:type="dxa"/>
            <w:tcBorders>
              <w:top w:val="single" w:color="auto" w:sz="4" w:space="0"/>
              <w:left w:val="single" w:color="auto" w:sz="4" w:space="0"/>
              <w:bottom w:val="single" w:color="auto" w:sz="4" w:space="0"/>
              <w:right w:val="single" w:color="auto" w:sz="4" w:space="0"/>
            </w:tcBorders>
            <w:noWrap/>
            <w:vAlign w:val="center"/>
          </w:tcPr>
          <w:p w14:paraId="654CCE25">
            <w:pPr>
              <w:spacing w:line="280" w:lineRule="exact"/>
              <w:jc w:val="center"/>
              <w:rPr>
                <w:rFonts w:ascii="宋体" w:hAnsi="宋体" w:cs="宋体"/>
                <w:b/>
                <w:color w:val="000000" w:themeColor="text1"/>
                <w:kern w:val="0"/>
                <w14:textFill>
                  <w14:solidFill>
                    <w14:schemeClr w14:val="tx1"/>
                  </w14:solidFill>
                </w14:textFill>
              </w:rPr>
            </w:pPr>
            <w:r>
              <w:rPr>
                <w:rFonts w:hint="eastAsia" w:ascii="宋体" w:hAnsi="宋体"/>
                <w:b/>
                <w:bCs/>
                <w:color w:val="000000" w:themeColor="text1"/>
                <w14:textFill>
                  <w14:solidFill>
                    <w14:schemeClr w14:val="tx1"/>
                  </w14:solidFill>
                </w14:textFill>
              </w:rPr>
              <w:t>服务内容、参数及要求</w:t>
            </w:r>
          </w:p>
        </w:tc>
      </w:tr>
      <w:tr w14:paraId="77244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ign w:val="center"/>
          </w:tcPr>
          <w:p w14:paraId="1BF9E164">
            <w:pPr>
              <w:widowControl/>
              <w:spacing w:line="280" w:lineRule="exact"/>
              <w:jc w:val="center"/>
              <w:textAlignment w:val="center"/>
              <w:rPr>
                <w:rFonts w:ascii="宋体" w:hAnsi="宋体" w:cs="Arial"/>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1</w:t>
            </w:r>
          </w:p>
        </w:tc>
        <w:tc>
          <w:tcPr>
            <w:tcW w:w="831" w:type="dxa"/>
            <w:tcBorders>
              <w:top w:val="single" w:color="auto" w:sz="4" w:space="0"/>
              <w:left w:val="single" w:color="auto" w:sz="4" w:space="0"/>
              <w:bottom w:val="single" w:color="auto" w:sz="4" w:space="0"/>
              <w:right w:val="single" w:color="auto" w:sz="4" w:space="0"/>
            </w:tcBorders>
            <w:noWrap/>
            <w:vAlign w:val="center"/>
          </w:tcPr>
          <w:p w14:paraId="5C48726C">
            <w:pPr>
              <w:widowControl/>
              <w:jc w:val="center"/>
              <w:rPr>
                <w:rFonts w:hint="eastAsia" w:ascii="宋体" w:hAnsi="宋体" w:eastAsia="宋体" w:cs="宋体"/>
                <w:color w:val="000000" w:themeColor="text1"/>
                <w:kern w:val="0"/>
                <w:lang w:val="en-US" w:eastAsia="zh-CN"/>
                <w14:textFill>
                  <w14:solidFill>
                    <w14:schemeClr w14:val="tx1"/>
                  </w14:solidFill>
                </w14:textFill>
              </w:rPr>
            </w:pPr>
            <w:r>
              <w:rPr>
                <w:rFonts w:hint="eastAsia"/>
                <w:color w:val="000000" w:themeColor="text1"/>
                <w14:textFill>
                  <w14:solidFill>
                    <w14:schemeClr w14:val="tx1"/>
                  </w14:solidFill>
                </w14:textFill>
              </w:rPr>
              <w:t>贺州学院2026-202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年互联网专线接入服务</w:t>
            </w:r>
            <w:r>
              <w:rPr>
                <w:rFonts w:hint="eastAsia"/>
                <w:color w:val="000000" w:themeColor="text1"/>
                <w:lang w:val="en-US" w:eastAsia="zh-CN"/>
                <w14:textFill>
                  <w14:solidFill>
                    <w14:schemeClr w14:val="tx1"/>
                  </w14:solidFill>
                </w14:textFill>
              </w:rPr>
              <w:t>三</w:t>
            </w:r>
          </w:p>
        </w:tc>
        <w:tc>
          <w:tcPr>
            <w:tcW w:w="641" w:type="dxa"/>
            <w:gridSpan w:val="2"/>
            <w:tcBorders>
              <w:top w:val="single" w:color="auto" w:sz="4" w:space="0"/>
              <w:left w:val="single" w:color="auto" w:sz="4" w:space="0"/>
              <w:bottom w:val="single" w:color="auto" w:sz="4" w:space="0"/>
              <w:right w:val="single" w:color="auto" w:sz="4" w:space="0"/>
            </w:tcBorders>
            <w:noWrap/>
            <w:vAlign w:val="center"/>
          </w:tcPr>
          <w:p w14:paraId="625A82CE">
            <w:pPr>
              <w:widowControl/>
              <w:spacing w:line="280" w:lineRule="exact"/>
              <w:jc w:val="center"/>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1项</w:t>
            </w:r>
          </w:p>
        </w:tc>
        <w:tc>
          <w:tcPr>
            <w:tcW w:w="683" w:type="dxa"/>
            <w:tcBorders>
              <w:top w:val="single" w:color="auto" w:sz="4" w:space="0"/>
              <w:left w:val="single" w:color="auto" w:sz="4" w:space="0"/>
              <w:bottom w:val="single" w:color="auto" w:sz="4" w:space="0"/>
              <w:right w:val="single" w:color="auto" w:sz="4" w:space="0"/>
            </w:tcBorders>
            <w:noWrap/>
            <w:vAlign w:val="center"/>
          </w:tcPr>
          <w:p w14:paraId="4559166A">
            <w:pPr>
              <w:pStyle w:val="16"/>
              <w:jc w:val="center"/>
              <w:rPr>
                <w:rFonts w:ascii="宋体" w:hAnsi="宋体"/>
                <w:color w:val="000000" w:themeColor="text1"/>
                <w:sz w:val="21"/>
                <w:szCs w:val="21"/>
                <w14:textFill>
                  <w14:solidFill>
                    <w14:schemeClr w14:val="tx1"/>
                  </w14:solidFill>
                </w14:textFill>
              </w:rPr>
            </w:pPr>
            <w:r>
              <w:rPr>
                <w:rFonts w:ascii="宋体" w:hAnsi="宋体" w:cs="宋体"/>
                <w:color w:val="000000" w:themeColor="text1"/>
                <w:kern w:val="0"/>
                <w:sz w:val="21"/>
                <w:szCs w:val="21"/>
                <w14:textFill>
                  <w14:solidFill>
                    <w14:schemeClr w14:val="tx1"/>
                  </w14:solidFill>
                </w14:textFill>
              </w:rPr>
              <w:t>20</w:t>
            </w:r>
            <w:r>
              <w:rPr>
                <w:rFonts w:hint="eastAsia" w:ascii="宋体" w:hAnsi="宋体" w:cs="宋体"/>
                <w:color w:val="000000" w:themeColor="text1"/>
                <w:kern w:val="0"/>
                <w:sz w:val="21"/>
                <w:szCs w:val="21"/>
                <w14:textFill>
                  <w14:solidFill>
                    <w14:schemeClr w14:val="tx1"/>
                  </w14:solidFill>
                </w14:textFill>
              </w:rPr>
              <w:t>00M</w:t>
            </w:r>
          </w:p>
        </w:tc>
        <w:tc>
          <w:tcPr>
            <w:tcW w:w="7593" w:type="dxa"/>
            <w:tcBorders>
              <w:top w:val="single" w:color="auto" w:sz="4" w:space="0"/>
              <w:left w:val="single" w:color="auto" w:sz="4" w:space="0"/>
              <w:bottom w:val="single" w:color="auto" w:sz="4" w:space="0"/>
              <w:right w:val="single" w:color="auto" w:sz="4" w:space="0"/>
            </w:tcBorders>
            <w:noWrap/>
          </w:tcPr>
          <w:p w14:paraId="1864DDB2">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1.提供1条互联网专线，线路速率≥2000Mbps、上下行均为对等速率的光纤链路。</w:t>
            </w:r>
          </w:p>
          <w:p w14:paraId="2256B37D">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2.带宽速率可按月进行动态调整，遇学校寒暑假期间或根据学校需要可进行暂停服务，每次调整幅度以100Mbps为单位，供应商应根据不同速率报价，根据采购人实际使用带宽和天数进行费用计算，每季度进行一次费用结算。服务周期从专线提供服务之日起开始计算，至202</w:t>
            </w:r>
            <w:r>
              <w:rPr>
                <w:rFonts w:hint="eastAsia" w:ascii="宋体" w:hAnsi="宋体" w:eastAsia="宋体" w:cs="宋体"/>
                <w:color w:val="000000" w:themeColor="text1"/>
                <w:kern w:val="0"/>
                <w:sz w:val="20"/>
                <w:szCs w:val="20"/>
                <w:lang w:val="en-US" w:eastAsia="zh-CN" w:bidi="ar"/>
                <w14:textFill>
                  <w14:solidFill>
                    <w14:schemeClr w14:val="tx1"/>
                  </w14:solidFill>
                </w14:textFill>
              </w:rPr>
              <w:t>8</w:t>
            </w:r>
            <w:r>
              <w:rPr>
                <w:rFonts w:hint="eastAsia" w:ascii="宋体" w:hAnsi="宋体" w:eastAsia="宋体" w:cs="宋体"/>
                <w:color w:val="000000" w:themeColor="text1"/>
                <w:kern w:val="0"/>
                <w:sz w:val="20"/>
                <w:szCs w:val="20"/>
                <w:lang w:bidi="ar"/>
                <w14:textFill>
                  <w14:solidFill>
                    <w14:schemeClr w14:val="tx1"/>
                  </w14:solidFill>
                </w14:textFill>
              </w:rPr>
              <w:t>年7月结束。</w:t>
            </w:r>
          </w:p>
          <w:p w14:paraId="72B0616D">
            <w:pPr>
              <w:widowControl/>
              <w:numPr>
                <w:ilvl w:val="0"/>
                <w:numId w:val="0"/>
              </w:numPr>
              <w:jc w:val="left"/>
              <w:rPr>
                <w:rFonts w:hint="eastAsia" w:ascii="宋体" w:hAnsi="宋体" w:eastAsia="宋体" w:cs="宋体"/>
                <w:color w:val="000000" w:themeColor="text1"/>
                <w:kern w:val="0"/>
                <w:sz w:val="20"/>
                <w:szCs w:val="20"/>
                <w:lang w:val="en-US" w:eastAsia="zh-CN" w:bidi="ar"/>
                <w14:textFill>
                  <w14:solidFill>
                    <w14:schemeClr w14:val="tx1"/>
                  </w14:solidFill>
                </w14:textFill>
              </w:rPr>
            </w:pPr>
            <w:r>
              <w:rPr>
                <w:rFonts w:hint="eastAsia" w:ascii="宋体" w:hAnsi="宋体" w:cs="宋体"/>
                <w:color w:val="000000" w:themeColor="text1"/>
                <w:kern w:val="0"/>
                <w:sz w:val="20"/>
                <w:szCs w:val="20"/>
                <w:lang w:val="en-US" w:eastAsia="zh-CN" w:bidi="ar"/>
                <w14:textFill>
                  <w14:solidFill>
                    <w14:schemeClr w14:val="tx1"/>
                  </w14:solidFill>
                </w14:textFill>
              </w:rPr>
              <w:t>3.</w:t>
            </w:r>
            <w:r>
              <w:rPr>
                <w:rFonts w:hint="eastAsia" w:ascii="宋体" w:hAnsi="宋体" w:eastAsia="宋体" w:cs="宋体"/>
                <w:color w:val="000000" w:themeColor="text1"/>
                <w:kern w:val="0"/>
                <w:sz w:val="20"/>
                <w:szCs w:val="20"/>
                <w:lang w:val="en-US" w:eastAsia="zh-CN" w:bidi="ar"/>
                <w14:textFill>
                  <w14:solidFill>
                    <w14:schemeClr w14:val="tx1"/>
                  </w14:solidFill>
                </w14:textFill>
              </w:rPr>
              <w:t>提供对应专线上的互联网安全服务。</w:t>
            </w:r>
          </w:p>
          <w:p w14:paraId="543D77DD">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（1）针对客户外部攻击面，提供7*24H在线持续监测服务，动态适应资产、威胁的变化，实时进行攻击面检测，保护业务安全；</w:t>
            </w:r>
          </w:p>
          <w:p w14:paraId="78736D1F">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（2）</w:t>
            </w:r>
            <w:r>
              <w:rPr>
                <w:rFonts w:hint="eastAsia" w:ascii="宋体" w:hAnsi="宋体" w:eastAsia="宋体" w:cs="宋体"/>
                <w:color w:val="000000" w:themeColor="text1"/>
                <w:kern w:val="0"/>
                <w:sz w:val="21"/>
                <w:szCs w:val="21"/>
                <w:lang w:val="en-US" w:eastAsia="zh-CN" w:bidi="ar"/>
                <w14:textFill>
                  <w14:solidFill>
                    <w14:schemeClr w14:val="tx1"/>
                  </w14:solidFill>
                </w14:textFill>
              </w:rPr>
              <w:t>★</w:t>
            </w:r>
            <w:r>
              <w:rPr>
                <w:rFonts w:hint="default" w:ascii="宋体" w:hAnsi="宋体" w:eastAsia="宋体" w:cs="宋体"/>
                <w:color w:val="000000" w:themeColor="text1"/>
                <w:kern w:val="0"/>
                <w:sz w:val="20"/>
                <w:szCs w:val="20"/>
                <w:lang w:val="en-US" w:eastAsia="zh-CN" w:bidi="ar"/>
                <w14:textFill>
                  <w14:solidFill>
                    <w14:schemeClr w14:val="tx1"/>
                  </w14:solidFill>
                </w14:textFill>
              </w:rPr>
              <w:t>支持通过关联主体发现、域名探测、主机IP探测、站点探测、端口服务探测等方式快速发现客户全网的域名、站点、IP等资产信息，并结合资产的业务属性动态进行安全标记，形成资产台账进行管理，全方面识别用户数字资产暴露面。在投标文件中提供相关证明材料（官网链接或功能截图等）；</w:t>
            </w:r>
          </w:p>
          <w:p w14:paraId="40838AD5">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（3）</w:t>
            </w:r>
            <w:r>
              <w:rPr>
                <w:rFonts w:hint="eastAsia" w:ascii="宋体" w:hAnsi="宋体" w:eastAsia="宋体" w:cs="宋体"/>
                <w:color w:val="000000" w:themeColor="text1"/>
                <w:kern w:val="0"/>
                <w:sz w:val="21"/>
                <w:szCs w:val="21"/>
                <w:lang w:val="en-US" w:eastAsia="zh-CN" w:bidi="ar"/>
                <w14:textFill>
                  <w14:solidFill>
                    <w14:schemeClr w14:val="tx1"/>
                  </w14:solidFill>
                </w14:textFill>
              </w:rPr>
              <w:t>★</w:t>
            </w:r>
            <w:r>
              <w:rPr>
                <w:rFonts w:hint="default" w:ascii="宋体" w:hAnsi="宋体" w:eastAsia="宋体" w:cs="宋体"/>
                <w:color w:val="000000" w:themeColor="text1"/>
                <w:kern w:val="0"/>
                <w:sz w:val="20"/>
                <w:szCs w:val="20"/>
                <w:lang w:val="en-US" w:eastAsia="zh-CN" w:bidi="ar"/>
                <w14:textFill>
                  <w14:solidFill>
                    <w14:schemeClr w14:val="tx1"/>
                  </w14:solidFill>
                </w14:textFill>
              </w:rPr>
              <w:t>支持按风险检测任务展示风险的检测情况（包括新增检测结果及修复结果）。风险检测包含WEB漏洞、主机漏洞、安全事件、文件泄露、可用性、弱口令、高危服务等。支持算法自动评估风险值，提供风险值变化趋势分析及资产风险值TOP排名。在投标文件中提供相关证明材料（官网链接或功能截图等）；</w:t>
            </w:r>
          </w:p>
          <w:p w14:paraId="724B7517">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4）支持AI自动化将用户资产与风险关联，将暴露面转化为攻击面，采用验证式漏洞检测技术，对web站点和主机进行漏洞扫描发现和验证，通过模拟真实攻击行为，根据上下文智能判断漏洞是否真实存在。支持对用户进行多种协议的弱口令爆破（可自定义弱口令库），检测出攻击者能够爆破利用的弱口令；</w:t>
            </w:r>
          </w:p>
          <w:p w14:paraId="0A7C08E8">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（5）</w:t>
            </w:r>
            <w:r>
              <w:rPr>
                <w:rFonts w:hint="eastAsia" w:ascii="宋体" w:hAnsi="宋体" w:eastAsia="宋体" w:cs="宋体"/>
                <w:color w:val="000000" w:themeColor="text1"/>
                <w:kern w:val="0"/>
                <w:sz w:val="21"/>
                <w:szCs w:val="21"/>
                <w:lang w:val="en-US" w:eastAsia="zh-CN" w:bidi="ar"/>
                <w14:textFill>
                  <w14:solidFill>
                    <w14:schemeClr w14:val="tx1"/>
                  </w14:solidFill>
                </w14:textFill>
              </w:rPr>
              <w:t>★</w:t>
            </w:r>
            <w:r>
              <w:rPr>
                <w:rFonts w:hint="default" w:ascii="宋体" w:hAnsi="宋体" w:eastAsia="宋体" w:cs="宋体"/>
                <w:color w:val="000000" w:themeColor="text1"/>
                <w:kern w:val="0"/>
                <w:sz w:val="20"/>
                <w:szCs w:val="20"/>
                <w:lang w:val="en-US" w:eastAsia="zh-CN" w:bidi="ar"/>
                <w14:textFill>
                  <w14:solidFill>
                    <w14:schemeClr w14:val="tx1"/>
                  </w14:solidFill>
                </w14:textFill>
              </w:rPr>
              <w:t>支持展示当前最新的检测结果中新增WEB/主机漏洞和本次被修复的WEB/主机漏洞、新增弱口令和本次被修复的弱口令；支持展示客户当前环境的主机中存在的高危端口服务的检测结果；支持展示用户安全事件发现的变化趋势。在投标文件中提供相关证明材料（官网链接或功能截图等）；</w:t>
            </w:r>
          </w:p>
          <w:p w14:paraId="2C014203">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（6）</w:t>
            </w:r>
            <w:r>
              <w:rPr>
                <w:rFonts w:hint="eastAsia" w:ascii="宋体" w:hAnsi="宋体" w:eastAsia="宋体" w:cs="宋体"/>
                <w:color w:val="000000" w:themeColor="text1"/>
                <w:kern w:val="0"/>
                <w:sz w:val="21"/>
                <w:szCs w:val="21"/>
                <w:lang w:val="en-US" w:eastAsia="zh-CN" w:bidi="ar"/>
                <w14:textFill>
                  <w14:solidFill>
                    <w14:schemeClr w14:val="tx1"/>
                  </w14:solidFill>
                </w14:textFill>
              </w:rPr>
              <w:t>★</w:t>
            </w:r>
            <w:r>
              <w:rPr>
                <w:rFonts w:hint="default" w:ascii="宋体" w:hAnsi="宋体" w:eastAsia="宋体" w:cs="宋体"/>
                <w:color w:val="000000" w:themeColor="text1"/>
                <w:kern w:val="0"/>
                <w:sz w:val="20"/>
                <w:szCs w:val="20"/>
                <w:lang w:val="en-US" w:eastAsia="zh-CN" w:bidi="ar"/>
                <w14:textFill>
                  <w14:solidFill>
                    <w14:schemeClr w14:val="tx1"/>
                  </w14:solidFill>
                </w14:textFill>
              </w:rPr>
              <w:t>支持对用户暴露在互联网上的站点进行持续的安全监测，提供站点可用性监测（监测站点的服务状态）；安全事件监测（包含如暗链、隐私泄露、页面篡改、恶意连接、死链等）。在投标文件中提供相关证明材料（官网链接或功能截图等）；</w:t>
            </w:r>
          </w:p>
          <w:p w14:paraId="240CDD5B">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7）情报扩展来源提供包括公开漏洞库、威胁情报源以及来自第三方的数据风险及供应链安全情报，实现对文件、代码等敏感数据信息泄露监测，对漏洞事件、威胁事件、行业安全事件等攻击情报与暴露面相结合进行预警；</w:t>
            </w:r>
          </w:p>
          <w:p w14:paraId="15E6DF53">
            <w:pPr>
              <w:widowControl/>
              <w:numPr>
                <w:ilvl w:val="0"/>
                <w:numId w:val="0"/>
              </w:numPr>
              <w:jc w:val="left"/>
              <w:rPr>
                <w:rFonts w:hint="default" w:ascii="宋体" w:hAnsi="宋体" w:eastAsia="宋体" w:cs="宋体"/>
                <w:color w:val="000000" w:themeColor="text1"/>
                <w:kern w:val="0"/>
                <w:sz w:val="20"/>
                <w:szCs w:val="20"/>
                <w:lang w:val="en-US" w:eastAsia="zh-CN" w:bidi="ar"/>
                <w14:textFill>
                  <w14:solidFill>
                    <w14:schemeClr w14:val="tx1"/>
                  </w14:solidFill>
                </w14:textFill>
              </w:rPr>
            </w:pPr>
            <w:r>
              <w:rPr>
                <w:rFonts w:hint="default" w:ascii="宋体" w:hAnsi="宋体" w:eastAsia="宋体" w:cs="宋体"/>
                <w:color w:val="000000" w:themeColor="text1"/>
                <w:kern w:val="0"/>
                <w:sz w:val="20"/>
                <w:szCs w:val="20"/>
                <w:lang w:val="en-US" w:eastAsia="zh-CN" w:bidi="ar"/>
                <w14:textFill>
                  <w14:solidFill>
                    <w14:schemeClr w14:val="tx1"/>
                  </w14:solidFill>
                </w14:textFill>
              </w:rPr>
              <w:t>（8）提供风险漏洞人工验证，保障风险真实有效性，避免告警风暴。</w:t>
            </w:r>
          </w:p>
          <w:p w14:paraId="59FFA74D">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w:t>
            </w:r>
            <w:r>
              <w:rPr>
                <w:rFonts w:hint="eastAsia" w:ascii="宋体" w:hAnsi="宋体" w:eastAsia="宋体" w:cs="宋体"/>
                <w:color w:val="000000" w:themeColor="text1"/>
                <w:kern w:val="0"/>
                <w:sz w:val="20"/>
                <w:szCs w:val="20"/>
                <w:lang w:val="en-US" w:eastAsia="zh-CN" w:bidi="ar"/>
                <w14:textFill>
                  <w14:solidFill>
                    <w14:schemeClr w14:val="tx1"/>
                  </w14:solidFill>
                </w14:textFill>
              </w:rPr>
              <w:t>4</w:t>
            </w:r>
            <w:r>
              <w:rPr>
                <w:rFonts w:hint="eastAsia" w:ascii="宋体" w:hAnsi="宋体" w:eastAsia="宋体" w:cs="宋体"/>
                <w:color w:val="000000" w:themeColor="text1"/>
                <w:kern w:val="0"/>
                <w:sz w:val="20"/>
                <w:szCs w:val="20"/>
                <w:lang w:bidi="ar"/>
                <w14:textFill>
                  <w14:solidFill>
                    <w14:schemeClr w14:val="tx1"/>
                  </w14:solidFill>
                </w14:textFill>
              </w:rPr>
              <w:t>.线路技术指标:互联网可用率≥99.99%，至网关最大时延≤3ms，时延抖动率≤3ms。</w:t>
            </w:r>
          </w:p>
          <w:p w14:paraId="415D70E3">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w:t>
            </w:r>
            <w:r>
              <w:rPr>
                <w:rFonts w:hint="eastAsia" w:ascii="宋体" w:hAnsi="宋体" w:eastAsia="宋体" w:cs="宋体"/>
                <w:color w:val="000000" w:themeColor="text1"/>
                <w:kern w:val="0"/>
                <w:sz w:val="20"/>
                <w:szCs w:val="20"/>
                <w:lang w:val="en-US" w:eastAsia="zh-CN" w:bidi="ar"/>
                <w14:textFill>
                  <w14:solidFill>
                    <w14:schemeClr w14:val="tx1"/>
                  </w14:solidFill>
                </w14:textFill>
              </w:rPr>
              <w:t>5</w:t>
            </w:r>
            <w:r>
              <w:rPr>
                <w:rFonts w:hint="eastAsia" w:ascii="宋体" w:hAnsi="宋体" w:eastAsia="宋体" w:cs="宋体"/>
                <w:color w:val="000000" w:themeColor="text1"/>
                <w:kern w:val="0"/>
                <w:sz w:val="20"/>
                <w:szCs w:val="20"/>
                <w:lang w:bidi="ar"/>
                <w14:textFill>
                  <w14:solidFill>
                    <w14:schemeClr w14:val="tx1"/>
                  </w14:solidFill>
                </w14:textFill>
              </w:rPr>
              <w:t>.互联网专线中我单位机房至核心层必须采用光传输通信系统或裸光纤进行接入，上下行带宽保持一致，提供独享带宽，互联网质量应符合国家相关标准和规定。</w:t>
            </w:r>
          </w:p>
          <w:p w14:paraId="7312646C">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w:t>
            </w:r>
            <w:r>
              <w:rPr>
                <w:rFonts w:hint="eastAsia" w:ascii="宋体" w:hAnsi="宋体" w:eastAsia="宋体" w:cs="宋体"/>
                <w:color w:val="000000" w:themeColor="text1"/>
                <w:kern w:val="0"/>
                <w:sz w:val="20"/>
                <w:szCs w:val="20"/>
                <w:lang w:val="en-US" w:eastAsia="zh-CN" w:bidi="ar"/>
                <w14:textFill>
                  <w14:solidFill>
                    <w14:schemeClr w14:val="tx1"/>
                  </w14:solidFill>
                </w14:textFill>
              </w:rPr>
              <w:t>6</w:t>
            </w:r>
            <w:r>
              <w:rPr>
                <w:rFonts w:hint="eastAsia" w:ascii="宋体" w:hAnsi="宋体" w:eastAsia="宋体" w:cs="宋体"/>
                <w:color w:val="000000" w:themeColor="text1"/>
                <w:kern w:val="0"/>
                <w:sz w:val="20"/>
                <w:szCs w:val="20"/>
                <w:lang w:bidi="ar"/>
                <w14:textFill>
                  <w14:solidFill>
                    <w14:schemeClr w14:val="tx1"/>
                  </w14:solidFill>
                </w14:textFill>
              </w:rPr>
              <w:t>.</w:t>
            </w:r>
            <w:r>
              <w:rPr>
                <w:rFonts w:hint="eastAsia" w:ascii="宋体" w:hAnsi="宋体" w:eastAsia="宋体" w:cs="宋体"/>
                <w:color w:val="000000" w:themeColor="text1"/>
                <w:kern w:val="0"/>
                <w:sz w:val="20"/>
                <w:szCs w:val="20"/>
                <w:lang w:val="en-US" w:eastAsia="zh-CN" w:bidi="ar"/>
                <w14:textFill>
                  <w14:solidFill>
                    <w14:schemeClr w14:val="tx1"/>
                  </w14:solidFill>
                </w14:textFill>
              </w:rPr>
              <w:t>专线链路须满足</w:t>
            </w:r>
            <w:r>
              <w:rPr>
                <w:rFonts w:hint="eastAsia" w:ascii="宋体" w:hAnsi="宋体" w:eastAsia="宋体" w:cs="宋体"/>
                <w:color w:val="000000" w:themeColor="text1"/>
                <w:kern w:val="0"/>
                <w:sz w:val="20"/>
                <w:szCs w:val="20"/>
                <w:lang w:bidi="ar"/>
                <w14:textFill>
                  <w14:solidFill>
                    <w14:schemeClr w14:val="tx1"/>
                  </w14:solidFill>
                </w14:textFill>
              </w:rPr>
              <w:t>双物理路由要求，所有互联网要求网络传输服务提供商提供的互联网必须是双物理路由接入，即从两个不同通讯局的两根不同光缆线路（必须是不同物理路由）接入用户节点。同缆不同芯的方式实现环路</w:t>
            </w:r>
            <w:r>
              <w:rPr>
                <w:rFonts w:hint="eastAsia" w:ascii="宋体" w:hAnsi="宋体" w:eastAsia="宋体" w:cs="宋体"/>
                <w:color w:val="000000" w:themeColor="text1"/>
                <w:kern w:val="0"/>
                <w:sz w:val="20"/>
                <w:szCs w:val="20"/>
                <w:lang w:val="en-US" w:eastAsia="zh-CN" w:bidi="ar"/>
                <w14:textFill>
                  <w14:solidFill>
                    <w14:schemeClr w14:val="tx1"/>
                  </w14:solidFill>
                </w14:textFill>
              </w:rPr>
              <w:t>不能认定为双</w:t>
            </w:r>
            <w:r>
              <w:rPr>
                <w:rFonts w:hint="eastAsia" w:ascii="宋体" w:hAnsi="宋体" w:eastAsia="宋体" w:cs="宋体"/>
                <w:color w:val="000000" w:themeColor="text1"/>
                <w:kern w:val="0"/>
                <w:sz w:val="20"/>
                <w:szCs w:val="20"/>
                <w:lang w:bidi="ar"/>
                <w14:textFill>
                  <w14:solidFill>
                    <w14:schemeClr w14:val="tx1"/>
                  </w14:solidFill>
                </w14:textFill>
              </w:rPr>
              <w:t>物理路由。</w:t>
            </w:r>
          </w:p>
          <w:p w14:paraId="54CA7B49">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w:t>
            </w:r>
            <w:r>
              <w:rPr>
                <w:rFonts w:hint="eastAsia" w:ascii="宋体" w:hAnsi="宋体" w:eastAsia="宋体" w:cs="宋体"/>
                <w:color w:val="000000" w:themeColor="text1"/>
                <w:kern w:val="0"/>
                <w:sz w:val="20"/>
                <w:szCs w:val="20"/>
                <w:lang w:val="en-US" w:eastAsia="zh-CN" w:bidi="ar"/>
                <w14:textFill>
                  <w14:solidFill>
                    <w14:schemeClr w14:val="tx1"/>
                  </w14:solidFill>
                </w14:textFill>
              </w:rPr>
              <w:t>7</w:t>
            </w:r>
            <w:r>
              <w:rPr>
                <w:rFonts w:hint="eastAsia" w:ascii="宋体" w:hAnsi="宋体" w:eastAsia="宋体" w:cs="宋体"/>
                <w:color w:val="000000" w:themeColor="text1"/>
                <w:kern w:val="0"/>
                <w:sz w:val="20"/>
                <w:szCs w:val="20"/>
                <w:lang w:bidi="ar"/>
                <w14:textFill>
                  <w14:solidFill>
                    <w14:schemeClr w14:val="tx1"/>
                  </w14:solidFill>
                </w14:textFill>
              </w:rPr>
              <w:t>.互联网专线包含≥8个连续的IPv4公网地址；提供的专线需同时支持IPv6。</w:t>
            </w:r>
          </w:p>
          <w:p w14:paraId="75C360CB">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w:t>
            </w:r>
            <w:r>
              <w:rPr>
                <w:rFonts w:hint="eastAsia" w:ascii="宋体" w:hAnsi="宋体" w:eastAsia="宋体" w:cs="宋体"/>
                <w:color w:val="000000" w:themeColor="text1"/>
                <w:kern w:val="0"/>
                <w:sz w:val="20"/>
                <w:szCs w:val="20"/>
                <w:lang w:val="en-US" w:eastAsia="zh-CN" w:bidi="ar"/>
                <w14:textFill>
                  <w14:solidFill>
                    <w14:schemeClr w14:val="tx1"/>
                  </w14:solidFill>
                </w14:textFill>
              </w:rPr>
              <w:t>8</w:t>
            </w:r>
            <w:r>
              <w:rPr>
                <w:rFonts w:hint="eastAsia" w:ascii="宋体" w:hAnsi="宋体" w:eastAsia="宋体" w:cs="宋体"/>
                <w:color w:val="000000" w:themeColor="text1"/>
                <w:kern w:val="0"/>
                <w:sz w:val="20"/>
                <w:szCs w:val="20"/>
                <w:lang w:bidi="ar"/>
                <w14:textFill>
                  <w14:solidFill>
                    <w14:schemeClr w14:val="tx1"/>
                  </w14:solidFill>
                </w14:textFill>
              </w:rPr>
              <w:t>.要求光传输系统均为自愈环保护，具有故障自动倒换功能，能保证各电路不会因光传输系统环光缆内一侧光纤的意外阻断的故障而中断;自愈保护是指在网络发生故障（例如光纤断）时，无需人为干预，网络自动地在极短的时间内，使业务自动从故障中恢复。</w:t>
            </w:r>
          </w:p>
          <w:p w14:paraId="396E2547">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9</w:t>
            </w:r>
            <w:r>
              <w:rPr>
                <w:rFonts w:hint="eastAsia" w:ascii="宋体" w:hAnsi="宋体" w:eastAsia="宋体" w:cs="宋体"/>
                <w:color w:val="000000" w:themeColor="text1"/>
                <w:kern w:val="0"/>
                <w:sz w:val="20"/>
                <w:szCs w:val="20"/>
                <w:lang w:bidi="ar"/>
                <w14:textFill>
                  <w14:solidFill>
                    <w14:schemeClr w14:val="tx1"/>
                  </w14:solidFill>
                </w14:textFill>
              </w:rPr>
              <w:t>.端到端电路故障次数≤1次/6个月，所有端到端电路累计故障次数≤2次/1个月。</w:t>
            </w:r>
          </w:p>
          <w:p w14:paraId="19D06D04">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val="en-US" w:eastAsia="zh-CN" w:bidi="ar"/>
                <w14:textFill>
                  <w14:solidFill>
                    <w14:schemeClr w14:val="tx1"/>
                  </w14:solidFill>
                </w14:textFill>
              </w:rPr>
              <w:t>10</w:t>
            </w:r>
            <w:r>
              <w:rPr>
                <w:rFonts w:hint="eastAsia" w:ascii="宋体" w:hAnsi="宋体" w:eastAsia="宋体" w:cs="宋体"/>
                <w:color w:val="000000" w:themeColor="text1"/>
                <w:kern w:val="0"/>
                <w:sz w:val="20"/>
                <w:szCs w:val="20"/>
                <w:lang w:bidi="ar"/>
                <w14:textFill>
                  <w14:solidFill>
                    <w14:schemeClr w14:val="tx1"/>
                  </w14:solidFill>
                </w14:textFill>
              </w:rPr>
              <w:t>.提供7</w:t>
            </w:r>
            <w:r>
              <w:rPr>
                <w:rFonts w:hint="eastAsia" w:ascii="宋体" w:hAnsi="宋体" w:eastAsia="宋体" w:cs="宋体"/>
                <w:color w:val="000000" w:themeColor="text1"/>
                <w:kern w:val="0"/>
                <w:sz w:val="20"/>
                <w:szCs w:val="20"/>
                <w:lang w:val="en-US" w:eastAsia="zh-CN" w:bidi="ar"/>
                <w14:textFill>
                  <w14:solidFill>
                    <w14:schemeClr w14:val="tx1"/>
                  </w14:solidFill>
                </w14:textFill>
              </w:rPr>
              <w:t>×</w:t>
            </w:r>
            <w:r>
              <w:rPr>
                <w:rFonts w:hint="eastAsia" w:ascii="宋体" w:hAnsi="宋体" w:eastAsia="宋体" w:cs="宋体"/>
                <w:color w:val="000000" w:themeColor="text1"/>
                <w:kern w:val="0"/>
                <w:sz w:val="20"/>
                <w:szCs w:val="20"/>
                <w:lang w:bidi="ar"/>
                <w14:textFill>
                  <w14:solidFill>
                    <w14:schemeClr w14:val="tx1"/>
                  </w14:solidFill>
                </w14:textFill>
              </w:rPr>
              <w:t>24小时响应服务,并提供多个故障申告途径及绿色通道，做到全方位响应，指定专人负责日常维护调试及维护检测等工作；提供网络线路故障处理进度跟踪服务。</w:t>
            </w:r>
          </w:p>
          <w:p w14:paraId="6670E09D">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1</w:t>
            </w:r>
            <w:r>
              <w:rPr>
                <w:rFonts w:hint="eastAsia" w:ascii="宋体" w:hAnsi="宋体" w:eastAsia="宋体" w:cs="宋体"/>
                <w:color w:val="000000" w:themeColor="text1"/>
                <w:kern w:val="0"/>
                <w:sz w:val="20"/>
                <w:szCs w:val="20"/>
                <w:lang w:val="en-US" w:eastAsia="zh-CN" w:bidi="ar"/>
                <w14:textFill>
                  <w14:solidFill>
                    <w14:schemeClr w14:val="tx1"/>
                  </w14:solidFill>
                </w14:textFill>
              </w:rPr>
              <w:t>1</w:t>
            </w:r>
            <w:r>
              <w:rPr>
                <w:rFonts w:hint="eastAsia" w:ascii="宋体" w:hAnsi="宋体" w:eastAsia="宋体" w:cs="宋体"/>
                <w:color w:val="000000" w:themeColor="text1"/>
                <w:kern w:val="0"/>
                <w:sz w:val="20"/>
                <w:szCs w:val="20"/>
                <w:lang w:bidi="ar"/>
                <w14:textFill>
                  <w14:solidFill>
                    <w14:schemeClr w14:val="tx1"/>
                  </w14:solidFill>
                </w14:textFill>
              </w:rPr>
              <w:t>.响应人需提供用户传输端设备，支持单条电路扩容至10Gbps能力，且具备双电源供电。</w:t>
            </w:r>
          </w:p>
          <w:p w14:paraId="007299CA">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1</w:t>
            </w:r>
            <w:r>
              <w:rPr>
                <w:rFonts w:hint="eastAsia" w:ascii="宋体" w:hAnsi="宋体" w:eastAsia="宋体" w:cs="宋体"/>
                <w:color w:val="000000" w:themeColor="text1"/>
                <w:kern w:val="0"/>
                <w:sz w:val="20"/>
                <w:szCs w:val="20"/>
                <w:lang w:val="en-US" w:eastAsia="zh-CN" w:bidi="ar"/>
                <w14:textFill>
                  <w14:solidFill>
                    <w14:schemeClr w14:val="tx1"/>
                  </w14:solidFill>
                </w14:textFill>
              </w:rPr>
              <w:t>2</w:t>
            </w:r>
            <w:r>
              <w:rPr>
                <w:rFonts w:hint="eastAsia" w:ascii="宋体" w:hAnsi="宋体" w:eastAsia="宋体" w:cs="宋体"/>
                <w:color w:val="000000" w:themeColor="text1"/>
                <w:kern w:val="0"/>
                <w:sz w:val="20"/>
                <w:szCs w:val="20"/>
                <w:lang w:bidi="ar"/>
                <w14:textFill>
                  <w14:solidFill>
                    <w14:schemeClr w14:val="tx1"/>
                  </w14:solidFill>
                </w14:textFill>
              </w:rPr>
              <w:t>.互联网专线要求具有核心网全程网管监控功能，并实行7</w:t>
            </w:r>
            <w:r>
              <w:rPr>
                <w:rFonts w:hint="eastAsia" w:ascii="宋体" w:hAnsi="宋体" w:eastAsia="宋体" w:cs="宋体"/>
                <w:color w:val="000000" w:themeColor="text1"/>
                <w:kern w:val="0"/>
                <w:sz w:val="20"/>
                <w:szCs w:val="20"/>
                <w:lang w:val="en-US" w:eastAsia="zh-CN" w:bidi="ar"/>
                <w14:textFill>
                  <w14:solidFill>
                    <w14:schemeClr w14:val="tx1"/>
                  </w14:solidFill>
                </w14:textFill>
              </w:rPr>
              <w:t>×</w:t>
            </w:r>
            <w:r>
              <w:rPr>
                <w:rFonts w:hint="eastAsia" w:ascii="宋体" w:hAnsi="宋体" w:eastAsia="宋体" w:cs="宋体"/>
                <w:color w:val="000000" w:themeColor="text1"/>
                <w:kern w:val="0"/>
                <w:sz w:val="20"/>
                <w:szCs w:val="20"/>
                <w:lang w:bidi="ar"/>
                <w14:textFill>
                  <w14:solidFill>
                    <w14:schemeClr w14:val="tx1"/>
                  </w14:solidFill>
                </w14:textFill>
              </w:rPr>
              <w:t>24小时实时监控，具备自动告警、日志查询等功能。</w:t>
            </w:r>
          </w:p>
          <w:p w14:paraId="4CB80DB3">
            <w:pPr>
              <w:widowControl/>
              <w:jc w:val="left"/>
              <w:rPr>
                <w:rFonts w:hint="eastAsia" w:ascii="宋体" w:hAnsi="宋体" w:eastAsia="宋体" w:cs="宋体"/>
                <w:color w:val="000000" w:themeColor="text1"/>
                <w:kern w:val="0"/>
                <w:sz w:val="20"/>
                <w:szCs w:val="20"/>
                <w:lang w:bidi="ar"/>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1</w:t>
            </w:r>
            <w:r>
              <w:rPr>
                <w:rFonts w:hint="eastAsia" w:ascii="宋体" w:hAnsi="宋体" w:eastAsia="宋体" w:cs="宋体"/>
                <w:color w:val="000000" w:themeColor="text1"/>
                <w:kern w:val="0"/>
                <w:sz w:val="20"/>
                <w:szCs w:val="20"/>
                <w:lang w:val="en-US" w:eastAsia="zh-CN" w:bidi="ar"/>
                <w14:textFill>
                  <w14:solidFill>
                    <w14:schemeClr w14:val="tx1"/>
                  </w14:solidFill>
                </w14:textFill>
              </w:rPr>
              <w:t>3</w:t>
            </w:r>
            <w:r>
              <w:rPr>
                <w:rFonts w:hint="eastAsia" w:ascii="宋体" w:hAnsi="宋体" w:eastAsia="宋体" w:cs="宋体"/>
                <w:color w:val="000000" w:themeColor="text1"/>
                <w:kern w:val="0"/>
                <w:sz w:val="20"/>
                <w:szCs w:val="20"/>
                <w:lang w:bidi="ar"/>
                <w14:textFill>
                  <w14:solidFill>
                    <w14:schemeClr w14:val="tx1"/>
                  </w14:solidFill>
                </w14:textFill>
              </w:rPr>
              <w:t>.接入地点:贺州学院</w:t>
            </w:r>
            <w:r>
              <w:rPr>
                <w:rFonts w:hint="eastAsia" w:ascii="宋体" w:hAnsi="宋体" w:eastAsia="宋体" w:cs="宋体"/>
                <w:color w:val="000000" w:themeColor="text1"/>
                <w:kern w:val="0"/>
                <w:sz w:val="20"/>
                <w:szCs w:val="20"/>
                <w:lang w:val="en-US" w:eastAsia="zh-CN" w:bidi="ar"/>
                <w14:textFill>
                  <w14:solidFill>
                    <w14:schemeClr w14:val="tx1"/>
                  </w14:solidFill>
                </w14:textFill>
              </w:rPr>
              <w:t>西校区</w:t>
            </w:r>
            <w:r>
              <w:rPr>
                <w:rFonts w:hint="eastAsia" w:ascii="宋体" w:hAnsi="宋体" w:eastAsia="宋体" w:cs="宋体"/>
                <w:color w:val="000000" w:themeColor="text1"/>
                <w:kern w:val="0"/>
                <w:sz w:val="20"/>
                <w:szCs w:val="20"/>
                <w:lang w:bidi="ar"/>
                <w14:textFill>
                  <w14:solidFill>
                    <w14:schemeClr w14:val="tx1"/>
                  </w14:solidFill>
                </w14:textFill>
              </w:rPr>
              <w:t>信息楼，且响应人需铺设线路至采购人指定接入设备前，铺设路程由响应人自行勘探。</w:t>
            </w:r>
          </w:p>
          <w:p w14:paraId="2C10F409">
            <w:pPr>
              <w:widowControl/>
              <w:spacing w:line="320" w:lineRule="exact"/>
              <w:jc w:val="left"/>
              <w:rPr>
                <w:rFonts w:ascii="宋体" w:hAnsi="宋体" w:cs="宋体"/>
                <w:b/>
                <w:bCs/>
                <w:color w:val="000000" w:themeColor="text1"/>
                <w14:textFill>
                  <w14:solidFill>
                    <w14:schemeClr w14:val="tx1"/>
                  </w14:solidFill>
                </w14:textFill>
              </w:rPr>
            </w:pPr>
            <w:r>
              <w:rPr>
                <w:rFonts w:hint="eastAsia" w:ascii="宋体" w:hAnsi="宋体" w:eastAsia="宋体" w:cs="宋体"/>
                <w:color w:val="000000" w:themeColor="text1"/>
                <w:kern w:val="0"/>
                <w:sz w:val="20"/>
                <w:szCs w:val="20"/>
                <w:lang w:bidi="ar"/>
                <w14:textFill>
                  <w14:solidFill>
                    <w14:schemeClr w14:val="tx1"/>
                  </w14:solidFill>
                </w14:textFill>
              </w:rPr>
              <w:t>▲1</w:t>
            </w:r>
            <w:r>
              <w:rPr>
                <w:rFonts w:hint="eastAsia" w:ascii="宋体" w:hAnsi="宋体" w:eastAsia="宋体" w:cs="宋体"/>
                <w:color w:val="000000" w:themeColor="text1"/>
                <w:kern w:val="0"/>
                <w:sz w:val="20"/>
                <w:szCs w:val="20"/>
                <w:lang w:val="en-US" w:eastAsia="zh-CN" w:bidi="ar"/>
                <w14:textFill>
                  <w14:solidFill>
                    <w14:schemeClr w14:val="tx1"/>
                  </w14:solidFill>
                </w14:textFill>
              </w:rPr>
              <w:t>4</w:t>
            </w:r>
            <w:r>
              <w:rPr>
                <w:rFonts w:hint="eastAsia" w:ascii="宋体" w:hAnsi="宋体" w:eastAsia="宋体" w:cs="宋体"/>
                <w:color w:val="000000" w:themeColor="text1"/>
                <w:kern w:val="0"/>
                <w:sz w:val="20"/>
                <w:szCs w:val="20"/>
                <w:lang w:bidi="ar"/>
                <w14:textFill>
                  <w14:solidFill>
                    <w14:schemeClr w14:val="tx1"/>
                  </w14:solidFill>
                </w14:textFill>
              </w:rPr>
              <w:t>.在服务周期内提供东、西两校区互联传输链路。提供4条</w:t>
            </w:r>
            <w:r>
              <w:rPr>
                <w:rFonts w:hint="eastAsia" w:ascii="宋体" w:hAnsi="宋体" w:eastAsia="宋体" w:cs="宋体"/>
                <w:color w:val="000000" w:themeColor="text1"/>
                <w:kern w:val="0"/>
                <w:sz w:val="20"/>
                <w:szCs w:val="20"/>
                <w:lang w:val="en-US" w:eastAsia="zh-CN" w:bidi="ar"/>
                <w14:textFill>
                  <w14:solidFill>
                    <w14:schemeClr w14:val="tx1"/>
                  </w14:solidFill>
                </w14:textFill>
              </w:rPr>
              <w:t>≥4</w:t>
            </w:r>
            <w:r>
              <w:rPr>
                <w:rFonts w:hint="eastAsia" w:ascii="宋体" w:hAnsi="宋体" w:eastAsia="宋体" w:cs="宋体"/>
                <w:color w:val="000000" w:themeColor="text1"/>
                <w:kern w:val="0"/>
                <w:sz w:val="20"/>
                <w:szCs w:val="20"/>
                <w:lang w:bidi="ar"/>
                <w14:textFill>
                  <w14:solidFill>
                    <w14:schemeClr w14:val="tx1"/>
                  </w14:solidFill>
                </w14:textFill>
              </w:rPr>
              <w:t>00M</w:t>
            </w:r>
            <w:r>
              <w:rPr>
                <w:rFonts w:hint="eastAsia" w:ascii="宋体" w:hAnsi="宋体" w:eastAsia="宋体" w:cs="宋体"/>
                <w:color w:val="000000" w:themeColor="text1"/>
                <w:kern w:val="0"/>
                <w:sz w:val="20"/>
                <w:szCs w:val="20"/>
                <w:lang w:val="en-US" w:eastAsia="zh-CN" w:bidi="ar"/>
                <w14:textFill>
                  <w14:solidFill>
                    <w14:schemeClr w14:val="tx1"/>
                  </w14:solidFill>
                </w14:textFill>
              </w:rPr>
              <w:t>bps</w:t>
            </w:r>
            <w:r>
              <w:rPr>
                <w:rFonts w:hint="eastAsia" w:ascii="宋体" w:hAnsi="宋体" w:eastAsia="宋体" w:cs="宋体"/>
                <w:color w:val="000000" w:themeColor="text1"/>
                <w:kern w:val="0"/>
                <w:sz w:val="20"/>
                <w:szCs w:val="20"/>
                <w:lang w:bidi="ar"/>
                <w14:textFill>
                  <w14:solidFill>
                    <w14:schemeClr w14:val="tx1"/>
                  </w14:solidFill>
                </w14:textFill>
              </w:rPr>
              <w:t>电路专线，全程提供MSTP电路或优于以上技术的专线接入技术，点对点提供独享带宽，全程不进行IP层转发，不得利用VPN组网，电路质量应符合国家相关标准和规定。</w:t>
            </w:r>
          </w:p>
        </w:tc>
      </w:tr>
      <w:tr w14:paraId="6A0186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321" w:type="dxa"/>
            <w:gridSpan w:val="6"/>
            <w:tcBorders>
              <w:top w:val="single" w:color="auto" w:sz="4" w:space="0"/>
              <w:left w:val="single" w:color="auto" w:sz="4" w:space="0"/>
              <w:bottom w:val="single" w:color="auto" w:sz="4" w:space="0"/>
              <w:right w:val="single" w:color="auto" w:sz="4" w:space="0"/>
            </w:tcBorders>
            <w:noWrap/>
            <w:vAlign w:val="center"/>
          </w:tcPr>
          <w:p w14:paraId="469C01E5">
            <w:pPr>
              <w:widowControl/>
              <w:spacing w:line="360" w:lineRule="exac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商务及其他要求表</w:t>
            </w:r>
          </w:p>
        </w:tc>
      </w:tr>
      <w:tr w14:paraId="571CD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5792EF2A">
            <w:pPr>
              <w:widowControl/>
              <w:jc w:val="center"/>
              <w:textAlignment w:val="center"/>
              <w:rPr>
                <w:rFonts w:ascii="宋体" w:hAns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“▲”号说明</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3AEDFD58">
            <w:pPr>
              <w:autoSpaceDN w:val="0"/>
              <w:rPr>
                <w:rFonts w:ascii="宋体" w:hAnsi="宋体" w:cs="宋体"/>
                <w:color w:val="000000" w:themeColor="text1"/>
                <w14:textFill>
                  <w14:solidFill>
                    <w14:schemeClr w14:val="tx1"/>
                  </w14:solidFill>
                </w14:textFill>
              </w:rPr>
            </w:pPr>
            <w:r>
              <w:rPr>
                <w:rFonts w:hint="eastAsia" w:ascii="宋体" w:hAnsi="宋体" w:cs="宋体"/>
                <w:color w:val="000000" w:themeColor="text1"/>
                <w:spacing w:val="-6"/>
                <w14:textFill>
                  <w14:solidFill>
                    <w14:schemeClr w14:val="tx1"/>
                  </w14:solidFill>
                </w14:textFill>
              </w:rPr>
              <w:t>服务内容、参数及要求中标明“▲”号的参数为必须响应的实质性要求，否则磋商响应文件无效。</w:t>
            </w:r>
          </w:p>
        </w:tc>
      </w:tr>
      <w:tr w14:paraId="3308C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09BEC1DA">
            <w:pPr>
              <w:widowControl/>
              <w:jc w:val="center"/>
              <w:textAlignment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服务期限</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761F8A47">
            <w:pPr>
              <w:autoSpaceDN w:val="0"/>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服务期</w:t>
            </w:r>
            <w:r>
              <w:rPr>
                <w:rFonts w:hint="eastAsia" w:ascii="宋体" w:hAnsi="宋体" w:cs="宋体"/>
                <w:color w:val="000000" w:themeColor="text1"/>
                <w:lang w:val="en-US" w:eastAsia="zh-CN"/>
                <w14:textFill>
                  <w14:solidFill>
                    <w14:schemeClr w14:val="tx1"/>
                  </w14:solidFill>
                </w14:textFill>
              </w:rPr>
              <w:t>24</w:t>
            </w:r>
            <w:r>
              <w:rPr>
                <w:rFonts w:hint="eastAsia" w:ascii="宋体" w:hAnsi="宋体" w:cs="宋体"/>
                <w:color w:val="000000" w:themeColor="text1"/>
                <w14:textFill>
                  <w14:solidFill>
                    <w14:schemeClr w14:val="tx1"/>
                  </w14:solidFill>
                </w14:textFill>
              </w:rPr>
              <w:t>个月（按合同要求提供服务之日起）。</w:t>
            </w:r>
          </w:p>
        </w:tc>
      </w:tr>
      <w:tr w14:paraId="3B6D0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73D14BAC">
            <w:pPr>
              <w:widowControl/>
              <w:jc w:val="center"/>
              <w:textAlignment w:val="center"/>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交付时间及地点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3F50FD5F">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1.交付时间：签订合同后10个工作日。</w:t>
            </w:r>
          </w:p>
          <w:p w14:paraId="2114F0F7">
            <w:pPr>
              <w:autoSpaceDN w:val="0"/>
              <w:ind w:firstLine="420" w:firstLineChars="200"/>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2.交付地点：广西区南宁市内（采购人指定地点）。</w:t>
            </w:r>
          </w:p>
        </w:tc>
      </w:tr>
      <w:tr w14:paraId="24D47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612D1187">
            <w:pPr>
              <w:jc w:val="center"/>
              <w:rPr>
                <w:rFonts w:ascii="宋体" w:hAnsi="宋体" w:cs="仿宋"/>
                <w:color w:val="000000" w:themeColor="text1"/>
                <w:kern w:val="0"/>
                <w:lang w:val="zh-CN"/>
                <w14:textFill>
                  <w14:solidFill>
                    <w14:schemeClr w14:val="tx1"/>
                  </w14:solidFill>
                </w14:textFill>
              </w:rPr>
            </w:pPr>
            <w:r>
              <w:rPr>
                <w:rFonts w:hint="eastAsia" w:ascii="宋体" w:hAnsi="宋体"/>
                <w:color w:val="000000" w:themeColor="text1"/>
                <w14:textFill>
                  <w14:solidFill>
                    <w14:schemeClr w14:val="tx1"/>
                  </w14:solidFill>
                </w14:textFill>
              </w:rPr>
              <w:t>付款方式</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1906616E">
            <w:pPr>
              <w:autoSpaceDN w:val="0"/>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14:textFill>
                  <w14:solidFill>
                    <w14:schemeClr w14:val="tx1"/>
                  </w14:solidFill>
                </w14:textFill>
              </w:rPr>
              <w:t>本项目无预付款，成交供应商按要求开通网络线路，项目经采购人验收合格后，成交供应商根据采购人实际使用带宽和天数进行费用计算</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14:textFill>
                  <w14:solidFill>
                    <w14:schemeClr w14:val="tx1"/>
                  </w14:solidFill>
                </w14:textFill>
              </w:rPr>
              <w:t>每季度进行一次费用结算</w:t>
            </w:r>
            <w:r>
              <w:rPr>
                <w:rFonts w:hint="eastAsia" w:ascii="宋体" w:hAnsi="宋体" w:cs="宋体"/>
                <w:color w:val="000000" w:themeColor="text1"/>
                <w:lang w:eastAsia="zh-CN"/>
                <w14:textFill>
                  <w14:solidFill>
                    <w14:schemeClr w14:val="tx1"/>
                  </w14:solidFill>
                </w14:textFill>
              </w:rPr>
              <w:t>，</w:t>
            </w:r>
            <w:r>
              <w:rPr>
                <w:rFonts w:hint="eastAsia" w:ascii="宋体" w:hAnsi="宋体" w:cs="宋体"/>
                <w:color w:val="000000" w:themeColor="text1"/>
                <w14:textFill>
                  <w14:solidFill>
                    <w14:schemeClr w14:val="tx1"/>
                  </w14:solidFill>
                </w14:textFill>
              </w:rPr>
              <w:t>开具增值税专用发票给采购人，采购人收到发票后支付</w:t>
            </w:r>
            <w:r>
              <w:rPr>
                <w:rFonts w:hint="eastAsia" w:ascii="宋体" w:hAnsi="宋体" w:cs="宋体"/>
                <w:color w:val="000000" w:themeColor="text1"/>
                <w:lang w:val="en-US" w:eastAsia="zh-CN"/>
                <w14:textFill>
                  <w14:solidFill>
                    <w14:schemeClr w14:val="tx1"/>
                  </w14:solidFill>
                </w14:textFill>
              </w:rPr>
              <w:t>相应费用</w:t>
            </w:r>
            <w:r>
              <w:rPr>
                <w:rFonts w:hint="eastAsia" w:ascii="宋体" w:hAnsi="宋体" w:cs="宋体"/>
                <w:color w:val="000000" w:themeColor="text1"/>
                <w14:textFill>
                  <w14:solidFill>
                    <w14:schemeClr w14:val="tx1"/>
                  </w14:solidFill>
                </w14:textFill>
              </w:rPr>
              <w:t>。</w:t>
            </w:r>
          </w:p>
        </w:tc>
      </w:tr>
      <w:tr w14:paraId="56B43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05CC454B">
            <w:pPr>
              <w:jc w:val="center"/>
              <w:rPr>
                <w:rFonts w:ascii="宋体" w:hAnsi="宋体" w:cs="仿宋"/>
                <w:color w:val="000000" w:themeColor="text1"/>
                <w:kern w:val="0"/>
                <w:lang w:val="zh-CN"/>
                <w14:textFill>
                  <w14:solidFill>
                    <w14:schemeClr w14:val="tx1"/>
                  </w14:solidFill>
                </w14:textFill>
              </w:rPr>
            </w:pPr>
            <w:r>
              <w:rPr>
                <w:rFonts w:hint="eastAsia" w:ascii="宋体" w:hAnsi="宋体"/>
                <w:color w:val="000000" w:themeColor="text1"/>
                <w14:textFill>
                  <w14:solidFill>
                    <w14:schemeClr w14:val="tx1"/>
                  </w14:solidFill>
                </w14:textFill>
              </w:rPr>
              <w:t>履约保证金</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088AFA62">
            <w:pPr>
              <w:autoSpaceDN w:val="0"/>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本项目无履约保证金。</w:t>
            </w:r>
          </w:p>
        </w:tc>
      </w:tr>
      <w:tr w14:paraId="6736C1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5A50F2D7">
            <w:pPr>
              <w:jc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服务要求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6E811857">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1.成交人送货上门，并安装调试；</w:t>
            </w:r>
          </w:p>
          <w:p w14:paraId="698FB392">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2.提供网络运维服务；</w:t>
            </w:r>
          </w:p>
          <w:p w14:paraId="48E8CC85">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提供网络安全运维巡检服务，保障网络使用安全。</w:t>
            </w:r>
          </w:p>
          <w:p w14:paraId="25FAD40C">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2.2.如若采购人需要提供网络接口对接服务，</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应按照需求提供对接。</w:t>
            </w:r>
          </w:p>
          <w:p w14:paraId="22A5A003">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2.3.如果涉及第三方软件接口开发服务，</w:t>
            </w:r>
            <w:r>
              <w:rPr>
                <w:rFonts w:hint="eastAsia" w:ascii="宋体" w:hAnsi="宋体" w:cs="宋体"/>
                <w:color w:val="000000" w:themeColor="text1"/>
                <w14:textFill>
                  <w14:solidFill>
                    <w14:schemeClr w14:val="tx1"/>
                  </w14:solidFill>
                </w14:textFill>
              </w:rPr>
              <w:t>成交人</w:t>
            </w:r>
            <w:r>
              <w:rPr>
                <w:rFonts w:hint="eastAsia" w:ascii="宋体" w:hAnsi="宋体" w:cs="宋体"/>
                <w:color w:val="000000" w:themeColor="text1"/>
                <w:szCs w:val="21"/>
                <w14:textFill>
                  <w14:solidFill>
                    <w14:schemeClr w14:val="tx1"/>
                  </w14:solidFill>
                </w14:textFill>
              </w:rPr>
              <w:t>将配合开发对接端口。</w:t>
            </w:r>
          </w:p>
          <w:p w14:paraId="46F849CA">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3.故障响应时间：</w:t>
            </w:r>
            <w:r>
              <w:rPr>
                <w:rFonts w:hint="eastAsia" w:hAnsi="宋体"/>
                <w:color w:val="000000" w:themeColor="text1"/>
                <w:kern w:val="0"/>
                <w14:textFill>
                  <w14:solidFill>
                    <w14:schemeClr w14:val="tx1"/>
                  </w14:solidFill>
                </w14:textFill>
              </w:rPr>
              <w:t>故障申报1</w:t>
            </w:r>
            <w:r>
              <w:rPr>
                <w:rFonts w:hAnsi="宋体"/>
                <w:color w:val="000000" w:themeColor="text1"/>
                <w:kern w:val="0"/>
                <w14:textFill>
                  <w14:solidFill>
                    <w14:schemeClr w14:val="tx1"/>
                  </w14:solidFill>
                </w14:textFill>
              </w:rPr>
              <w:t>5</w:t>
            </w:r>
            <w:r>
              <w:rPr>
                <w:rFonts w:hint="eastAsia" w:hAnsi="宋体"/>
                <w:color w:val="000000" w:themeColor="text1"/>
                <w:kern w:val="0"/>
                <w14:textFill>
                  <w14:solidFill>
                    <w14:schemeClr w14:val="tx1"/>
                  </w14:solidFill>
                </w14:textFill>
              </w:rPr>
              <w:t>分钟内响应，3小时到达现场，10小时恢复业务（自然灾害等不可抗拒原因除外）</w:t>
            </w:r>
            <w:r>
              <w:rPr>
                <w:rFonts w:hint="eastAsia" w:ascii="宋体" w:hAnsi="宋体" w:cs="宋体"/>
                <w:color w:val="000000" w:themeColor="text1"/>
                <w:szCs w:val="21"/>
                <w14:textFill>
                  <w14:solidFill>
                    <w14:schemeClr w14:val="tx1"/>
                  </w14:solidFill>
                </w14:textFill>
              </w:rPr>
              <w:t>。</w:t>
            </w:r>
          </w:p>
          <w:p w14:paraId="3E3394C9">
            <w:pPr>
              <w:pStyle w:val="7"/>
              <w:ind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Ansi="宋体"/>
                <w:color w:val="000000" w:themeColor="text1"/>
                <w:kern w:val="0"/>
                <w:lang w:val="en"/>
                <w14:textFill>
                  <w14:solidFill>
                    <w14:schemeClr w14:val="tx1"/>
                  </w14:solidFill>
                </w14:textFill>
              </w:rPr>
              <w:t>成交</w:t>
            </w:r>
            <w:r>
              <w:rPr>
                <w:rFonts w:hint="eastAsia" w:hAnsi="宋体"/>
                <w:color w:val="000000" w:themeColor="text1"/>
                <w:kern w:val="0"/>
                <w14:textFill>
                  <w14:solidFill>
                    <w14:schemeClr w14:val="tx1"/>
                  </w14:solidFill>
                </w14:textFill>
              </w:rPr>
              <w:t>供应商需安排专门技术人员提供7×24小时热线电话服务，并提供多个故障申告途径及绿色通道，做到全方位响应，并指定专人负责上门受理调试日常维护及平时协助甲方维护检测等工作；提供故障处理进度跟踪服务，提供7×24小时的售后服务响应。</w:t>
            </w:r>
          </w:p>
          <w:p w14:paraId="5BDFCB05">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在租用期内，成交供应商应严格遵守《中华人民共和国电信条例》，维护双方权益，按工信部颁布的《电信服务标准》的电路质量要求，保证采购人租用系统畅通及安全使用，保证采购人网络的连续稳定运行。</w:t>
            </w:r>
          </w:p>
          <w:p w14:paraId="337C5D27">
            <w:pPr>
              <w:ind w:firstLine="420" w:firstLineChars="200"/>
              <w:jc w:val="left"/>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6.因成交供应商施工、网络割接等原因影响宽带网络运行的，应当提前一天通知采购人，并且尽快消除故障、恢复通信线路；</w:t>
            </w:r>
          </w:p>
          <w:p w14:paraId="450E6EF2">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7.当采购人网络需要扩展或升级时，成交供应商负责提供相应解决方案。</w:t>
            </w:r>
          </w:p>
          <w:p w14:paraId="55C30238">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8.在线路服务期内，每个季度至少派人对线路进行一次巡检，检查网络设备和主干光缆的运行情况，并提交巡检报告。</w:t>
            </w:r>
          </w:p>
          <w:p w14:paraId="3539030C">
            <w:pPr>
              <w:ind w:firstLine="420" w:firstLineChars="200"/>
              <w:jc w:val="left"/>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9.项目团队具备一定行业实施经验，实施及售后人员团队规模不能低于10人。</w:t>
            </w:r>
          </w:p>
        </w:tc>
      </w:tr>
      <w:tr w14:paraId="72067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3ABD16EC">
            <w:pPr>
              <w:widowControl/>
              <w:snapToGrid w:val="0"/>
              <w:jc w:val="center"/>
              <w:textAlignment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验收要求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032539EC">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要求履约过程中所有服务行为、软件、成果文件等均不涉及任何法律纠纷。</w:t>
            </w:r>
          </w:p>
          <w:p w14:paraId="462BD293">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项目必须通过采购人的验收。验收不合格的，采购人可在五个工作日内以书面形式向成交供应商提出</w:t>
            </w:r>
            <w:r>
              <w:rPr>
                <w:rFonts w:hint="eastAsia" w:ascii="宋体" w:hAnsi="宋体" w:cs="宋体"/>
                <w:color w:val="000000" w:themeColor="text1"/>
                <w:lang w:eastAsia="zh-Hans"/>
                <w14:textFill>
                  <w14:solidFill>
                    <w14:schemeClr w14:val="tx1"/>
                  </w14:solidFill>
                </w14:textFill>
              </w:rPr>
              <w:t>整改要求</w:t>
            </w:r>
            <w:r>
              <w:rPr>
                <w:rFonts w:hint="eastAsia" w:ascii="宋体" w:hAnsi="宋体" w:cs="宋体"/>
                <w:color w:val="000000" w:themeColor="text1"/>
                <w14:textFill>
                  <w14:solidFill>
                    <w14:schemeClr w14:val="tx1"/>
                  </w14:solidFill>
                </w14:textFill>
              </w:rPr>
              <w:t>，成交供应商应自收到采购人整改要求</w:t>
            </w:r>
            <w:r>
              <w:rPr>
                <w:rFonts w:hint="eastAsia" w:ascii="宋体" w:hAnsi="宋体" w:cs="宋体"/>
                <w:color w:val="000000" w:themeColor="text1"/>
                <w:lang w:eastAsia="zh-Hans"/>
                <w14:textFill>
                  <w14:solidFill>
                    <w14:schemeClr w14:val="tx1"/>
                  </w14:solidFill>
                </w14:textFill>
              </w:rPr>
              <w:t>之日起</w:t>
            </w:r>
            <w:r>
              <w:rPr>
                <w:rFonts w:hint="eastAsia" w:ascii="宋体" w:hAnsi="宋体" w:cs="宋体"/>
                <w:color w:val="000000" w:themeColor="text1"/>
                <w14:textFill>
                  <w14:solidFill>
                    <w14:schemeClr w14:val="tx1"/>
                  </w14:solidFill>
                </w14:textFill>
              </w:rPr>
              <w:t>三日内及时予以解决。若整改后仍无法通过验收，采购人有权不起租或解除合同。</w:t>
            </w:r>
          </w:p>
          <w:p w14:paraId="1A3A21F5">
            <w:pPr>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本项目须严格执行国家、地方及行业相关验收标准及规范。</w:t>
            </w:r>
          </w:p>
          <w:p w14:paraId="4335623C">
            <w:pPr>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w:t>
            </w:r>
            <w:r>
              <w:rPr>
                <w:rFonts w:hint="eastAsia" w:ascii="宋体" w:hAnsi="宋体" w:cs="宋体"/>
                <w:color w:val="000000" w:themeColor="text1"/>
                <w:lang w:bidi="ar"/>
                <w14:textFill>
                  <w14:solidFill>
                    <w14:schemeClr w14:val="tx1"/>
                  </w14:solidFill>
                </w14:textFill>
              </w:rPr>
              <w:t>.</w:t>
            </w:r>
            <w:r>
              <w:rPr>
                <w:rFonts w:hint="eastAsia" w:ascii="宋体" w:hAnsi="宋体" w:cs="宋体"/>
                <w:color w:val="000000" w:themeColor="text1"/>
                <w14:textFill>
                  <w14:solidFill>
                    <w14:schemeClr w14:val="tx1"/>
                  </w14:solidFill>
                </w14:textFill>
              </w:rPr>
              <w:t>验收过程中所产生的一切费用均由成交供应商承担，报价时应考虑相关费用。</w:t>
            </w:r>
          </w:p>
        </w:tc>
      </w:tr>
      <w:tr w14:paraId="1D463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7CACA719">
            <w:pPr>
              <w:widowControl/>
              <w:snapToGrid w:val="0"/>
              <w:jc w:val="center"/>
              <w:textAlignment w:val="center"/>
              <w:rPr>
                <w:rFonts w:ascii="宋体" w:hAnsi="宋体" w:cs="仿宋"/>
                <w:color w:val="000000" w:themeColor="text1"/>
                <w:kern w:val="0"/>
                <w:lang w:val="zh-CN"/>
                <w14:textFill>
                  <w14:solidFill>
                    <w14:schemeClr w14:val="tx1"/>
                  </w14:solidFill>
                </w14:textFill>
              </w:rPr>
            </w:pPr>
            <w:r>
              <w:rPr>
                <w:rFonts w:hint="eastAsia" w:ascii="宋体" w:hAnsi="宋体" w:cs="宋体"/>
                <w:color w:val="000000" w:themeColor="text1"/>
                <w14:textFill>
                  <w14:solidFill>
                    <w14:schemeClr w14:val="tx1"/>
                  </w14:solidFill>
                </w14:textFill>
              </w:rPr>
              <w:t>报价要求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06936AE3">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本项目按服务总价包干，为交钥匙工程，采购人不对项目服务、货物、施工等一切内容追加支付费用，而由</w:t>
            </w:r>
            <w:r>
              <w:rPr>
                <w:rFonts w:hint="eastAsia" w:ascii="宋体" w:hAnsi="宋体"/>
                <w:color w:val="000000" w:themeColor="text1"/>
                <w14:textFill>
                  <w14:solidFill>
                    <w14:schemeClr w14:val="tx1"/>
                  </w14:solidFill>
                </w14:textFill>
              </w:rPr>
              <w:t>成交供应商</w:t>
            </w:r>
            <w:r>
              <w:rPr>
                <w:rFonts w:hint="eastAsia" w:ascii="宋体" w:hAnsi="宋体"/>
                <w:color w:val="000000" w:themeColor="text1"/>
                <w:lang w:eastAsia="zh-Hans"/>
                <w14:textFill>
                  <w14:solidFill>
                    <w14:schemeClr w14:val="tx1"/>
                  </w14:solidFill>
                </w14:textFill>
              </w:rPr>
              <w:t>在合同价内全部提供或解决，报价必须含以下部分：</w:t>
            </w:r>
          </w:p>
          <w:p w14:paraId="6078433B">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（1）服务的价格；</w:t>
            </w:r>
          </w:p>
          <w:p w14:paraId="00B81431">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（2）必要的保险费用和各项税金；</w:t>
            </w:r>
          </w:p>
          <w:p w14:paraId="30EB428A">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（3）安装、调试、培训、技术支持、售后服务、更新升级等费用；</w:t>
            </w:r>
          </w:p>
          <w:p w14:paraId="4C647E73">
            <w:pPr>
              <w:ind w:firstLine="420" w:firstLineChars="200"/>
              <w:jc w:val="left"/>
              <w:rPr>
                <w:rFonts w:ascii="宋体" w:hAnsi="宋体"/>
                <w:color w:val="000000" w:themeColor="text1"/>
                <w:lang w:eastAsia="zh-Hans"/>
                <w14:textFill>
                  <w14:solidFill>
                    <w14:schemeClr w14:val="tx1"/>
                  </w14:solidFill>
                </w14:textFill>
              </w:rPr>
            </w:pPr>
            <w:r>
              <w:rPr>
                <w:rFonts w:hint="eastAsia" w:ascii="宋体" w:hAnsi="宋体"/>
                <w:color w:val="000000" w:themeColor="text1"/>
                <w:lang w:eastAsia="zh-Hans"/>
                <w14:textFill>
                  <w14:solidFill>
                    <w14:schemeClr w14:val="tx1"/>
                  </w14:solidFill>
                </w14:textFill>
              </w:rPr>
              <w:t>（4）验收时的专家服务费和采购代理费用；</w:t>
            </w:r>
          </w:p>
          <w:p w14:paraId="4653F0B5">
            <w:pPr>
              <w:ind w:firstLine="420" w:firstLineChars="200"/>
              <w:jc w:val="left"/>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lang w:eastAsia="zh-Hans"/>
                <w14:textFill>
                  <w14:solidFill>
                    <w14:schemeClr w14:val="tx1"/>
                  </w14:solidFill>
                </w14:textFill>
              </w:rPr>
              <w:t>（5）租用线路的开通费、初装费，并承担所提供的线路相关配件设备一年内的维修维护费及调整测试费</w:t>
            </w:r>
            <w:r>
              <w:rPr>
                <w:rFonts w:hint="eastAsia" w:ascii="宋体" w:hAnsi="宋体"/>
                <w:color w:val="000000" w:themeColor="text1"/>
                <w:lang w:eastAsia="zh-CN"/>
                <w14:textFill>
                  <w14:solidFill>
                    <w14:schemeClr w14:val="tx1"/>
                  </w14:solidFill>
                </w14:textFill>
              </w:rPr>
              <w:t>。</w:t>
            </w:r>
          </w:p>
        </w:tc>
      </w:tr>
      <w:tr w14:paraId="290E4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2A208216">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cs="仿宋"/>
                <w:color w:val="000000" w:themeColor="text1"/>
                <w:kern w:val="0"/>
                <w:lang w:val="zh-CN"/>
                <w14:textFill>
                  <w14:solidFill>
                    <w14:schemeClr w14:val="tx1"/>
                  </w14:solidFill>
                </w14:textFill>
              </w:rPr>
              <w:t>其他要求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3C2B5BB6">
            <w:pPr>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▲1.本项目磋商时以预算金额为最高限价，磋商时以最高限价为评审依据，供应商磋商报价超最高限价的作无效处理；</w:t>
            </w:r>
          </w:p>
          <w:p w14:paraId="666A2729">
            <w:pPr>
              <w:ind w:firstLine="420" w:firstLineChars="20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2.供应商必须服从采购人现场负责人的指挥，按指定地点进行安装；</w:t>
            </w:r>
          </w:p>
          <w:p w14:paraId="116D4C21">
            <w:pPr>
              <w:pStyle w:val="16"/>
              <w:spacing w:line="240" w:lineRule="auto"/>
              <w:ind w:firstLine="420" w:firstLineChars="200"/>
              <w:rPr>
                <w:rFonts w:ascii="宋体" w:hAnsi="宋体"/>
                <w:color w:val="000000" w:themeColor="text1"/>
                <w:sz w:val="21"/>
                <w:szCs w:val="21"/>
                <w14:textFill>
                  <w14:solidFill>
                    <w14:schemeClr w14:val="tx1"/>
                  </w14:solidFill>
                </w14:textFill>
              </w:rPr>
            </w:pPr>
            <w:r>
              <w:rPr>
                <w:rFonts w:hint="eastAsia" w:ascii="宋体" w:hAnsi="宋体" w:cs="宋体"/>
                <w:color w:val="000000" w:themeColor="text1"/>
                <w:kern w:val="0"/>
                <w:sz w:val="21"/>
                <w:szCs w:val="21"/>
                <w14:textFill>
                  <w14:solidFill>
                    <w14:schemeClr w14:val="tx1"/>
                  </w14:solidFill>
                </w14:textFill>
              </w:rPr>
              <w:t>▲3.由于成交供应商原因，未能按本项目合同规定的内容、时间及相关要求向采购人交付服务成果的，采购人有权解除合同，并追究成交供应商违约责任。</w:t>
            </w:r>
          </w:p>
        </w:tc>
      </w:tr>
      <w:tr w14:paraId="5E202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23DDF94D">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cs="仿宋"/>
                <w:color w:val="000000" w:themeColor="text1"/>
                <w:kern w:val="0"/>
                <w:lang w:val="zh-CN"/>
                <w14:textFill>
                  <w14:solidFill>
                    <w14:schemeClr w14:val="tx1"/>
                  </w14:solidFill>
                </w14:textFill>
              </w:rPr>
              <w:t>方案要求</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15B1B958">
            <w:pPr>
              <w:pStyle w:val="16"/>
              <w:ind w:left="210" w:hanging="210" w:hangingChars="100"/>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根据采购需求提供技术方案、项目施工进度方案、项目实施方案、服务方案。</w:t>
            </w:r>
          </w:p>
        </w:tc>
      </w:tr>
      <w:tr w14:paraId="06E0A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65" w:type="dxa"/>
            <w:gridSpan w:val="3"/>
            <w:tcBorders>
              <w:top w:val="single" w:color="auto" w:sz="4" w:space="0"/>
              <w:left w:val="single" w:color="auto" w:sz="4" w:space="0"/>
              <w:bottom w:val="single" w:color="auto" w:sz="4" w:space="0"/>
              <w:right w:val="single" w:color="auto" w:sz="4" w:space="0"/>
            </w:tcBorders>
            <w:noWrap/>
            <w:vAlign w:val="center"/>
          </w:tcPr>
          <w:p w14:paraId="13339E1C">
            <w:pPr>
              <w:spacing w:line="360" w:lineRule="exact"/>
              <w:jc w:val="center"/>
              <w:rPr>
                <w:rFonts w:ascii="宋体" w:hAnsi="宋体" w:cs="仿宋"/>
                <w:color w:val="000000" w:themeColor="text1"/>
                <w:kern w:val="0"/>
                <w:lang w:val="zh-CN"/>
                <w14:textFill>
                  <w14:solidFill>
                    <w14:schemeClr w14:val="tx1"/>
                  </w14:solidFill>
                </w14:textFill>
              </w:rPr>
            </w:pPr>
            <w:r>
              <w:rPr>
                <w:rFonts w:hint="eastAsia" w:ascii="宋体" w:hAnsi="宋体"/>
                <w:b/>
                <w:bCs/>
                <w:color w:val="000000" w:themeColor="text1"/>
                <w14:textFill>
                  <w14:solidFill>
                    <w14:schemeClr w14:val="tx1"/>
                  </w14:solidFill>
                </w14:textFill>
              </w:rPr>
              <w:t>可磋商内容</w:t>
            </w:r>
          </w:p>
        </w:tc>
        <w:tc>
          <w:tcPr>
            <w:tcW w:w="8756" w:type="dxa"/>
            <w:gridSpan w:val="3"/>
            <w:tcBorders>
              <w:top w:val="single" w:color="auto" w:sz="4" w:space="0"/>
              <w:left w:val="single" w:color="auto" w:sz="4" w:space="0"/>
              <w:bottom w:val="single" w:color="auto" w:sz="4" w:space="0"/>
              <w:right w:val="single" w:color="auto" w:sz="4" w:space="0"/>
            </w:tcBorders>
            <w:noWrap/>
            <w:vAlign w:val="center"/>
          </w:tcPr>
          <w:p w14:paraId="3E456280">
            <w:pPr>
              <w:pStyle w:val="16"/>
              <w:ind w:left="210" w:hanging="210" w:hangingChars="100"/>
              <w:rPr>
                <w:rFonts w:ascii="宋体" w:hAnsi="宋体" w:cs="宋体"/>
                <w:color w:val="000000" w:themeColor="text1"/>
                <w:kern w:val="0"/>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磋商小组根据与供应商磋商情况可能实质性变动的内容：未标明“▲”号的参数及要求。</w:t>
            </w:r>
          </w:p>
        </w:tc>
      </w:tr>
    </w:tbl>
    <w:p w14:paraId="73D4A8DC">
      <w:pPr>
        <w:pStyle w:val="16"/>
        <w:rPr>
          <w:rFonts w:ascii="宋体" w:hAnsi="宋体" w:cs="宋体"/>
          <w:b/>
          <w:color w:val="000000" w:themeColor="text1"/>
          <w:kern w:val="0"/>
          <w14:textFill>
            <w14:solidFill>
              <w14:schemeClr w14:val="tx1"/>
            </w14:solidFill>
          </w14:textFill>
        </w:rPr>
      </w:pPr>
    </w:p>
    <w:p w14:paraId="405EF3B0">
      <w:pPr>
        <w:pStyle w:val="16"/>
        <w:rPr>
          <w:rFonts w:ascii="宋体" w:hAnsi="宋体" w:cs="宋体"/>
          <w:b/>
          <w:color w:val="000000" w:themeColor="text1"/>
          <w:kern w:val="0"/>
          <w14:textFill>
            <w14:solidFill>
              <w14:schemeClr w14:val="tx1"/>
            </w14:solidFill>
          </w14:textFill>
        </w:rPr>
      </w:pPr>
    </w:p>
    <w:p w14:paraId="15B772D8">
      <w:pPr>
        <w:rPr>
          <w:rFonts w:ascii="宋体" w:hAnsi="宋体" w:cs="宋体"/>
          <w:b/>
          <w:color w:val="000000" w:themeColor="text1"/>
          <w:kern w:val="0"/>
          <w14:textFill>
            <w14:solidFill>
              <w14:schemeClr w14:val="tx1"/>
            </w14:solidFill>
          </w14:textFill>
        </w:rPr>
      </w:pPr>
    </w:p>
    <w:p w14:paraId="39BD7C05">
      <w:pPr>
        <w:rPr>
          <w:rFonts w:ascii="宋体" w:hAnsi="宋体" w:cs="宋体"/>
          <w:b/>
          <w:color w:val="000000" w:themeColor="text1"/>
          <w:kern w:val="0"/>
          <w14:textFill>
            <w14:solidFill>
              <w14:schemeClr w14:val="tx1"/>
            </w14:solidFill>
          </w14:textFill>
        </w:rPr>
      </w:pPr>
    </w:p>
    <w:p w14:paraId="354BA475">
      <w:pPr>
        <w:rPr>
          <w:rFonts w:ascii="宋体" w:hAnsi="宋体" w:cs="宋体"/>
          <w:b/>
          <w:color w:val="000000" w:themeColor="text1"/>
          <w:kern w:val="0"/>
          <w14:textFill>
            <w14:solidFill>
              <w14:schemeClr w14:val="tx1"/>
            </w14:solidFill>
          </w14:textFill>
        </w:rPr>
      </w:pPr>
    </w:p>
    <w:p w14:paraId="31F0F1C6">
      <w:pPr>
        <w:rPr>
          <w:rFonts w:ascii="宋体" w:hAnsi="宋体" w:cs="宋体"/>
          <w:b/>
          <w:color w:val="000000" w:themeColor="text1"/>
          <w:kern w:val="0"/>
          <w14:textFill>
            <w14:solidFill>
              <w14:schemeClr w14:val="tx1"/>
            </w14:solidFill>
          </w14:textFill>
        </w:rPr>
      </w:pPr>
    </w:p>
    <w:p w14:paraId="03780789">
      <w:pPr>
        <w:rPr>
          <w:rFonts w:ascii="宋体" w:hAnsi="宋体" w:cs="宋体"/>
          <w:b/>
          <w:color w:val="000000" w:themeColor="text1"/>
          <w:kern w:val="0"/>
          <w14:textFill>
            <w14:solidFill>
              <w14:schemeClr w14:val="tx1"/>
            </w14:solidFill>
          </w14:textFill>
        </w:rPr>
      </w:pPr>
    </w:p>
    <w:p w14:paraId="2EC5B4A3">
      <w:pPr>
        <w:rPr>
          <w:rFonts w:ascii="宋体" w:hAnsi="宋体" w:cs="宋体"/>
          <w:b/>
          <w:color w:val="000000" w:themeColor="text1"/>
          <w:kern w:val="0"/>
          <w14:textFill>
            <w14:solidFill>
              <w14:schemeClr w14:val="tx1"/>
            </w14:solidFill>
          </w14:textFill>
        </w:rPr>
      </w:pPr>
    </w:p>
    <w:p w14:paraId="71AFAEF3">
      <w:pPr>
        <w:rPr>
          <w:rFonts w:ascii="宋体" w:hAnsi="宋体" w:cs="宋体"/>
          <w:b/>
          <w:color w:val="000000" w:themeColor="text1"/>
          <w:kern w:val="0"/>
          <w14:textFill>
            <w14:solidFill>
              <w14:schemeClr w14:val="tx1"/>
            </w14:solidFill>
          </w14:textFill>
        </w:rPr>
      </w:pPr>
    </w:p>
    <w:p w14:paraId="7BD78308">
      <w:pPr>
        <w:rPr>
          <w:rFonts w:ascii="宋体" w:hAnsi="宋体" w:cs="宋体"/>
          <w:b/>
          <w:color w:val="000000" w:themeColor="text1"/>
          <w:kern w:val="0"/>
          <w14:textFill>
            <w14:solidFill>
              <w14:schemeClr w14:val="tx1"/>
            </w14:solidFill>
          </w14:textFill>
        </w:rPr>
      </w:pPr>
    </w:p>
    <w:p w14:paraId="15CAB355">
      <w:pPr>
        <w:rPr>
          <w:rFonts w:ascii="宋体" w:hAnsi="宋体" w:cs="宋体"/>
          <w:b/>
          <w:color w:val="000000" w:themeColor="text1"/>
          <w:kern w:val="0"/>
          <w14:textFill>
            <w14:solidFill>
              <w14:schemeClr w14:val="tx1"/>
            </w14:solidFill>
          </w14:textFill>
        </w:rPr>
      </w:pPr>
    </w:p>
    <w:p w14:paraId="1C4E8D3C">
      <w:pPr>
        <w:rPr>
          <w:rFonts w:ascii="宋体" w:hAnsi="宋体" w:cs="宋体"/>
          <w:b/>
          <w:color w:val="000000" w:themeColor="text1"/>
          <w:kern w:val="0"/>
          <w14:textFill>
            <w14:solidFill>
              <w14:schemeClr w14:val="tx1"/>
            </w14:solidFill>
          </w14:textFill>
        </w:rPr>
      </w:pPr>
    </w:p>
    <w:p w14:paraId="0C8D09F9">
      <w:pPr>
        <w:rPr>
          <w:rFonts w:ascii="宋体" w:hAnsi="宋体" w:cs="宋体"/>
          <w:b/>
          <w:color w:val="000000" w:themeColor="text1"/>
          <w:kern w:val="0"/>
          <w14:textFill>
            <w14:solidFill>
              <w14:schemeClr w14:val="tx1"/>
            </w14:solidFill>
          </w14:textFill>
        </w:rPr>
      </w:pPr>
    </w:p>
    <w:p w14:paraId="19C43A66">
      <w:pPr>
        <w:rPr>
          <w:rFonts w:ascii="宋体" w:hAnsi="宋体" w:cs="宋体"/>
          <w:b/>
          <w:color w:val="000000" w:themeColor="text1"/>
          <w:kern w:val="0"/>
          <w14:textFill>
            <w14:solidFill>
              <w14:schemeClr w14:val="tx1"/>
            </w14:solidFill>
          </w14:textFill>
        </w:rPr>
      </w:pPr>
    </w:p>
    <w:p w14:paraId="18012397">
      <w:pPr>
        <w:rPr>
          <w:rFonts w:ascii="宋体" w:hAnsi="宋体" w:cs="宋体"/>
          <w:b/>
          <w:color w:val="000000" w:themeColor="text1"/>
          <w:kern w:val="0"/>
          <w14:textFill>
            <w14:solidFill>
              <w14:schemeClr w14:val="tx1"/>
            </w14:solidFill>
          </w14:textFill>
        </w:rPr>
      </w:pPr>
    </w:p>
    <w:p w14:paraId="7EBF04BC">
      <w:pPr>
        <w:rPr>
          <w:rFonts w:ascii="宋体" w:hAnsi="宋体" w:cs="宋体"/>
          <w:b/>
          <w:color w:val="000000" w:themeColor="text1"/>
          <w:kern w:val="0"/>
          <w14:textFill>
            <w14:solidFill>
              <w14:schemeClr w14:val="tx1"/>
            </w14:solidFill>
          </w14:textFill>
        </w:rPr>
      </w:pPr>
    </w:p>
    <w:p w14:paraId="012598F0">
      <w:pPr>
        <w:rPr>
          <w:rFonts w:ascii="宋体" w:hAnsi="宋体" w:cs="宋体"/>
          <w:b/>
          <w:color w:val="000000" w:themeColor="text1"/>
          <w:kern w:val="0"/>
          <w14:textFill>
            <w14:solidFill>
              <w14:schemeClr w14:val="tx1"/>
            </w14:solidFill>
          </w14:textFill>
        </w:rPr>
      </w:pPr>
    </w:p>
    <w:p w14:paraId="1A68CD63">
      <w:pPr>
        <w:rPr>
          <w:rFonts w:ascii="宋体" w:hAnsi="宋体" w:cs="宋体"/>
          <w:b/>
          <w:color w:val="000000" w:themeColor="text1"/>
          <w:kern w:val="0"/>
          <w14:textFill>
            <w14:solidFill>
              <w14:schemeClr w14:val="tx1"/>
            </w14:solidFill>
          </w14:textFill>
        </w:rPr>
      </w:pPr>
    </w:p>
    <w:p w14:paraId="419C0A29">
      <w:pPr>
        <w:rPr>
          <w:rFonts w:ascii="宋体" w:hAnsi="宋体" w:cs="宋体"/>
          <w:b/>
          <w:color w:val="000000" w:themeColor="text1"/>
          <w:kern w:val="0"/>
          <w14:textFill>
            <w14:solidFill>
              <w14:schemeClr w14:val="tx1"/>
            </w14:solidFill>
          </w14:textFill>
        </w:rPr>
      </w:pPr>
    </w:p>
    <w:p w14:paraId="1A3E98E8">
      <w:pPr>
        <w:rPr>
          <w:rFonts w:ascii="宋体" w:hAnsi="宋体" w:cs="宋体"/>
          <w:b/>
          <w:color w:val="000000" w:themeColor="text1"/>
          <w:kern w:val="0"/>
          <w14:textFill>
            <w14:solidFill>
              <w14:schemeClr w14:val="tx1"/>
            </w14:solidFill>
          </w14:textFill>
        </w:rPr>
      </w:pPr>
    </w:p>
    <w:p w14:paraId="6E7CBB85">
      <w:pPr>
        <w:rPr>
          <w:rFonts w:ascii="宋体" w:hAnsi="宋体" w:cs="宋体"/>
          <w:b/>
          <w:color w:val="000000" w:themeColor="text1"/>
          <w:kern w:val="0"/>
          <w14:textFill>
            <w14:solidFill>
              <w14:schemeClr w14:val="tx1"/>
            </w14:solidFill>
          </w14:textFill>
        </w:rPr>
      </w:pPr>
    </w:p>
    <w:p w14:paraId="4232C2D8">
      <w:pPr>
        <w:rPr>
          <w:rFonts w:ascii="宋体" w:hAnsi="宋体" w:cs="宋体"/>
          <w:b/>
          <w:color w:val="000000" w:themeColor="text1"/>
          <w:kern w:val="0"/>
          <w14:textFill>
            <w14:solidFill>
              <w14:schemeClr w14:val="tx1"/>
            </w14:solidFill>
          </w14:textFill>
        </w:rPr>
      </w:pPr>
    </w:p>
    <w:p w14:paraId="3069B71B">
      <w:pPr>
        <w:rPr>
          <w:rFonts w:ascii="宋体" w:hAnsi="宋体" w:cs="宋体"/>
          <w:b/>
          <w:color w:val="000000" w:themeColor="text1"/>
          <w:kern w:val="0"/>
          <w14:textFill>
            <w14:solidFill>
              <w14:schemeClr w14:val="tx1"/>
            </w14:solidFill>
          </w14:textFill>
        </w:rPr>
      </w:pPr>
    </w:p>
    <w:p w14:paraId="62A24A18">
      <w:pPr>
        <w:rPr>
          <w:rFonts w:ascii="宋体" w:hAnsi="宋体" w:cs="宋体"/>
          <w:b/>
          <w:color w:val="000000" w:themeColor="text1"/>
          <w:kern w:val="0"/>
          <w14:textFill>
            <w14:solidFill>
              <w14:schemeClr w14:val="tx1"/>
            </w14:solidFill>
          </w14:textFill>
        </w:rPr>
      </w:pPr>
    </w:p>
    <w:p w14:paraId="070158E8">
      <w:pPr>
        <w:pStyle w:val="2"/>
        <w:jc w:val="center"/>
        <w:rPr>
          <w:rFonts w:ascii="宋体" w:hAnsi="宋体"/>
          <w:color w:val="000000" w:themeColor="text1"/>
          <w14:textFill>
            <w14:solidFill>
              <w14:schemeClr w14:val="tx1"/>
            </w14:solidFill>
          </w14:textFill>
        </w:rPr>
      </w:pPr>
    </w:p>
    <w:p w14:paraId="59BC7C1E">
      <w:pPr>
        <w:pStyle w:val="2"/>
        <w:jc w:val="center"/>
        <w:rPr>
          <w:rFonts w:ascii="宋体" w:hAnsi="宋体"/>
          <w:color w:val="000000" w:themeColor="text1"/>
          <w14:textFill>
            <w14:solidFill>
              <w14:schemeClr w14:val="tx1"/>
            </w14:solidFill>
          </w14:textFill>
        </w:rPr>
      </w:pPr>
    </w:p>
    <w:p w14:paraId="2EF281D0">
      <w:pPr>
        <w:pStyle w:val="2"/>
        <w:jc w:val="center"/>
        <w:rPr>
          <w:rFonts w:ascii="宋体" w:hAnsi="宋体"/>
          <w:color w:val="000000" w:themeColor="text1"/>
          <w14:textFill>
            <w14:solidFill>
              <w14:schemeClr w14:val="tx1"/>
            </w14:solidFill>
          </w14:textFill>
        </w:rPr>
      </w:pPr>
    </w:p>
    <w:p w14:paraId="286AC628">
      <w:pPr>
        <w:pStyle w:val="2"/>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第四章  竞争性磋商响应文件格式</w:t>
      </w:r>
    </w:p>
    <w:p w14:paraId="2340ABD9">
      <w:pPr>
        <w:snapToGrid w:val="0"/>
        <w:spacing w:before="156" w:beforeLines="50" w:after="50" w:line="360" w:lineRule="exact"/>
        <w:outlineLvl w:val="1"/>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14:paraId="030D69F8">
      <w:pPr>
        <w:pageBreakBefore/>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一、 竞争性磋商响应文件封面格式</w:t>
      </w:r>
    </w:p>
    <w:p w14:paraId="34A7032C">
      <w:pPr>
        <w:snapToGrid w:val="0"/>
        <w:spacing w:before="156" w:beforeLines="50" w:after="50" w:line="360" w:lineRule="exact"/>
        <w:rPr>
          <w:rFonts w:ascii="宋体" w:hAnsi="宋体"/>
          <w:b/>
          <w:color w:val="000000" w:themeColor="text1"/>
          <w14:textFill>
            <w14:solidFill>
              <w14:schemeClr w14:val="tx1"/>
            </w14:solidFill>
          </w14:textFill>
        </w:rPr>
      </w:pPr>
    </w:p>
    <w:p w14:paraId="06316BAF">
      <w:pPr>
        <w:adjustRightInd w:val="0"/>
        <w:snapToGrid w:val="0"/>
        <w:spacing w:line="360" w:lineRule="auto"/>
        <w:ind w:firstLine="643" w:firstLineChars="200"/>
        <w:jc w:val="left"/>
        <w:rPr>
          <w:rFonts w:ascii="宋体" w:hAnsi="宋体"/>
          <w:bCs/>
          <w:color w:val="000000" w:themeColor="text1"/>
          <w:sz w:val="24"/>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封面</w:t>
      </w:r>
    </w:p>
    <w:p w14:paraId="30FCC1A3">
      <w:pPr>
        <w:adjustRightInd w:val="0"/>
        <w:snapToGrid w:val="0"/>
        <w:spacing w:line="360" w:lineRule="auto"/>
        <w:jc w:val="center"/>
        <w:rPr>
          <w:rFonts w:ascii="宋体" w:hAnsi="宋体"/>
          <w:b/>
          <w:bCs/>
          <w:color w:val="000000" w:themeColor="text1"/>
          <w:sz w:val="72"/>
          <w:szCs w:val="72"/>
          <w14:textFill>
            <w14:solidFill>
              <w14:schemeClr w14:val="tx1"/>
            </w14:solidFill>
          </w14:textFill>
        </w:rPr>
      </w:pPr>
      <w:r>
        <w:rPr>
          <w:rFonts w:hint="eastAsia" w:ascii="宋体" w:hAnsi="宋体"/>
          <w:b/>
          <w:bCs/>
          <w:color w:val="000000" w:themeColor="text1"/>
          <w:sz w:val="72"/>
          <w:szCs w:val="72"/>
          <w14:textFill>
            <w14:solidFill>
              <w14:schemeClr w14:val="tx1"/>
            </w14:solidFill>
          </w14:textFill>
        </w:rPr>
        <w:t>竞争性磋商响应文件</w:t>
      </w:r>
    </w:p>
    <w:p w14:paraId="6B9D525E">
      <w:pPr>
        <w:adjustRightInd w:val="0"/>
        <w:snapToGrid w:val="0"/>
        <w:spacing w:line="360" w:lineRule="auto"/>
        <w:jc w:val="center"/>
        <w:rPr>
          <w:rFonts w:ascii="宋体" w:hAnsi="宋体"/>
          <w:b/>
          <w:bCs/>
          <w:color w:val="000000" w:themeColor="text1"/>
          <w:sz w:val="32"/>
          <w:szCs w:val="32"/>
          <w14:textFill>
            <w14:solidFill>
              <w14:schemeClr w14:val="tx1"/>
            </w14:solidFill>
          </w14:textFill>
        </w:rPr>
      </w:pPr>
    </w:p>
    <w:p w14:paraId="0D6DDD48">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p>
    <w:p w14:paraId="4ACED3D2">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 xml:space="preserve">项目编号：  </w:t>
      </w:r>
    </w:p>
    <w:p w14:paraId="7BA0EFC2">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项目名称：</w:t>
      </w:r>
    </w:p>
    <w:p w14:paraId="681AE8D3">
      <w:pPr>
        <w:adjustRightInd w:val="0"/>
        <w:snapToGrid w:val="0"/>
        <w:spacing w:line="360" w:lineRule="auto"/>
        <w:rPr>
          <w:rFonts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 xml:space="preserve">           </w:t>
      </w:r>
    </w:p>
    <w:p w14:paraId="6B62D086">
      <w:pPr>
        <w:adjustRightInd w:val="0"/>
        <w:snapToGrid w:val="0"/>
        <w:spacing w:line="360" w:lineRule="auto"/>
        <w:ind w:firstLine="1911" w:firstLineChars="595"/>
        <w:rPr>
          <w:rFonts w:ascii="宋体" w:hAnsi="宋体"/>
          <w:b/>
          <w:bCs/>
          <w:color w:val="000000" w:themeColor="text1"/>
          <w:sz w:val="32"/>
          <w:szCs w:val="32"/>
          <w14:textFill>
            <w14:solidFill>
              <w14:schemeClr w14:val="tx1"/>
            </w14:solidFill>
          </w14:textFill>
        </w:rPr>
      </w:pPr>
    </w:p>
    <w:p w14:paraId="48E697C5">
      <w:pPr>
        <w:spacing w:line="360" w:lineRule="auto"/>
        <w:rPr>
          <w:rFonts w:ascii="宋体" w:hAnsi="宋体" w:cs="宋体"/>
          <w:color w:val="000000" w:themeColor="text1"/>
          <w:kern w:val="0"/>
          <w:sz w:val="24"/>
          <w14:textFill>
            <w14:solidFill>
              <w14:schemeClr w14:val="tx1"/>
            </w14:solidFill>
          </w14:textFill>
        </w:rPr>
      </w:pPr>
    </w:p>
    <w:p w14:paraId="51593A68">
      <w:pPr>
        <w:spacing w:line="360" w:lineRule="auto"/>
        <w:rPr>
          <w:rFonts w:ascii="宋体" w:hAnsi="宋体" w:cs="宋体"/>
          <w:color w:val="000000" w:themeColor="text1"/>
          <w:kern w:val="0"/>
          <w:sz w:val="24"/>
          <w14:textFill>
            <w14:solidFill>
              <w14:schemeClr w14:val="tx1"/>
            </w14:solidFill>
          </w14:textFill>
        </w:rPr>
      </w:pPr>
    </w:p>
    <w:p w14:paraId="67227973">
      <w:pPr>
        <w:spacing w:line="360" w:lineRule="auto"/>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 xml:space="preserve"> </w:t>
      </w:r>
    </w:p>
    <w:p w14:paraId="309A3088">
      <w:pPr>
        <w:spacing w:line="360" w:lineRule="auto"/>
        <w:rPr>
          <w:rFonts w:ascii="宋体" w:hAnsi="宋体"/>
          <w:b/>
          <w:bCs/>
          <w:color w:val="000000" w:themeColor="text1"/>
          <w:sz w:val="30"/>
          <w:szCs w:val="30"/>
          <w14:textFill>
            <w14:solidFill>
              <w14:schemeClr w14:val="tx1"/>
            </w14:solidFill>
          </w14:textFill>
        </w:rPr>
      </w:pPr>
    </w:p>
    <w:p w14:paraId="26449FA2">
      <w:pPr>
        <w:spacing w:line="360" w:lineRule="auto"/>
        <w:rPr>
          <w:rFonts w:ascii="宋体" w:hAns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 xml:space="preserve"> </w:t>
      </w:r>
    </w:p>
    <w:p w14:paraId="31ACD59B">
      <w:pPr>
        <w:spacing w:line="360" w:lineRule="auto"/>
        <w:ind w:firstLine="1751" w:firstLineChars="54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  应  商：</w:t>
      </w:r>
      <w:r>
        <w:rPr>
          <w:rFonts w:hint="eastAsia" w:ascii="宋体" w:hAnsi="宋体"/>
          <w:b/>
          <w:bCs/>
          <w:color w:val="000000" w:themeColor="text1"/>
          <w:sz w:val="32"/>
          <w:szCs w:val="32"/>
          <w:u w:val="single"/>
          <w14:textFill>
            <w14:solidFill>
              <w14:schemeClr w14:val="tx1"/>
            </w14:solidFill>
          </w14:textFill>
        </w:rPr>
        <w:t xml:space="preserve">                 （盖公章） </w:t>
      </w:r>
    </w:p>
    <w:p w14:paraId="4E8B6749">
      <w:pPr>
        <w:spacing w:line="360" w:lineRule="auto"/>
        <w:ind w:firstLine="1751" w:firstLineChars="545"/>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供应商地址：</w:t>
      </w:r>
      <w:r>
        <w:rPr>
          <w:rFonts w:hint="eastAsia" w:ascii="宋体" w:hAnsi="宋体"/>
          <w:b/>
          <w:bCs/>
          <w:color w:val="000000" w:themeColor="text1"/>
          <w:sz w:val="32"/>
          <w:szCs w:val="32"/>
          <w:u w:val="single"/>
          <w14:textFill>
            <w14:solidFill>
              <w14:schemeClr w14:val="tx1"/>
            </w14:solidFill>
          </w14:textFill>
        </w:rPr>
        <w:t xml:space="preserve">                          </w:t>
      </w:r>
      <w:r>
        <w:rPr>
          <w:rFonts w:hint="eastAsia" w:ascii="宋体" w:hAnsi="宋体"/>
          <w:b/>
          <w:bCs/>
          <w:color w:val="000000" w:themeColor="text1"/>
          <w:sz w:val="32"/>
          <w:szCs w:val="32"/>
          <w14:textFill>
            <w14:solidFill>
              <w14:schemeClr w14:val="tx1"/>
            </w14:solidFill>
          </w14:textFill>
        </w:rPr>
        <w:t xml:space="preserve">  </w:t>
      </w:r>
    </w:p>
    <w:p w14:paraId="55063C67">
      <w:pPr>
        <w:spacing w:line="360" w:lineRule="auto"/>
        <w:jc w:val="center"/>
        <w:rPr>
          <w:rFonts w:ascii="宋体" w:hAnsi="宋体"/>
          <w:b/>
          <w:bCs/>
          <w:color w:val="000000" w:themeColor="text1"/>
          <w:sz w:val="32"/>
          <w:szCs w:val="32"/>
          <w14:textFill>
            <w14:solidFill>
              <w14:schemeClr w14:val="tx1"/>
            </w14:solidFill>
          </w14:textFill>
        </w:rPr>
      </w:pPr>
    </w:p>
    <w:p w14:paraId="6B480FEF">
      <w:pPr>
        <w:spacing w:line="360" w:lineRule="auto"/>
        <w:jc w:val="center"/>
        <w:rPr>
          <w:rFonts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 xml:space="preserve">    </w:t>
      </w:r>
      <w:r>
        <w:rPr>
          <w:rFonts w:hint="eastAsia" w:ascii="宋体" w:hAnsi="宋体"/>
          <w:b/>
          <w:bCs/>
          <w:color w:val="000000" w:themeColor="text1"/>
          <w:sz w:val="32"/>
          <w:szCs w:val="32"/>
          <w14:textFill>
            <w14:solidFill>
              <w14:schemeClr w14:val="tx1"/>
            </w14:solidFill>
          </w14:textFill>
        </w:rPr>
        <w:t>年  月  日</w:t>
      </w:r>
    </w:p>
    <w:p w14:paraId="46983FD5">
      <w:pPr>
        <w:pageBreakBefore/>
        <w:spacing w:line="520" w:lineRule="exact"/>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二、附  件</w:t>
      </w:r>
    </w:p>
    <w:p w14:paraId="59D59988">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附件一 </w:t>
      </w:r>
    </w:p>
    <w:p w14:paraId="726FD75C">
      <w:pPr>
        <w:spacing w:line="400" w:lineRule="exact"/>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磋 商 书</w:t>
      </w:r>
    </w:p>
    <w:p w14:paraId="47A5E646">
      <w:pPr>
        <w:spacing w:line="400" w:lineRule="exact"/>
        <w:ind w:firstLine="420" w:firstLineChars="200"/>
        <w:rPr>
          <w:rFonts w:ascii="宋体" w:hAnsi="宋体"/>
          <w:color w:val="000000" w:themeColor="text1"/>
          <w14:textFill>
            <w14:solidFill>
              <w14:schemeClr w14:val="tx1"/>
            </w14:solidFill>
          </w14:textFill>
        </w:rPr>
      </w:pPr>
    </w:p>
    <w:p w14:paraId="427FDD07">
      <w:pPr>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广西壮族自治区政府采购中心：</w:t>
      </w:r>
    </w:p>
    <w:p w14:paraId="3E4F27F7">
      <w:pPr>
        <w:spacing w:line="40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依据贵方（项目名称/项目编号）项目政府采购的磋商采购文件，我方（姓名和职务）经正式授权并代表本单位（供应商名称、地址）提交下述竞争性磋商响应文件（价格文件、商务技术文件）。</w:t>
      </w:r>
    </w:p>
    <w:p w14:paraId="7DBD0113">
      <w:pPr>
        <w:spacing w:line="400" w:lineRule="exact"/>
        <w:ind w:firstLine="420" w:firstLineChars="200"/>
        <w:rPr>
          <w:rFonts w:ascii="宋体" w:hAnsi="宋体"/>
          <w:color w:val="000000" w:themeColor="text1"/>
          <w14:textFill>
            <w14:solidFill>
              <w14:schemeClr w14:val="tx1"/>
            </w14:solidFill>
          </w14:textFill>
        </w:rPr>
      </w:pPr>
    </w:p>
    <w:p w14:paraId="56DF27A4">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报价表；</w:t>
      </w:r>
    </w:p>
    <w:p w14:paraId="4A00B497">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商务、技术响应、偏离情况说明表；</w:t>
      </w:r>
    </w:p>
    <w:p w14:paraId="181CE1EB">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 资格证明文件；</w:t>
      </w:r>
    </w:p>
    <w:p w14:paraId="2713BEC7">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 按竞争性磋商文件供应商须知和采购需求提供的有关文件；</w:t>
      </w:r>
    </w:p>
    <w:p w14:paraId="3B8A99EE">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在此，授权代表宣布同意如下：</w:t>
      </w:r>
    </w:p>
    <w:p w14:paraId="4F401DCC">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将按竞争性磋商文件的约定履行合同责任和义务；</w:t>
      </w:r>
    </w:p>
    <w:p w14:paraId="69C3E8E2">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已详细审查全部竞争性磋商文件，包括（补遗文件）（如果有的话）；</w:t>
      </w:r>
    </w:p>
    <w:p w14:paraId="1BCA14C6">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 同意提供按照贵方可能要求的与其磋商有关的一切数据或资料；</w:t>
      </w:r>
    </w:p>
    <w:p w14:paraId="328BAE45">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4. 与本磋商有关的一切正式往来信函请寄：                       </w:t>
      </w:r>
    </w:p>
    <w:p w14:paraId="33A96BB4">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开户银行：                           账号/行号：          </w:t>
      </w:r>
    </w:p>
    <w:p w14:paraId="05959BAE">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电话/传真：                         电子函件：                           </w:t>
      </w:r>
    </w:p>
    <w:p w14:paraId="57821A08">
      <w:pPr>
        <w:spacing w:line="400" w:lineRule="exact"/>
        <w:ind w:firstLine="420" w:firstLineChars="200"/>
        <w:rPr>
          <w:rFonts w:ascii="宋体" w:hAnsi="宋体"/>
          <w:color w:val="000000" w:themeColor="text1"/>
          <w14:textFill>
            <w14:solidFill>
              <w14:schemeClr w14:val="tx1"/>
            </w14:solidFill>
          </w14:textFill>
        </w:rPr>
      </w:pPr>
    </w:p>
    <w:p w14:paraId="352D8B1C">
      <w:pPr>
        <w:spacing w:line="400" w:lineRule="exact"/>
        <w:ind w:firstLine="420" w:firstLineChars="200"/>
        <w:rPr>
          <w:rFonts w:ascii="宋体" w:hAnsi="宋体"/>
          <w:color w:val="000000" w:themeColor="text1"/>
          <w14:textFill>
            <w14:solidFill>
              <w14:schemeClr w14:val="tx1"/>
            </w14:solidFill>
          </w14:textFill>
        </w:rPr>
      </w:pPr>
    </w:p>
    <w:p w14:paraId="2F3E81B9">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日期：      年   月    日</w:t>
      </w:r>
    </w:p>
    <w:p w14:paraId="0C0353CD">
      <w:pPr>
        <w:spacing w:line="400" w:lineRule="exact"/>
        <w:ind w:firstLine="420" w:firstLineChars="200"/>
        <w:rPr>
          <w:rFonts w:ascii="宋体" w:hAnsi="宋体"/>
          <w:color w:val="000000" w:themeColor="text1"/>
          <w14:textFill>
            <w14:solidFill>
              <w14:schemeClr w14:val="tx1"/>
            </w14:solidFill>
          </w14:textFill>
        </w:rPr>
      </w:pPr>
    </w:p>
    <w:p w14:paraId="76B29EC9">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法定代表人(负责人)或委托代理人（被授权人）签字：                       </w:t>
      </w:r>
    </w:p>
    <w:p w14:paraId="3D827184">
      <w:pPr>
        <w:spacing w:line="400" w:lineRule="exact"/>
        <w:ind w:firstLine="420" w:firstLineChars="200"/>
        <w:rPr>
          <w:rFonts w:ascii="宋体" w:hAnsi="宋体"/>
          <w:color w:val="000000" w:themeColor="text1"/>
          <w14:textFill>
            <w14:solidFill>
              <w14:schemeClr w14:val="tx1"/>
            </w14:solidFill>
          </w14:textFill>
        </w:rPr>
      </w:pPr>
    </w:p>
    <w:p w14:paraId="5049AF64">
      <w:pPr>
        <w:spacing w:line="4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供应商名称（盖章）：                                                               </w:t>
      </w:r>
    </w:p>
    <w:p w14:paraId="35DA7262">
      <w:pPr>
        <w:pStyle w:val="19"/>
        <w:spacing w:line="520" w:lineRule="exact"/>
        <w:ind w:firstLine="84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w:t>
      </w:r>
    </w:p>
    <w:p w14:paraId="1862F863">
      <w:pPr>
        <w:pageBreakBefore/>
        <w:spacing w:line="5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附件二             </w:t>
      </w:r>
    </w:p>
    <w:p w14:paraId="27DFBF30">
      <w:pPr>
        <w:spacing w:line="500" w:lineRule="exact"/>
        <w:jc w:val="center"/>
        <w:rPr>
          <w:rFonts w:ascii="宋体" w:hAnsi="宋体"/>
          <w:b/>
          <w:color w:val="000000" w:themeColor="text1"/>
          <w14:textFill>
            <w14:solidFill>
              <w14:schemeClr w14:val="tx1"/>
            </w14:solidFill>
          </w14:textFill>
        </w:rPr>
      </w:pPr>
    </w:p>
    <w:p w14:paraId="4DB66A61">
      <w:pPr>
        <w:spacing w:line="500" w:lineRule="exact"/>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报  价  表</w:t>
      </w:r>
    </w:p>
    <w:p w14:paraId="6A1BF230">
      <w:pPr>
        <w:spacing w:line="500" w:lineRule="exac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采购项目编号:</w:t>
      </w:r>
      <w:r>
        <w:rPr>
          <w:rFonts w:hint="eastAsia" w:ascii="宋体" w:hAnsi="宋体"/>
          <w:color w:val="000000" w:themeColor="text1"/>
          <w:u w:val="single"/>
          <w14:textFill>
            <w14:solidFill>
              <w14:schemeClr w14:val="tx1"/>
            </w14:solidFill>
          </w14:textFill>
        </w:rPr>
        <w:t xml:space="preserve">                 </w:t>
      </w:r>
    </w:p>
    <w:p w14:paraId="4D270B4E">
      <w:pPr>
        <w:spacing w:line="5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采购项目名称:</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p>
    <w:p w14:paraId="6DE99071">
      <w:pPr>
        <w:spacing w:line="4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分标</w:t>
      </w:r>
      <w:r>
        <w:rPr>
          <w:rFonts w:hint="eastAsia"/>
          <w:color w:val="000000" w:themeColor="text1"/>
          <w:highlight w:val="none"/>
          <w:u w:val="single"/>
          <w14:textFill>
            <w14:solidFill>
              <w14:schemeClr w14:val="tx1"/>
            </w14:solidFill>
          </w14:textFill>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14:paraId="3AEE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2847" w:type="dxa"/>
            <w:tcBorders>
              <w:top w:val="single" w:color="auto" w:sz="4" w:space="0"/>
              <w:left w:val="single" w:color="auto" w:sz="4" w:space="0"/>
              <w:bottom w:val="single" w:color="auto" w:sz="4" w:space="0"/>
              <w:right w:val="single" w:color="auto" w:sz="4" w:space="0"/>
            </w:tcBorders>
            <w:vAlign w:val="center"/>
          </w:tcPr>
          <w:p w14:paraId="3457287A">
            <w:pPr>
              <w:rPr>
                <w:color w:val="000000" w:themeColor="text1"/>
                <w14:textFill>
                  <w14:solidFill>
                    <w14:schemeClr w14:val="tx1"/>
                  </w14:solidFill>
                </w14:textFill>
              </w:rPr>
            </w:pPr>
            <w:r>
              <w:rPr>
                <w:rFonts w:hint="eastAsia"/>
                <w:color w:val="000000" w:themeColor="text1"/>
                <w14:textFill>
                  <w14:solidFill>
                    <w14:schemeClr w14:val="tx1"/>
                  </w14:solidFill>
                </w14:textFill>
              </w:rPr>
              <w:t>服务项目名称</w:t>
            </w:r>
          </w:p>
        </w:tc>
        <w:tc>
          <w:tcPr>
            <w:tcW w:w="2560" w:type="dxa"/>
            <w:tcBorders>
              <w:top w:val="single" w:color="auto" w:sz="4" w:space="0"/>
              <w:left w:val="single" w:color="auto" w:sz="4" w:space="0"/>
              <w:bottom w:val="single" w:color="auto" w:sz="4" w:space="0"/>
              <w:right w:val="single" w:color="auto" w:sz="4" w:space="0"/>
            </w:tcBorders>
            <w:vAlign w:val="center"/>
          </w:tcPr>
          <w:p w14:paraId="0EB899AE">
            <w:pPr>
              <w:rPr>
                <w:color w:val="000000" w:themeColor="text1"/>
                <w14:textFill>
                  <w14:solidFill>
                    <w14:schemeClr w14:val="tx1"/>
                  </w14:solidFill>
                </w14:textFill>
              </w:rPr>
            </w:pPr>
            <w:r>
              <w:rPr>
                <w:rFonts w:hint="eastAsia"/>
                <w:color w:val="000000" w:themeColor="text1"/>
                <w14:textFill>
                  <w14:solidFill>
                    <w14:schemeClr w14:val="tx1"/>
                  </w14:solidFill>
                </w14:textFill>
              </w:rPr>
              <w:t>服务内容</w:t>
            </w:r>
          </w:p>
        </w:tc>
        <w:tc>
          <w:tcPr>
            <w:tcW w:w="2505" w:type="dxa"/>
            <w:tcBorders>
              <w:top w:val="single" w:color="auto" w:sz="4" w:space="0"/>
              <w:left w:val="single" w:color="auto" w:sz="4" w:space="0"/>
              <w:bottom w:val="single" w:color="auto" w:sz="4" w:space="0"/>
              <w:right w:val="single" w:color="auto" w:sz="4" w:space="0"/>
            </w:tcBorders>
            <w:vAlign w:val="center"/>
          </w:tcPr>
          <w:p w14:paraId="5AEC5504">
            <w:pPr>
              <w:rPr>
                <w:color w:val="000000" w:themeColor="text1"/>
                <w14:textFill>
                  <w14:solidFill>
                    <w14:schemeClr w14:val="tx1"/>
                  </w14:solidFill>
                </w14:textFill>
              </w:rPr>
            </w:pPr>
            <w:r>
              <w:rPr>
                <w:rFonts w:hint="eastAsia"/>
                <w:color w:val="000000" w:themeColor="text1"/>
                <w14:textFill>
                  <w14:solidFill>
                    <w14:schemeClr w14:val="tx1"/>
                  </w14:solidFill>
                </w14:textFill>
              </w:rPr>
              <w:t>报</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价（元）</w:t>
            </w:r>
          </w:p>
        </w:tc>
        <w:tc>
          <w:tcPr>
            <w:tcW w:w="1552" w:type="dxa"/>
            <w:tcBorders>
              <w:top w:val="single" w:color="auto" w:sz="4" w:space="0"/>
              <w:left w:val="single" w:color="auto" w:sz="4" w:space="0"/>
              <w:bottom w:val="single" w:color="auto" w:sz="4" w:space="0"/>
              <w:right w:val="single" w:color="auto" w:sz="4" w:space="0"/>
            </w:tcBorders>
            <w:vAlign w:val="center"/>
          </w:tcPr>
          <w:p w14:paraId="37866C1F">
            <w:pPr>
              <w:rPr>
                <w:color w:val="000000" w:themeColor="text1"/>
                <w14:textFill>
                  <w14:solidFill>
                    <w14:schemeClr w14:val="tx1"/>
                  </w14:solidFill>
                </w14:textFill>
              </w:rPr>
            </w:pPr>
            <w:r>
              <w:rPr>
                <w:rFonts w:hint="eastAsia"/>
                <w:color w:val="000000" w:themeColor="text1"/>
                <w14:textFill>
                  <w14:solidFill>
                    <w14:schemeClr w14:val="tx1"/>
                  </w14:solidFill>
                </w14:textFill>
              </w:rPr>
              <w:t>说</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明</w:t>
            </w:r>
          </w:p>
        </w:tc>
      </w:tr>
      <w:tr w14:paraId="0BBB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2847" w:type="dxa"/>
            <w:tcBorders>
              <w:top w:val="single" w:color="auto" w:sz="4" w:space="0"/>
              <w:left w:val="single" w:color="auto" w:sz="4" w:space="0"/>
              <w:bottom w:val="single" w:color="auto" w:sz="4" w:space="0"/>
              <w:right w:val="single" w:color="auto" w:sz="4" w:space="0"/>
            </w:tcBorders>
            <w:vAlign w:val="center"/>
          </w:tcPr>
          <w:p w14:paraId="70F4A3FD">
            <w:pPr>
              <w:rPr>
                <w:color w:val="000000" w:themeColor="text1"/>
                <w14:textFill>
                  <w14:solidFill>
                    <w14:schemeClr w14:val="tx1"/>
                  </w14:solidFill>
                </w14:textFill>
              </w:rPr>
            </w:pPr>
            <w:r>
              <w:rPr>
                <w:rFonts w:hint="eastAsia"/>
                <w:color w:val="000000" w:themeColor="text1"/>
                <w14:textFill>
                  <w14:solidFill>
                    <w14:schemeClr w14:val="tx1"/>
                  </w14:solidFill>
                </w14:textFill>
              </w:rPr>
              <w:t>服务采购</w:t>
            </w:r>
          </w:p>
        </w:tc>
        <w:tc>
          <w:tcPr>
            <w:tcW w:w="2560" w:type="dxa"/>
            <w:tcBorders>
              <w:top w:val="single" w:color="auto" w:sz="4" w:space="0"/>
              <w:left w:val="single" w:color="auto" w:sz="4" w:space="0"/>
              <w:bottom w:val="single" w:color="auto" w:sz="4" w:space="0"/>
              <w:right w:val="single" w:color="auto" w:sz="4" w:space="0"/>
            </w:tcBorders>
            <w:vAlign w:val="center"/>
          </w:tcPr>
          <w:p w14:paraId="7444198B">
            <w:pPr>
              <w:rPr>
                <w:color w:val="000000" w:themeColor="text1"/>
                <w14:textFill>
                  <w14:solidFill>
                    <w14:schemeClr w14:val="tx1"/>
                  </w14:solidFill>
                </w14:textFill>
              </w:rPr>
            </w:pPr>
          </w:p>
        </w:tc>
        <w:tc>
          <w:tcPr>
            <w:tcW w:w="2505" w:type="dxa"/>
            <w:tcBorders>
              <w:top w:val="single" w:color="auto" w:sz="4" w:space="0"/>
              <w:left w:val="single" w:color="auto" w:sz="4" w:space="0"/>
              <w:bottom w:val="single" w:color="auto" w:sz="4" w:space="0"/>
              <w:right w:val="single" w:color="auto" w:sz="4" w:space="0"/>
            </w:tcBorders>
            <w:vAlign w:val="center"/>
          </w:tcPr>
          <w:p w14:paraId="7394D46A">
            <w:pPr>
              <w:rPr>
                <w:color w:val="000000" w:themeColor="text1"/>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14:paraId="2FA5EE81">
            <w:pPr>
              <w:rPr>
                <w:color w:val="000000" w:themeColor="text1"/>
                <w14:textFill>
                  <w14:solidFill>
                    <w14:schemeClr w14:val="tx1"/>
                  </w14:solidFill>
                </w14:textFill>
              </w:rPr>
            </w:pPr>
          </w:p>
        </w:tc>
      </w:tr>
      <w:tr w14:paraId="4540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vAlign w:val="center"/>
          </w:tcPr>
          <w:p w14:paraId="36D2F446">
            <w:pPr>
              <w:rPr>
                <w:color w:val="000000" w:themeColor="text1"/>
                <w14:textFill>
                  <w14:solidFill>
                    <w14:schemeClr w14:val="tx1"/>
                  </w14:solidFill>
                </w14:textFill>
              </w:rPr>
            </w:pPr>
            <w:r>
              <w:rPr>
                <w:rFonts w:hint="eastAsia"/>
                <w:color w:val="000000" w:themeColor="text1"/>
                <w14:textFill>
                  <w14:solidFill>
                    <w14:schemeClr w14:val="tx1"/>
                  </w14:solidFill>
                </w14:textFill>
              </w:rPr>
              <w:t>合计</w:t>
            </w:r>
          </w:p>
        </w:tc>
        <w:tc>
          <w:tcPr>
            <w:tcW w:w="2505" w:type="dxa"/>
            <w:tcBorders>
              <w:top w:val="single" w:color="auto" w:sz="4" w:space="0"/>
              <w:left w:val="single" w:color="auto" w:sz="4" w:space="0"/>
              <w:bottom w:val="single" w:color="auto" w:sz="4" w:space="0"/>
              <w:right w:val="single" w:color="auto" w:sz="4" w:space="0"/>
            </w:tcBorders>
            <w:vAlign w:val="center"/>
          </w:tcPr>
          <w:p w14:paraId="55F1EC22">
            <w:pPr>
              <w:rPr>
                <w:color w:val="000000" w:themeColor="text1"/>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14:paraId="3CFCB1DD">
            <w:pPr>
              <w:rPr>
                <w:color w:val="000000" w:themeColor="text1"/>
                <w14:textFill>
                  <w14:solidFill>
                    <w14:schemeClr w14:val="tx1"/>
                  </w14:solidFill>
                </w14:textFill>
              </w:rPr>
            </w:pPr>
          </w:p>
        </w:tc>
      </w:tr>
      <w:tr w14:paraId="6F31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vAlign w:val="center"/>
          </w:tcPr>
          <w:p w14:paraId="4BDCC2FD">
            <w:pPr>
              <w:jc w:val="left"/>
              <w:rPr>
                <w:color w:val="000000" w:themeColor="text1"/>
                <w14:textFill>
                  <w14:solidFill>
                    <w14:schemeClr w14:val="tx1"/>
                  </w14:solidFill>
                </w14:textFill>
              </w:rPr>
            </w:pPr>
            <w:r>
              <w:rPr>
                <w:rFonts w:hint="eastAsia"/>
                <w:color w:val="000000" w:themeColor="text1"/>
                <w:highlight w:val="none"/>
                <w14:textFill>
                  <w14:solidFill>
                    <w14:schemeClr w14:val="tx1"/>
                  </w14:solidFill>
                </w14:textFill>
              </w:rPr>
              <w:t>分标</w:t>
            </w:r>
            <w:r>
              <w:rPr>
                <w:rFonts w:hint="eastAsia"/>
                <w:color w:val="000000" w:themeColor="text1"/>
                <w:highlight w:val="none"/>
                <w:u w:val="single"/>
                <w14:textFill>
                  <w14:solidFill>
                    <w14:schemeClr w14:val="tx1"/>
                  </w14:solidFill>
                </w14:textFill>
              </w:rPr>
              <w:t xml:space="preserve">      </w:t>
            </w:r>
            <w:r>
              <w:rPr>
                <w:rFonts w:hint="eastAsia"/>
                <w:color w:val="000000" w:themeColor="text1"/>
                <w14:textFill>
                  <w14:solidFill>
                    <w14:schemeClr w14:val="tx1"/>
                  </w14:solidFill>
                </w14:textFill>
              </w:rPr>
              <w:t>总报价（人民币大写）：</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元）</w:t>
            </w:r>
          </w:p>
        </w:tc>
      </w:tr>
    </w:tbl>
    <w:p w14:paraId="501D74C8">
      <w:pPr>
        <w:autoSpaceDE w:val="0"/>
        <w:autoSpaceDN w:val="0"/>
        <w:adjustRightInd w:val="0"/>
        <w:outlineLvl w:val="0"/>
        <w:rPr>
          <w:rFonts w:ascii="宋体" w:hAnsi="宋体"/>
          <w:b/>
          <w:color w:val="000000" w:themeColor="text1"/>
          <w:kern w:val="0"/>
          <w14:textFill>
            <w14:solidFill>
              <w14:schemeClr w14:val="tx1"/>
            </w14:solidFill>
          </w14:textFill>
        </w:rPr>
      </w:pPr>
    </w:p>
    <w:p w14:paraId="151602C9">
      <w:pPr>
        <w:spacing w:line="374" w:lineRule="atLeas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注：</w:t>
      </w:r>
    </w:p>
    <w:p w14:paraId="0875A29A">
      <w:pPr>
        <w:adjustRightInd w:val="0"/>
        <w:snapToGrid w:val="0"/>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hint="eastAsia" w:ascii="宋体" w:hAnsi="宋体"/>
          <w:bCs/>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报价为完成项目需求所有内容的总报价，总价包干，成交人在实施中不得以任何理由要求采购人变更总价。</w:t>
      </w:r>
    </w:p>
    <w:p w14:paraId="23EBAFA9">
      <w:pPr>
        <w:spacing w:line="500" w:lineRule="exact"/>
        <w:ind w:firstLine="831" w:firstLineChars="396"/>
        <w:rPr>
          <w:rFonts w:ascii="宋体" w:hAnsi="宋体"/>
          <w:bCs/>
          <w:color w:val="000000" w:themeColor="text1"/>
          <w14:textFill>
            <w14:solidFill>
              <w14:schemeClr w14:val="tx1"/>
            </w14:solidFill>
          </w14:textFill>
        </w:rPr>
      </w:pPr>
    </w:p>
    <w:p w14:paraId="23BEA556">
      <w:pPr>
        <w:spacing w:line="500" w:lineRule="exact"/>
        <w:ind w:firstLine="831" w:firstLineChars="396"/>
        <w:rPr>
          <w:rFonts w:ascii="宋体" w:hAnsi="宋体"/>
          <w:bCs/>
          <w:color w:val="000000" w:themeColor="text1"/>
          <w14:textFill>
            <w14:solidFill>
              <w14:schemeClr w14:val="tx1"/>
            </w14:solidFill>
          </w14:textFill>
        </w:rPr>
      </w:pPr>
    </w:p>
    <w:p w14:paraId="63D99DE5">
      <w:pPr>
        <w:pStyle w:val="19"/>
        <w:spacing w:line="500" w:lineRule="exact"/>
        <w:ind w:firstLine="420" w:firstLineChars="20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法定代表人或委托代理人（签字）:</w:t>
      </w:r>
      <w:r>
        <w:rPr>
          <w:rFonts w:hint="eastAsia" w:hAnsi="宋体"/>
          <w:color w:val="000000" w:themeColor="text1"/>
          <w:u w:val="single"/>
          <w14:textFill>
            <w14:solidFill>
              <w14:schemeClr w14:val="tx1"/>
            </w14:solidFill>
          </w14:textFill>
        </w:rPr>
        <w:t xml:space="preserve">              </w:t>
      </w:r>
    </w:p>
    <w:p w14:paraId="2E8B493D">
      <w:pPr>
        <w:pStyle w:val="19"/>
        <w:spacing w:line="500" w:lineRule="exact"/>
        <w:ind w:firstLine="420" w:firstLineChars="20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磋商人名称（盖章）：</w:t>
      </w:r>
      <w:r>
        <w:rPr>
          <w:rFonts w:hint="eastAsia" w:hAnsi="宋体"/>
          <w:color w:val="000000" w:themeColor="text1"/>
          <w:u w:val="single"/>
          <w14:textFill>
            <w14:solidFill>
              <w14:schemeClr w14:val="tx1"/>
            </w14:solidFill>
          </w14:textFill>
        </w:rPr>
        <w:t xml:space="preserve">       </w:t>
      </w:r>
    </w:p>
    <w:p w14:paraId="308563FB">
      <w:pPr>
        <w:spacing w:line="50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报价时间：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日</w:t>
      </w:r>
    </w:p>
    <w:p w14:paraId="08595E37">
      <w:pPr>
        <w:spacing w:line="500" w:lineRule="exact"/>
        <w:ind w:firstLine="420"/>
        <w:rPr>
          <w:rFonts w:ascii="宋体" w:hAnsi="宋体"/>
          <w:color w:val="000000" w:themeColor="text1"/>
          <w14:textFill>
            <w14:solidFill>
              <w14:schemeClr w14:val="tx1"/>
            </w14:solidFill>
          </w14:textFill>
        </w:rPr>
      </w:pPr>
    </w:p>
    <w:p w14:paraId="67802923">
      <w:pPr>
        <w:spacing w:line="500" w:lineRule="exact"/>
        <w:ind w:firstLine="420"/>
        <w:rPr>
          <w:rFonts w:ascii="宋体" w:hAnsi="宋体"/>
          <w:color w:val="000000" w:themeColor="text1"/>
          <w14:textFill>
            <w14:solidFill>
              <w14:schemeClr w14:val="tx1"/>
            </w14:solidFill>
          </w14:textFill>
        </w:rPr>
      </w:pPr>
    </w:p>
    <w:p w14:paraId="3AB716A8">
      <w:pPr>
        <w:pageBreakBefore/>
        <w:adjustRightInd w:val="0"/>
        <w:snapToGrid w:val="0"/>
        <w:spacing w:line="300" w:lineRule="auto"/>
        <w:ind w:left="-88" w:leftChars="-42"/>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附件三  </w:t>
      </w:r>
    </w:p>
    <w:p w14:paraId="1CECF6F0">
      <w:pPr>
        <w:spacing w:line="300" w:lineRule="auto"/>
        <w:rPr>
          <w:rFonts w:ascii="宋体" w:hAnsi="宋体"/>
          <w:b/>
          <w:color w:val="000000" w:themeColor="text1"/>
          <w14:textFill>
            <w14:solidFill>
              <w14:schemeClr w14:val="tx1"/>
            </w14:solidFill>
          </w14:textFill>
        </w:rPr>
      </w:pPr>
    </w:p>
    <w:p w14:paraId="49CA08BD">
      <w:pPr>
        <w:spacing w:line="300" w:lineRule="auto"/>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商务、技术响应、偏离情况说明表</w:t>
      </w:r>
    </w:p>
    <w:p w14:paraId="66BE134C">
      <w:pPr>
        <w:spacing w:line="300" w:lineRule="auto"/>
        <w:rPr>
          <w:rFonts w:ascii="宋体" w:hAnsi="宋体"/>
          <w:color w:val="000000" w:themeColor="text1"/>
          <w14:textFill>
            <w14:solidFill>
              <w14:schemeClr w14:val="tx1"/>
            </w14:solidFill>
          </w14:textFill>
        </w:rPr>
      </w:pPr>
    </w:p>
    <w:p w14:paraId="24F7463E">
      <w:pPr>
        <w:spacing w:line="500" w:lineRule="exact"/>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项目名称:</w:t>
      </w:r>
      <w:r>
        <w:rPr>
          <w:rFonts w:hint="eastAsia" w:ascii="宋体" w:hAnsi="宋体"/>
          <w:color w:val="000000" w:themeColor="text1"/>
          <w:u w:val="single"/>
          <w14:textFill>
            <w14:solidFill>
              <w14:schemeClr w14:val="tx1"/>
            </w14:solidFill>
          </w14:textFill>
        </w:rPr>
        <w:t xml:space="preserve">                 </w:t>
      </w:r>
    </w:p>
    <w:p w14:paraId="3D4E8720">
      <w:pPr>
        <w:spacing w:line="5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项目编号:</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p>
    <w:p w14:paraId="08A29EDC">
      <w:pPr>
        <w:spacing w:line="500" w:lineRule="exact"/>
        <w:rPr>
          <w:rFonts w:ascii="宋体" w:hAnsi="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分标</w:t>
      </w:r>
      <w:r>
        <w:rPr>
          <w:rFonts w:hint="eastAsia"/>
          <w:color w:val="000000" w:themeColor="text1"/>
          <w:highlight w:val="none"/>
          <w:u w:val="single"/>
          <w14:textFill>
            <w14:solidFill>
              <w14:schemeClr w14:val="tx1"/>
            </w14:solidFill>
          </w14:textFill>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14:paraId="2723F9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vAlign w:val="center"/>
          </w:tcPr>
          <w:p w14:paraId="61B5154B">
            <w:pPr>
              <w:ind w:right="-107" w:rightChars="-51"/>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2931" w:type="dxa"/>
            <w:tcBorders>
              <w:top w:val="single" w:color="auto" w:sz="4" w:space="0"/>
              <w:left w:val="single" w:color="auto" w:sz="6" w:space="0"/>
              <w:bottom w:val="single" w:color="auto" w:sz="6" w:space="0"/>
              <w:right w:val="single" w:color="auto" w:sz="6" w:space="0"/>
            </w:tcBorders>
            <w:vAlign w:val="center"/>
          </w:tcPr>
          <w:p w14:paraId="7AFEC100">
            <w:pPr>
              <w:rPr>
                <w:rFonts w:ascii="宋体" w:hAnsi="宋体"/>
                <w:color w:val="000000" w:themeColor="text1"/>
                <w14:textFill>
                  <w14:solidFill>
                    <w14:schemeClr w14:val="tx1"/>
                  </w14:solidFill>
                </w14:textFill>
              </w:rPr>
            </w:pPr>
            <w:bookmarkStart w:id="10" w:name="_Toc254970589"/>
            <w:bookmarkStart w:id="11" w:name="_Toc254970730"/>
            <w:bookmarkStart w:id="12" w:name="_Toc173211901"/>
            <w:bookmarkStart w:id="13" w:name="_Toc173066402"/>
            <w:r>
              <w:rPr>
                <w:rFonts w:hint="eastAsia" w:ascii="宋体" w:hAnsi="宋体"/>
                <w:color w:val="000000" w:themeColor="text1"/>
                <w14:textFill>
                  <w14:solidFill>
                    <w14:schemeClr w14:val="tx1"/>
                  </w14:solidFill>
                </w14:textFill>
              </w:rPr>
              <w:t>竞争性磋商文件要求</w:t>
            </w:r>
            <w:bookmarkEnd w:id="10"/>
            <w:bookmarkEnd w:id="11"/>
            <w:bookmarkEnd w:id="12"/>
            <w:bookmarkEnd w:id="13"/>
          </w:p>
        </w:tc>
        <w:tc>
          <w:tcPr>
            <w:tcW w:w="3087" w:type="dxa"/>
            <w:tcBorders>
              <w:top w:val="single" w:color="auto" w:sz="4" w:space="0"/>
              <w:left w:val="single" w:color="auto" w:sz="6" w:space="0"/>
              <w:bottom w:val="single" w:color="auto" w:sz="6" w:space="0"/>
              <w:right w:val="single" w:color="auto" w:sz="6" w:space="0"/>
            </w:tcBorders>
            <w:vAlign w:val="center"/>
          </w:tcPr>
          <w:p w14:paraId="1A3F0647">
            <w:pPr>
              <w:rPr>
                <w:rFonts w:ascii="宋体" w:hAnsi="宋体"/>
                <w:color w:val="000000" w:themeColor="text1"/>
                <w14:textFill>
                  <w14:solidFill>
                    <w14:schemeClr w14:val="tx1"/>
                  </w14:solidFill>
                </w14:textFill>
              </w:rPr>
            </w:pPr>
            <w:bookmarkStart w:id="14" w:name="_Toc254970731"/>
            <w:bookmarkStart w:id="15" w:name="_Toc173211902"/>
            <w:bookmarkStart w:id="16" w:name="_Toc173066403"/>
            <w:bookmarkStart w:id="17" w:name="_Toc254970590"/>
            <w:r>
              <w:rPr>
                <w:rFonts w:hint="eastAsia" w:ascii="宋体" w:hAnsi="宋体"/>
                <w:color w:val="000000" w:themeColor="text1"/>
                <w14:textFill>
                  <w14:solidFill>
                    <w14:schemeClr w14:val="tx1"/>
                  </w14:solidFill>
                </w14:textFill>
              </w:rPr>
              <w:t>竞争性磋商响应文件具体响应</w:t>
            </w:r>
            <w:bookmarkEnd w:id="14"/>
            <w:bookmarkEnd w:id="15"/>
            <w:bookmarkEnd w:id="16"/>
            <w:bookmarkEnd w:id="17"/>
          </w:p>
        </w:tc>
        <w:tc>
          <w:tcPr>
            <w:tcW w:w="1535" w:type="dxa"/>
            <w:tcBorders>
              <w:top w:val="single" w:color="auto" w:sz="4" w:space="0"/>
              <w:left w:val="single" w:color="auto" w:sz="6" w:space="0"/>
              <w:bottom w:val="single" w:color="auto" w:sz="6" w:space="0"/>
              <w:right w:val="single" w:color="auto" w:sz="6" w:space="0"/>
            </w:tcBorders>
            <w:vAlign w:val="center"/>
          </w:tcPr>
          <w:p w14:paraId="7EE08D35">
            <w:pPr>
              <w:rPr>
                <w:rFonts w:ascii="宋体" w:hAnsi="宋体"/>
                <w:color w:val="000000" w:themeColor="text1"/>
                <w14:textFill>
                  <w14:solidFill>
                    <w14:schemeClr w14:val="tx1"/>
                  </w14:solidFill>
                </w14:textFill>
              </w:rPr>
            </w:pPr>
            <w:bookmarkStart w:id="18" w:name="_Toc173211903"/>
            <w:bookmarkStart w:id="19" w:name="_Toc254970591"/>
            <w:bookmarkStart w:id="20" w:name="_Toc173066404"/>
            <w:bookmarkStart w:id="21" w:name="_Toc254970732"/>
            <w:r>
              <w:rPr>
                <w:rFonts w:hint="eastAsia" w:ascii="宋体" w:hAnsi="宋体"/>
                <w:color w:val="000000" w:themeColor="text1"/>
                <w14:textFill>
                  <w14:solidFill>
                    <w14:schemeClr w14:val="tx1"/>
                  </w14:solidFill>
                </w14:textFill>
              </w:rPr>
              <w:t>响应/偏离</w:t>
            </w:r>
            <w:bookmarkEnd w:id="18"/>
            <w:bookmarkEnd w:id="19"/>
            <w:bookmarkEnd w:id="20"/>
            <w:bookmarkEnd w:id="21"/>
          </w:p>
        </w:tc>
        <w:tc>
          <w:tcPr>
            <w:tcW w:w="1427" w:type="dxa"/>
            <w:tcBorders>
              <w:top w:val="single" w:color="auto" w:sz="4" w:space="0"/>
              <w:left w:val="single" w:color="auto" w:sz="6" w:space="0"/>
              <w:bottom w:val="single" w:color="auto" w:sz="6" w:space="0"/>
              <w:right w:val="single" w:color="auto" w:sz="4" w:space="0"/>
            </w:tcBorders>
            <w:vAlign w:val="center"/>
          </w:tcPr>
          <w:p w14:paraId="07962C09">
            <w:pPr>
              <w:rPr>
                <w:rFonts w:ascii="宋体" w:hAnsi="宋体"/>
                <w:color w:val="000000" w:themeColor="text1"/>
                <w14:textFill>
                  <w14:solidFill>
                    <w14:schemeClr w14:val="tx1"/>
                  </w14:solidFill>
                </w14:textFill>
              </w:rPr>
            </w:pPr>
            <w:bookmarkStart w:id="22" w:name="_Toc173211904"/>
            <w:bookmarkStart w:id="23" w:name="_Toc254970733"/>
            <w:bookmarkStart w:id="24" w:name="_Toc173066405"/>
            <w:bookmarkStart w:id="25" w:name="_Toc254970592"/>
            <w:r>
              <w:rPr>
                <w:rFonts w:hint="eastAsia" w:ascii="宋体" w:hAnsi="宋体"/>
                <w:color w:val="000000" w:themeColor="text1"/>
                <w14:textFill>
                  <w14:solidFill>
                    <w14:schemeClr w14:val="tx1"/>
                  </w14:solidFill>
                </w14:textFill>
              </w:rPr>
              <w:t>说明</w:t>
            </w:r>
            <w:bookmarkEnd w:id="22"/>
            <w:bookmarkEnd w:id="23"/>
            <w:bookmarkEnd w:id="24"/>
            <w:bookmarkEnd w:id="25"/>
          </w:p>
        </w:tc>
      </w:tr>
      <w:tr w14:paraId="0CF90C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14:paraId="2A25F371">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商务部分</w:t>
            </w:r>
          </w:p>
        </w:tc>
      </w:tr>
      <w:tr w14:paraId="34754D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vAlign w:val="center"/>
          </w:tcPr>
          <w:p w14:paraId="4953B5F7">
            <w:pPr>
              <w:rPr>
                <w:rFonts w:ascii="宋体" w:hAnsi="宋体"/>
                <w:color w:val="000000" w:themeColor="text1"/>
                <w14:textFill>
                  <w14:solidFill>
                    <w14:schemeClr w14:val="tx1"/>
                  </w14:solidFill>
                </w14:textFill>
              </w:rPr>
            </w:pPr>
            <w:bookmarkStart w:id="26" w:name="_Toc254970734"/>
            <w:bookmarkStart w:id="27" w:name="_Toc254970593"/>
            <w:bookmarkStart w:id="28" w:name="_Toc173066406"/>
            <w:bookmarkStart w:id="29" w:name="_Toc173211905"/>
            <w:r>
              <w:rPr>
                <w:rFonts w:hint="eastAsia" w:ascii="宋体" w:hAnsi="宋体"/>
                <w:color w:val="000000" w:themeColor="text1"/>
                <w14:textFill>
                  <w14:solidFill>
                    <w14:schemeClr w14:val="tx1"/>
                  </w14:solidFill>
                </w14:textFill>
              </w:rPr>
              <w:t>1</w:t>
            </w:r>
            <w:bookmarkEnd w:id="26"/>
            <w:bookmarkEnd w:id="27"/>
            <w:bookmarkEnd w:id="28"/>
            <w:bookmarkEnd w:id="29"/>
          </w:p>
        </w:tc>
        <w:tc>
          <w:tcPr>
            <w:tcW w:w="2931" w:type="dxa"/>
            <w:tcBorders>
              <w:top w:val="single" w:color="auto" w:sz="6" w:space="0"/>
              <w:left w:val="single" w:color="auto" w:sz="6" w:space="0"/>
              <w:bottom w:val="single" w:color="auto" w:sz="6" w:space="0"/>
              <w:right w:val="single" w:color="auto" w:sz="6" w:space="0"/>
            </w:tcBorders>
            <w:vAlign w:val="center"/>
          </w:tcPr>
          <w:p w14:paraId="2B78AC5C">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项目服务期限</w:t>
            </w:r>
          </w:p>
        </w:tc>
        <w:tc>
          <w:tcPr>
            <w:tcW w:w="3087" w:type="dxa"/>
            <w:tcBorders>
              <w:top w:val="single" w:color="auto" w:sz="6" w:space="0"/>
              <w:left w:val="single" w:color="auto" w:sz="6" w:space="0"/>
              <w:bottom w:val="single" w:color="auto" w:sz="6" w:space="0"/>
              <w:right w:val="single" w:color="auto" w:sz="6" w:space="0"/>
            </w:tcBorders>
            <w:vAlign w:val="center"/>
          </w:tcPr>
          <w:p w14:paraId="4F7900EA">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14:paraId="7024F363">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14:paraId="549A09C3">
            <w:pPr>
              <w:rPr>
                <w:rFonts w:ascii="宋体" w:hAnsi="宋体"/>
                <w:color w:val="000000" w:themeColor="text1"/>
                <w14:textFill>
                  <w14:solidFill>
                    <w14:schemeClr w14:val="tx1"/>
                  </w14:solidFill>
                </w14:textFill>
              </w:rPr>
            </w:pPr>
          </w:p>
        </w:tc>
      </w:tr>
      <w:tr w14:paraId="6138E3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133610F5">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c>
          <w:tcPr>
            <w:tcW w:w="2931" w:type="dxa"/>
            <w:tcBorders>
              <w:top w:val="single" w:color="auto" w:sz="6" w:space="0"/>
              <w:left w:val="single" w:color="auto" w:sz="6" w:space="0"/>
              <w:bottom w:val="single" w:color="auto" w:sz="6" w:space="0"/>
              <w:right w:val="single" w:color="auto" w:sz="6" w:space="0"/>
            </w:tcBorders>
            <w:vAlign w:val="center"/>
          </w:tcPr>
          <w:p w14:paraId="1C3540ED">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14:paraId="4208873C">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14:paraId="5C38D90B">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14:paraId="0BEB6972">
            <w:pPr>
              <w:rPr>
                <w:rFonts w:ascii="宋体" w:hAnsi="宋体"/>
                <w:color w:val="000000" w:themeColor="text1"/>
                <w14:textFill>
                  <w14:solidFill>
                    <w14:schemeClr w14:val="tx1"/>
                  </w14:solidFill>
                </w14:textFill>
              </w:rPr>
            </w:pPr>
          </w:p>
        </w:tc>
      </w:tr>
      <w:tr w14:paraId="6B693B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14:paraId="5E89E6D4">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技术部分</w:t>
            </w:r>
          </w:p>
        </w:tc>
      </w:tr>
      <w:tr w14:paraId="1502FA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3F1E05E2">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2931" w:type="dxa"/>
            <w:tcBorders>
              <w:top w:val="single" w:color="auto" w:sz="6" w:space="0"/>
              <w:left w:val="single" w:color="auto" w:sz="6" w:space="0"/>
              <w:bottom w:val="single" w:color="auto" w:sz="6" w:space="0"/>
              <w:right w:val="single" w:color="auto" w:sz="6" w:space="0"/>
            </w:tcBorders>
            <w:vAlign w:val="center"/>
          </w:tcPr>
          <w:p w14:paraId="7DD4868A">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14:paraId="5D3A5B5C">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14:paraId="22CFC2BF">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14:paraId="176EE990">
            <w:pPr>
              <w:rPr>
                <w:rFonts w:ascii="宋体" w:hAnsi="宋体"/>
                <w:color w:val="000000" w:themeColor="text1"/>
                <w14:textFill>
                  <w14:solidFill>
                    <w14:schemeClr w14:val="tx1"/>
                  </w14:solidFill>
                </w14:textFill>
              </w:rPr>
            </w:pPr>
          </w:p>
        </w:tc>
      </w:tr>
      <w:tr w14:paraId="18EC09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2E4DFB85">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2931" w:type="dxa"/>
            <w:tcBorders>
              <w:top w:val="single" w:color="auto" w:sz="6" w:space="0"/>
              <w:left w:val="single" w:color="auto" w:sz="6" w:space="0"/>
              <w:bottom w:val="single" w:color="auto" w:sz="6" w:space="0"/>
              <w:right w:val="single" w:color="auto" w:sz="6" w:space="0"/>
            </w:tcBorders>
            <w:vAlign w:val="center"/>
          </w:tcPr>
          <w:p w14:paraId="00B6E195">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14:paraId="02F8B074">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14:paraId="199602C6">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14:paraId="2AF5207C">
            <w:pPr>
              <w:rPr>
                <w:rFonts w:ascii="宋体" w:hAnsi="宋体"/>
                <w:color w:val="000000" w:themeColor="text1"/>
                <w14:textFill>
                  <w14:solidFill>
                    <w14:schemeClr w14:val="tx1"/>
                  </w14:solidFill>
                </w14:textFill>
              </w:rPr>
            </w:pPr>
          </w:p>
        </w:tc>
      </w:tr>
      <w:tr w14:paraId="3A4AB0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14:paraId="322AE5E7">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2931" w:type="dxa"/>
            <w:tcBorders>
              <w:top w:val="single" w:color="auto" w:sz="6" w:space="0"/>
              <w:left w:val="single" w:color="auto" w:sz="6" w:space="0"/>
              <w:bottom w:val="single" w:color="auto" w:sz="6" w:space="0"/>
              <w:right w:val="single" w:color="auto" w:sz="6" w:space="0"/>
            </w:tcBorders>
            <w:vAlign w:val="center"/>
          </w:tcPr>
          <w:p w14:paraId="32C2995C">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14:paraId="6E8236B9">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14:paraId="147A46AA">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14:paraId="31F5B5C2">
            <w:pPr>
              <w:rPr>
                <w:rFonts w:ascii="宋体" w:hAnsi="宋体"/>
                <w:color w:val="000000" w:themeColor="text1"/>
                <w14:textFill>
                  <w14:solidFill>
                    <w14:schemeClr w14:val="tx1"/>
                  </w14:solidFill>
                </w14:textFill>
              </w:rPr>
            </w:pPr>
          </w:p>
        </w:tc>
      </w:tr>
      <w:tr w14:paraId="471CA8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vAlign w:val="center"/>
          </w:tcPr>
          <w:p w14:paraId="5E692847">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p>
        </w:tc>
        <w:tc>
          <w:tcPr>
            <w:tcW w:w="2931" w:type="dxa"/>
            <w:tcBorders>
              <w:top w:val="single" w:color="auto" w:sz="6" w:space="0"/>
              <w:left w:val="single" w:color="auto" w:sz="6" w:space="0"/>
              <w:bottom w:val="single" w:color="auto" w:sz="4" w:space="0"/>
              <w:right w:val="single" w:color="auto" w:sz="6" w:space="0"/>
            </w:tcBorders>
            <w:vAlign w:val="center"/>
          </w:tcPr>
          <w:p w14:paraId="033B0B8E">
            <w:pPr>
              <w:rPr>
                <w:rFonts w:ascii="宋体" w:hAnsi="宋体"/>
                <w:color w:val="000000" w:themeColor="text1"/>
                <w14:textFill>
                  <w14:solidFill>
                    <w14:schemeClr w14:val="tx1"/>
                  </w14:solidFill>
                </w14:textFill>
              </w:rPr>
            </w:pPr>
          </w:p>
        </w:tc>
        <w:tc>
          <w:tcPr>
            <w:tcW w:w="3087" w:type="dxa"/>
            <w:tcBorders>
              <w:top w:val="single" w:color="auto" w:sz="6" w:space="0"/>
              <w:left w:val="single" w:color="auto" w:sz="6" w:space="0"/>
              <w:bottom w:val="single" w:color="auto" w:sz="4" w:space="0"/>
              <w:right w:val="single" w:color="auto" w:sz="6" w:space="0"/>
            </w:tcBorders>
            <w:vAlign w:val="center"/>
          </w:tcPr>
          <w:p w14:paraId="0B36FF4F">
            <w:pPr>
              <w:rPr>
                <w:rFonts w:ascii="宋体" w:hAnsi="宋体"/>
                <w:color w:val="000000" w:themeColor="text1"/>
                <w14:textFill>
                  <w14:solidFill>
                    <w14:schemeClr w14:val="tx1"/>
                  </w14:solidFill>
                </w14:textFill>
              </w:rPr>
            </w:pPr>
          </w:p>
        </w:tc>
        <w:tc>
          <w:tcPr>
            <w:tcW w:w="1535" w:type="dxa"/>
            <w:tcBorders>
              <w:top w:val="single" w:color="auto" w:sz="6" w:space="0"/>
              <w:left w:val="single" w:color="auto" w:sz="6" w:space="0"/>
              <w:bottom w:val="single" w:color="auto" w:sz="4" w:space="0"/>
              <w:right w:val="single" w:color="auto" w:sz="4" w:space="0"/>
            </w:tcBorders>
            <w:vAlign w:val="center"/>
          </w:tcPr>
          <w:p w14:paraId="57ED406F">
            <w:pPr>
              <w:rPr>
                <w:rFonts w:ascii="宋体" w:hAnsi="宋体"/>
                <w:color w:val="000000" w:themeColor="text1"/>
                <w14:textFill>
                  <w14:solidFill>
                    <w14:schemeClr w14:val="tx1"/>
                  </w14:solidFill>
                </w14:textFill>
              </w:rPr>
            </w:pPr>
          </w:p>
        </w:tc>
        <w:tc>
          <w:tcPr>
            <w:tcW w:w="1427" w:type="dxa"/>
            <w:tcBorders>
              <w:top w:val="single" w:color="auto" w:sz="6" w:space="0"/>
              <w:left w:val="single" w:color="auto" w:sz="4" w:space="0"/>
              <w:bottom w:val="single" w:color="auto" w:sz="4" w:space="0"/>
              <w:right w:val="single" w:color="auto" w:sz="4" w:space="0"/>
            </w:tcBorders>
            <w:vAlign w:val="center"/>
          </w:tcPr>
          <w:p w14:paraId="43CDBEC7">
            <w:pPr>
              <w:rPr>
                <w:rFonts w:ascii="宋体" w:hAnsi="宋体"/>
                <w:color w:val="000000" w:themeColor="text1"/>
                <w14:textFill>
                  <w14:solidFill>
                    <w14:schemeClr w14:val="tx1"/>
                  </w14:solidFill>
                </w14:textFill>
              </w:rPr>
            </w:pPr>
          </w:p>
        </w:tc>
      </w:tr>
    </w:tbl>
    <w:p w14:paraId="3174E4D6">
      <w:pPr>
        <w:adjustRightInd w:val="0"/>
        <w:snapToGrid w:val="0"/>
        <w:spacing w:line="36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说明：1、应写明竞争性磋商响应文件对商务与技术要求的响应和偏离情况</w:t>
      </w:r>
      <w:r>
        <w:rPr>
          <w:rFonts w:hint="eastAsia" w:ascii="宋体" w:hAnsi="宋体"/>
          <w:bCs/>
          <w:color w:val="000000" w:themeColor="text1"/>
          <w14:textFill>
            <w14:solidFill>
              <w14:schemeClr w14:val="tx1"/>
            </w14:solidFill>
          </w14:textFill>
        </w:rPr>
        <w:t>；</w:t>
      </w:r>
    </w:p>
    <w:p w14:paraId="6C7BBDC8">
      <w:pPr>
        <w:pStyle w:val="17"/>
        <w:spacing w:line="360" w:lineRule="exact"/>
        <w:ind w:firstLine="630"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14:paraId="622C8BE7">
      <w:pPr>
        <w:pStyle w:val="19"/>
        <w:spacing w:line="360" w:lineRule="exact"/>
        <w:rPr>
          <w:rFonts w:hAnsi="宋体"/>
          <w:color w:val="000000" w:themeColor="text1"/>
          <w14:textFill>
            <w14:solidFill>
              <w14:schemeClr w14:val="tx1"/>
            </w14:solidFill>
          </w14:textFill>
        </w:rPr>
      </w:pPr>
    </w:p>
    <w:p w14:paraId="62000CA2">
      <w:pPr>
        <w:rPr>
          <w:rFonts w:ascii="宋体" w:hAnsi="宋体"/>
          <w:color w:val="000000" w:themeColor="text1"/>
          <w14:textFill>
            <w14:solidFill>
              <w14:schemeClr w14:val="tx1"/>
            </w14:solidFill>
          </w14:textFill>
        </w:rPr>
      </w:pPr>
    </w:p>
    <w:p w14:paraId="36F19C63">
      <w:pPr>
        <w:rPr>
          <w:rFonts w:ascii="宋体" w:hAnsi="宋体"/>
          <w:color w:val="000000" w:themeColor="text1"/>
          <w14:textFill>
            <w14:solidFill>
              <w14:schemeClr w14:val="tx1"/>
            </w14:solidFill>
          </w14:textFill>
        </w:rPr>
      </w:pPr>
    </w:p>
    <w:p w14:paraId="6E094D44">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法定代表人(负责人)或委托代理人签字:                  </w:t>
      </w:r>
    </w:p>
    <w:p w14:paraId="75E61898">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14:paraId="174A78D5">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p w14:paraId="1F0A2F5D">
      <w:pPr>
        <w:spacing w:line="300" w:lineRule="auto"/>
        <w:rPr>
          <w:rFonts w:ascii="宋体" w:hAnsi="宋体"/>
          <w:color w:val="000000" w:themeColor="text1"/>
          <w14:textFill>
            <w14:solidFill>
              <w14:schemeClr w14:val="tx1"/>
            </w14:solidFill>
          </w14:textFill>
        </w:rPr>
      </w:pPr>
    </w:p>
    <w:p w14:paraId="64C7CE29">
      <w:pPr>
        <w:pageBreakBefore/>
        <w:spacing w:line="30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附件四</w:t>
      </w:r>
    </w:p>
    <w:p w14:paraId="603CF0C1">
      <w:pPr>
        <w:adjustRightInd w:val="0"/>
        <w:snapToGrid w:val="0"/>
        <w:spacing w:line="300" w:lineRule="auto"/>
        <w:jc w:val="center"/>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法定代表人(负责人)授权委托书</w:t>
      </w:r>
    </w:p>
    <w:p w14:paraId="1CED119A">
      <w:pPr>
        <w:adjustRightInd w:val="0"/>
        <w:snapToGrid w:val="0"/>
        <w:spacing w:line="520" w:lineRule="exact"/>
        <w:rPr>
          <w:rFonts w:ascii="宋体" w:hAnsi="宋体"/>
          <w:color w:val="000000" w:themeColor="text1"/>
          <w14:textFill>
            <w14:solidFill>
              <w14:schemeClr w14:val="tx1"/>
            </w14:solidFill>
          </w14:textFill>
        </w:rPr>
      </w:pPr>
    </w:p>
    <w:p w14:paraId="4DC91397">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u w:val="single"/>
          <w14:textFill>
            <w14:solidFill>
              <w14:schemeClr w14:val="tx1"/>
            </w14:solidFill>
          </w14:textFill>
        </w:rPr>
        <w:t>广西壮族自治区政府采购中心</w:t>
      </w:r>
      <w:r>
        <w:rPr>
          <w:rFonts w:hint="eastAsia" w:ascii="宋体" w:hAnsi="宋体"/>
          <w:color w:val="000000" w:themeColor="text1"/>
          <w14:textFill>
            <w14:solidFill>
              <w14:schemeClr w14:val="tx1"/>
            </w14:solidFill>
          </w14:textFill>
        </w:rPr>
        <w:t>：</w:t>
      </w:r>
    </w:p>
    <w:p w14:paraId="36016F1C">
      <w:pPr>
        <w:spacing w:line="52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兹授权</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同志为我公司参加贵单位组织的</w:t>
      </w:r>
      <w:r>
        <w:rPr>
          <w:rFonts w:hint="eastAsia" w:ascii="宋体" w:hAnsi="宋体"/>
          <w:color w:val="000000" w:themeColor="text1"/>
          <w:u w:val="single"/>
          <w14:textFill>
            <w14:solidFill>
              <w14:schemeClr w14:val="tx1"/>
            </w14:solidFill>
          </w14:textFill>
        </w:rPr>
        <w:t>（项目名称、项目编号）竞争性磋商</w:t>
      </w:r>
      <w:r>
        <w:rPr>
          <w:rFonts w:hint="eastAsia" w:ascii="宋体" w:hAnsi="宋体"/>
          <w:color w:val="000000" w:themeColor="text1"/>
          <w14:textFill>
            <w14:solidFill>
              <w14:schemeClr w14:val="tx1"/>
            </w14:solidFill>
          </w14:textFill>
        </w:rPr>
        <w:t>采购活动的委托代理人，全权代表我公司处理在该项目活动中的一切事宜。代理期限从</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日起至</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日止。 </w:t>
      </w:r>
    </w:p>
    <w:p w14:paraId="7010442F">
      <w:pPr>
        <w:spacing w:line="520" w:lineRule="exact"/>
        <w:rPr>
          <w:rFonts w:ascii="宋体" w:hAnsi="宋体"/>
          <w:color w:val="000000" w:themeColor="text1"/>
          <w14:textFill>
            <w14:solidFill>
              <w14:schemeClr w14:val="tx1"/>
            </w14:solidFill>
          </w14:textFill>
        </w:rPr>
      </w:pPr>
    </w:p>
    <w:p w14:paraId="3B14B610">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供应商（盖章）：</w:t>
      </w:r>
      <w:r>
        <w:rPr>
          <w:rFonts w:hint="eastAsia" w:ascii="宋体" w:hAnsi="宋体"/>
          <w:color w:val="000000" w:themeColor="text1"/>
          <w:u w:val="single"/>
          <w14:textFill>
            <w14:solidFill>
              <w14:schemeClr w14:val="tx1"/>
            </w14:solidFill>
          </w14:textFill>
        </w:rPr>
        <w:t xml:space="preserve">               </w:t>
      </w:r>
    </w:p>
    <w:p w14:paraId="24994860">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法定代表人(负责人)（签字或盖章）：</w:t>
      </w:r>
      <w:r>
        <w:rPr>
          <w:rFonts w:hint="eastAsia" w:ascii="宋体" w:hAnsi="宋体"/>
          <w:color w:val="000000" w:themeColor="text1"/>
          <w:u w:val="single"/>
          <w14:textFill>
            <w14:solidFill>
              <w14:schemeClr w14:val="tx1"/>
            </w14:solidFill>
          </w14:textFill>
        </w:rPr>
        <w:t xml:space="preserve">       </w:t>
      </w:r>
    </w:p>
    <w:p w14:paraId="277A4612">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签发日期：</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年</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月</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日</w:t>
      </w:r>
    </w:p>
    <w:p w14:paraId="18DEE70D">
      <w:pPr>
        <w:spacing w:line="520" w:lineRule="exact"/>
        <w:rPr>
          <w:rFonts w:ascii="宋体" w:hAnsi="宋体"/>
          <w:color w:val="000000" w:themeColor="text1"/>
          <w14:textFill>
            <w14:solidFill>
              <w14:schemeClr w14:val="tx1"/>
            </w14:solidFill>
          </w14:textFill>
        </w:rPr>
      </w:pPr>
    </w:p>
    <w:p w14:paraId="3A528E47">
      <w:pPr>
        <w:spacing w:line="52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附：委托代理人工作单位</w:t>
      </w:r>
      <w:r>
        <w:rPr>
          <w:rFonts w:hint="eastAsia" w:ascii="宋体" w:hAnsi="宋体"/>
          <w:color w:val="000000" w:themeColor="text1"/>
          <w:u w:val="single"/>
          <w14:textFill>
            <w14:solidFill>
              <w14:schemeClr w14:val="tx1"/>
            </w14:solidFill>
          </w14:textFill>
        </w:rPr>
        <w:t xml:space="preserve">               </w:t>
      </w:r>
    </w:p>
    <w:p w14:paraId="0C29083F">
      <w:pPr>
        <w:spacing w:line="52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职务：</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性别：</w:t>
      </w:r>
      <w:r>
        <w:rPr>
          <w:rFonts w:hint="eastAsia" w:ascii="宋体" w:hAnsi="宋体"/>
          <w:color w:val="000000" w:themeColor="text1"/>
          <w:u w:val="single"/>
          <w14:textFill>
            <w14:solidFill>
              <w14:schemeClr w14:val="tx1"/>
            </w14:solidFill>
          </w14:textFill>
        </w:rPr>
        <w:t xml:space="preserve">    </w:t>
      </w:r>
    </w:p>
    <w:p w14:paraId="1D2E132F">
      <w:pPr>
        <w:adjustRightInd w:val="0"/>
        <w:snapToGrid w:val="0"/>
        <w:spacing w:line="520" w:lineRule="exact"/>
        <w:ind w:firstLine="420" w:firstLineChars="200"/>
        <w:rPr>
          <w:rFonts w:ascii="宋体" w:hAns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身份证号码：</w:t>
      </w:r>
      <w:r>
        <w:rPr>
          <w:rFonts w:hint="eastAsia" w:ascii="宋体" w:hAnsi="宋体"/>
          <w:color w:val="000000" w:themeColor="text1"/>
          <w:u w:val="single"/>
          <w14:textFill>
            <w14:solidFill>
              <w14:schemeClr w14:val="tx1"/>
            </w14:solidFill>
          </w14:textFill>
        </w:rPr>
        <w:t xml:space="preserve">                              </w:t>
      </w:r>
    </w:p>
    <w:tbl>
      <w:tblPr>
        <w:tblStyle w:val="38"/>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7B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9" w:hRule="atLeast"/>
        </w:trPr>
        <w:tc>
          <w:tcPr>
            <w:tcW w:w="8657" w:type="dxa"/>
            <w:tcBorders>
              <w:top w:val="single" w:color="auto" w:sz="4" w:space="0"/>
              <w:left w:val="single" w:color="auto" w:sz="4" w:space="0"/>
              <w:bottom w:val="single" w:color="auto" w:sz="4" w:space="0"/>
              <w:right w:val="single" w:color="auto" w:sz="4" w:space="0"/>
            </w:tcBorders>
          </w:tcPr>
          <w:p w14:paraId="0BA2B1B1">
            <w:pPr>
              <w:spacing w:line="30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粘贴委托代理人的正面及反面身份证复印件</w:t>
            </w:r>
          </w:p>
        </w:tc>
      </w:tr>
    </w:tbl>
    <w:p w14:paraId="1A83A3DF">
      <w:pPr>
        <w:autoSpaceDE w:val="0"/>
        <w:autoSpaceDN w:val="0"/>
        <w:spacing w:line="300" w:lineRule="auto"/>
        <w:ind w:left="480" w:hanging="480"/>
        <w:rPr>
          <w:rFonts w:ascii="宋体" w:hAnsi="宋体"/>
          <w:color w:val="000000" w:themeColor="text1"/>
          <w14:textFill>
            <w14:solidFill>
              <w14:schemeClr w14:val="tx1"/>
            </w14:solidFill>
          </w14:textFill>
        </w:rPr>
      </w:pPr>
    </w:p>
    <w:p w14:paraId="47326047">
      <w:pPr>
        <w:pageBreakBefore/>
        <w:spacing w:line="300" w:lineRule="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附件五</w:t>
      </w:r>
    </w:p>
    <w:p w14:paraId="72A45B75">
      <w:pPr>
        <w:snapToGrid w:val="0"/>
        <w:spacing w:line="360" w:lineRule="exact"/>
        <w:jc w:val="center"/>
        <w:rPr>
          <w:rFonts w:ascii="宋体" w:hAnsi="宋体" w:cs="宋体"/>
          <w:b/>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参加政府采购活动前三年内在经营活动中没有</w:t>
      </w:r>
      <w:r>
        <w:rPr>
          <w:rFonts w:hint="eastAsia" w:ascii="宋体" w:hAnsi="宋体" w:cs="宋体"/>
          <w:b/>
          <w:color w:val="000000" w:themeColor="text1"/>
          <w:kern w:val="0"/>
          <w:sz w:val="28"/>
          <w:szCs w:val="28"/>
          <w14:textFill>
            <w14:solidFill>
              <w14:schemeClr w14:val="tx1"/>
            </w14:solidFill>
          </w14:textFill>
        </w:rPr>
        <w:t>重大违法记录的书面声明</w:t>
      </w:r>
    </w:p>
    <w:p w14:paraId="26558547">
      <w:pPr>
        <w:snapToGrid w:val="0"/>
        <w:spacing w:line="36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（格式自拟，必须提供）</w:t>
      </w:r>
    </w:p>
    <w:p w14:paraId="39E6AC51">
      <w:pPr>
        <w:snapToGrid w:val="0"/>
        <w:spacing w:line="360" w:lineRule="exact"/>
        <w:ind w:firstLine="411" w:firstLineChars="196"/>
        <w:jc w:val="center"/>
        <w:rPr>
          <w:rFonts w:ascii="宋体" w:hAnsi="宋体"/>
          <w:color w:val="000000" w:themeColor="text1"/>
          <w14:textFill>
            <w14:solidFill>
              <w14:schemeClr w14:val="tx1"/>
            </w14:solidFill>
          </w14:textFill>
        </w:rPr>
      </w:pPr>
    </w:p>
    <w:p w14:paraId="616D69C1">
      <w:pPr>
        <w:pStyle w:val="19"/>
        <w:tabs>
          <w:tab w:val="left" w:pos="5580"/>
        </w:tabs>
        <w:spacing w:line="360" w:lineRule="auto"/>
        <w:ind w:left="1080" w:leftChars="257" w:hanging="540"/>
        <w:rPr>
          <w:rFonts w:hAnsi="宋体"/>
          <w:color w:val="000000" w:themeColor="text1"/>
          <w:sz w:val="24"/>
          <w14:textFill>
            <w14:solidFill>
              <w14:schemeClr w14:val="tx1"/>
            </w14:solidFill>
          </w14:textFill>
        </w:rPr>
      </w:pPr>
    </w:p>
    <w:p w14:paraId="3D7EF225">
      <w:pPr>
        <w:snapToGrid w:val="0"/>
        <w:spacing w:line="360" w:lineRule="exact"/>
        <w:ind w:firstLine="567" w:firstLineChars="27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说明：1.磋商人应按照相关法规规定如实做出声明。</w:t>
      </w:r>
    </w:p>
    <w:p w14:paraId="4A1C57E6">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2．按照采购文件的规定盖章（自然人参与磋商的无需盖章，需要签字）。</w:t>
      </w:r>
    </w:p>
    <w:p w14:paraId="3C64DFF5">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04F085D6">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1A4B0F54">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4C97BFEA">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74AA48E6">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43BB980A">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0EC49479">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26809B75">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2ED8A581">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48522313">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1218683F">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4D63F248">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0E52933E">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10E77842">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1AFD4170">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00C427C7">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0036B8B7">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4E58F988">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4669AC76">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5F09F4F8">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1C07C096">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707402F2">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2DA1F08E">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38964E21">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794019F5">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2B30C145">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087331E3">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464D7F52">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261A4CED">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5A05D54C">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2CD49D1A">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739BB5C6">
      <w:pPr>
        <w:snapToGrid w:val="0"/>
        <w:spacing w:line="360" w:lineRule="exact"/>
        <w:ind w:firstLine="1134" w:firstLineChars="540"/>
        <w:jc w:val="left"/>
        <w:rPr>
          <w:rFonts w:ascii="宋体" w:hAnsi="宋体" w:cs="宋体"/>
          <w:color w:val="000000" w:themeColor="text1"/>
          <w:kern w:val="0"/>
          <w14:textFill>
            <w14:solidFill>
              <w14:schemeClr w14:val="tx1"/>
            </w14:solidFill>
          </w14:textFill>
        </w:rPr>
      </w:pPr>
    </w:p>
    <w:p w14:paraId="37996A23">
      <w:pPr>
        <w:snapToGrid w:val="0"/>
        <w:spacing w:line="360" w:lineRule="exact"/>
        <w:ind w:firstLine="283" w:firstLineChars="135"/>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附件六 </w:t>
      </w:r>
      <w:r>
        <w:rPr>
          <w:rFonts w:ascii="宋体" w:hAnsi="宋体" w:cs="宋体"/>
          <w:color w:val="000000" w:themeColor="text1"/>
          <w14:textFill>
            <w14:solidFill>
              <w14:schemeClr w14:val="tx1"/>
            </w14:solidFill>
          </w14:textFill>
        </w:rPr>
        <w:t>中小企业声明函。</w:t>
      </w:r>
    </w:p>
    <w:p w14:paraId="13898846">
      <w:pPr>
        <w:pStyle w:val="109"/>
        <w:spacing w:after="0"/>
        <w:rPr>
          <w:rFonts w:eastAsia="宋体"/>
          <w:color w:val="000000" w:themeColor="text1"/>
          <w14:textFill>
            <w14:solidFill>
              <w14:schemeClr w14:val="tx1"/>
            </w14:solidFill>
          </w14:textFill>
        </w:rPr>
      </w:pPr>
      <w:r>
        <w:rPr>
          <w:color w:val="000000" w:themeColor="text1"/>
          <w14:textFill>
            <w14:solidFill>
              <w14:schemeClr w14:val="tx1"/>
            </w14:solidFill>
          </w14:textFill>
        </w:rPr>
        <w:t>中小企业声明函（</w:t>
      </w:r>
      <w:r>
        <w:rPr>
          <w:rFonts w:hint="eastAsia"/>
          <w:color w:val="000000" w:themeColor="text1"/>
          <w14:textFill>
            <w14:solidFill>
              <w14:schemeClr w14:val="tx1"/>
            </w14:solidFill>
          </w14:textFill>
        </w:rPr>
        <w:t>工程、服务</w:t>
      </w:r>
      <w:r>
        <w:rPr>
          <w:color w:val="000000" w:themeColor="text1"/>
          <w14:textFill>
            <w14:solidFill>
              <w14:schemeClr w14:val="tx1"/>
            </w14:solidFill>
          </w14:textFill>
        </w:rPr>
        <w:t>）</w:t>
      </w:r>
    </w:p>
    <w:p w14:paraId="1E3DAAD1">
      <w:pPr>
        <w:pStyle w:val="111"/>
        <w:spacing w:line="506" w:lineRule="exact"/>
        <w:ind w:firstLine="640"/>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本公司（联合体）郑重声明，根据《政府采购促进中小企业发展管理办法》（财库〔2020 〕46号）的规定，本公司（联合体）参加</w:t>
      </w:r>
      <w:r>
        <w:rPr>
          <w:color w:val="000000" w:themeColor="text1"/>
          <w:sz w:val="21"/>
          <w:szCs w:val="21"/>
          <w:u w:val="single"/>
          <w14:textFill>
            <w14:solidFill>
              <w14:schemeClr w14:val="tx1"/>
            </w14:solidFill>
          </w14:textFill>
        </w:rPr>
        <w:t>（单位名称）</w:t>
      </w:r>
      <w:r>
        <w:rPr>
          <w:color w:val="000000" w:themeColor="text1"/>
          <w:sz w:val="21"/>
          <w:szCs w:val="21"/>
          <w14:textFill>
            <w14:solidFill>
              <w14:schemeClr w14:val="tx1"/>
            </w14:solidFill>
          </w14:textFill>
        </w:rPr>
        <w:t>的</w:t>
      </w:r>
      <w:r>
        <w:rPr>
          <w:color w:val="000000" w:themeColor="text1"/>
          <w:sz w:val="21"/>
          <w:szCs w:val="21"/>
          <w:u w:val="single"/>
          <w14:textFill>
            <w14:solidFill>
              <w14:schemeClr w14:val="tx1"/>
            </w14:solidFill>
          </w14:textFill>
        </w:rPr>
        <w:t>（项目名称）</w:t>
      </w:r>
      <w:r>
        <w:rPr>
          <w:color w:val="000000" w:themeColor="text1"/>
          <w:sz w:val="21"/>
          <w:szCs w:val="21"/>
          <w14:textFill>
            <w14:solidFill>
              <w14:schemeClr w14:val="tx1"/>
            </w14:solidFill>
          </w14:textFill>
        </w:rPr>
        <w:t>釆购活动,</w:t>
      </w:r>
      <w:r>
        <w:rPr>
          <w:rFonts w:ascii="Calibri" w:hAnsi="Calibri"/>
          <w:color w:val="000000" w:themeColor="text1"/>
          <w:sz w:val="21"/>
          <w:szCs w:val="21"/>
          <w14:textFill>
            <w14:solidFill>
              <w14:schemeClr w14:val="tx1"/>
            </w14:solidFill>
          </w14:textFill>
        </w:rPr>
        <w:t xml:space="preserve"> </w:t>
      </w:r>
      <w:r>
        <w:rPr>
          <w:color w:val="000000" w:themeColor="text1"/>
          <w:sz w:val="21"/>
          <w:szCs w:val="21"/>
          <w14:textFill>
            <w14:solidFill>
              <w14:schemeClr w14:val="tx1"/>
            </w14:solidFill>
          </w14:textFill>
        </w:rPr>
        <w:t>工程的施工单位全部为符合政策要求的中小企业（或者：服务全部由符合政策要求的中小企业承接）。相关企业（含联合体中的中小企业、签订分包意向协议的中小企业） 的具体情况如下</w:t>
      </w:r>
      <w:r>
        <w:rPr>
          <w:rFonts w:hint="eastAsia"/>
          <w:color w:val="000000" w:themeColor="text1"/>
          <w:sz w:val="21"/>
          <w:szCs w:val="21"/>
          <w14:textFill>
            <w14:solidFill>
              <w14:schemeClr w14:val="tx1"/>
            </w14:solidFill>
          </w14:textFill>
        </w:rPr>
        <w:t>：</w:t>
      </w:r>
    </w:p>
    <w:p w14:paraId="3ECECF0B">
      <w:pPr>
        <w:pStyle w:val="111"/>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标的名称</w:t>
      </w:r>
      <w:r>
        <w:rPr>
          <w:rFonts w:hint="eastAsia"/>
          <w:color w:val="000000" w:themeColor="text1"/>
          <w:sz w:val="21"/>
          <w:szCs w:val="21"/>
          <w:u w:val="single"/>
          <w14:textFill>
            <w14:solidFill>
              <w14:schemeClr w14:val="tx1"/>
            </w14:solidFill>
          </w14:textFill>
        </w:rPr>
        <w:t>）</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属于</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（釆购文件中明确的所属行业）行业</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承建（承接）企业为</w:t>
      </w:r>
      <w:r>
        <w:rPr>
          <w:color w:val="000000" w:themeColor="text1"/>
          <w:sz w:val="21"/>
          <w:szCs w:val="21"/>
          <w:u w:val="single"/>
          <w14:textFill>
            <w14:solidFill>
              <w14:schemeClr w14:val="tx1"/>
            </w14:solidFill>
          </w14:textFill>
        </w:rPr>
        <w:t>（企业名称）</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从业人员</w:t>
      </w:r>
      <w:r>
        <w:rPr>
          <w:color w:val="000000" w:themeColor="text1"/>
          <w:sz w:val="21"/>
          <w:szCs w:val="21"/>
          <w:u w:val="single"/>
          <w14:textFill>
            <w14:solidFill>
              <w14:schemeClr w14:val="tx1"/>
            </w14:solidFill>
          </w14:textFill>
        </w:rPr>
        <w:tab/>
      </w:r>
      <w:r>
        <w:rPr>
          <w:color w:val="000000" w:themeColor="text1"/>
          <w:sz w:val="21"/>
          <w:szCs w:val="21"/>
          <w:u w:val="single"/>
          <w14:textFill>
            <w14:solidFill>
              <w14:schemeClr w14:val="tx1"/>
            </w14:solidFill>
          </w14:textFill>
        </w:rPr>
        <w:tab/>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人，营业收入为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万元，资产总额为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属于</w:t>
      </w:r>
      <w:r>
        <w:rPr>
          <w:color w:val="000000" w:themeColor="text1"/>
          <w:sz w:val="21"/>
          <w:szCs w:val="21"/>
          <w:u w:val="single"/>
          <w14:textFill>
            <w14:solidFill>
              <w14:schemeClr w14:val="tx1"/>
            </w14:solidFill>
          </w14:textFill>
        </w:rPr>
        <w:t>（中型企业、小型企业、微型企业）</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 xml:space="preserve"> </w:t>
      </w:r>
    </w:p>
    <w:p w14:paraId="1EE9BEE7">
      <w:pPr>
        <w:pStyle w:val="111"/>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（标的名称）</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属于</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（釆购文件中明确的所属行业）行业</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承建（承接）企业为</w:t>
      </w:r>
      <w:r>
        <w:rPr>
          <w:color w:val="000000" w:themeColor="text1"/>
          <w:sz w:val="21"/>
          <w:szCs w:val="21"/>
          <w:u w:val="single"/>
          <w14:textFill>
            <w14:solidFill>
              <w14:schemeClr w14:val="tx1"/>
            </w14:solidFill>
          </w14:textFill>
        </w:rPr>
        <w:t>（企业名称）</w:t>
      </w:r>
      <w:r>
        <w:rPr>
          <w:color w:val="000000" w:themeColor="text1"/>
          <w:sz w:val="21"/>
          <w:szCs w:val="21"/>
          <w14:textFill>
            <w14:solidFill>
              <w14:schemeClr w14:val="tx1"/>
            </w14:solidFill>
          </w14:textFill>
        </w:rPr>
        <w:t>、从业人员</w:t>
      </w:r>
      <w:r>
        <w:rPr>
          <w:color w:val="000000" w:themeColor="text1"/>
          <w:sz w:val="21"/>
          <w:szCs w:val="21"/>
          <w:u w:val="single"/>
          <w14:textFill>
            <w14:solidFill>
              <w14:schemeClr w14:val="tx1"/>
            </w14:solidFill>
          </w14:textFill>
        </w:rPr>
        <w:tab/>
      </w:r>
      <w:r>
        <w:rPr>
          <w:color w:val="000000" w:themeColor="text1"/>
          <w:sz w:val="21"/>
          <w:szCs w:val="21"/>
          <w:u w:val="single"/>
          <w14:textFill>
            <w14:solidFill>
              <w14:schemeClr w14:val="tx1"/>
            </w14:solidFill>
          </w14:textFill>
        </w:rPr>
        <w:tab/>
      </w:r>
      <w:r>
        <w:rPr>
          <w:rFonts w:hint="eastAsia"/>
          <w:color w:val="000000" w:themeColor="text1"/>
          <w:sz w:val="21"/>
          <w:szCs w:val="21"/>
          <w:u w:val="single"/>
          <w14:textFill>
            <w14:solidFill>
              <w14:schemeClr w14:val="tx1"/>
            </w14:solidFill>
          </w14:textFill>
        </w:rPr>
        <w:t xml:space="preserve">  </w:t>
      </w:r>
      <w:r>
        <w:rPr>
          <w:color w:val="000000" w:themeColor="text1"/>
          <w:sz w:val="21"/>
          <w:szCs w:val="21"/>
          <w:u w:val="single"/>
          <w14:textFill>
            <w14:solidFill>
              <w14:schemeClr w14:val="tx1"/>
            </w14:solidFill>
          </w14:textFill>
        </w:rPr>
        <w:tab/>
      </w:r>
      <w:r>
        <w:rPr>
          <w:color w:val="000000" w:themeColor="text1"/>
          <w:sz w:val="21"/>
          <w:szCs w:val="21"/>
          <w14:textFill>
            <w14:solidFill>
              <w14:schemeClr w14:val="tx1"/>
            </w14:solidFill>
          </w14:textFill>
        </w:rPr>
        <w:t>人，营业收入为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万元，资产总额为</w:t>
      </w:r>
      <w:r>
        <w:rPr>
          <w:rFonts w:hint="eastAsia"/>
          <w:color w:val="000000" w:themeColor="text1"/>
          <w:sz w:val="21"/>
          <w:szCs w:val="21"/>
          <w:u w:val="single"/>
          <w14:textFill>
            <w14:solidFill>
              <w14:schemeClr w14:val="tx1"/>
            </w14:solidFill>
          </w14:textFill>
        </w:rPr>
        <w:t xml:space="preserve">    </w:t>
      </w:r>
      <w:r>
        <w:rPr>
          <w:color w:val="000000" w:themeColor="text1"/>
          <w:sz w:val="21"/>
          <w:szCs w:val="21"/>
          <w14:textFill>
            <w14:solidFill>
              <w14:schemeClr w14:val="tx1"/>
            </w14:solidFill>
          </w14:textFill>
        </w:rPr>
        <w:t>万元，属于</w:t>
      </w:r>
      <w:r>
        <w:rPr>
          <w:color w:val="000000" w:themeColor="text1"/>
          <w:sz w:val="21"/>
          <w:szCs w:val="21"/>
          <w:u w:val="single"/>
          <w14:textFill>
            <w14:solidFill>
              <w14:schemeClr w14:val="tx1"/>
            </w14:solidFill>
          </w14:textFill>
        </w:rPr>
        <w:t>（中型企业、小型企业、微型企业）</w:t>
      </w:r>
      <w:r>
        <w:rPr>
          <w:rFonts w:hint="eastAsia"/>
          <w:color w:val="000000" w:themeColor="text1"/>
          <w:sz w:val="21"/>
          <w:szCs w:val="21"/>
          <w14:textFill>
            <w14:solidFill>
              <w14:schemeClr w14:val="tx1"/>
            </w14:solidFill>
          </w14:textFill>
        </w:rPr>
        <w:t>；</w:t>
      </w:r>
    </w:p>
    <w:p w14:paraId="084D5899">
      <w:pPr>
        <w:pStyle w:val="111"/>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p w14:paraId="1A4C8D4C">
      <w:pPr>
        <w:pStyle w:val="111"/>
        <w:spacing w:line="499" w:lineRule="exact"/>
        <w:ind w:firstLine="640"/>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以上企业，不属于大企业的分支机构，不存在控股股东为大企业的情形，也不存在与大企业的负责人为同一人的情形。</w:t>
      </w:r>
    </w:p>
    <w:p w14:paraId="05D55A6E">
      <w:pPr>
        <w:pStyle w:val="111"/>
        <w:spacing w:after="40" w:line="499" w:lineRule="exact"/>
        <w:ind w:firstLine="640"/>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本企业对上述声明内容的真实性</w:t>
      </w:r>
      <w:r>
        <w:rPr>
          <w:rFonts w:hint="eastAsia"/>
          <w:color w:val="000000" w:themeColor="text1"/>
          <w:sz w:val="21"/>
          <w:szCs w:val="21"/>
          <w14:textFill>
            <w14:solidFill>
              <w14:schemeClr w14:val="tx1"/>
            </w14:solidFill>
          </w14:textFill>
        </w:rPr>
        <w:t>负责</w:t>
      </w:r>
      <w:r>
        <w:rPr>
          <w:color w:val="000000" w:themeColor="text1"/>
          <w:sz w:val="21"/>
          <w:szCs w:val="21"/>
          <w14:textFill>
            <w14:solidFill>
              <w14:schemeClr w14:val="tx1"/>
            </w14:solidFill>
          </w14:textFill>
        </w:rPr>
        <w:t>。如有虚假，将依法承担相应责任。</w:t>
      </w:r>
    </w:p>
    <w:p w14:paraId="64FADBD1">
      <w:pPr>
        <w:pStyle w:val="111"/>
        <w:spacing w:after="40" w:line="499" w:lineRule="exact"/>
        <w:ind w:firstLine="640"/>
        <w:jc w:val="both"/>
        <w:rPr>
          <w:color w:val="000000" w:themeColor="text1"/>
          <w:sz w:val="21"/>
          <w:szCs w:val="21"/>
          <w14:textFill>
            <w14:solidFill>
              <w14:schemeClr w14:val="tx1"/>
            </w14:solidFill>
          </w14:textFill>
        </w:rPr>
      </w:pPr>
    </w:p>
    <w:p w14:paraId="06CFC110">
      <w:pPr>
        <w:pStyle w:val="111"/>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                          </w:t>
      </w:r>
      <w:r>
        <w:rPr>
          <w:color w:val="000000" w:themeColor="text1"/>
          <w:sz w:val="21"/>
          <w:szCs w:val="21"/>
          <w14:textFill>
            <w14:solidFill>
              <w14:schemeClr w14:val="tx1"/>
            </w14:solidFill>
          </w14:textFill>
        </w:rPr>
        <w:t>企业名称（盖章）：</w:t>
      </w:r>
    </w:p>
    <w:p w14:paraId="6B2E3802">
      <w:pPr>
        <w:pStyle w:val="111"/>
        <w:spacing w:line="506" w:lineRule="exact"/>
        <w:ind w:firstLine="64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                          日期：</w:t>
      </w:r>
    </w:p>
    <w:p w14:paraId="6727A394">
      <w:pPr>
        <w:pStyle w:val="109"/>
        <w:spacing w:after="0"/>
        <w:rPr>
          <w:color w:val="000000" w:themeColor="text1"/>
          <w14:textFill>
            <w14:solidFill>
              <w14:schemeClr w14:val="tx1"/>
            </w14:solidFill>
          </w14:textFill>
        </w:rPr>
      </w:pPr>
    </w:p>
    <w:p w14:paraId="76BB5288">
      <w:pPr>
        <w:pStyle w:val="109"/>
        <w:adjustRightInd w:val="0"/>
        <w:snapToGrid w:val="0"/>
        <w:spacing w:after="0" w:line="360" w:lineRule="exact"/>
        <w:jc w:val="lef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备注：</w:t>
      </w:r>
    </w:p>
    <w:p w14:paraId="0B5A2F95">
      <w:pPr>
        <w:pStyle w:val="109"/>
        <w:adjustRightInd w:val="0"/>
        <w:snapToGrid w:val="0"/>
        <w:spacing w:after="0" w:line="360" w:lineRule="exact"/>
        <w:jc w:val="left"/>
        <w:rPr>
          <w:rFonts w:eastAsia="宋体"/>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从业人员、营业收入、资产总额填报上一年度数据，无上一年度数据的新成立企业可不填报。</w:t>
      </w:r>
      <w:r>
        <w:rPr>
          <w:rFonts w:hint="eastAsia"/>
          <w:color w:val="000000" w:themeColor="text1"/>
          <w:sz w:val="21"/>
          <w:szCs w:val="21"/>
          <w14:textFill>
            <w14:solidFill>
              <w14:schemeClr w14:val="tx1"/>
            </w14:solidFill>
          </w14:textFill>
        </w:rPr>
        <w:t>2、采购文件中明确的所属行业名称是根据《关于印发中小企业划型标准规定的通知》（工信部联企业[2011]300号）规定确定。</w:t>
      </w:r>
    </w:p>
    <w:p w14:paraId="1DE02A7E">
      <w:pPr>
        <w:pageBreakBefore/>
        <w:autoSpaceDE w:val="0"/>
        <w:autoSpaceDN w:val="0"/>
        <w:spacing w:line="300" w:lineRule="auto"/>
        <w:ind w:left="482" w:hanging="482"/>
        <w:rPr>
          <w:rFonts w:ascii="宋体" w:hAnsi="宋体"/>
          <w:color w:val="000000" w:themeColor="text1"/>
          <w14:textFill>
            <w14:solidFill>
              <w14:schemeClr w14:val="tx1"/>
            </w14:solidFill>
          </w14:textFill>
        </w:rPr>
      </w:pPr>
    </w:p>
    <w:p w14:paraId="3BCAE290">
      <w:pPr>
        <w:spacing w:line="300" w:lineRule="auto"/>
        <w:ind w:left="420" w:hanging="420"/>
        <w:jc w:val="center"/>
        <w:rPr>
          <w:rFonts w:ascii="宋体" w:hAnsi="宋体"/>
          <w:b/>
          <w:color w:val="000000" w:themeColor="text1"/>
          <w:kern w:val="0"/>
          <w14:textFill>
            <w14:solidFill>
              <w14:schemeClr w14:val="tx1"/>
            </w14:solidFill>
          </w14:textFill>
        </w:rPr>
      </w:pPr>
    </w:p>
    <w:p w14:paraId="71629064">
      <w:pPr>
        <w:spacing w:line="300" w:lineRule="auto"/>
        <w:ind w:left="420" w:hanging="420"/>
        <w:jc w:val="center"/>
        <w:rPr>
          <w:rFonts w:ascii="宋体" w:hAnsi="宋体"/>
          <w:b/>
          <w:color w:val="000000" w:themeColor="text1"/>
          <w:kern w:val="0"/>
          <w14:textFill>
            <w14:solidFill>
              <w14:schemeClr w14:val="tx1"/>
            </w14:solidFill>
          </w14:textFill>
        </w:rPr>
      </w:pPr>
    </w:p>
    <w:p w14:paraId="6D4A439D">
      <w:pPr>
        <w:spacing w:line="300" w:lineRule="auto"/>
        <w:ind w:left="420" w:hanging="420"/>
        <w:jc w:val="center"/>
        <w:rPr>
          <w:rFonts w:ascii="宋体" w:hAnsi="宋体"/>
          <w:b/>
          <w:color w:val="000000" w:themeColor="text1"/>
          <w:kern w:val="0"/>
          <w14:textFill>
            <w14:solidFill>
              <w14:schemeClr w14:val="tx1"/>
            </w14:solidFill>
          </w14:textFill>
        </w:rPr>
      </w:pPr>
    </w:p>
    <w:p w14:paraId="5510BE78">
      <w:pPr>
        <w:spacing w:line="300" w:lineRule="auto"/>
        <w:ind w:left="420" w:hanging="420"/>
        <w:jc w:val="center"/>
        <w:rPr>
          <w:rFonts w:ascii="宋体" w:hAnsi="宋体"/>
          <w:b/>
          <w:color w:val="000000" w:themeColor="text1"/>
          <w:kern w:val="0"/>
          <w14:textFill>
            <w14:solidFill>
              <w14:schemeClr w14:val="tx1"/>
            </w14:solidFill>
          </w14:textFill>
        </w:rPr>
      </w:pPr>
    </w:p>
    <w:p w14:paraId="7E67D2BD">
      <w:pPr>
        <w:spacing w:line="300" w:lineRule="auto"/>
        <w:ind w:left="420" w:hanging="420"/>
        <w:jc w:val="center"/>
        <w:rPr>
          <w:rFonts w:ascii="宋体" w:hAnsi="宋体"/>
          <w:b/>
          <w:color w:val="000000" w:themeColor="text1"/>
          <w:kern w:val="0"/>
          <w14:textFill>
            <w14:solidFill>
              <w14:schemeClr w14:val="tx1"/>
            </w14:solidFill>
          </w14:textFill>
        </w:rPr>
      </w:pPr>
    </w:p>
    <w:p w14:paraId="700C91FF">
      <w:pPr>
        <w:spacing w:line="300" w:lineRule="auto"/>
        <w:ind w:left="420" w:hanging="420"/>
        <w:jc w:val="center"/>
        <w:rPr>
          <w:rFonts w:ascii="宋体" w:hAnsi="宋体"/>
          <w:b/>
          <w:color w:val="000000" w:themeColor="text1"/>
          <w:kern w:val="0"/>
          <w14:textFill>
            <w14:solidFill>
              <w14:schemeClr w14:val="tx1"/>
            </w14:solidFill>
          </w14:textFill>
        </w:rPr>
      </w:pPr>
    </w:p>
    <w:p w14:paraId="2D49CEDC">
      <w:pPr>
        <w:spacing w:line="300" w:lineRule="auto"/>
        <w:ind w:left="420" w:hanging="420"/>
        <w:jc w:val="center"/>
        <w:rPr>
          <w:rFonts w:ascii="宋体" w:hAnsi="宋体"/>
          <w:b/>
          <w:color w:val="000000" w:themeColor="text1"/>
          <w:kern w:val="0"/>
          <w14:textFill>
            <w14:solidFill>
              <w14:schemeClr w14:val="tx1"/>
            </w14:solidFill>
          </w14:textFill>
        </w:rPr>
      </w:pPr>
    </w:p>
    <w:p w14:paraId="0391A511">
      <w:pPr>
        <w:spacing w:line="300" w:lineRule="auto"/>
        <w:ind w:left="420" w:hanging="420"/>
        <w:jc w:val="center"/>
        <w:rPr>
          <w:rFonts w:ascii="宋体" w:hAnsi="宋体"/>
          <w:b/>
          <w:color w:val="000000" w:themeColor="text1"/>
          <w:kern w:val="0"/>
          <w14:textFill>
            <w14:solidFill>
              <w14:schemeClr w14:val="tx1"/>
            </w14:solidFill>
          </w14:textFill>
        </w:rPr>
      </w:pPr>
    </w:p>
    <w:p w14:paraId="05763A2C">
      <w:pPr>
        <w:spacing w:line="300" w:lineRule="auto"/>
        <w:ind w:left="420" w:hanging="420"/>
        <w:jc w:val="center"/>
        <w:rPr>
          <w:rFonts w:ascii="宋体" w:hAnsi="宋体"/>
          <w:b/>
          <w:color w:val="000000" w:themeColor="text1"/>
          <w:kern w:val="0"/>
          <w14:textFill>
            <w14:solidFill>
              <w14:schemeClr w14:val="tx1"/>
            </w14:solidFill>
          </w14:textFill>
        </w:rPr>
      </w:pPr>
    </w:p>
    <w:p w14:paraId="23A257EB">
      <w:pPr>
        <w:spacing w:line="300" w:lineRule="auto"/>
        <w:ind w:left="420" w:hanging="420"/>
        <w:jc w:val="center"/>
        <w:rPr>
          <w:rFonts w:ascii="宋体" w:hAnsi="宋体"/>
          <w:b/>
          <w:color w:val="000000" w:themeColor="text1"/>
          <w:kern w:val="0"/>
          <w14:textFill>
            <w14:solidFill>
              <w14:schemeClr w14:val="tx1"/>
            </w14:solidFill>
          </w14:textFill>
        </w:rPr>
      </w:pPr>
    </w:p>
    <w:p w14:paraId="2613931C">
      <w:pPr>
        <w:spacing w:line="300" w:lineRule="auto"/>
        <w:ind w:left="420" w:hanging="420"/>
        <w:jc w:val="center"/>
        <w:rPr>
          <w:rFonts w:ascii="宋体" w:hAnsi="宋体"/>
          <w:b/>
          <w:color w:val="000000" w:themeColor="text1"/>
          <w:kern w:val="0"/>
          <w14:textFill>
            <w14:solidFill>
              <w14:schemeClr w14:val="tx1"/>
            </w14:solidFill>
          </w14:textFill>
        </w:rPr>
      </w:pPr>
    </w:p>
    <w:p w14:paraId="57FF709D">
      <w:pPr>
        <w:spacing w:line="300" w:lineRule="auto"/>
        <w:ind w:left="420" w:hanging="420"/>
        <w:jc w:val="center"/>
        <w:rPr>
          <w:rFonts w:ascii="宋体" w:hAnsi="宋体"/>
          <w:b/>
          <w:color w:val="000000" w:themeColor="text1"/>
          <w:kern w:val="0"/>
          <w14:textFill>
            <w14:solidFill>
              <w14:schemeClr w14:val="tx1"/>
            </w14:solidFill>
          </w14:textFill>
        </w:rPr>
      </w:pPr>
    </w:p>
    <w:p w14:paraId="7D900FE6">
      <w:pPr>
        <w:pStyle w:val="2"/>
        <w:jc w:val="center"/>
        <w:rPr>
          <w:rFonts w:ascii="宋体" w:hAnsi="宋体"/>
          <w:color w:val="000000" w:themeColor="text1"/>
          <w14:textFill>
            <w14:solidFill>
              <w14:schemeClr w14:val="tx1"/>
            </w14:solidFill>
          </w14:textFill>
        </w:rPr>
      </w:pPr>
      <w:bookmarkStart w:id="30" w:name="_Toc18481388"/>
      <w:r>
        <w:rPr>
          <w:rFonts w:hint="eastAsia" w:ascii="宋体" w:hAnsi="宋体"/>
          <w:color w:val="000000" w:themeColor="text1"/>
          <w14:textFill>
            <w14:solidFill>
              <w14:schemeClr w14:val="tx1"/>
            </w14:solidFill>
          </w14:textFill>
        </w:rPr>
        <w:t>第五章  合同主要条款</w:t>
      </w:r>
      <w:bookmarkEnd w:id="30"/>
    </w:p>
    <w:p w14:paraId="1ABED4BB">
      <w:pPr>
        <w:spacing w:line="300" w:lineRule="auto"/>
        <w:ind w:left="420" w:hanging="420"/>
        <w:jc w:val="center"/>
        <w:rPr>
          <w:rFonts w:ascii="宋体" w:hAnsi="宋体"/>
          <w:b/>
          <w:color w:val="000000" w:themeColor="text1"/>
          <w:kern w:val="0"/>
          <w14:textFill>
            <w14:solidFill>
              <w14:schemeClr w14:val="tx1"/>
            </w14:solidFill>
          </w14:textFill>
        </w:rPr>
      </w:pPr>
    </w:p>
    <w:p w14:paraId="25F3CC3F">
      <w:pPr>
        <w:pStyle w:val="19"/>
        <w:pageBreakBefore/>
        <w:jc w:val="center"/>
        <w:rPr>
          <w:rFonts w:hAnsi="宋体"/>
          <w:b/>
          <w:color w:val="000000" w:themeColor="text1"/>
          <w:kern w:val="0"/>
          <w14:textFill>
            <w14:solidFill>
              <w14:schemeClr w14:val="tx1"/>
            </w14:solidFill>
          </w14:textFill>
        </w:rPr>
      </w:pPr>
    </w:p>
    <w:p w14:paraId="14EF5D36">
      <w:pPr>
        <w:pStyle w:val="19"/>
        <w:jc w:val="center"/>
        <w:rPr>
          <w:rFonts w:hAnsi="宋体"/>
          <w:b/>
          <w:color w:val="000000" w:themeColor="text1"/>
          <w:kern w:val="0"/>
          <w14:textFill>
            <w14:solidFill>
              <w14:schemeClr w14:val="tx1"/>
            </w14:solidFill>
          </w14:textFill>
        </w:rPr>
      </w:pPr>
    </w:p>
    <w:p w14:paraId="3DD7AFAB">
      <w:pPr>
        <w:pStyle w:val="19"/>
        <w:jc w:val="center"/>
        <w:rPr>
          <w:rFonts w:hAnsi="宋体"/>
          <w:b/>
          <w:color w:val="000000" w:themeColor="text1"/>
          <w:kern w:val="0"/>
          <w14:textFill>
            <w14:solidFill>
              <w14:schemeClr w14:val="tx1"/>
            </w14:solidFill>
          </w14:textFill>
        </w:rPr>
      </w:pPr>
    </w:p>
    <w:p w14:paraId="167AFECD">
      <w:pPr>
        <w:pStyle w:val="19"/>
        <w:jc w:val="center"/>
        <w:rPr>
          <w:rFonts w:hAnsi="宋体"/>
          <w:b/>
          <w:color w:val="000000" w:themeColor="text1"/>
          <w:kern w:val="0"/>
          <w14:textFill>
            <w14:solidFill>
              <w14:schemeClr w14:val="tx1"/>
            </w14:solidFill>
          </w14:textFill>
        </w:rPr>
      </w:pPr>
    </w:p>
    <w:p w14:paraId="078DC37C">
      <w:pPr>
        <w:pStyle w:val="19"/>
        <w:jc w:val="center"/>
        <w:rPr>
          <w:rFonts w:hAnsi="宋体"/>
          <w:b/>
          <w:color w:val="000000" w:themeColor="text1"/>
          <w:kern w:val="0"/>
          <w14:textFill>
            <w14:solidFill>
              <w14:schemeClr w14:val="tx1"/>
            </w14:solidFill>
          </w14:textFill>
        </w:rPr>
      </w:pPr>
    </w:p>
    <w:p w14:paraId="64912AAF">
      <w:pPr>
        <w:pStyle w:val="19"/>
        <w:jc w:val="center"/>
        <w:rPr>
          <w:rFonts w:hAnsi="宋体"/>
          <w:b/>
          <w:color w:val="000000" w:themeColor="text1"/>
          <w:sz w:val="52"/>
          <w:szCs w:val="52"/>
          <w14:textFill>
            <w14:solidFill>
              <w14:schemeClr w14:val="tx1"/>
            </w14:solidFill>
          </w14:textFill>
        </w:rPr>
      </w:pPr>
      <w:r>
        <w:rPr>
          <w:rFonts w:hint="eastAsia" w:hAnsi="宋体"/>
          <w:b/>
          <w:color w:val="000000" w:themeColor="text1"/>
          <w:sz w:val="52"/>
          <w:szCs w:val="52"/>
          <w14:textFill>
            <w14:solidFill>
              <w14:schemeClr w14:val="tx1"/>
            </w14:solidFill>
          </w14:textFill>
        </w:rPr>
        <w:t>广西壮族自治区政府采购合同</w:t>
      </w:r>
    </w:p>
    <w:p w14:paraId="301F7615">
      <w:pPr>
        <w:pStyle w:val="19"/>
        <w:rPr>
          <w:rFonts w:hAnsi="宋体"/>
          <w:color w:val="000000" w:themeColor="text1"/>
          <w14:textFill>
            <w14:solidFill>
              <w14:schemeClr w14:val="tx1"/>
            </w14:solidFill>
          </w14:textFill>
        </w:rPr>
      </w:pPr>
    </w:p>
    <w:p w14:paraId="4201DCCB">
      <w:pPr>
        <w:pStyle w:val="19"/>
        <w:rPr>
          <w:rFonts w:hAnsi="宋体"/>
          <w:color w:val="000000" w:themeColor="text1"/>
          <w14:textFill>
            <w14:solidFill>
              <w14:schemeClr w14:val="tx1"/>
            </w14:solidFill>
          </w14:textFill>
        </w:rPr>
      </w:pPr>
    </w:p>
    <w:p w14:paraId="5C80376E">
      <w:pPr>
        <w:pStyle w:val="19"/>
        <w:rPr>
          <w:rFonts w:hAnsi="宋体"/>
          <w:color w:val="000000" w:themeColor="text1"/>
          <w14:textFill>
            <w14:solidFill>
              <w14:schemeClr w14:val="tx1"/>
            </w14:solidFill>
          </w14:textFill>
        </w:rPr>
      </w:pPr>
    </w:p>
    <w:p w14:paraId="3DDB4F14">
      <w:pPr>
        <w:pStyle w:val="19"/>
        <w:rPr>
          <w:rFonts w:hAnsi="宋体"/>
          <w:color w:val="000000" w:themeColor="text1"/>
          <w14:textFill>
            <w14:solidFill>
              <w14:schemeClr w14:val="tx1"/>
            </w14:solidFill>
          </w14:textFill>
        </w:rPr>
      </w:pPr>
    </w:p>
    <w:p w14:paraId="21757D1F">
      <w:pPr>
        <w:pStyle w:val="19"/>
        <w:rPr>
          <w:rFonts w:hAnsi="宋体"/>
          <w:color w:val="000000" w:themeColor="text1"/>
          <w14:textFill>
            <w14:solidFill>
              <w14:schemeClr w14:val="tx1"/>
            </w14:solidFill>
          </w14:textFill>
        </w:rPr>
      </w:pPr>
    </w:p>
    <w:p w14:paraId="334DD359">
      <w:pPr>
        <w:tabs>
          <w:tab w:val="left" w:pos="721"/>
          <w:tab w:val="left" w:pos="7920"/>
        </w:tabs>
        <w:snapToGrid w:val="0"/>
        <w:spacing w:line="360" w:lineRule="exact"/>
        <w:ind w:firstLine="1306" w:firstLineChars="500"/>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pacing w:val="-20"/>
          <w:sz w:val="30"/>
          <w:szCs w:val="30"/>
          <w14:textFill>
            <w14:solidFill>
              <w14:schemeClr w14:val="tx1"/>
            </w14:solidFill>
          </w14:textFill>
        </w:rPr>
        <w:t>合</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同</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名</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称：</w:t>
      </w:r>
      <w:r>
        <w:rPr>
          <w:rFonts w:ascii="宋体" w:hAnsi="宋体"/>
          <w:b/>
          <w:color w:val="000000" w:themeColor="text1"/>
          <w:sz w:val="30"/>
          <w:szCs w:val="30"/>
          <w:u w:val="single"/>
          <w14:textFill>
            <w14:solidFill>
              <w14:schemeClr w14:val="tx1"/>
            </w14:solidFill>
          </w14:textFill>
        </w:rPr>
        <w:t xml:space="preserve">                                 </w:t>
      </w:r>
    </w:p>
    <w:p w14:paraId="4BB1C2F1">
      <w:pPr>
        <w:tabs>
          <w:tab w:val="left" w:pos="721"/>
        </w:tabs>
        <w:snapToGrid w:val="0"/>
        <w:spacing w:line="360" w:lineRule="exact"/>
        <w:rPr>
          <w:rFonts w:ascii="宋体" w:hAnsi="宋体"/>
          <w:b/>
          <w:color w:val="000000" w:themeColor="text1"/>
          <w:spacing w:val="-20"/>
          <w:sz w:val="30"/>
          <w:szCs w:val="30"/>
          <w14:textFill>
            <w14:solidFill>
              <w14:schemeClr w14:val="tx1"/>
            </w14:solidFill>
          </w14:textFill>
        </w:rPr>
      </w:pPr>
    </w:p>
    <w:p w14:paraId="7D906792">
      <w:pPr>
        <w:tabs>
          <w:tab w:val="left" w:pos="721"/>
        </w:tabs>
        <w:snapToGrid w:val="0"/>
        <w:spacing w:line="360" w:lineRule="exact"/>
        <w:ind w:firstLine="1306" w:firstLineChars="500"/>
        <w:rPr>
          <w:rFonts w:ascii="宋体" w:hAnsi="宋体"/>
          <w:b/>
          <w:color w:val="000000" w:themeColor="text1"/>
          <w:spacing w:val="-20"/>
          <w:sz w:val="30"/>
          <w:szCs w:val="30"/>
          <w14:textFill>
            <w14:solidFill>
              <w14:schemeClr w14:val="tx1"/>
            </w14:solidFill>
          </w14:textFill>
        </w:rPr>
      </w:pPr>
    </w:p>
    <w:p w14:paraId="27E24BF2">
      <w:pPr>
        <w:tabs>
          <w:tab w:val="left" w:pos="721"/>
        </w:tabs>
        <w:snapToGrid w:val="0"/>
        <w:spacing w:line="360" w:lineRule="exact"/>
        <w:ind w:firstLine="1306" w:firstLineChars="50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pacing w:val="-20"/>
          <w:sz w:val="30"/>
          <w:szCs w:val="30"/>
          <w14:textFill>
            <w14:solidFill>
              <w14:schemeClr w14:val="tx1"/>
            </w14:solidFill>
          </w14:textFill>
        </w:rPr>
        <w:t>合</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同</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编</w:t>
      </w:r>
      <w:r>
        <w:rPr>
          <w:rFonts w:ascii="宋体" w:hAnsi="宋体"/>
          <w:b/>
          <w:color w:val="000000" w:themeColor="text1"/>
          <w:spacing w:val="-20"/>
          <w:sz w:val="30"/>
          <w:szCs w:val="30"/>
          <w14:textFill>
            <w14:solidFill>
              <w14:schemeClr w14:val="tx1"/>
            </w14:solidFill>
          </w14:textFill>
        </w:rPr>
        <w:t xml:space="preserve"> </w:t>
      </w:r>
      <w:r>
        <w:rPr>
          <w:rFonts w:hint="eastAsia" w:ascii="宋体" w:hAnsi="宋体"/>
          <w:b/>
          <w:color w:val="000000" w:themeColor="text1"/>
          <w:spacing w:val="-20"/>
          <w:sz w:val="30"/>
          <w:szCs w:val="30"/>
          <w14:textFill>
            <w14:solidFill>
              <w14:schemeClr w14:val="tx1"/>
            </w14:solidFill>
          </w14:textFill>
        </w:rPr>
        <w:t>号：</w:t>
      </w:r>
      <w:r>
        <w:rPr>
          <w:rFonts w:ascii="宋体" w:hAnsi="宋体"/>
          <w:b/>
          <w:color w:val="000000" w:themeColor="text1"/>
          <w:sz w:val="30"/>
          <w:szCs w:val="30"/>
          <w:u w:val="single"/>
          <w14:textFill>
            <w14:solidFill>
              <w14:schemeClr w14:val="tx1"/>
            </w14:solidFill>
          </w14:textFill>
        </w:rPr>
        <w:t xml:space="preserve">                                  </w:t>
      </w:r>
    </w:p>
    <w:p w14:paraId="2F8838CA">
      <w:pPr>
        <w:tabs>
          <w:tab w:val="left" w:pos="721"/>
        </w:tabs>
        <w:snapToGrid w:val="0"/>
        <w:spacing w:line="360" w:lineRule="exact"/>
        <w:rPr>
          <w:rFonts w:ascii="宋体" w:hAnsi="宋体"/>
          <w:b/>
          <w:color w:val="000000" w:themeColor="text1"/>
          <w:sz w:val="30"/>
          <w:szCs w:val="30"/>
          <w14:textFill>
            <w14:solidFill>
              <w14:schemeClr w14:val="tx1"/>
            </w14:solidFill>
          </w14:textFill>
        </w:rPr>
      </w:pPr>
    </w:p>
    <w:p w14:paraId="17F767DD">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14:paraId="095851E5">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采购单位（甲方）</w:t>
      </w:r>
      <w:r>
        <w:rPr>
          <w:rFonts w:ascii="宋体" w:hAnsi="宋体"/>
          <w:b/>
          <w:color w:val="000000" w:themeColor="text1"/>
          <w:sz w:val="30"/>
          <w:szCs w:val="30"/>
          <w:u w:val="single"/>
          <w14:textFill>
            <w14:solidFill>
              <w14:schemeClr w14:val="tx1"/>
            </w14:solidFill>
          </w14:textFill>
        </w:rPr>
        <w:t xml:space="preserve">                            </w:t>
      </w:r>
    </w:p>
    <w:p w14:paraId="1C4A720B">
      <w:pPr>
        <w:tabs>
          <w:tab w:val="left" w:pos="721"/>
        </w:tabs>
        <w:snapToGrid w:val="0"/>
        <w:spacing w:before="312" w:beforeLines="100" w:line="360" w:lineRule="exact"/>
        <w:ind w:firstLine="1355" w:firstLineChars="450"/>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住  所：</w:t>
      </w:r>
      <w:r>
        <w:rPr>
          <w:rFonts w:hint="eastAsia" w:ascii="宋体" w:hAnsi="宋体"/>
          <w:b/>
          <w:color w:val="000000" w:themeColor="text1"/>
          <w:sz w:val="30"/>
          <w:szCs w:val="30"/>
          <w:u w:val="single"/>
          <w14:textFill>
            <w14:solidFill>
              <w14:schemeClr w14:val="tx1"/>
            </w14:solidFill>
          </w14:textFill>
        </w:rPr>
        <w:t xml:space="preserve">                                    </w:t>
      </w:r>
    </w:p>
    <w:p w14:paraId="6F05DE25">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14:paraId="4F281C97">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14:paraId="50DD9D1A">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供</w:t>
      </w:r>
      <w:r>
        <w:rPr>
          <w:rFonts w:ascii="宋体" w:hAnsi="宋体"/>
          <w:b/>
          <w:color w:val="000000" w:themeColor="text1"/>
          <w:sz w:val="30"/>
          <w:szCs w:val="30"/>
          <w14:textFill>
            <w14:solidFill>
              <w14:schemeClr w14:val="tx1"/>
            </w14:solidFill>
          </w14:textFill>
        </w:rPr>
        <w:t xml:space="preserve"> </w:t>
      </w:r>
      <w:r>
        <w:rPr>
          <w:rFonts w:hint="eastAsia" w:ascii="宋体" w:hAnsi="宋体"/>
          <w:b/>
          <w:color w:val="000000" w:themeColor="text1"/>
          <w:sz w:val="30"/>
          <w:szCs w:val="30"/>
          <w14:textFill>
            <w14:solidFill>
              <w14:schemeClr w14:val="tx1"/>
            </w14:solidFill>
          </w14:textFill>
        </w:rPr>
        <w:t>应</w:t>
      </w:r>
      <w:r>
        <w:rPr>
          <w:rFonts w:ascii="宋体" w:hAnsi="宋体"/>
          <w:b/>
          <w:color w:val="000000" w:themeColor="text1"/>
          <w:sz w:val="30"/>
          <w:szCs w:val="30"/>
          <w14:textFill>
            <w14:solidFill>
              <w14:schemeClr w14:val="tx1"/>
            </w14:solidFill>
          </w14:textFill>
        </w:rPr>
        <w:t xml:space="preserve"> </w:t>
      </w:r>
      <w:r>
        <w:rPr>
          <w:rFonts w:hint="eastAsia" w:ascii="宋体" w:hAnsi="宋体"/>
          <w:b/>
          <w:color w:val="000000" w:themeColor="text1"/>
          <w:sz w:val="30"/>
          <w:szCs w:val="30"/>
          <w14:textFill>
            <w14:solidFill>
              <w14:schemeClr w14:val="tx1"/>
            </w14:solidFill>
          </w14:textFill>
        </w:rPr>
        <w:t>商（乙方）</w:t>
      </w:r>
      <w:r>
        <w:rPr>
          <w:rFonts w:ascii="宋体" w:hAnsi="宋体"/>
          <w:b/>
          <w:color w:val="000000" w:themeColor="text1"/>
          <w:sz w:val="30"/>
          <w:szCs w:val="30"/>
          <w:u w:val="single"/>
          <w14:textFill>
            <w14:solidFill>
              <w14:schemeClr w14:val="tx1"/>
            </w14:solidFill>
          </w14:textFill>
        </w:rPr>
        <w:t xml:space="preserve">                            </w:t>
      </w:r>
      <w:r>
        <w:rPr>
          <w:rFonts w:ascii="宋体" w:hAnsi="宋体"/>
          <w:b/>
          <w:color w:val="000000" w:themeColor="text1"/>
          <w:sz w:val="30"/>
          <w:szCs w:val="30"/>
          <w14:textFill>
            <w14:solidFill>
              <w14:schemeClr w14:val="tx1"/>
            </w14:solidFill>
          </w14:textFill>
        </w:rPr>
        <w:t xml:space="preserve"> </w:t>
      </w:r>
    </w:p>
    <w:p w14:paraId="60E0DCE3">
      <w:pPr>
        <w:tabs>
          <w:tab w:val="left" w:pos="721"/>
        </w:tabs>
        <w:snapToGrid w:val="0"/>
        <w:spacing w:before="312" w:beforeLines="100"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住  所：</w:t>
      </w:r>
      <w:r>
        <w:rPr>
          <w:rFonts w:hint="eastAsia" w:ascii="宋体" w:hAnsi="宋体"/>
          <w:b/>
          <w:color w:val="000000" w:themeColor="text1"/>
          <w:sz w:val="30"/>
          <w:szCs w:val="30"/>
          <w:u w:val="single"/>
          <w14:textFill>
            <w14:solidFill>
              <w14:schemeClr w14:val="tx1"/>
            </w14:solidFill>
          </w14:textFill>
        </w:rPr>
        <w:t xml:space="preserve">                                    </w:t>
      </w:r>
    </w:p>
    <w:p w14:paraId="2D86E6A1">
      <w:pPr>
        <w:tabs>
          <w:tab w:val="left" w:pos="721"/>
        </w:tabs>
        <w:snapToGrid w:val="0"/>
        <w:spacing w:line="360" w:lineRule="exact"/>
        <w:rPr>
          <w:rFonts w:ascii="宋体" w:hAnsi="宋体"/>
          <w:b/>
          <w:color w:val="000000" w:themeColor="text1"/>
          <w:sz w:val="30"/>
          <w:szCs w:val="30"/>
          <w14:textFill>
            <w14:solidFill>
              <w14:schemeClr w14:val="tx1"/>
            </w14:solidFill>
          </w14:textFill>
        </w:rPr>
      </w:pPr>
    </w:p>
    <w:p w14:paraId="2B4A7320">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14:paraId="622F54C9">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签订合同地点：</w:t>
      </w:r>
      <w:r>
        <w:rPr>
          <w:rFonts w:ascii="宋体" w:hAnsi="宋体"/>
          <w:b/>
          <w:color w:val="000000" w:themeColor="text1"/>
          <w:sz w:val="30"/>
          <w:szCs w:val="30"/>
          <w:u w:val="single"/>
          <w14:textFill>
            <w14:solidFill>
              <w14:schemeClr w14:val="tx1"/>
            </w14:solidFill>
          </w14:textFill>
        </w:rPr>
        <w:t xml:space="preserve">                              </w:t>
      </w:r>
    </w:p>
    <w:p w14:paraId="4CD48BC5">
      <w:pPr>
        <w:tabs>
          <w:tab w:val="left" w:pos="721"/>
        </w:tabs>
        <w:snapToGrid w:val="0"/>
        <w:spacing w:line="360" w:lineRule="exact"/>
        <w:rPr>
          <w:rFonts w:ascii="宋体" w:hAnsi="宋体"/>
          <w:b/>
          <w:color w:val="000000" w:themeColor="text1"/>
          <w:sz w:val="30"/>
          <w:szCs w:val="30"/>
          <w14:textFill>
            <w14:solidFill>
              <w14:schemeClr w14:val="tx1"/>
            </w14:solidFill>
          </w14:textFill>
        </w:rPr>
      </w:pPr>
    </w:p>
    <w:p w14:paraId="1102DBDC">
      <w:pPr>
        <w:tabs>
          <w:tab w:val="left" w:pos="721"/>
        </w:tabs>
        <w:snapToGrid w:val="0"/>
        <w:spacing w:line="360" w:lineRule="exact"/>
        <w:ind w:firstLine="1355" w:firstLineChars="450"/>
        <w:rPr>
          <w:rFonts w:ascii="宋体" w:hAnsi="宋体"/>
          <w:b/>
          <w:color w:val="000000" w:themeColor="text1"/>
          <w:sz w:val="30"/>
          <w:szCs w:val="30"/>
          <w14:textFill>
            <w14:solidFill>
              <w14:schemeClr w14:val="tx1"/>
            </w14:solidFill>
          </w14:textFill>
        </w:rPr>
      </w:pPr>
    </w:p>
    <w:p w14:paraId="35B951DA">
      <w:pPr>
        <w:tabs>
          <w:tab w:val="left" w:pos="721"/>
        </w:tabs>
        <w:snapToGrid w:val="0"/>
        <w:spacing w:line="360" w:lineRule="exact"/>
        <w:ind w:firstLine="1355" w:firstLineChars="450"/>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签订合同时间：</w:t>
      </w:r>
      <w:r>
        <w:rPr>
          <w:rFonts w:ascii="宋体" w:hAnsi="宋体"/>
          <w:b/>
          <w:color w:val="000000" w:themeColor="text1"/>
          <w:sz w:val="30"/>
          <w:szCs w:val="30"/>
          <w:u w:val="single"/>
          <w14:textFill>
            <w14:solidFill>
              <w14:schemeClr w14:val="tx1"/>
            </w14:solidFill>
          </w14:textFill>
        </w:rPr>
        <w:t xml:space="preserve">                              </w:t>
      </w:r>
    </w:p>
    <w:p w14:paraId="2185E440">
      <w:pPr>
        <w:pStyle w:val="19"/>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w:t>
      </w:r>
    </w:p>
    <w:p w14:paraId="28922CBD">
      <w:pPr>
        <w:pStyle w:val="19"/>
        <w:jc w:val="center"/>
        <w:rPr>
          <w:rFonts w:hAnsi="宋体"/>
          <w:color w:val="000000" w:themeColor="text1"/>
          <w14:textFill>
            <w14:solidFill>
              <w14:schemeClr w14:val="tx1"/>
            </w14:solidFill>
          </w14:textFill>
        </w:rPr>
      </w:pPr>
    </w:p>
    <w:p w14:paraId="0ACB1F10">
      <w:pPr>
        <w:pStyle w:val="19"/>
        <w:jc w:val="center"/>
        <w:rPr>
          <w:rFonts w:hAnsi="宋体"/>
          <w:color w:val="000000" w:themeColor="text1"/>
          <w14:textFill>
            <w14:solidFill>
              <w14:schemeClr w14:val="tx1"/>
            </w14:solidFill>
          </w14:textFill>
        </w:rPr>
      </w:pPr>
    </w:p>
    <w:p w14:paraId="2D735878">
      <w:pPr>
        <w:pStyle w:val="19"/>
        <w:jc w:val="center"/>
        <w:rPr>
          <w:rFonts w:hAnsi="宋体"/>
          <w:color w:val="000000" w:themeColor="text1"/>
          <w14:textFill>
            <w14:solidFill>
              <w14:schemeClr w14:val="tx1"/>
            </w14:solidFill>
          </w14:textFill>
        </w:rPr>
      </w:pPr>
    </w:p>
    <w:p w14:paraId="3D15BB27">
      <w:pPr>
        <w:pStyle w:val="19"/>
        <w:jc w:val="center"/>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合同使用说明：根据《中华人民共和国政府采购法》、《中华人民共和国民法典》等法律、法规规定，按照竞争性磋商文件规定条款和成交供应商竞争性磋商响应文件及其承诺，甲乙双方签订本合同。</w:t>
      </w:r>
    </w:p>
    <w:p w14:paraId="05B98C8E">
      <w:pPr>
        <w:pageBreakBefore/>
        <w:spacing w:line="300" w:lineRule="auto"/>
        <w:ind w:left="420" w:hanging="420"/>
        <w:jc w:val="center"/>
        <w:rPr>
          <w:rFonts w:ascii="宋体" w:hAnsi="宋体"/>
          <w:b/>
          <w:color w:val="000000" w:themeColor="text1"/>
          <w:sz w:val="36"/>
          <w:szCs w:val="36"/>
          <w14:textFill>
            <w14:solidFill>
              <w14:schemeClr w14:val="tx1"/>
            </w14:solidFill>
          </w14:textFill>
        </w:rPr>
      </w:pPr>
      <w:bookmarkStart w:id="31" w:name="_Ref450290713"/>
      <w:r>
        <w:rPr>
          <w:rFonts w:hint="eastAsia" w:ascii="宋体" w:hAnsi="宋体"/>
          <w:b/>
          <w:color w:val="000000" w:themeColor="text1"/>
          <w:sz w:val="36"/>
          <w:szCs w:val="36"/>
          <w14:textFill>
            <w14:solidFill>
              <w14:schemeClr w14:val="tx1"/>
            </w14:solidFill>
          </w14:textFill>
        </w:rPr>
        <w:t>合 同 书</w:t>
      </w:r>
      <w:bookmarkEnd w:id="31"/>
      <w:r>
        <w:rPr>
          <w:rFonts w:hint="eastAsia" w:ascii="宋体" w:hAnsi="宋体"/>
          <w:b/>
          <w:color w:val="000000" w:themeColor="text1"/>
          <w:sz w:val="36"/>
          <w:szCs w:val="36"/>
          <w14:textFill>
            <w14:solidFill>
              <w14:schemeClr w14:val="tx1"/>
            </w14:solidFill>
          </w14:textFill>
        </w:rPr>
        <w:t>（格式）</w:t>
      </w:r>
    </w:p>
    <w:p w14:paraId="3A51DEB4">
      <w:pPr>
        <w:spacing w:before="120" w:line="320" w:lineRule="atLeast"/>
        <w:ind w:firstLine="422" w:firstLineChars="200"/>
        <w:jc w:val="center"/>
        <w:outlineLvl w:val="1"/>
        <w:rPr>
          <w:b/>
          <w:bCs/>
          <w:color w:val="000000" w:themeColor="text1"/>
          <w:kern w:val="0"/>
          <w14:textFill>
            <w14:solidFill>
              <w14:schemeClr w14:val="tx1"/>
            </w14:solidFill>
          </w14:textFill>
        </w:rPr>
      </w:pPr>
    </w:p>
    <w:p w14:paraId="71D9854A">
      <w:pPr>
        <w:snapToGrid w:val="0"/>
        <w:spacing w:line="360" w:lineRule="exact"/>
        <w:rPr>
          <w:rFonts w:ascii="Calibri" w:hAnsi="Calibri"/>
          <w:color w:val="000000" w:themeColor="text1"/>
          <w:u w:val="single"/>
          <w14:textFill>
            <w14:solidFill>
              <w14:schemeClr w14:val="tx1"/>
            </w14:solidFill>
          </w14:textFill>
        </w:rPr>
      </w:pPr>
      <w:bookmarkStart w:id="32" w:name="_Hlk37749365"/>
      <w:r>
        <w:rPr>
          <w:rFonts w:ascii="Calibri" w:hAnsi="Calibri"/>
          <w:color w:val="000000" w:themeColor="text1"/>
          <w14:textFill>
            <w14:solidFill>
              <w14:schemeClr w14:val="tx1"/>
            </w14:solidFill>
          </w14:textFill>
        </w:rPr>
        <w:t>采购单位（甲方）</w:t>
      </w:r>
      <w:r>
        <w:rPr>
          <w:rFonts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 xml:space="preserve">  </w:t>
      </w:r>
      <w:r>
        <w:rPr>
          <w:rFonts w:ascii="Calibri" w:hAnsi="Calibri"/>
          <w:color w:val="000000" w:themeColor="text1"/>
          <w:spacing w:val="-20"/>
          <w14:textFill>
            <w14:solidFill>
              <w14:schemeClr w14:val="tx1"/>
            </w14:solidFill>
          </w14:textFill>
        </w:rPr>
        <w:t>采 购 计 划 号</w:t>
      </w:r>
      <w:r>
        <w:rPr>
          <w:rFonts w:ascii="Calibri" w:hAnsi="Calibri"/>
          <w:color w:val="000000" w:themeColor="text1"/>
          <w:u w:val="single"/>
          <w14:textFill>
            <w14:solidFill>
              <w14:schemeClr w14:val="tx1"/>
            </w14:solidFill>
          </w14:textFill>
        </w:rPr>
        <w:t xml:space="preserve">                        </w:t>
      </w:r>
    </w:p>
    <w:p w14:paraId="40DB6949">
      <w:pPr>
        <w:snapToGrid w:val="0"/>
        <w:spacing w:line="360" w:lineRule="exact"/>
        <w:rPr>
          <w:rFonts w:ascii="Calibri" w:hAnsi="Calibri"/>
          <w:color w:val="000000" w:themeColor="text1"/>
          <w:u w:val="single"/>
          <w14:textFill>
            <w14:solidFill>
              <w14:schemeClr w14:val="tx1"/>
            </w14:solidFill>
          </w14:textFill>
        </w:rPr>
      </w:pPr>
      <w:r>
        <w:rPr>
          <w:rFonts w:ascii="Calibri" w:hAnsi="Calibri"/>
          <w:color w:val="000000" w:themeColor="text1"/>
          <w14:textFill>
            <w14:solidFill>
              <w14:schemeClr w14:val="tx1"/>
            </w14:solidFill>
          </w14:textFill>
        </w:rPr>
        <w:t>供 应 商（乙方）</w:t>
      </w:r>
      <w:r>
        <w:rPr>
          <w:rFonts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 xml:space="preserve">  项目名称</w:t>
      </w:r>
      <w:r>
        <w:rPr>
          <w:rFonts w:ascii="Calibri" w:hAnsi="Calibri"/>
          <w:color w:val="000000" w:themeColor="text1"/>
          <w:spacing w:val="-20"/>
          <w14:textFill>
            <w14:solidFill>
              <w14:schemeClr w14:val="tx1"/>
            </w14:solidFill>
          </w14:textFill>
        </w:rPr>
        <w:t>编号</w:t>
      </w:r>
      <w:r>
        <w:rPr>
          <w:rFonts w:ascii="Calibri" w:hAnsi="Calibri"/>
          <w:color w:val="000000" w:themeColor="text1"/>
          <w:u w:val="single"/>
          <w14:textFill>
            <w14:solidFill>
              <w14:schemeClr w14:val="tx1"/>
            </w14:solidFill>
          </w14:textFill>
        </w:rPr>
        <w:t xml:space="preserve">                       </w:t>
      </w:r>
    </w:p>
    <w:p w14:paraId="3C62E3AC">
      <w:pPr>
        <w:snapToGrid w:val="0"/>
        <w:spacing w:line="360" w:lineRule="exact"/>
        <w:rPr>
          <w:rFonts w:ascii="Calibri" w:hAnsi="Calibri"/>
          <w:color w:val="000000" w:themeColor="text1"/>
          <w:u w:val="single"/>
          <w14:textFill>
            <w14:solidFill>
              <w14:schemeClr w14:val="tx1"/>
            </w14:solidFill>
          </w14:textFill>
        </w:rPr>
      </w:pPr>
      <w:r>
        <w:rPr>
          <w:rFonts w:ascii="Calibri" w:hAnsi="Calibri"/>
          <w:color w:val="000000" w:themeColor="text1"/>
          <w14:textFill>
            <w14:solidFill>
              <w14:schemeClr w14:val="tx1"/>
            </w14:solidFill>
          </w14:textFill>
        </w:rPr>
        <w:t xml:space="preserve">签  订  地  点  </w:t>
      </w:r>
      <w:r>
        <w:rPr>
          <w:rFonts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 xml:space="preserve">  签 订 时 间</w:t>
      </w:r>
      <w:r>
        <w:rPr>
          <w:rFonts w:ascii="Calibri" w:hAnsi="Calibri"/>
          <w:color w:val="000000" w:themeColor="text1"/>
          <w:u w:val="single"/>
          <w14:textFill>
            <w14:solidFill>
              <w14:schemeClr w14:val="tx1"/>
            </w14:solidFill>
          </w14:textFill>
        </w:rPr>
        <w:t xml:space="preserve">                       </w:t>
      </w:r>
    </w:p>
    <w:p w14:paraId="38C50245">
      <w:pPr>
        <w:spacing w:line="4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根据《中华人民共和国政府采购法》、《中华人民共和国</w:t>
      </w:r>
      <w:r>
        <w:rPr>
          <w:rFonts w:hint="eastAsia"/>
          <w:color w:val="000000" w:themeColor="text1"/>
          <w14:textFill>
            <w14:solidFill>
              <w14:schemeClr w14:val="tx1"/>
            </w14:solidFill>
          </w14:textFill>
        </w:rPr>
        <w:t>民法典</w:t>
      </w:r>
      <w:r>
        <w:rPr>
          <w:color w:val="000000" w:themeColor="text1"/>
          <w14:textFill>
            <w14:solidFill>
              <w14:schemeClr w14:val="tx1"/>
            </w14:solidFill>
          </w14:textFill>
        </w:rPr>
        <w:t>》等法律、法规规定，按照磋商文件规定条款和乙方响应文件及其承诺，</w:t>
      </w:r>
      <w:r>
        <w:rPr>
          <w:rFonts w:hint="eastAsia"/>
          <w:color w:val="000000" w:themeColor="text1"/>
          <w14:textFill>
            <w14:solidFill>
              <w14:schemeClr w14:val="tx1"/>
            </w14:solidFill>
          </w14:textFill>
        </w:rPr>
        <w:t>甲乙</w:t>
      </w:r>
      <w:r>
        <w:rPr>
          <w:color w:val="000000" w:themeColor="text1"/>
          <w14:textFill>
            <w14:solidFill>
              <w14:schemeClr w14:val="tx1"/>
            </w14:solidFill>
          </w14:textFill>
        </w:rPr>
        <w:t>双方签订本合同。</w:t>
      </w:r>
    </w:p>
    <w:p w14:paraId="78F4E129">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第一条　项目概况及服务范围</w:t>
      </w:r>
    </w:p>
    <w:p w14:paraId="656EE8C3">
      <w:pPr>
        <w:snapToGrid w:val="0"/>
        <w:spacing w:line="360" w:lineRule="exact"/>
        <w:ind w:firstLine="420" w:firstLineChars="200"/>
        <w:rPr>
          <w:rFonts w:ascii="Calibri" w:hAnsi="Calibri"/>
          <w:color w:val="000000" w:themeColor="text1"/>
          <w:u w:val="single"/>
          <w14:textFill>
            <w14:solidFill>
              <w14:schemeClr w14:val="tx1"/>
            </w14:solidFill>
          </w14:textFill>
        </w:rPr>
      </w:pPr>
      <w:r>
        <w:rPr>
          <w:rFonts w:ascii="Calibri" w:hAnsi="Calibri"/>
          <w:color w:val="000000" w:themeColor="text1"/>
          <w14:textFill>
            <w14:solidFill>
              <w14:schemeClr w14:val="tx1"/>
            </w14:solidFill>
          </w14:textFill>
        </w:rPr>
        <w:t>1.项目名称：</w:t>
      </w:r>
      <w:r>
        <w:rPr>
          <w:rFonts w:hint="eastAsia" w:ascii="Calibri" w:hAnsi="Calibri"/>
          <w:color w:val="000000" w:themeColor="text1"/>
          <w:kern w:val="0"/>
          <w:u w:val="single"/>
          <w14:textFill>
            <w14:solidFill>
              <w14:schemeClr w14:val="tx1"/>
            </w14:solidFill>
          </w14:textFill>
        </w:rPr>
        <w:t xml:space="preserve">                         </w:t>
      </w:r>
    </w:p>
    <w:p w14:paraId="6AE47F3E">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2.服务内容及范围：</w:t>
      </w:r>
      <w:r>
        <w:rPr>
          <w:rFonts w:hint="eastAsia" w:ascii="Calibri" w:hAnsi="Calibri"/>
          <w:color w:val="000000" w:themeColor="text1"/>
          <w:u w:val="single"/>
          <w14:textFill>
            <w14:solidFill>
              <w14:schemeClr w14:val="tx1"/>
            </w14:solidFill>
          </w14:textFill>
        </w:rPr>
        <w:t xml:space="preserve">                  </w:t>
      </w:r>
    </w:p>
    <w:p w14:paraId="5AF257C5">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3.服务期：</w:t>
      </w:r>
      <w:r>
        <w:rPr>
          <w:rFonts w:hint="eastAsia" w:ascii="Calibri" w:hAnsi="Calibri"/>
          <w:color w:val="000000" w:themeColor="text1"/>
          <w:kern w:val="0"/>
          <w:u w:val="single"/>
          <w14:textFill>
            <w14:solidFill>
              <w14:schemeClr w14:val="tx1"/>
            </w14:solidFill>
          </w14:textFill>
        </w:rPr>
        <w:t xml:space="preserve">              </w:t>
      </w:r>
      <w:r>
        <w:rPr>
          <w:rFonts w:ascii="Calibri" w:hAnsi="Calibri"/>
          <w:color w:val="000000" w:themeColor="text1"/>
          <w:u w:val="single"/>
          <w14:textFill>
            <w14:solidFill>
              <w14:schemeClr w14:val="tx1"/>
            </w14:solidFill>
          </w14:textFill>
        </w:rPr>
        <w:t xml:space="preserve"> </w:t>
      </w:r>
      <w:r>
        <w:rPr>
          <w:rFonts w:hint="eastAsia" w:ascii="Calibri" w:hAnsi="Calibri"/>
          <w:color w:val="000000" w:themeColor="text1"/>
          <w:u w:val="single"/>
          <w14:textFill>
            <w14:solidFill>
              <w14:schemeClr w14:val="tx1"/>
            </w14:solidFill>
          </w14:textFill>
        </w:rPr>
        <w:t xml:space="preserve">         </w:t>
      </w:r>
    </w:p>
    <w:p w14:paraId="1E1E1049">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第二条　服务交付成果清单</w:t>
      </w:r>
    </w:p>
    <w:tbl>
      <w:tblPr>
        <w:tblStyle w:val="38"/>
        <w:tblW w:w="996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268"/>
        <w:gridCol w:w="993"/>
        <w:gridCol w:w="850"/>
        <w:gridCol w:w="1559"/>
        <w:gridCol w:w="2265"/>
        <w:gridCol w:w="1279"/>
      </w:tblGrid>
      <w:tr w14:paraId="01D3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47" w:type="dxa"/>
            <w:vAlign w:val="center"/>
          </w:tcPr>
          <w:p w14:paraId="026393B2">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序号</w:t>
            </w:r>
          </w:p>
        </w:tc>
        <w:tc>
          <w:tcPr>
            <w:tcW w:w="2268" w:type="dxa"/>
            <w:vAlign w:val="center"/>
          </w:tcPr>
          <w:p w14:paraId="4125B89B">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服务交付成果名称</w:t>
            </w:r>
          </w:p>
        </w:tc>
        <w:tc>
          <w:tcPr>
            <w:tcW w:w="993" w:type="dxa"/>
            <w:vAlign w:val="center"/>
          </w:tcPr>
          <w:p w14:paraId="5F27DAD7">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数 量</w:t>
            </w:r>
          </w:p>
        </w:tc>
        <w:tc>
          <w:tcPr>
            <w:tcW w:w="850" w:type="dxa"/>
            <w:vAlign w:val="center"/>
          </w:tcPr>
          <w:p w14:paraId="1703545B">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单位</w:t>
            </w:r>
          </w:p>
        </w:tc>
        <w:tc>
          <w:tcPr>
            <w:tcW w:w="1559" w:type="dxa"/>
          </w:tcPr>
          <w:p w14:paraId="75C7F043">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单  价</w:t>
            </w:r>
          </w:p>
          <w:p w14:paraId="125925F1">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（元）</w:t>
            </w:r>
          </w:p>
        </w:tc>
        <w:tc>
          <w:tcPr>
            <w:tcW w:w="2265" w:type="dxa"/>
            <w:vAlign w:val="center"/>
          </w:tcPr>
          <w:p w14:paraId="01113BBD">
            <w:pPr>
              <w:snapToGrid w:val="0"/>
              <w:spacing w:line="240" w:lineRule="exact"/>
              <w:jc w:val="center"/>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 xml:space="preserve">总 </w:t>
            </w:r>
            <w:r>
              <w:rPr>
                <w:rFonts w:ascii="Calibri" w:hAnsi="Calibri"/>
                <w:color w:val="000000" w:themeColor="text1"/>
                <w14:textFill>
                  <w14:solidFill>
                    <w14:schemeClr w14:val="tx1"/>
                  </w14:solidFill>
                </w14:textFill>
              </w:rPr>
              <w:t xml:space="preserve"> </w:t>
            </w:r>
            <w:r>
              <w:rPr>
                <w:rFonts w:hint="eastAsia" w:ascii="Calibri" w:hAnsi="Calibri"/>
                <w:color w:val="000000" w:themeColor="text1"/>
                <w14:textFill>
                  <w14:solidFill>
                    <w14:schemeClr w14:val="tx1"/>
                  </w14:solidFill>
                </w14:textFill>
              </w:rPr>
              <w:t>价</w:t>
            </w:r>
          </w:p>
          <w:p w14:paraId="0D2D6315">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（元）</w:t>
            </w:r>
          </w:p>
        </w:tc>
        <w:tc>
          <w:tcPr>
            <w:tcW w:w="1279" w:type="dxa"/>
          </w:tcPr>
          <w:p w14:paraId="213ED08F">
            <w:pPr>
              <w:snapToGrid w:val="0"/>
              <w:spacing w:line="24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备注</w:t>
            </w:r>
          </w:p>
        </w:tc>
      </w:tr>
      <w:tr w14:paraId="4C1C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47" w:type="dxa"/>
            <w:vAlign w:val="center"/>
          </w:tcPr>
          <w:p w14:paraId="324E9891">
            <w:pPr>
              <w:snapToGrid w:val="0"/>
              <w:spacing w:line="36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w:t>
            </w:r>
          </w:p>
        </w:tc>
        <w:tc>
          <w:tcPr>
            <w:tcW w:w="2268" w:type="dxa"/>
            <w:vAlign w:val="center"/>
          </w:tcPr>
          <w:p w14:paraId="0C3FC391">
            <w:pPr>
              <w:snapToGrid w:val="0"/>
              <w:spacing w:line="360" w:lineRule="exact"/>
              <w:jc w:val="center"/>
              <w:rPr>
                <w:rFonts w:ascii="Calibri" w:hAnsi="Calibri"/>
                <w:color w:val="000000" w:themeColor="text1"/>
                <w14:textFill>
                  <w14:solidFill>
                    <w14:schemeClr w14:val="tx1"/>
                  </w14:solidFill>
                </w14:textFill>
              </w:rPr>
            </w:pPr>
          </w:p>
        </w:tc>
        <w:tc>
          <w:tcPr>
            <w:tcW w:w="993" w:type="dxa"/>
          </w:tcPr>
          <w:p w14:paraId="053E4C16">
            <w:pPr>
              <w:snapToGrid w:val="0"/>
              <w:spacing w:line="360" w:lineRule="exact"/>
              <w:jc w:val="center"/>
              <w:rPr>
                <w:rFonts w:ascii="Calibri" w:hAnsi="Calibri"/>
                <w:color w:val="000000" w:themeColor="text1"/>
                <w14:textFill>
                  <w14:solidFill>
                    <w14:schemeClr w14:val="tx1"/>
                  </w14:solidFill>
                </w14:textFill>
              </w:rPr>
            </w:pPr>
          </w:p>
        </w:tc>
        <w:tc>
          <w:tcPr>
            <w:tcW w:w="850" w:type="dxa"/>
          </w:tcPr>
          <w:p w14:paraId="41F99EE1">
            <w:pPr>
              <w:snapToGrid w:val="0"/>
              <w:spacing w:line="360" w:lineRule="exact"/>
              <w:jc w:val="center"/>
              <w:rPr>
                <w:rFonts w:ascii="Calibri" w:hAnsi="Calibri"/>
                <w:color w:val="000000" w:themeColor="text1"/>
                <w14:textFill>
                  <w14:solidFill>
                    <w14:schemeClr w14:val="tx1"/>
                  </w14:solidFill>
                </w14:textFill>
              </w:rPr>
            </w:pPr>
          </w:p>
        </w:tc>
        <w:tc>
          <w:tcPr>
            <w:tcW w:w="1559" w:type="dxa"/>
          </w:tcPr>
          <w:p w14:paraId="2050E662">
            <w:pPr>
              <w:snapToGrid w:val="0"/>
              <w:spacing w:line="360" w:lineRule="exact"/>
              <w:jc w:val="center"/>
              <w:rPr>
                <w:rFonts w:ascii="Calibri" w:hAnsi="Calibri"/>
                <w:color w:val="000000" w:themeColor="text1"/>
                <w14:textFill>
                  <w14:solidFill>
                    <w14:schemeClr w14:val="tx1"/>
                  </w14:solidFill>
                </w14:textFill>
              </w:rPr>
            </w:pPr>
          </w:p>
        </w:tc>
        <w:tc>
          <w:tcPr>
            <w:tcW w:w="2265" w:type="dxa"/>
            <w:vAlign w:val="center"/>
          </w:tcPr>
          <w:p w14:paraId="5AA30814">
            <w:pPr>
              <w:snapToGrid w:val="0"/>
              <w:spacing w:line="360" w:lineRule="exact"/>
              <w:jc w:val="center"/>
              <w:rPr>
                <w:rFonts w:ascii="Calibri" w:hAnsi="Calibri"/>
                <w:color w:val="000000" w:themeColor="text1"/>
                <w14:textFill>
                  <w14:solidFill>
                    <w14:schemeClr w14:val="tx1"/>
                  </w14:solidFill>
                </w14:textFill>
              </w:rPr>
            </w:pPr>
          </w:p>
        </w:tc>
        <w:tc>
          <w:tcPr>
            <w:tcW w:w="1279" w:type="dxa"/>
          </w:tcPr>
          <w:p w14:paraId="3B79D63C">
            <w:pPr>
              <w:snapToGrid w:val="0"/>
              <w:spacing w:line="360" w:lineRule="exact"/>
              <w:jc w:val="left"/>
              <w:rPr>
                <w:rFonts w:ascii="Calibri" w:hAnsi="Calibri"/>
                <w:color w:val="000000" w:themeColor="text1"/>
                <w14:textFill>
                  <w14:solidFill>
                    <w14:schemeClr w14:val="tx1"/>
                  </w14:solidFill>
                </w14:textFill>
              </w:rPr>
            </w:pPr>
          </w:p>
        </w:tc>
      </w:tr>
      <w:tr w14:paraId="378E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47" w:type="dxa"/>
            <w:vAlign w:val="center"/>
          </w:tcPr>
          <w:p w14:paraId="7FB3BF3D">
            <w:pPr>
              <w:snapToGrid w:val="0"/>
              <w:spacing w:line="360" w:lineRule="exact"/>
              <w:jc w:val="center"/>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w:t>
            </w:r>
          </w:p>
        </w:tc>
        <w:tc>
          <w:tcPr>
            <w:tcW w:w="2268" w:type="dxa"/>
            <w:vAlign w:val="center"/>
          </w:tcPr>
          <w:p w14:paraId="2DBC724F">
            <w:pPr>
              <w:snapToGrid w:val="0"/>
              <w:spacing w:line="360" w:lineRule="exact"/>
              <w:jc w:val="center"/>
              <w:rPr>
                <w:rFonts w:ascii="Calibri" w:hAnsi="Calibri"/>
                <w:color w:val="000000" w:themeColor="text1"/>
                <w14:textFill>
                  <w14:solidFill>
                    <w14:schemeClr w14:val="tx1"/>
                  </w14:solidFill>
                </w14:textFill>
              </w:rPr>
            </w:pPr>
          </w:p>
        </w:tc>
        <w:tc>
          <w:tcPr>
            <w:tcW w:w="993" w:type="dxa"/>
          </w:tcPr>
          <w:p w14:paraId="317A10F3">
            <w:pPr>
              <w:snapToGrid w:val="0"/>
              <w:spacing w:line="360" w:lineRule="exact"/>
              <w:jc w:val="center"/>
              <w:rPr>
                <w:rFonts w:ascii="Calibri" w:hAnsi="Calibri"/>
                <w:color w:val="000000" w:themeColor="text1"/>
                <w14:textFill>
                  <w14:solidFill>
                    <w14:schemeClr w14:val="tx1"/>
                  </w14:solidFill>
                </w14:textFill>
              </w:rPr>
            </w:pPr>
          </w:p>
        </w:tc>
        <w:tc>
          <w:tcPr>
            <w:tcW w:w="850" w:type="dxa"/>
          </w:tcPr>
          <w:p w14:paraId="32E9025C">
            <w:pPr>
              <w:snapToGrid w:val="0"/>
              <w:spacing w:line="360" w:lineRule="exact"/>
              <w:jc w:val="center"/>
              <w:rPr>
                <w:rFonts w:ascii="Calibri" w:hAnsi="Calibri"/>
                <w:color w:val="000000" w:themeColor="text1"/>
                <w14:textFill>
                  <w14:solidFill>
                    <w14:schemeClr w14:val="tx1"/>
                  </w14:solidFill>
                </w14:textFill>
              </w:rPr>
            </w:pPr>
          </w:p>
        </w:tc>
        <w:tc>
          <w:tcPr>
            <w:tcW w:w="1559" w:type="dxa"/>
          </w:tcPr>
          <w:p w14:paraId="300C5339">
            <w:pPr>
              <w:snapToGrid w:val="0"/>
              <w:spacing w:line="360" w:lineRule="exact"/>
              <w:jc w:val="center"/>
              <w:rPr>
                <w:rFonts w:ascii="Calibri" w:hAnsi="Calibri"/>
                <w:color w:val="000000" w:themeColor="text1"/>
                <w14:textFill>
                  <w14:solidFill>
                    <w14:schemeClr w14:val="tx1"/>
                  </w14:solidFill>
                </w14:textFill>
              </w:rPr>
            </w:pPr>
          </w:p>
        </w:tc>
        <w:tc>
          <w:tcPr>
            <w:tcW w:w="2265" w:type="dxa"/>
            <w:vAlign w:val="center"/>
          </w:tcPr>
          <w:p w14:paraId="63E17657">
            <w:pPr>
              <w:snapToGrid w:val="0"/>
              <w:spacing w:line="360" w:lineRule="exact"/>
              <w:jc w:val="center"/>
              <w:rPr>
                <w:rFonts w:ascii="Calibri" w:hAnsi="Calibri"/>
                <w:color w:val="000000" w:themeColor="text1"/>
                <w14:textFill>
                  <w14:solidFill>
                    <w14:schemeClr w14:val="tx1"/>
                  </w14:solidFill>
                </w14:textFill>
              </w:rPr>
            </w:pPr>
          </w:p>
        </w:tc>
        <w:tc>
          <w:tcPr>
            <w:tcW w:w="1279" w:type="dxa"/>
          </w:tcPr>
          <w:p w14:paraId="5B85D021">
            <w:pPr>
              <w:snapToGrid w:val="0"/>
              <w:spacing w:line="360" w:lineRule="exact"/>
              <w:jc w:val="center"/>
              <w:rPr>
                <w:rFonts w:ascii="Calibri" w:hAnsi="Calibri"/>
                <w:color w:val="000000" w:themeColor="text1"/>
                <w14:textFill>
                  <w14:solidFill>
                    <w14:schemeClr w14:val="tx1"/>
                  </w14:solidFill>
                </w14:textFill>
              </w:rPr>
            </w:pPr>
          </w:p>
        </w:tc>
      </w:tr>
      <w:tr w14:paraId="6E4E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961" w:type="dxa"/>
            <w:gridSpan w:val="7"/>
            <w:vAlign w:val="center"/>
          </w:tcPr>
          <w:p w14:paraId="6DA1ABF3">
            <w:pPr>
              <w:snapToGrid w:val="0"/>
              <w:spacing w:line="360" w:lineRule="exact"/>
              <w:jc w:val="lef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人民币合计金额（大写）                          （小写）</w:t>
            </w:r>
          </w:p>
        </w:tc>
      </w:tr>
    </w:tbl>
    <w:p w14:paraId="53C0FF17">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第三条  甲方权利和义务</w:t>
      </w:r>
    </w:p>
    <w:p w14:paraId="2E06FD48">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1.甲方有权要求乙方按时、按质、按量、按计划与合同协议约定完成本项目，并有权对乙方工作情况进行监督。</w:t>
      </w:r>
    </w:p>
    <w:p w14:paraId="5D2F8A85">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2.根据项目进度，甲方有权及时对乙方提交的方案提出修改意见，并要求乙方按修改意见完成服务工作。</w:t>
      </w:r>
    </w:p>
    <w:p w14:paraId="03E20895">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3.乙方配备的项目投入人员应得到甲方的认可；对派遣到甲方的服务人员进行管理、考核、检查与奖惩。</w:t>
      </w:r>
    </w:p>
    <w:p w14:paraId="116FDDB3">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5</w:t>
      </w:r>
      <w:r>
        <w:rPr>
          <w:rFonts w:ascii="Calibri" w:hAnsi="Calibri"/>
          <w:color w:val="000000" w:themeColor="text1"/>
          <w14:textFill>
            <w14:solidFill>
              <w14:schemeClr w14:val="tx1"/>
            </w14:solidFill>
          </w14:textFill>
        </w:rPr>
        <w:t>.甲方有权要求乙方更换不合格的工作人员。</w:t>
      </w:r>
    </w:p>
    <w:p w14:paraId="0B98DDE5">
      <w:pPr>
        <w:tabs>
          <w:tab w:val="left" w:pos="524"/>
        </w:tabs>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6</w:t>
      </w:r>
      <w:r>
        <w:rPr>
          <w:rFonts w:ascii="Calibri" w:hAnsi="Calibri"/>
          <w:color w:val="000000" w:themeColor="text1"/>
          <w14:textFill>
            <w14:solidFill>
              <w14:schemeClr w14:val="tx1"/>
            </w14:solidFill>
          </w14:textFill>
        </w:rPr>
        <w:t>.按合同要求及时向乙方支付产品和服务费用。</w:t>
      </w:r>
    </w:p>
    <w:p w14:paraId="028540B5">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第四条  乙方权利和义务</w:t>
      </w:r>
    </w:p>
    <w:p w14:paraId="4D10212A">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 严格履行合同文件（含磋商文件、响应文件等）约定和承诺的服务内容和质量标准，保证甲方项目的相关工作质量和进度。</w:t>
      </w:r>
    </w:p>
    <w:p w14:paraId="7ED5380D">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 必须严格实施乙方响应文件中承诺的人力资源配置。在必须补充或更换人员时，必须补充或更换优于或等同于响应文件所承诺资质的服务人员，并需取得甲方书面同意。</w:t>
      </w:r>
    </w:p>
    <w:p w14:paraId="54D43BDD">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3</w:t>
      </w:r>
      <w:r>
        <w:rPr>
          <w:rFonts w:ascii="Calibri" w:hAnsi="Calibri"/>
          <w:color w:val="000000" w:themeColor="text1"/>
          <w14:textFill>
            <w14:solidFill>
              <w14:schemeClr w14:val="tx1"/>
            </w14:solidFill>
          </w14:textFill>
        </w:rPr>
        <w:t>.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6D0971E9">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4</w:t>
      </w:r>
      <w:r>
        <w:rPr>
          <w:rFonts w:ascii="Calibri" w:hAnsi="Calibri"/>
          <w:color w:val="000000" w:themeColor="text1"/>
          <w14:textFill>
            <w14:solidFill>
              <w14:schemeClr w14:val="tx1"/>
            </w14:solidFill>
          </w14:textFill>
        </w:rPr>
        <w:t>.乙方服务人员应履行保密义务。如乙方因违反本条约定给甲方造成损失的，乙方应当承担相应的法律责任，并赔偿由此给甲方造成的一切损失。</w:t>
      </w:r>
    </w:p>
    <w:p w14:paraId="1E63F5AD">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5</w:t>
      </w:r>
      <w:r>
        <w:rPr>
          <w:rFonts w:ascii="Calibri" w:hAnsi="Calibri"/>
          <w:color w:val="000000" w:themeColor="text1"/>
          <w14:textFill>
            <w14:solidFill>
              <w14:schemeClr w14:val="tx1"/>
            </w14:solidFill>
          </w14:textFill>
        </w:rPr>
        <w:t>.按照合同约定收取服务费，当甲方出现无故拖欠费用时，乙方有权采取适当方式进行催缴，若甲方仍未支付费用，乙方有权停止工作。</w:t>
      </w:r>
    </w:p>
    <w:p w14:paraId="7BD4B567">
      <w:pPr>
        <w:snapToGrid w:val="0"/>
        <w:spacing w:line="360" w:lineRule="exact"/>
        <w:ind w:firstLine="422" w:firstLineChars="200"/>
        <w:rPr>
          <w:rFonts w:ascii="Calibri" w:hAnsi="Calibri"/>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w:t>
      </w:r>
      <w:r>
        <w:rPr>
          <w:rFonts w:hint="eastAsia" w:ascii="Calibri" w:hAnsi="Calibri"/>
          <w:b/>
          <w:color w:val="000000" w:themeColor="text1"/>
          <w14:textFill>
            <w14:solidFill>
              <w14:schemeClr w14:val="tx1"/>
            </w14:solidFill>
          </w14:textFill>
        </w:rPr>
        <w:t>五</w:t>
      </w:r>
      <w:r>
        <w:rPr>
          <w:rFonts w:ascii="Calibri" w:hAnsi="Calibri"/>
          <w:b/>
          <w:color w:val="000000" w:themeColor="text1"/>
          <w14:textFill>
            <w14:solidFill>
              <w14:schemeClr w14:val="tx1"/>
            </w14:solidFill>
          </w14:textFill>
        </w:rPr>
        <w:t>条  交付和验收</w:t>
      </w:r>
    </w:p>
    <w:p w14:paraId="2A401C2B">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1.交付使用时间：按乙方响应文件中所承诺的时间；地点：甲方指定地点。</w:t>
      </w:r>
    </w:p>
    <w:p w14:paraId="788558E3">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2.乙方提供不符合磋商文件和本合同规定的交付成果或服务，甲方有权拒绝接受。</w:t>
      </w:r>
    </w:p>
    <w:p w14:paraId="2EAFF04E">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3.乙方逾期10日不能交付的，甲方有权解除合同，不支付合同款项，没收全部履约保证金，造成甲方损失的，甲方可依法向乙方追偿。</w:t>
      </w:r>
    </w:p>
    <w:p w14:paraId="2EA2B348">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w:t>
      </w:r>
      <w:r>
        <w:rPr>
          <w:rFonts w:hint="eastAsia" w:ascii="Calibri" w:hAnsi="Calibri"/>
          <w:b/>
          <w:color w:val="000000" w:themeColor="text1"/>
          <w14:textFill>
            <w14:solidFill>
              <w14:schemeClr w14:val="tx1"/>
            </w14:solidFill>
          </w14:textFill>
        </w:rPr>
        <w:t>六</w:t>
      </w:r>
      <w:r>
        <w:rPr>
          <w:rFonts w:ascii="Calibri" w:hAnsi="Calibri"/>
          <w:b/>
          <w:color w:val="000000" w:themeColor="text1"/>
          <w14:textFill>
            <w14:solidFill>
              <w14:schemeClr w14:val="tx1"/>
            </w14:solidFill>
          </w14:textFill>
        </w:rPr>
        <w:t>条  服务和培训</w:t>
      </w:r>
    </w:p>
    <w:p w14:paraId="32C4ADEB">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1.甲方应提供必要服务条件（如场地、电源、水源等）。</w:t>
      </w:r>
    </w:p>
    <w:p w14:paraId="3E50E544">
      <w:pPr>
        <w:snapToGrid w:val="0"/>
        <w:spacing w:line="360" w:lineRule="exact"/>
        <w:ind w:firstLine="420" w:firstLineChars="200"/>
        <w:rPr>
          <w:rFonts w:ascii="Calibri" w:hAnsi="Calibri"/>
          <w:color w:val="000000" w:themeColor="text1"/>
          <w:u w:val="single"/>
          <w14:textFill>
            <w14:solidFill>
              <w14:schemeClr w14:val="tx1"/>
            </w14:solidFill>
          </w14:textFill>
        </w:rPr>
      </w:pPr>
      <w:r>
        <w:rPr>
          <w:rFonts w:ascii="Calibri" w:hAnsi="Calibri"/>
          <w:color w:val="000000" w:themeColor="text1"/>
          <w14:textFill>
            <w14:solidFill>
              <w14:schemeClr w14:val="tx1"/>
            </w14:solidFill>
          </w14:textFill>
        </w:rPr>
        <w:t>2.乙方负责甲方有关人员的培训。培训时间、地点：</w:t>
      </w:r>
      <w:r>
        <w:rPr>
          <w:rFonts w:ascii="Calibri" w:hAnsi="Calibri"/>
          <w:color w:val="000000" w:themeColor="text1"/>
          <w:u w:val="single"/>
          <w14:textFill>
            <w14:solidFill>
              <w14:schemeClr w14:val="tx1"/>
            </w14:solidFill>
          </w14:textFill>
        </w:rPr>
        <w:t xml:space="preserve"> 由甲方决定。</w:t>
      </w:r>
    </w:p>
    <w:p w14:paraId="407833D3">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w:t>
      </w:r>
      <w:r>
        <w:rPr>
          <w:rFonts w:hint="eastAsia" w:ascii="Calibri" w:hAnsi="Calibri"/>
          <w:b/>
          <w:color w:val="000000" w:themeColor="text1"/>
          <w14:textFill>
            <w14:solidFill>
              <w14:schemeClr w14:val="tx1"/>
            </w14:solidFill>
          </w14:textFill>
        </w:rPr>
        <w:t>七</w:t>
      </w:r>
      <w:r>
        <w:rPr>
          <w:rFonts w:ascii="Calibri" w:hAnsi="Calibri"/>
          <w:b/>
          <w:color w:val="000000" w:themeColor="text1"/>
          <w14:textFill>
            <w14:solidFill>
              <w14:schemeClr w14:val="tx1"/>
            </w14:solidFill>
          </w14:textFill>
        </w:rPr>
        <w:t>条  售后服务</w:t>
      </w:r>
    </w:p>
    <w:p w14:paraId="5E69027D">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1.乙方应按照国家有关法律法规和“三包”规定以及磋商文件和本合同附件，为甲方提供售后服务。</w:t>
      </w:r>
    </w:p>
    <w:p w14:paraId="7D915145">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2.乙方提供的服务承诺和售后服务责任等其它具体约定事项。（见合同附件）</w:t>
      </w:r>
    </w:p>
    <w:p w14:paraId="4AE7B86E">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3.服务期内乙方应按</w:t>
      </w:r>
      <w:r>
        <w:rPr>
          <w:rFonts w:hint="eastAsia" w:ascii="宋体" w:hAnsi="宋体" w:cs="宋体"/>
          <w:color w:val="000000" w:themeColor="text1"/>
          <w:kern w:val="0"/>
          <w14:textFill>
            <w14:solidFill>
              <w14:schemeClr w14:val="tx1"/>
            </w14:solidFill>
          </w14:textFill>
        </w:rPr>
        <w:t>磋商</w:t>
      </w:r>
      <w:r>
        <w:rPr>
          <w:rFonts w:hint="eastAsia" w:ascii="Calibri" w:hAnsi="Calibri"/>
          <w:color w:val="000000" w:themeColor="text1"/>
          <w14:textFill>
            <w14:solidFill>
              <w14:schemeClr w14:val="tx1"/>
            </w14:solidFill>
          </w14:textFill>
        </w:rPr>
        <w:t>时响应的需求参数、售后服务及合同条款等约定履行义务，如在服务期内乙方收到采购人的售后服务申请后未按要求履行售后服务的，采购人有权按每次1000元的金额扣除履约保证金。因乙方未提供售后服务，采购人有权委托第三方进行维护排除故障，由此产生的费用，采购人有权从履约保证金中扣除。其他违约责任在合同中约定。</w:t>
      </w:r>
    </w:p>
    <w:p w14:paraId="369B313F">
      <w:pPr>
        <w:snapToGrid w:val="0"/>
        <w:spacing w:line="360" w:lineRule="exact"/>
        <w:ind w:firstLine="422" w:firstLineChars="200"/>
        <w:rPr>
          <w:rFonts w:ascii="Calibri" w:hAnsi="Calibri"/>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w:t>
      </w:r>
      <w:r>
        <w:rPr>
          <w:rFonts w:hint="eastAsia" w:ascii="Calibri" w:hAnsi="Calibri"/>
          <w:b/>
          <w:color w:val="000000" w:themeColor="text1"/>
          <w14:textFill>
            <w14:solidFill>
              <w14:schemeClr w14:val="tx1"/>
            </w14:solidFill>
          </w14:textFill>
        </w:rPr>
        <w:t>八</w:t>
      </w:r>
      <w:r>
        <w:rPr>
          <w:rFonts w:ascii="Calibri" w:hAnsi="Calibri"/>
          <w:b/>
          <w:color w:val="000000" w:themeColor="text1"/>
          <w14:textFill>
            <w14:solidFill>
              <w14:schemeClr w14:val="tx1"/>
            </w14:solidFill>
          </w14:textFill>
        </w:rPr>
        <w:t>条　付款方式</w:t>
      </w:r>
    </w:p>
    <w:p w14:paraId="7ABD1D31">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 xml:space="preserve">1.资金性质： </w:t>
      </w:r>
      <w:r>
        <w:rPr>
          <w:rFonts w:hint="eastAsia" w:ascii="Calibri" w:hAnsi="Calibri"/>
          <w:color w:val="000000" w:themeColor="text1"/>
          <w14:textFill>
            <w14:solidFill>
              <w14:schemeClr w14:val="tx1"/>
            </w14:solidFill>
          </w14:textFill>
        </w:rPr>
        <w:t>财政资金</w:t>
      </w:r>
    </w:p>
    <w:p w14:paraId="4415E2CD">
      <w:pPr>
        <w:snapToGrid w:val="0"/>
        <w:spacing w:line="360" w:lineRule="exact"/>
        <w:ind w:firstLine="420" w:firstLineChars="200"/>
        <w:rPr>
          <w:rFonts w:ascii="Calibri" w:hAnsi="Calibri"/>
          <w:color w:val="000000" w:themeColor="text1"/>
          <w:u w:val="single"/>
          <w14:textFill>
            <w14:solidFill>
              <w14:schemeClr w14:val="tx1"/>
            </w14:solidFill>
          </w14:textFill>
        </w:rPr>
      </w:pPr>
      <w:r>
        <w:rPr>
          <w:rFonts w:ascii="Calibri" w:hAnsi="Calibri"/>
          <w:color w:val="000000" w:themeColor="text1"/>
          <w14:textFill>
            <w14:solidFill>
              <w14:schemeClr w14:val="tx1"/>
            </w14:solidFill>
          </w14:textFill>
        </w:rPr>
        <w:t>2.付款方式：</w:t>
      </w:r>
      <w:r>
        <w:rPr>
          <w:rFonts w:hint="eastAsia" w:ascii="Calibri" w:hAnsi="Calibri"/>
          <w:color w:val="000000" w:themeColor="text1"/>
          <w14:textFill>
            <w14:solidFill>
              <w14:schemeClr w14:val="tx1"/>
            </w14:solidFill>
          </w14:textFill>
        </w:rPr>
        <w:t xml:space="preserve"> </w:t>
      </w:r>
      <w:r>
        <w:rPr>
          <w:rFonts w:hint="eastAsia" w:ascii="Calibri" w:hAnsi="Calibri"/>
          <w:color w:val="000000" w:themeColor="text1"/>
          <w:u w:val="single"/>
          <w14:textFill>
            <w14:solidFill>
              <w14:schemeClr w14:val="tx1"/>
            </w14:solidFill>
          </w14:textFill>
        </w:rPr>
        <w:t xml:space="preserve">  本项目无预付款，成交供应商按要求开通网络线路，项目经采购人验收合格后，成交供应商开具增值税专用发票给采购人，采购人收到发票后支付100%合同款。                                                                 。</w:t>
      </w:r>
    </w:p>
    <w:p w14:paraId="16AAB202">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 xml:space="preserve">3.履约保证金： </w:t>
      </w:r>
      <w:r>
        <w:rPr>
          <w:rFonts w:hint="eastAsia" w:ascii="Calibri" w:hAnsi="Calibri"/>
          <w:color w:val="000000" w:themeColor="text1"/>
          <w:u w:val="single"/>
          <w14:textFill>
            <w14:solidFill>
              <w14:schemeClr w14:val="tx1"/>
            </w14:solidFill>
          </w14:textFill>
        </w:rPr>
        <w:t xml:space="preserve"> 无                                                                。 </w:t>
      </w:r>
    </w:p>
    <w:p w14:paraId="2D7BC0E8">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w:t>
      </w:r>
      <w:r>
        <w:rPr>
          <w:rFonts w:hint="eastAsia" w:ascii="Calibri" w:hAnsi="Calibri"/>
          <w:b/>
          <w:color w:val="000000" w:themeColor="text1"/>
          <w14:textFill>
            <w14:solidFill>
              <w14:schemeClr w14:val="tx1"/>
            </w14:solidFill>
          </w14:textFill>
        </w:rPr>
        <w:t>九</w:t>
      </w:r>
      <w:r>
        <w:rPr>
          <w:rFonts w:ascii="Calibri" w:hAnsi="Calibri"/>
          <w:b/>
          <w:color w:val="000000" w:themeColor="text1"/>
          <w14:textFill>
            <w14:solidFill>
              <w14:schemeClr w14:val="tx1"/>
            </w14:solidFill>
          </w14:textFill>
        </w:rPr>
        <w:t xml:space="preserve">条 </w:t>
      </w:r>
      <w:r>
        <w:rPr>
          <w:rFonts w:hint="eastAsia" w:ascii="Calibri" w:hAnsi="Calibri"/>
          <w:b/>
          <w:color w:val="000000" w:themeColor="text1"/>
          <w14:textFill>
            <w14:solidFill>
              <w14:schemeClr w14:val="tx1"/>
            </w14:solidFill>
          </w14:textFill>
        </w:rPr>
        <w:t xml:space="preserve"> </w:t>
      </w:r>
      <w:r>
        <w:rPr>
          <w:rFonts w:ascii="Calibri" w:hAnsi="Calibri"/>
          <w:b/>
          <w:color w:val="000000" w:themeColor="text1"/>
          <w14:textFill>
            <w14:solidFill>
              <w14:schemeClr w14:val="tx1"/>
            </w14:solidFill>
          </w14:textFill>
        </w:rPr>
        <w:t>税费</w:t>
      </w:r>
    </w:p>
    <w:p w14:paraId="7FA45760">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本合同执行中相关的一切税费均由乙方负担。</w:t>
      </w:r>
    </w:p>
    <w:p w14:paraId="5EB8E892">
      <w:pPr>
        <w:snapToGrid w:val="0"/>
        <w:spacing w:line="36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w:t>
      </w:r>
      <w:r>
        <w:rPr>
          <w:rFonts w:hint="eastAsia" w:ascii="Calibri" w:hAnsi="Calibri"/>
          <w:b/>
          <w:color w:val="000000" w:themeColor="text1"/>
          <w14:textFill>
            <w14:solidFill>
              <w14:schemeClr w14:val="tx1"/>
            </w14:solidFill>
          </w14:textFill>
        </w:rPr>
        <w:t>十</w:t>
      </w:r>
      <w:r>
        <w:rPr>
          <w:rFonts w:ascii="Calibri" w:hAnsi="Calibri"/>
          <w:b/>
          <w:color w:val="000000" w:themeColor="text1"/>
          <w14:textFill>
            <w14:solidFill>
              <w14:schemeClr w14:val="tx1"/>
            </w14:solidFill>
          </w14:textFill>
        </w:rPr>
        <w:t>条　违约责任</w:t>
      </w:r>
    </w:p>
    <w:p w14:paraId="76BF1C0D">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若因乙方原因而未能履行合同或未达到合同约定的要求，甲方有权书面敦促乙方履行合同，乙方应在收到甲方书面通知之日起七日内给予书面答复并进行整改；如乙方在上述时间未答复，或无故拖延履行合同超过</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日，或经</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次整改后仍未达到甲方要求，甲方有权书面通知乙方解除服务合同，且无需支付合同解除后的合同后续费用。同时，乙方必须退还甲方已付出的所有服务费用，</w:t>
      </w:r>
      <w:r>
        <w:rPr>
          <w:rFonts w:hint="eastAsia" w:ascii="Calibri" w:hAnsi="Calibri"/>
          <w:color w:val="000000" w:themeColor="text1"/>
          <w14:textFill>
            <w14:solidFill>
              <w14:schemeClr w14:val="tx1"/>
            </w14:solidFill>
          </w14:textFill>
        </w:rPr>
        <w:t>乙方向甲方支付合同总值</w:t>
      </w:r>
      <w:r>
        <w:rPr>
          <w:rFonts w:hint="eastAsia" w:ascii="Calibri" w:hAnsi="Calibri"/>
          <w:color w:val="000000" w:themeColor="text1"/>
          <w:u w:val="single"/>
          <w14:textFill>
            <w14:solidFill>
              <w14:schemeClr w14:val="tx1"/>
            </w14:solidFill>
          </w14:textFill>
        </w:rPr>
        <w:t xml:space="preserve">       </w:t>
      </w:r>
      <w:r>
        <w:rPr>
          <w:rFonts w:hint="eastAsia" w:ascii="Calibri" w:hAnsi="Calibri"/>
          <w:color w:val="000000" w:themeColor="text1"/>
          <w14:textFill>
            <w14:solidFill>
              <w14:schemeClr w14:val="tx1"/>
            </w14:solidFill>
          </w14:textFill>
        </w:rPr>
        <w:t>%的违约金，违约金不足以弥补采购人损失的，乙方还应负责赔偿。</w:t>
      </w:r>
    </w:p>
    <w:p w14:paraId="1CA417F6">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乙方未得到甲方同意，擅自更换项目负责人及服务团队成员时，甲方有权书面通知乙方解除服务合同，且无需支付合同解除后的合同后续费用。同时，乙方必须退还甲方已付出的所有服务费用，并赔偿由此给甲方造成的全部损失。</w:t>
      </w:r>
    </w:p>
    <w:p w14:paraId="5E37E7F2">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3.乙方或乙方人员违反保密义务时，甲方有权书面通知乙方解除</w:t>
      </w:r>
      <w:r>
        <w:rPr>
          <w:rFonts w:hint="eastAsia" w:ascii="Calibri" w:hAnsi="Calibri"/>
          <w:color w:val="000000" w:themeColor="text1"/>
          <w14:textFill>
            <w14:solidFill>
              <w14:schemeClr w14:val="tx1"/>
            </w14:solidFill>
          </w14:textFill>
        </w:rPr>
        <w:t>服务</w:t>
      </w:r>
      <w:r>
        <w:rPr>
          <w:rFonts w:ascii="Calibri" w:hAnsi="Calibri"/>
          <w:color w:val="000000" w:themeColor="text1"/>
          <w14:textFill>
            <w14:solidFill>
              <w14:schemeClr w14:val="tx1"/>
            </w14:solidFill>
          </w14:textFill>
        </w:rPr>
        <w:t>合同，且无需支付合同解除后的合同后续费用。同时，乙方必须退还甲方已付出的所有</w:t>
      </w:r>
      <w:r>
        <w:rPr>
          <w:rFonts w:hint="eastAsia" w:ascii="Calibri" w:hAnsi="Calibri"/>
          <w:color w:val="000000" w:themeColor="text1"/>
          <w14:textFill>
            <w14:solidFill>
              <w14:schemeClr w14:val="tx1"/>
            </w14:solidFill>
          </w14:textFill>
        </w:rPr>
        <w:t>服务</w:t>
      </w:r>
      <w:r>
        <w:rPr>
          <w:rFonts w:ascii="Calibri" w:hAnsi="Calibri"/>
          <w:color w:val="000000" w:themeColor="text1"/>
          <w14:textFill>
            <w14:solidFill>
              <w14:schemeClr w14:val="tx1"/>
            </w14:solidFill>
          </w14:textFill>
        </w:rPr>
        <w:t>费用，并赔偿由此给甲方造成的全部损失。</w:t>
      </w:r>
    </w:p>
    <w:p w14:paraId="21CA15DE">
      <w:pPr>
        <w:snapToGrid w:val="0"/>
        <w:spacing w:line="360" w:lineRule="exact"/>
        <w:ind w:firstLine="420" w:firstLineChars="200"/>
        <w:jc w:val="lef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4.乙方提供的交付成果或服务如侵犯了第三方合法权益而引发的任何纠纷或诉讼，均由乙方负责交涉并承担全部责任。</w:t>
      </w:r>
    </w:p>
    <w:p w14:paraId="60B5AF27">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5.因包装、运输引起的交付成果或服务成果损坏，按质量不合格处罚。</w:t>
      </w:r>
    </w:p>
    <w:p w14:paraId="350D4C47">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6.甲方无故延期接收服务交付成果、乙方逾期交付的，每天向对方偿付违约交付成果或服务费用金额的</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‰违约金，但违约金累计不得超过违约交付成果或服务费用金额的</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u w:val="single"/>
          <w14:textFill>
            <w14:solidFill>
              <w14:schemeClr w14:val="tx1"/>
            </w14:solidFill>
          </w14:textFill>
        </w:rPr>
        <w:t>%</w:t>
      </w:r>
      <w:r>
        <w:rPr>
          <w:rFonts w:ascii="Calibri" w:hAnsi="Calibri"/>
          <w:color w:val="000000" w:themeColor="text1"/>
          <w14:textFill>
            <w14:solidFill>
              <w14:schemeClr w14:val="tx1"/>
            </w14:solidFill>
          </w14:textFill>
        </w:rPr>
        <w:t>，超过</w:t>
      </w:r>
      <w:r>
        <w:rPr>
          <w:rFonts w:ascii="Calibri" w:hAnsi="Calibri"/>
          <w:color w:val="000000" w:themeColor="text1"/>
          <w:u w:val="single"/>
          <w14:textFill>
            <w14:solidFill>
              <w14:schemeClr w14:val="tx1"/>
            </w14:solidFill>
          </w14:textFill>
        </w:rPr>
        <w:t xml:space="preserve"> </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天对方有权解除合同，违约方承担因此给对方造成经济损失；甲方延期付交付成果或服务费用金额的，每天向乙方偿付延期交付成果或服务费用金额的</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作为滞纳金，但滞纳金累计不得超过延期交付成果或服务费用金额的</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u w:val="single"/>
          <w14:textFill>
            <w14:solidFill>
              <w14:schemeClr w14:val="tx1"/>
            </w14:solidFill>
          </w14:textFill>
        </w:rPr>
        <w:t>%</w:t>
      </w:r>
      <w:r>
        <w:rPr>
          <w:rFonts w:ascii="Calibri" w:hAnsi="Calibri"/>
          <w:color w:val="000000" w:themeColor="text1"/>
          <w14:textFill>
            <w14:solidFill>
              <w14:schemeClr w14:val="tx1"/>
            </w14:solidFill>
          </w14:textFill>
        </w:rPr>
        <w:t>。</w:t>
      </w:r>
    </w:p>
    <w:p w14:paraId="5A3402DA">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7.乙方未按本合同和响应文件中规定的服务承诺提供售后服务的，乙方应按本合同合计金额</w:t>
      </w:r>
      <w:r>
        <w:rPr>
          <w:rFonts w:ascii="Calibri" w:hAnsi="Calibri"/>
          <w:color w:val="000000" w:themeColor="text1"/>
          <w:u w:val="single"/>
          <w14:textFill>
            <w14:solidFill>
              <w14:schemeClr w14:val="tx1"/>
            </w14:solidFill>
          </w14:textFill>
        </w:rPr>
        <w:t xml:space="preserve"> </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u w:val="single"/>
          <w14:textFill>
            <w14:solidFill>
              <w14:schemeClr w14:val="tx1"/>
            </w14:solidFill>
          </w14:textFill>
        </w:rPr>
        <w:t>%</w:t>
      </w:r>
      <w:r>
        <w:rPr>
          <w:rFonts w:ascii="Calibri" w:hAnsi="Calibri"/>
          <w:color w:val="000000" w:themeColor="text1"/>
          <w14:textFill>
            <w14:solidFill>
              <w14:schemeClr w14:val="tx1"/>
            </w14:solidFill>
          </w14:textFill>
        </w:rPr>
        <w:t>向甲方支付违约金。</w:t>
      </w:r>
    </w:p>
    <w:p w14:paraId="185E54D7">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8</w:t>
      </w:r>
      <w:r>
        <w:rPr>
          <w:rFonts w:ascii="Calibri" w:hAnsi="Calibri"/>
          <w:color w:val="000000" w:themeColor="text1"/>
          <w14:textFill>
            <w14:solidFill>
              <w14:schemeClr w14:val="tx1"/>
            </w14:solidFill>
          </w14:textFill>
        </w:rPr>
        <w:t>.其它违约行为按违约服务成果费用金额</w:t>
      </w:r>
      <w:r>
        <w:rPr>
          <w:rFonts w:hint="eastAsia" w:ascii="Calibri" w:hAnsi="Calibri"/>
          <w:color w:val="000000" w:themeColor="text1"/>
          <w14:textFill>
            <w14:solidFill>
              <w14:schemeClr w14:val="tx1"/>
            </w14:solidFill>
          </w14:textFill>
        </w:rPr>
        <w:t xml:space="preserve"> </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%收取违约金并赔偿经济损失。</w:t>
      </w:r>
    </w:p>
    <w:p w14:paraId="75E9884E">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9.任何一方违约应赔偿对方经济损失，该损失包括但不限于直接损失，包括因违约方的违约行为而引起的律师费、诉讼费、保全及担保费、赔偿金、差旅费、公证鉴定费、调查取证费、罚款或罚金等在内的全部损失，以及守约方因违约方的违约行为对第三方支付的赔偿和违约金等。</w:t>
      </w:r>
    </w:p>
    <w:p w14:paraId="1B1F0E20">
      <w:pPr>
        <w:snapToGrid w:val="0"/>
        <w:spacing w:line="300" w:lineRule="exact"/>
        <w:ind w:firstLine="422" w:firstLineChars="20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第十</w:t>
      </w:r>
      <w:r>
        <w:rPr>
          <w:rFonts w:hint="eastAsia" w:ascii="Calibri" w:hAnsi="Calibri"/>
          <w:b/>
          <w:color w:val="000000" w:themeColor="text1"/>
          <w14:textFill>
            <w14:solidFill>
              <w14:schemeClr w14:val="tx1"/>
            </w14:solidFill>
          </w14:textFill>
        </w:rPr>
        <w:t>一</w:t>
      </w:r>
      <w:r>
        <w:rPr>
          <w:rFonts w:ascii="Calibri" w:hAnsi="Calibri"/>
          <w:b/>
          <w:color w:val="000000" w:themeColor="text1"/>
          <w14:textFill>
            <w14:solidFill>
              <w14:schemeClr w14:val="tx1"/>
            </w14:solidFill>
          </w14:textFill>
        </w:rPr>
        <w:t>条 不可抗力事件处理</w:t>
      </w:r>
    </w:p>
    <w:p w14:paraId="116DA9C9">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 在合同有效期内，任何一方因不可抗力事件导致不能履行合同，则合同履行期可延长，其延长期与不可抗力影响期相同。</w:t>
      </w:r>
    </w:p>
    <w:p w14:paraId="3717346D">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 不可抗力事件发生后，应立即通知对方，并寄送有关权威机构出具的证明。</w:t>
      </w:r>
    </w:p>
    <w:p w14:paraId="1042FA1D">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3. 不可抗力事件延续一百二十天以上，双方应通过友好协商，确定是否继续履行合同。</w:t>
      </w:r>
    </w:p>
    <w:p w14:paraId="7481ED12">
      <w:pPr>
        <w:snapToGrid w:val="0"/>
        <w:spacing w:line="360" w:lineRule="exact"/>
        <w:ind w:firstLine="422" w:firstLineChars="200"/>
        <w:rPr>
          <w:rFonts w:ascii="Calibri" w:hAnsi="Calibri"/>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第十</w:t>
      </w:r>
      <w:r>
        <w:rPr>
          <w:rFonts w:hint="eastAsia" w:ascii="Calibri" w:hAnsi="Calibri"/>
          <w:b/>
          <w:color w:val="000000" w:themeColor="text1"/>
          <w14:textFill>
            <w14:solidFill>
              <w14:schemeClr w14:val="tx1"/>
            </w14:solidFill>
          </w14:textFill>
        </w:rPr>
        <w:t>二</w:t>
      </w:r>
      <w:r>
        <w:rPr>
          <w:rFonts w:ascii="Calibri" w:hAnsi="Calibri"/>
          <w:b/>
          <w:color w:val="000000" w:themeColor="text1"/>
          <w14:textFill>
            <w14:solidFill>
              <w14:schemeClr w14:val="tx1"/>
            </w14:solidFill>
          </w14:textFill>
        </w:rPr>
        <w:t>条  合同争议解决</w:t>
      </w:r>
    </w:p>
    <w:p w14:paraId="3770B0C5">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 因交付成果或服务质量问题发生争议的，应邀请国家认</w:t>
      </w:r>
      <w:r>
        <w:rPr>
          <w:rFonts w:hint="eastAsia" w:ascii="Calibri" w:hAnsi="Calibri"/>
          <w:color w:val="000000" w:themeColor="text1"/>
          <w14:textFill>
            <w14:solidFill>
              <w14:schemeClr w14:val="tx1"/>
            </w14:solidFill>
          </w14:textFill>
        </w:rPr>
        <w:t>定</w:t>
      </w:r>
      <w:r>
        <w:rPr>
          <w:rFonts w:ascii="Calibri" w:hAnsi="Calibri"/>
          <w:color w:val="000000" w:themeColor="text1"/>
          <w14:textFill>
            <w14:solidFill>
              <w14:schemeClr w14:val="tx1"/>
            </w14:solidFill>
          </w14:textFill>
        </w:rPr>
        <w:t>的质量检测机构按照国家标准对交付成果或服务质量进行验收。交付成果或服务符合国家标准的，鉴定费由甲方承担；交付成果或服务不符合国家标准的，鉴定费由乙方承担。</w:t>
      </w:r>
    </w:p>
    <w:p w14:paraId="793A3853">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 因履行本合同引起的或与本合同有关的争议，</w:t>
      </w:r>
      <w:r>
        <w:rPr>
          <w:rFonts w:hint="eastAsia" w:ascii="Calibri" w:hAnsi="Calibri"/>
          <w:color w:val="000000" w:themeColor="text1"/>
          <w14:textFill>
            <w14:solidFill>
              <w14:schemeClr w14:val="tx1"/>
            </w14:solidFill>
          </w14:textFill>
        </w:rPr>
        <w:t>甲乙</w:t>
      </w:r>
      <w:r>
        <w:rPr>
          <w:rFonts w:ascii="Calibri" w:hAnsi="Calibri"/>
          <w:color w:val="000000" w:themeColor="text1"/>
          <w14:textFill>
            <w14:solidFill>
              <w14:schemeClr w14:val="tx1"/>
            </w14:solidFill>
          </w14:textFill>
        </w:rPr>
        <w:t>双方应首先通过友好协商解决，如果协商不能解决，可向甲方所在地人民法院提起诉讼。</w:t>
      </w:r>
    </w:p>
    <w:p w14:paraId="498FC249">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3 诉讼期间，本合同继续履行。</w:t>
      </w:r>
    </w:p>
    <w:p w14:paraId="2B1D475B">
      <w:pPr>
        <w:snapToGrid w:val="0"/>
        <w:spacing w:before="120" w:after="120" w:line="360" w:lineRule="exact"/>
        <w:ind w:firstLine="422" w:firstLineChars="200"/>
        <w:rPr>
          <w:b/>
          <w:color w:val="000000" w:themeColor="text1"/>
          <w14:textFill>
            <w14:solidFill>
              <w14:schemeClr w14:val="tx1"/>
            </w14:solidFill>
          </w14:textFill>
        </w:rPr>
      </w:pPr>
      <w:r>
        <w:rPr>
          <w:b/>
          <w:color w:val="000000" w:themeColor="text1"/>
          <w14:textFill>
            <w14:solidFill>
              <w14:schemeClr w14:val="tx1"/>
            </w14:solidFill>
          </w14:textFill>
        </w:rPr>
        <w:t>第十</w:t>
      </w:r>
      <w:r>
        <w:rPr>
          <w:rFonts w:hint="eastAsia"/>
          <w:b/>
          <w:color w:val="000000" w:themeColor="text1"/>
          <w14:textFill>
            <w14:solidFill>
              <w14:schemeClr w14:val="tx1"/>
            </w14:solidFill>
          </w14:textFill>
        </w:rPr>
        <w:t>三</w:t>
      </w:r>
      <w:r>
        <w:rPr>
          <w:b/>
          <w:color w:val="000000" w:themeColor="text1"/>
          <w14:textFill>
            <w14:solidFill>
              <w14:schemeClr w14:val="tx1"/>
            </w14:solidFill>
          </w14:textFill>
        </w:rPr>
        <w:t>条 合同生效及其它</w:t>
      </w:r>
    </w:p>
    <w:p w14:paraId="1D4749EC">
      <w:pPr>
        <w:snapToGrid w:val="0"/>
        <w:spacing w:line="300" w:lineRule="exact"/>
        <w:ind w:firstLine="420" w:firstLineChars="200"/>
        <w:rPr>
          <w:rFonts w:ascii="Calibri" w:hAnsi="Calibri"/>
          <w:color w:val="000000" w:themeColor="text1"/>
          <w14:textFill>
            <w14:solidFill>
              <w14:schemeClr w14:val="tx1"/>
            </w14:solidFill>
          </w14:textFill>
        </w:rPr>
      </w:pPr>
      <w:bookmarkStart w:id="33" w:name="_Hlk19199032"/>
      <w:r>
        <w:rPr>
          <w:rFonts w:ascii="Calibri" w:hAnsi="Calibri"/>
          <w:color w:val="000000" w:themeColor="text1"/>
          <w14:textFill>
            <w14:solidFill>
              <w14:schemeClr w14:val="tx1"/>
            </w14:solidFill>
          </w14:textFill>
        </w:rPr>
        <w:t>1．本合同履行期限为：</w:t>
      </w:r>
      <w:r>
        <w:rPr>
          <w:rFonts w:hint="eastAsia" w:ascii="Calibri" w:hAnsi="Calibri"/>
          <w:color w:val="000000" w:themeColor="text1"/>
          <w:u w:val="single"/>
          <w14:textFill>
            <w14:solidFill>
              <w14:schemeClr w14:val="tx1"/>
            </w14:solidFill>
          </w14:textFill>
        </w:rPr>
        <w:t xml:space="preserve">            </w:t>
      </w:r>
      <w:r>
        <w:rPr>
          <w:rFonts w:ascii="Calibri" w:hAnsi="Calibri"/>
          <w:color w:val="000000" w:themeColor="text1"/>
          <w14:textFill>
            <w14:solidFill>
              <w14:schemeClr w14:val="tx1"/>
            </w14:solidFill>
          </w14:textFill>
        </w:rPr>
        <w:t>；合同履行地点为：</w:t>
      </w:r>
      <w:r>
        <w:rPr>
          <w:rFonts w:hint="eastAsia" w:ascii="Calibri" w:hAnsi="Calibri"/>
          <w:color w:val="000000" w:themeColor="text1"/>
          <w:u w:val="single"/>
          <w14:textFill>
            <w14:solidFill>
              <w14:schemeClr w14:val="tx1"/>
            </w14:solidFill>
          </w14:textFill>
        </w:rPr>
        <w:t xml:space="preserve">广西南宁市 </w:t>
      </w:r>
      <w:r>
        <w:rPr>
          <w:rFonts w:ascii="Calibri" w:hAnsi="Calibri"/>
          <w:color w:val="000000" w:themeColor="text1"/>
          <w14:textFill>
            <w14:solidFill>
              <w14:schemeClr w14:val="tx1"/>
            </w14:solidFill>
          </w14:textFill>
        </w:rPr>
        <w:t>；合同履行的方式：</w:t>
      </w:r>
      <w:r>
        <w:rPr>
          <w:rFonts w:ascii="Calibri" w:hAnsi="Calibri"/>
          <w:color w:val="000000" w:themeColor="text1"/>
          <w:u w:val="single"/>
          <w14:textFill>
            <w14:solidFill>
              <w14:schemeClr w14:val="tx1"/>
            </w14:solidFill>
          </w14:textFill>
        </w:rPr>
        <w:t>按照本合同约定</w:t>
      </w:r>
      <w:r>
        <w:rPr>
          <w:rFonts w:ascii="Calibri" w:hAnsi="Calibri"/>
          <w:color w:val="000000" w:themeColor="text1"/>
          <w14:textFill>
            <w14:solidFill>
              <w14:schemeClr w14:val="tx1"/>
            </w14:solidFill>
          </w14:textFill>
        </w:rPr>
        <w:t>。</w:t>
      </w:r>
    </w:p>
    <w:bookmarkEnd w:id="33"/>
    <w:p w14:paraId="52EBB0BC">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2．合同经双方法定代表人或授权代表签字并加盖单位公章后生效。</w:t>
      </w:r>
    </w:p>
    <w:p w14:paraId="36E7F982">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3．合同执行中涉及采购资金和采购内容修改或补充的，须经财政部门审批，并签书面补充协议报财政部门备案，方可作为主合同不可分割的一部分。</w:t>
      </w:r>
    </w:p>
    <w:p w14:paraId="7C5BC890">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4．本合同未尽事宜，遵照《</w:t>
      </w:r>
      <w:r>
        <w:rPr>
          <w:rFonts w:hint="eastAsia"/>
          <w:color w:val="000000" w:themeColor="text1"/>
          <w14:textFill>
            <w14:solidFill>
              <w14:schemeClr w14:val="tx1"/>
            </w14:solidFill>
          </w14:textFill>
        </w:rPr>
        <w:t>民法典</w:t>
      </w:r>
      <w:r>
        <w:rPr>
          <w:rFonts w:ascii="Calibri" w:hAnsi="Calibri"/>
          <w:color w:val="000000" w:themeColor="text1"/>
          <w14:textFill>
            <w14:solidFill>
              <w14:schemeClr w14:val="tx1"/>
            </w14:solidFill>
          </w14:textFill>
        </w:rPr>
        <w:t>》有关条文执行。</w:t>
      </w:r>
    </w:p>
    <w:p w14:paraId="682A426F">
      <w:pPr>
        <w:snapToGrid w:val="0"/>
        <w:spacing w:line="360" w:lineRule="exact"/>
        <w:ind w:firstLine="527" w:firstLineChars="25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第十</w:t>
      </w:r>
      <w:r>
        <w:rPr>
          <w:rFonts w:hint="eastAsia" w:ascii="Calibri" w:hAnsi="Calibri"/>
          <w:b/>
          <w:color w:val="000000" w:themeColor="text1"/>
          <w14:textFill>
            <w14:solidFill>
              <w14:schemeClr w14:val="tx1"/>
            </w14:solidFill>
          </w14:textFill>
        </w:rPr>
        <w:t>四</w:t>
      </w:r>
      <w:r>
        <w:rPr>
          <w:rFonts w:ascii="Calibri" w:hAnsi="Calibri"/>
          <w:b/>
          <w:color w:val="000000" w:themeColor="text1"/>
          <w14:textFill>
            <w14:solidFill>
              <w14:schemeClr w14:val="tx1"/>
            </w14:solidFill>
          </w14:textFill>
        </w:rPr>
        <w:t>条　合同的变更、终止与转让</w:t>
      </w:r>
    </w:p>
    <w:p w14:paraId="38437B8F">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1.除《中华人民共和国政府采购法》第五十条规定的情形外，本合同一经签订，采购人成交供应商双方不得擅自变更、中止或终止。</w:t>
      </w:r>
    </w:p>
    <w:p w14:paraId="0FE7F19F">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2.未经甲方书面同意，乙方不得擅自转让其应履行的合同义务。</w:t>
      </w:r>
    </w:p>
    <w:p w14:paraId="502D1DFA">
      <w:pPr>
        <w:snapToGrid w:val="0"/>
        <w:spacing w:line="360" w:lineRule="exact"/>
        <w:ind w:firstLine="420" w:firstLineChars="200"/>
        <w:rPr>
          <w:rFonts w:ascii="Calibri" w:hAnsi="Calibri"/>
          <w:color w:val="000000" w:themeColor="text1"/>
          <w14:textFill>
            <w14:solidFill>
              <w14:schemeClr w14:val="tx1"/>
            </w14:solidFill>
          </w14:textFill>
        </w:rPr>
      </w:pPr>
      <w:r>
        <w:rPr>
          <w:rFonts w:hint="eastAsia" w:ascii="Calibri" w:hAnsi="Calibri"/>
          <w:color w:val="000000" w:themeColor="text1"/>
          <w14:textFill>
            <w14:solidFill>
              <w14:schemeClr w14:val="tx1"/>
            </w14:solidFill>
          </w14:textFill>
        </w:rPr>
        <w:t>3.如遇国家、自治区政策调整，应当对本项目相关内容进行调整、变更、中止或终止，双方可另行协商签订补充协议。</w:t>
      </w:r>
    </w:p>
    <w:p w14:paraId="6DE3E904">
      <w:pPr>
        <w:snapToGrid w:val="0"/>
        <w:spacing w:line="360" w:lineRule="exact"/>
        <w:ind w:firstLine="527" w:firstLineChars="250"/>
        <w:rPr>
          <w:rFonts w:ascii="Calibri" w:hAnsi="Calibri"/>
          <w:b/>
          <w:color w:val="000000" w:themeColor="text1"/>
          <w14:textFill>
            <w14:solidFill>
              <w14:schemeClr w14:val="tx1"/>
            </w14:solidFill>
          </w14:textFill>
        </w:rPr>
      </w:pPr>
      <w:r>
        <w:rPr>
          <w:rFonts w:ascii="Calibri" w:hAnsi="Calibri"/>
          <w:b/>
          <w:color w:val="000000" w:themeColor="text1"/>
          <w14:textFill>
            <w14:solidFill>
              <w14:schemeClr w14:val="tx1"/>
            </w14:solidFill>
          </w14:textFill>
        </w:rPr>
        <w:t>第十</w:t>
      </w:r>
      <w:r>
        <w:rPr>
          <w:rFonts w:hint="eastAsia" w:ascii="Calibri" w:hAnsi="Calibri"/>
          <w:b/>
          <w:color w:val="000000" w:themeColor="text1"/>
          <w14:textFill>
            <w14:solidFill>
              <w14:schemeClr w14:val="tx1"/>
            </w14:solidFill>
          </w14:textFill>
        </w:rPr>
        <w:t>五</w:t>
      </w:r>
      <w:r>
        <w:rPr>
          <w:rFonts w:ascii="Calibri" w:hAnsi="Calibri"/>
          <w:b/>
          <w:color w:val="000000" w:themeColor="text1"/>
          <w14:textFill>
            <w14:solidFill>
              <w14:schemeClr w14:val="tx1"/>
            </w14:solidFill>
          </w14:textFill>
        </w:rPr>
        <w:t>条　签订本合同依据</w:t>
      </w:r>
    </w:p>
    <w:p w14:paraId="5B6F3F8E">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1.政府采购磋商文件；</w:t>
      </w:r>
    </w:p>
    <w:p w14:paraId="55E6033A">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2.乙方提供的响应文件；</w:t>
      </w:r>
    </w:p>
    <w:p w14:paraId="74169D56">
      <w:pPr>
        <w:snapToGrid w:val="0"/>
        <w:spacing w:line="360" w:lineRule="exact"/>
        <w:ind w:firstLine="420" w:firstLineChars="200"/>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3.响应承诺书；</w:t>
      </w:r>
    </w:p>
    <w:p w14:paraId="229EE135">
      <w:pPr>
        <w:snapToGrid w:val="0"/>
        <w:spacing w:line="360" w:lineRule="exact"/>
        <w:ind w:firstLine="420" w:firstLineChars="200"/>
        <w:rPr>
          <w:rFonts w:ascii="Calibri" w:hAnsi="Calibri"/>
          <w:color w:val="000000" w:themeColor="text1"/>
          <w:u w:val="single"/>
          <w14:textFill>
            <w14:solidFill>
              <w14:schemeClr w14:val="tx1"/>
            </w14:solidFill>
          </w14:textFill>
        </w:rPr>
      </w:pPr>
      <w:r>
        <w:rPr>
          <w:rFonts w:ascii="Calibri" w:hAnsi="Calibri"/>
          <w:color w:val="000000" w:themeColor="text1"/>
          <w14:textFill>
            <w14:solidFill>
              <w14:schemeClr w14:val="tx1"/>
            </w14:solidFill>
          </w14:textFill>
        </w:rPr>
        <w:t>4.成交通知书。</w:t>
      </w:r>
    </w:p>
    <w:p w14:paraId="5EFB30A7">
      <w:pPr>
        <w:snapToGrid w:val="0"/>
        <w:spacing w:line="360" w:lineRule="exact"/>
        <w:ind w:firstLine="422" w:firstLineChars="200"/>
        <w:rPr>
          <w:rFonts w:ascii="Calibri" w:hAnsi="Calibri"/>
          <w:strike/>
          <w:color w:val="000000" w:themeColor="text1"/>
          <w:highlight w:val="yellow"/>
          <w14:textFill>
            <w14:solidFill>
              <w14:schemeClr w14:val="tx1"/>
            </w14:solidFill>
          </w14:textFill>
        </w:rPr>
      </w:pPr>
      <w:r>
        <w:rPr>
          <w:rFonts w:ascii="Calibri" w:hAnsi="Calibri"/>
          <w:b/>
          <w:color w:val="000000" w:themeColor="text1"/>
          <w14:textFill>
            <w14:solidFill>
              <w14:schemeClr w14:val="tx1"/>
            </w14:solidFill>
          </w14:textFill>
        </w:rPr>
        <w:t>第十</w:t>
      </w:r>
      <w:r>
        <w:rPr>
          <w:rFonts w:hint="eastAsia" w:ascii="Calibri" w:hAnsi="Calibri"/>
          <w:b/>
          <w:color w:val="000000" w:themeColor="text1"/>
          <w14:textFill>
            <w14:solidFill>
              <w14:schemeClr w14:val="tx1"/>
            </w14:solidFill>
          </w14:textFill>
        </w:rPr>
        <w:t>六</w:t>
      </w:r>
      <w:r>
        <w:rPr>
          <w:rFonts w:ascii="Calibri" w:hAnsi="Calibri"/>
          <w:b/>
          <w:color w:val="000000" w:themeColor="text1"/>
          <w14:textFill>
            <w14:solidFill>
              <w14:schemeClr w14:val="tx1"/>
            </w14:solidFill>
          </w14:textFill>
        </w:rPr>
        <w:t>条　</w:t>
      </w:r>
      <w:bookmarkEnd w:id="32"/>
    </w:p>
    <w:p w14:paraId="6586554D">
      <w:pPr>
        <w:adjustRightInd w:val="0"/>
        <w:snapToGrid w:val="0"/>
        <w:spacing w:line="400" w:lineRule="exact"/>
        <w:ind w:firstLine="422" w:firstLineChars="201"/>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本合同一式捌份，具有同等法律效力。广西壮族自治区财政厅政府采购监督管理处、代理机构各一份，甲方</w:t>
      </w:r>
      <w:r>
        <w:rPr>
          <w:rFonts w:hint="eastAsia" w:ascii="Calibri" w:hAnsi="Calibri"/>
          <w:color w:val="000000" w:themeColor="text1"/>
          <w:highlight w:val="none"/>
          <w14:textFill>
            <w14:solidFill>
              <w14:schemeClr w14:val="tx1"/>
            </w14:solidFill>
          </w14:textFill>
        </w:rPr>
        <w:t>肆</w:t>
      </w:r>
      <w:r>
        <w:rPr>
          <w:rFonts w:hint="eastAsia" w:ascii="宋体" w:hAnsi="宋体"/>
          <w:color w:val="000000" w:themeColor="text1"/>
          <w:highlight w:val="none"/>
          <w14:textFill>
            <w14:solidFill>
              <w14:schemeClr w14:val="tx1"/>
            </w14:solidFill>
          </w14:textFill>
        </w:rPr>
        <w:t>份，乙方贰份。</w:t>
      </w:r>
    </w:p>
    <w:p w14:paraId="6D83549E">
      <w:pPr>
        <w:adjustRightInd w:val="0"/>
        <w:snapToGrid w:val="0"/>
        <w:spacing w:line="400" w:lineRule="exact"/>
        <w:ind w:firstLine="422" w:firstLineChars="201"/>
        <w:rPr>
          <w:rFonts w:ascii="宋体" w:hAnsi="宋体"/>
          <w:color w:val="000000" w:themeColor="text1"/>
          <w:highlight w:val="cyan"/>
          <w14:textFill>
            <w14:solidFill>
              <w14:schemeClr w14:val="tx1"/>
            </w14:solidFill>
          </w14:textFill>
        </w:rPr>
      </w:pPr>
      <w:r>
        <w:rPr>
          <w:rFonts w:hint="eastAsia" w:ascii="宋体" w:hAnsi="宋体"/>
          <w:color w:val="000000" w:themeColor="text1"/>
          <w:highlight w:val="none"/>
          <w14:textFill>
            <w14:solidFill>
              <w14:schemeClr w14:val="tx1"/>
            </w14:solidFill>
          </w14:textFill>
        </w:rPr>
        <w:t>本合同甲乙双方签字盖章后生效，自签订之日起两个工作日内，采购人应当将合同通过广西政府采购云平台上传完成合同网上公示。</w:t>
      </w:r>
    </w:p>
    <w:p w14:paraId="625235F2">
      <w:pPr>
        <w:pStyle w:val="33"/>
        <w:ind w:firstLine="422"/>
        <w:rPr>
          <w:rFonts w:ascii="Calibri" w:hAnsi="Calibri"/>
          <w:color w:val="000000" w:themeColor="text1"/>
          <w:highlight w:val="yellow"/>
          <w14:textFill>
            <w14:solidFill>
              <w14:schemeClr w14:val="tx1"/>
            </w14:solidFill>
          </w14:textFill>
        </w:rPr>
      </w:pPr>
    </w:p>
    <w:p w14:paraId="06EC6B32">
      <w:pPr>
        <w:rPr>
          <w:color w:val="000000" w:themeColor="text1"/>
          <w14:textFill>
            <w14:solidFill>
              <w14:schemeClr w14:val="tx1"/>
            </w14:solidFill>
          </w14:textFill>
        </w:rPr>
      </w:pPr>
    </w:p>
    <w:p w14:paraId="36D90E51">
      <w:pPr>
        <w:snapToGrid w:val="0"/>
        <w:spacing w:line="360" w:lineRule="exact"/>
        <w:ind w:firstLine="420" w:firstLineChars="200"/>
        <w:rPr>
          <w:rFonts w:ascii="Calibri" w:hAnsi="Calibri"/>
          <w:color w:val="000000" w:themeColor="text1"/>
          <w14:textFill>
            <w14:solidFill>
              <w14:schemeClr w14:val="tx1"/>
            </w14:solidFill>
          </w14:textFill>
        </w:rPr>
      </w:pPr>
    </w:p>
    <w:tbl>
      <w:tblPr>
        <w:tblStyle w:val="3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4946"/>
      </w:tblGrid>
      <w:tr w14:paraId="468D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2431" w:type="pct"/>
            <w:vAlign w:val="center"/>
          </w:tcPr>
          <w:p w14:paraId="40071942">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 xml:space="preserve">甲方（章）           </w:t>
            </w:r>
          </w:p>
          <w:p w14:paraId="6B60DF07">
            <w:pPr>
              <w:snapToGrid w:val="0"/>
              <w:spacing w:line="360" w:lineRule="exact"/>
              <w:rPr>
                <w:rFonts w:ascii="Calibri" w:hAnsi="Calibri"/>
                <w:color w:val="000000" w:themeColor="text1"/>
                <w14:textFill>
                  <w14:solidFill>
                    <w14:schemeClr w14:val="tx1"/>
                  </w14:solidFill>
                </w14:textFill>
              </w:rPr>
            </w:pPr>
          </w:p>
          <w:p w14:paraId="7E58F884">
            <w:pPr>
              <w:snapToGrid w:val="0"/>
              <w:spacing w:line="360" w:lineRule="exact"/>
              <w:ind w:firstLine="945" w:firstLineChars="450"/>
              <w:jc w:val="righ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年   月   日</w:t>
            </w:r>
          </w:p>
        </w:tc>
        <w:tc>
          <w:tcPr>
            <w:tcW w:w="2568" w:type="pct"/>
            <w:vAlign w:val="center"/>
          </w:tcPr>
          <w:p w14:paraId="3642CC3A">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 xml:space="preserve">乙方（章）              </w:t>
            </w:r>
          </w:p>
          <w:p w14:paraId="3BA192AE">
            <w:pPr>
              <w:snapToGrid w:val="0"/>
              <w:spacing w:line="360" w:lineRule="exact"/>
              <w:rPr>
                <w:rFonts w:ascii="Calibri" w:hAnsi="Calibri"/>
                <w:color w:val="000000" w:themeColor="text1"/>
                <w14:textFill>
                  <w14:solidFill>
                    <w14:schemeClr w14:val="tx1"/>
                  </w14:solidFill>
                </w14:textFill>
              </w:rPr>
            </w:pPr>
          </w:p>
          <w:p w14:paraId="4084ED3C">
            <w:pPr>
              <w:snapToGrid w:val="0"/>
              <w:spacing w:line="360" w:lineRule="exact"/>
              <w:jc w:val="righ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 xml:space="preserve"> 年   月   日</w:t>
            </w:r>
          </w:p>
        </w:tc>
      </w:tr>
      <w:tr w14:paraId="081A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2431" w:type="pct"/>
            <w:vAlign w:val="center"/>
          </w:tcPr>
          <w:p w14:paraId="4E49EF67">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单位地址：</w:t>
            </w:r>
          </w:p>
        </w:tc>
        <w:tc>
          <w:tcPr>
            <w:tcW w:w="2568" w:type="pct"/>
            <w:vAlign w:val="center"/>
          </w:tcPr>
          <w:p w14:paraId="05722C4C">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单位地址：</w:t>
            </w:r>
          </w:p>
        </w:tc>
      </w:tr>
      <w:tr w14:paraId="5F8F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2431" w:type="pct"/>
            <w:vAlign w:val="center"/>
          </w:tcPr>
          <w:p w14:paraId="6963FB4B">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法定代表人：</w:t>
            </w:r>
          </w:p>
        </w:tc>
        <w:tc>
          <w:tcPr>
            <w:tcW w:w="2568" w:type="pct"/>
            <w:vAlign w:val="center"/>
          </w:tcPr>
          <w:p w14:paraId="3BAC6448">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法定代表人：</w:t>
            </w:r>
          </w:p>
        </w:tc>
      </w:tr>
      <w:tr w14:paraId="751F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2431" w:type="pct"/>
            <w:vAlign w:val="center"/>
          </w:tcPr>
          <w:p w14:paraId="31188416">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委托代理人：</w:t>
            </w:r>
          </w:p>
        </w:tc>
        <w:tc>
          <w:tcPr>
            <w:tcW w:w="2568" w:type="pct"/>
            <w:vAlign w:val="center"/>
          </w:tcPr>
          <w:p w14:paraId="14900BBF">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委托代理人</w:t>
            </w:r>
          </w:p>
        </w:tc>
      </w:tr>
      <w:tr w14:paraId="2362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2431" w:type="pct"/>
            <w:vAlign w:val="center"/>
          </w:tcPr>
          <w:p w14:paraId="514052AB">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电话：</w:t>
            </w:r>
          </w:p>
        </w:tc>
        <w:tc>
          <w:tcPr>
            <w:tcW w:w="2568" w:type="pct"/>
            <w:vAlign w:val="center"/>
          </w:tcPr>
          <w:p w14:paraId="2BB03EB7">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电话：</w:t>
            </w:r>
          </w:p>
        </w:tc>
      </w:tr>
      <w:tr w14:paraId="7058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431" w:type="pct"/>
            <w:vAlign w:val="center"/>
          </w:tcPr>
          <w:p w14:paraId="20AF92AE">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电子邮箱：</w:t>
            </w:r>
          </w:p>
        </w:tc>
        <w:tc>
          <w:tcPr>
            <w:tcW w:w="2568" w:type="pct"/>
            <w:vAlign w:val="center"/>
          </w:tcPr>
          <w:p w14:paraId="0A9AD137">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电子邮箱：</w:t>
            </w:r>
          </w:p>
        </w:tc>
      </w:tr>
      <w:tr w14:paraId="2F15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2431" w:type="pct"/>
            <w:vAlign w:val="center"/>
          </w:tcPr>
          <w:p w14:paraId="1CB13C4C">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开户银行：</w:t>
            </w:r>
          </w:p>
        </w:tc>
        <w:tc>
          <w:tcPr>
            <w:tcW w:w="2568" w:type="pct"/>
            <w:vAlign w:val="center"/>
          </w:tcPr>
          <w:p w14:paraId="56630075">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开户银行：</w:t>
            </w:r>
          </w:p>
        </w:tc>
      </w:tr>
      <w:tr w14:paraId="1477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2431" w:type="pct"/>
            <w:vAlign w:val="center"/>
          </w:tcPr>
          <w:p w14:paraId="625C3C49">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账号：</w:t>
            </w:r>
          </w:p>
        </w:tc>
        <w:tc>
          <w:tcPr>
            <w:tcW w:w="2568" w:type="pct"/>
            <w:vAlign w:val="center"/>
          </w:tcPr>
          <w:p w14:paraId="0781AA85">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账号：</w:t>
            </w:r>
          </w:p>
        </w:tc>
      </w:tr>
      <w:tr w14:paraId="743F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5000" w:type="pct"/>
            <w:gridSpan w:val="2"/>
          </w:tcPr>
          <w:p w14:paraId="4136CBB2">
            <w:pPr>
              <w:snapToGrid w:val="0"/>
              <w:spacing w:line="360" w:lineRule="exac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经办人：</w:t>
            </w:r>
          </w:p>
          <w:p w14:paraId="6E3151F0">
            <w:pPr>
              <w:snapToGrid w:val="0"/>
              <w:spacing w:line="360" w:lineRule="exact"/>
              <w:ind w:firstLine="630" w:firstLineChars="300"/>
              <w:jc w:val="right"/>
              <w:rPr>
                <w:rFonts w:ascii="Calibri" w:hAnsi="Calibri"/>
                <w:color w:val="000000" w:themeColor="text1"/>
                <w14:textFill>
                  <w14:solidFill>
                    <w14:schemeClr w14:val="tx1"/>
                  </w14:solidFill>
                </w14:textFill>
              </w:rPr>
            </w:pPr>
          </w:p>
          <w:p w14:paraId="75216210">
            <w:pPr>
              <w:snapToGrid w:val="0"/>
              <w:spacing w:line="360" w:lineRule="exact"/>
              <w:ind w:firstLine="630" w:firstLineChars="300"/>
              <w:jc w:val="right"/>
              <w:rPr>
                <w:rFonts w:ascii="Calibri" w:hAnsi="Calibri"/>
                <w:color w:val="000000" w:themeColor="text1"/>
                <w14:textFill>
                  <w14:solidFill>
                    <w14:schemeClr w14:val="tx1"/>
                  </w14:solidFill>
                </w14:textFill>
              </w:rPr>
            </w:pPr>
          </w:p>
          <w:p w14:paraId="1CBC0603">
            <w:pPr>
              <w:snapToGrid w:val="0"/>
              <w:spacing w:line="360" w:lineRule="exact"/>
              <w:ind w:firstLine="630" w:firstLineChars="300"/>
              <w:jc w:val="right"/>
              <w:rPr>
                <w:rFonts w:ascii="Calibri" w:hAnsi="Calibri"/>
                <w:color w:val="000000" w:themeColor="text1"/>
                <w14:textFill>
                  <w14:solidFill>
                    <w14:schemeClr w14:val="tx1"/>
                  </w14:solidFill>
                </w14:textFill>
              </w:rPr>
            </w:pPr>
            <w:r>
              <w:rPr>
                <w:rFonts w:ascii="Calibri" w:hAnsi="Calibri"/>
                <w:color w:val="000000" w:themeColor="text1"/>
                <w14:textFill>
                  <w14:solidFill>
                    <w14:schemeClr w14:val="tx1"/>
                  </w14:solidFill>
                </w14:textFill>
              </w:rPr>
              <w:t>年    月    日</w:t>
            </w:r>
          </w:p>
        </w:tc>
      </w:tr>
    </w:tbl>
    <w:p w14:paraId="3E737B23">
      <w:pPr>
        <w:pStyle w:val="19"/>
        <w:pageBreakBefore/>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6F47D5F0">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31E74B6E">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11457C87">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31C6F80C">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3926B642">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1D2AC9E9">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0D90B183">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02F6951B">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48C2EE39">
      <w:pPr>
        <w:pStyle w:val="19"/>
        <w:spacing w:line="360" w:lineRule="exact"/>
        <w:jc w:val="center"/>
        <w:rPr>
          <w:rFonts w:hAnsi="宋体"/>
          <w:b/>
          <w:bCs/>
          <w:color w:val="000000" w:themeColor="text1"/>
          <w:kern w:val="0"/>
          <w14:textFill>
            <w14:solidFill>
              <w14:schemeClr w14:val="tx1"/>
            </w14:solidFill>
          </w14:textFill>
        </w:rPr>
      </w:pPr>
    </w:p>
    <w:p w14:paraId="7939CA23">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390C91DB">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32446330">
      <w:pPr>
        <w:pStyle w:val="19"/>
        <w:spacing w:line="360" w:lineRule="exact"/>
        <w:jc w:val="center"/>
        <w:rPr>
          <w:rFonts w:hAnsi="宋体"/>
          <w:b/>
          <w:bCs/>
          <w:color w:val="000000" w:themeColor="text1"/>
          <w:kern w:val="0"/>
          <w14:textFill>
            <w14:solidFill>
              <w14:schemeClr w14:val="tx1"/>
            </w14:solidFill>
          </w14:textFill>
        </w:rPr>
      </w:pPr>
      <w:r>
        <w:rPr>
          <w:rFonts w:hint="eastAsia" w:hAnsi="宋体"/>
          <w:b/>
          <w:bCs/>
          <w:color w:val="000000" w:themeColor="text1"/>
          <w:kern w:val="0"/>
          <w14:textFill>
            <w14:solidFill>
              <w14:schemeClr w14:val="tx1"/>
            </w14:solidFill>
          </w14:textFill>
        </w:rPr>
        <w:t xml:space="preserve"> </w:t>
      </w:r>
    </w:p>
    <w:p w14:paraId="049E001C">
      <w:pPr>
        <w:pStyle w:val="2"/>
        <w:jc w:val="center"/>
        <w:rPr>
          <w:rFonts w:ascii="宋体" w:hAnsi="宋体"/>
          <w:color w:val="000000" w:themeColor="text1"/>
          <w14:textFill>
            <w14:solidFill>
              <w14:schemeClr w14:val="tx1"/>
            </w14:solidFill>
          </w14:textFill>
        </w:rPr>
      </w:pPr>
      <w:bookmarkStart w:id="34" w:name="_Toc18481389"/>
      <w:bookmarkEnd w:id="34"/>
      <w:r>
        <w:rPr>
          <w:rFonts w:hint="eastAsia" w:ascii="宋体" w:hAnsi="宋体"/>
          <w:color w:val="000000" w:themeColor="text1"/>
          <w14:textFill>
            <w14:solidFill>
              <w14:schemeClr w14:val="tx1"/>
            </w14:solidFill>
          </w14:textFill>
        </w:rPr>
        <w:t>第六章   评审方法及评分标准</w:t>
      </w:r>
    </w:p>
    <w:p w14:paraId="3C76D337">
      <w:pPr>
        <w:pStyle w:val="29"/>
        <w:snapToGrid w:val="0"/>
        <w:spacing w:line="400" w:lineRule="exact"/>
        <w:ind w:firstLine="527"/>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14:paraId="3591C2CB">
      <w:pPr>
        <w:pStyle w:val="29"/>
        <w:snapToGrid w:val="0"/>
        <w:spacing w:line="400" w:lineRule="exact"/>
        <w:ind w:firstLine="527"/>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 xml:space="preserve"> </w:t>
      </w:r>
    </w:p>
    <w:p w14:paraId="33EAA91C">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4C6655F6">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0CFCA074">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52A42CB3">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7F53AF75">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487F12F0">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4E066FB5">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67F84985">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3B295A32">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3C75F2B3">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13ECA242">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781980A9">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0569C690">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45F33CD5">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1F718BE6">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6210CC32">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39768B9B">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13D6934D">
      <w:pPr>
        <w:pStyle w:val="19"/>
        <w:adjustRightInd w:val="0"/>
        <w:snapToGrid w:val="0"/>
        <w:spacing w:line="400" w:lineRule="exact"/>
        <w:ind w:firstLine="422" w:firstLineChars="200"/>
        <w:rPr>
          <w:rFonts w:hAnsi="宋体"/>
          <w:b/>
          <w:bCs/>
          <w:color w:val="000000" w:themeColor="text1"/>
          <w:szCs w:val="21"/>
          <w14:textFill>
            <w14:solidFill>
              <w14:schemeClr w14:val="tx1"/>
            </w14:solidFill>
          </w14:textFill>
        </w:rPr>
      </w:pPr>
    </w:p>
    <w:p w14:paraId="29DDAA38">
      <w:pPr>
        <w:pStyle w:val="19"/>
        <w:adjustRightInd w:val="0"/>
        <w:snapToGrid w:val="0"/>
        <w:spacing w:line="380" w:lineRule="exact"/>
        <w:ind w:firstLine="3313" w:firstLineChars="1100"/>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评审方法及评分标准</w:t>
      </w:r>
    </w:p>
    <w:p w14:paraId="37D7F77E">
      <w:pPr>
        <w:pStyle w:val="2"/>
        <w:spacing w:before="0" w:after="0"/>
        <w:jc w:val="center"/>
        <w:rPr>
          <w:b w:val="0"/>
          <w:bCs w:val="0"/>
          <w:color w:val="000000" w:themeColor="text1"/>
          <w:sz w:val="21"/>
          <w:szCs w:val="21"/>
          <w:u w:val="single"/>
          <w14:textFill>
            <w14:solidFill>
              <w14:schemeClr w14:val="tx1"/>
            </w14:solidFill>
          </w14:textFill>
        </w:rPr>
      </w:pPr>
      <w:r>
        <w:rPr>
          <w:rFonts w:hint="eastAsia"/>
          <w:color w:val="000000" w:themeColor="text1"/>
          <w:sz w:val="21"/>
          <w:szCs w:val="21"/>
          <w:u w:val="single"/>
          <w14:textFill>
            <w14:solidFill>
              <w14:schemeClr w14:val="tx1"/>
            </w14:solidFill>
          </w14:textFill>
        </w:rPr>
        <w:t>（适用于分标</w:t>
      </w:r>
      <w:r>
        <w:rPr>
          <w:color w:val="000000" w:themeColor="text1"/>
          <w:sz w:val="21"/>
          <w:szCs w:val="21"/>
          <w:u w:val="single"/>
          <w14:textFill>
            <w14:solidFill>
              <w14:schemeClr w14:val="tx1"/>
            </w14:solidFill>
          </w14:textFill>
        </w:rPr>
        <w:t>1</w:t>
      </w:r>
      <w:r>
        <w:rPr>
          <w:rFonts w:hint="eastAsia"/>
          <w:color w:val="000000" w:themeColor="text1"/>
          <w:sz w:val="21"/>
          <w:szCs w:val="21"/>
          <w:u w:val="single"/>
          <w14:textFill>
            <w14:solidFill>
              <w14:schemeClr w14:val="tx1"/>
            </w14:solidFill>
          </w14:textFill>
        </w:rPr>
        <w:t>）</w:t>
      </w:r>
    </w:p>
    <w:p w14:paraId="733E6BBF">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一、评标原则</w:t>
      </w:r>
    </w:p>
    <w:p w14:paraId="3CB86976">
      <w:pPr>
        <w:pStyle w:val="19"/>
        <w:adjustRightInd w:val="0"/>
        <w:snapToGrid w:val="0"/>
        <w:spacing w:line="38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szCs w:val="21"/>
          <w14:textFill>
            <w14:solidFill>
              <w14:schemeClr w14:val="tx1"/>
            </w14:solidFill>
          </w14:textFill>
        </w:rPr>
        <w:t>(一) 磋商小组</w:t>
      </w:r>
      <w:r>
        <w:rPr>
          <w:rFonts w:hint="eastAsia" w:hAnsi="宋体" w:cs="宋体"/>
          <w:color w:val="000000" w:themeColor="text1"/>
          <w:kern w:val="0"/>
          <w:szCs w:val="21"/>
          <w14:textFill>
            <w14:solidFill>
              <w14:schemeClr w14:val="tx1"/>
            </w14:solidFill>
          </w14:textFill>
        </w:rPr>
        <w:t>成员组成：本竞争性磋商采购项目的磋商小组由采购人代表和评审专家共三人以上的单数组成，其中评审专家的人数不得少于磋商小组成员总数的三分之二。</w:t>
      </w:r>
    </w:p>
    <w:p w14:paraId="09B29D13">
      <w:pPr>
        <w:pStyle w:val="19"/>
        <w:adjustRightInd w:val="0"/>
        <w:snapToGrid w:val="0"/>
        <w:spacing w:line="38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(二) 评审依据：磋商小组以竞争性磋商文件和竞争性磋商响应文件为依据，对磋商人的内容按百分制打分。</w:t>
      </w:r>
    </w:p>
    <w:p w14:paraId="2440A723">
      <w:pPr>
        <w:pStyle w:val="19"/>
        <w:adjustRightInd w:val="0"/>
        <w:snapToGrid w:val="0"/>
        <w:spacing w:line="380" w:lineRule="exact"/>
        <w:ind w:firstLine="359" w:firstLineChars="171"/>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（三）评审方式：</w:t>
      </w:r>
      <w:r>
        <w:rPr>
          <w:rFonts w:hint="eastAsia" w:hAnsi="宋体"/>
          <w:bCs/>
          <w:color w:val="000000" w:themeColor="text1"/>
          <w14:textFill>
            <w14:solidFill>
              <w14:schemeClr w14:val="tx1"/>
            </w14:solidFill>
          </w14:textFill>
        </w:rPr>
        <w:t>以封闭方式进行</w:t>
      </w:r>
      <w:r>
        <w:rPr>
          <w:rFonts w:hint="eastAsia" w:hAnsi="宋体" w:cs="宋体"/>
          <w:color w:val="000000" w:themeColor="text1"/>
          <w:kern w:val="0"/>
          <w:szCs w:val="21"/>
          <w14:textFill>
            <w14:solidFill>
              <w14:schemeClr w14:val="tx1"/>
            </w14:solidFill>
          </w14:textFill>
        </w:rPr>
        <w:t>。</w:t>
      </w:r>
    </w:p>
    <w:p w14:paraId="5F58BD42">
      <w:pPr>
        <w:pStyle w:val="19"/>
        <w:adjustRightInd w:val="0"/>
        <w:snapToGrid w:val="0"/>
        <w:spacing w:line="420" w:lineRule="exact"/>
        <w:ind w:firstLine="359" w:firstLineChars="171"/>
        <w:rPr>
          <w:color w:val="000000" w:themeColor="text1"/>
          <w14:textFill>
            <w14:solidFill>
              <w14:schemeClr w14:val="tx1"/>
            </w14:solidFill>
          </w14:textFill>
        </w:rPr>
      </w:pPr>
      <w:r>
        <w:rPr>
          <w:rFonts w:hint="eastAsia" w:hAnsi="宋体" w:cs="宋体"/>
          <w:color w:val="000000" w:themeColor="text1"/>
          <w:kern w:val="0"/>
          <w:szCs w:val="21"/>
          <w14:textFill>
            <w14:solidFill>
              <w14:schemeClr w14:val="tx1"/>
            </w14:solidFill>
          </w14:textFill>
        </w:rPr>
        <w:t>（四）无效响应处理原则：在评审过程中，包括在异常低价认定程序中被认定为无效的响应，其响应文件不再进入后续评审阶段，也不参与得分计算与汇总排名。</w:t>
      </w:r>
    </w:p>
    <w:p w14:paraId="6A617B1E">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二、评审方法</w:t>
      </w:r>
    </w:p>
    <w:p w14:paraId="38BD2E8D">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 xml:space="preserve">   （一）对进入详评的，采用百分制综合评分法。</w:t>
      </w:r>
    </w:p>
    <w:p w14:paraId="4CAFAC57">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 xml:space="preserve">   （二）计分办法（按四舍五入取至百分位）：</w:t>
      </w:r>
    </w:p>
    <w:p w14:paraId="0A736CA3">
      <w:pPr>
        <w:pStyle w:val="19"/>
        <w:spacing w:line="420" w:lineRule="exact"/>
        <w:ind w:firstLine="422" w:firstLineChars="200"/>
        <w:outlineLvl w:val="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1、价格分…………………………………………………………………20分</w:t>
      </w:r>
    </w:p>
    <w:p w14:paraId="091B5354">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14:paraId="79C029B5">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5C0D0927">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7B24F581">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（2）以满足采购文件要求的最低最后评标价为20分。</w:t>
      </w:r>
    </w:p>
    <w:p w14:paraId="53EB5BFC">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（3）某磋商供应商报价分 = 磋商供应商最低最后评标价（金额）/某磋商供应商最后评标价（金额）×20分。</w:t>
      </w:r>
    </w:p>
    <w:p w14:paraId="0734B1C9">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2、商务分…………………………………………………………………</w:t>
      </w:r>
      <w:r>
        <w:rPr>
          <w:rFonts w:hint="eastAsia" w:hAnsi="宋体"/>
          <w:b/>
          <w:color w:val="000000" w:themeColor="text1"/>
          <w:lang w:val="en"/>
          <w14:textFill>
            <w14:solidFill>
              <w14:schemeClr w14:val="tx1"/>
            </w14:solidFill>
          </w14:textFill>
        </w:rPr>
        <w:t>2</w:t>
      </w:r>
      <w:r>
        <w:rPr>
          <w:rFonts w:hAnsi="宋体"/>
          <w:b/>
          <w:color w:val="000000" w:themeColor="text1"/>
          <w:lang w:val="en"/>
          <w14:textFill>
            <w14:solidFill>
              <w14:schemeClr w14:val="tx1"/>
            </w14:solidFill>
          </w14:textFill>
        </w:rPr>
        <w:t>0</w:t>
      </w:r>
      <w:r>
        <w:rPr>
          <w:rFonts w:hint="eastAsia" w:hAnsi="宋体"/>
          <w:b/>
          <w:color w:val="000000" w:themeColor="text1"/>
          <w14:textFill>
            <w14:solidFill>
              <w14:schemeClr w14:val="tx1"/>
            </w14:solidFill>
          </w14:textFill>
        </w:rPr>
        <w:t>分</w:t>
      </w:r>
    </w:p>
    <w:p w14:paraId="0B951A54">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（1）供应商获得质量</w:t>
      </w:r>
      <w:bookmarkStart w:id="35" w:name="_GoBack"/>
      <w:bookmarkEnd w:id="35"/>
      <w:r>
        <w:rPr>
          <w:rFonts w:hint="eastAsia" w:hAnsi="宋体"/>
          <w:bCs/>
          <w:color w:val="000000" w:themeColor="text1"/>
          <w14:textFill>
            <w14:solidFill>
              <w14:schemeClr w14:val="tx1"/>
            </w14:solidFill>
          </w14:textFill>
        </w:rPr>
        <w:t>管理体系认证证书、信息技术服务管理体系认证证书、信息安全管理体系认证证书，每提供一个得</w:t>
      </w: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分，满分</w:t>
      </w:r>
      <w:r>
        <w:rPr>
          <w:rFonts w:hint="eastAsia" w:hAnsi="宋体"/>
          <w:bCs/>
          <w:color w:val="000000" w:themeColor="text1"/>
          <w:lang w:val="en-US" w:eastAsia="zh-CN"/>
          <w14:textFill>
            <w14:solidFill>
              <w14:schemeClr w14:val="tx1"/>
            </w14:solidFill>
          </w14:textFill>
        </w:rPr>
        <w:t>9</w:t>
      </w:r>
      <w:r>
        <w:rPr>
          <w:rFonts w:hint="eastAsia" w:hAnsi="宋体"/>
          <w:bCs/>
          <w:color w:val="000000" w:themeColor="text1"/>
          <w14:textFill>
            <w14:solidFill>
              <w14:schemeClr w14:val="tx1"/>
            </w14:solidFill>
          </w14:textFill>
        </w:rPr>
        <w:t>分；</w:t>
      </w:r>
    </w:p>
    <w:p w14:paraId="721FC5BB">
      <w:pPr>
        <w:pStyle w:val="19"/>
        <w:spacing w:line="420" w:lineRule="exact"/>
        <w:ind w:firstLine="539" w:firstLineChars="257"/>
        <w:rPr>
          <w:rFonts w:hAnsi="宋体"/>
          <w:bCs/>
          <w:color w:val="000000" w:themeColor="text1"/>
          <w14:textFill>
            <w14:solidFill>
              <w14:schemeClr w14:val="tx1"/>
            </w14:solidFill>
          </w14:textFill>
        </w:rPr>
      </w:pPr>
      <w:r>
        <w:rPr>
          <w:rFonts w:hAnsi="宋体"/>
          <w:bCs/>
          <w:color w:val="000000" w:themeColor="text1"/>
          <w:lang w:val="en"/>
          <w14:textFill>
            <w14:solidFill>
              <w14:schemeClr w14:val="tx1"/>
            </w14:solidFill>
          </w14:textFill>
        </w:rPr>
        <w:t xml:space="preserve"> </w:t>
      </w:r>
      <w:r>
        <w:rPr>
          <w:rFonts w:hint="eastAsia" w:hAnsi="宋体"/>
          <w:bCs/>
          <w:color w:val="000000" w:themeColor="text1"/>
          <w14:textFill>
            <w14:solidFill>
              <w14:schemeClr w14:val="tx1"/>
            </w14:solidFill>
          </w14:textFill>
        </w:rPr>
        <w:t>注：提供相关证书复印件（或扫描件）并加盖供应商公章（或电子签章），否则不计分。</w:t>
      </w:r>
    </w:p>
    <w:p w14:paraId="47F18022">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（2）供应商202</w:t>
      </w: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年至今，承接过互联网专线业绩的，每提供一个得1分，满分</w:t>
      </w:r>
      <w:r>
        <w:rPr>
          <w:rFonts w:hint="eastAsia" w:hAnsi="宋体"/>
          <w:bCs/>
          <w:color w:val="000000" w:themeColor="text1"/>
          <w:lang w:val="en-US" w:eastAsia="zh-CN"/>
          <w14:textFill>
            <w14:solidFill>
              <w14:schemeClr w14:val="tx1"/>
            </w14:solidFill>
          </w14:textFill>
        </w:rPr>
        <w:t>6</w:t>
      </w:r>
      <w:r>
        <w:rPr>
          <w:rFonts w:hint="eastAsia" w:hAnsi="宋体"/>
          <w:bCs/>
          <w:color w:val="000000" w:themeColor="text1"/>
          <w14:textFill>
            <w14:solidFill>
              <w14:schemeClr w14:val="tx1"/>
            </w14:solidFill>
          </w14:textFill>
        </w:rPr>
        <w:t>分；</w:t>
      </w:r>
    </w:p>
    <w:p w14:paraId="62C511EB">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xml:space="preserve"> 注：提供</w:t>
      </w:r>
      <w:r>
        <w:rPr>
          <w:rFonts w:hint="eastAsia" w:hAnsi="宋体"/>
          <w:bCs/>
          <w:color w:val="000000" w:themeColor="text1"/>
          <w:lang w:val="en"/>
          <w14:textFill>
            <w14:solidFill>
              <w14:schemeClr w14:val="tx1"/>
            </w14:solidFill>
          </w14:textFill>
        </w:rPr>
        <w:t>中标</w:t>
      </w:r>
      <w:r>
        <w:rPr>
          <w:rFonts w:hint="eastAsia" w:hAnsi="宋体"/>
          <w:bCs/>
          <w:color w:val="000000" w:themeColor="text1"/>
          <w14:textFill>
            <w14:solidFill>
              <w14:schemeClr w14:val="tx1"/>
            </w14:solidFill>
          </w14:textFill>
        </w:rPr>
        <w:t>（成交）通知书复印件（或扫描件）或合同复印件（或扫描件），且清晰反映出合同金额、签订合同年份等，并加盖供应商公章（或电子签章），否则不计分。</w:t>
      </w:r>
    </w:p>
    <w:p w14:paraId="4C83CB3F">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（3）供应商投入本项目实施人员具有相关专业（包含电子与通信、计算机科学、网络、通信工程、网络维护等信息化相关领域）中级或以上职称证书的，每人得1分，满分5分。</w:t>
      </w:r>
    </w:p>
    <w:p w14:paraId="771900E2">
      <w:pPr>
        <w:pStyle w:val="19"/>
        <w:spacing w:line="420" w:lineRule="exact"/>
        <w:ind w:firstLine="539" w:firstLineChars="257"/>
        <w:rPr>
          <w:rFonts w:hAnsi="宋体"/>
          <w:bCs/>
          <w:color w:val="000000" w:themeColor="text1"/>
          <w14:textFill>
            <w14:solidFill>
              <w14:schemeClr w14:val="tx1"/>
            </w14:solidFill>
          </w14:textFill>
        </w:rPr>
      </w:pPr>
      <w:r>
        <w:rPr>
          <w:rFonts w:hAnsi="宋体"/>
          <w:bCs/>
          <w:color w:val="000000" w:themeColor="text1"/>
          <w:lang w:val="en"/>
          <w14:textFill>
            <w14:solidFill>
              <w14:schemeClr w14:val="tx1"/>
            </w14:solidFill>
          </w14:textFill>
        </w:rPr>
        <w:t xml:space="preserve"> </w:t>
      </w:r>
      <w:r>
        <w:rPr>
          <w:rFonts w:hint="eastAsia" w:hAnsi="宋体"/>
          <w:bCs/>
          <w:color w:val="000000" w:themeColor="text1"/>
          <w14:textFill>
            <w14:solidFill>
              <w14:schemeClr w14:val="tx1"/>
            </w14:solidFill>
          </w14:textFill>
        </w:rPr>
        <w:t>注：需提供人员有效证书扫描件，并加盖供应商公章（或电子签章），不提供或提供材料不齐全的不得分。</w:t>
      </w:r>
    </w:p>
    <w:p w14:paraId="1543C581">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3、技术分…………………………………………………………………</w:t>
      </w:r>
      <w:r>
        <w:rPr>
          <w:rFonts w:hAnsi="宋体"/>
          <w:b/>
          <w:color w:val="000000" w:themeColor="text1"/>
          <w14:textFill>
            <w14:solidFill>
              <w14:schemeClr w14:val="tx1"/>
            </w14:solidFill>
          </w14:textFill>
        </w:rPr>
        <w:t>60</w:t>
      </w:r>
      <w:r>
        <w:rPr>
          <w:rFonts w:hint="eastAsia" w:hAnsi="宋体"/>
          <w:b/>
          <w:color w:val="000000" w:themeColor="text1"/>
          <w14:textFill>
            <w14:solidFill>
              <w14:schemeClr w14:val="tx1"/>
            </w14:solidFill>
          </w14:textFill>
        </w:rPr>
        <w:t>分</w:t>
      </w:r>
    </w:p>
    <w:p w14:paraId="63FCB2D0">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（1）技术方案分（满分</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w:t>
      </w:r>
    </w:p>
    <w:p w14:paraId="7064C44E">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由评委根据磋商供应商的实施方案优劣独立打分，未达到最低进档要求的不得分，每档全部满足才得满分，不满足或部分满足，则按照上一档评分。</w:t>
      </w:r>
    </w:p>
    <w:p w14:paraId="64CBD002">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w:t>
      </w:r>
      <w:r>
        <w:rPr>
          <w:rFonts w:hint="eastAsia" w:hAnsi="宋体"/>
          <w:bCs/>
          <w:color w:val="000000" w:themeColor="text1"/>
          <w:lang w:val="en-US" w:eastAsia="zh-CN"/>
          <w14:textFill>
            <w14:solidFill>
              <w14:schemeClr w14:val="tx1"/>
            </w14:solidFill>
          </w14:textFill>
        </w:rPr>
        <w:t>11</w:t>
      </w:r>
      <w:r>
        <w:rPr>
          <w:rFonts w:hint="eastAsia" w:hAnsi="宋体"/>
          <w:bCs/>
          <w:color w:val="000000" w:themeColor="text1"/>
          <w14:textFill>
            <w14:solidFill>
              <w14:schemeClr w14:val="tx1"/>
            </w14:solidFill>
          </w14:textFill>
        </w:rPr>
        <w:t>分）：技术方案和参数基本满足采购文件要求，可应对采购人动态调整线路带宽需求；</w:t>
      </w:r>
    </w:p>
    <w:p w14:paraId="36C08DA2">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二档（14分）：在满足一档的基础上，网管系统能及时监测网络参数变化并通知采购人。</w:t>
      </w:r>
    </w:p>
    <w:p w14:paraId="7FC669C0">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三档（17分）：在满足二档的基础上，技术方案完整、合理，能说明组网结构及所用传输设备。</w:t>
      </w:r>
    </w:p>
    <w:p w14:paraId="550B14A1">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四档（20分）：在满足三档的基础上，技术方案有针对性，能充分说明组网结构及所用传输设备，明确线路路由和中断解决方案。在方案中，为保障网络安全，供应商具备自动化渗透测试工具等先进技术工具，并能实现：应用于实践环节，贯穿整个渗透过程的操作，可应用于包括信息收集、插件管理、指纹管理、漏洞发现、漏洞利用、后渗透攻击等模块。</w:t>
      </w:r>
    </w:p>
    <w:p w14:paraId="0D7E2DF4">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int="eastAsia" w:hAnsi="宋体"/>
          <w:bCs/>
          <w:color w:val="000000" w:themeColor="text1"/>
          <w:lang w:val="en-US" w:eastAsia="zh-CN"/>
          <w14:textFill>
            <w14:solidFill>
              <w14:schemeClr w14:val="tx1"/>
            </w14:solidFill>
          </w14:textFill>
        </w:rPr>
        <w:t>2</w:t>
      </w:r>
      <w:r>
        <w:rPr>
          <w:rFonts w:hint="eastAsia" w:hAnsi="宋体"/>
          <w:bCs/>
          <w:color w:val="000000" w:themeColor="text1"/>
          <w14:textFill>
            <w14:solidFill>
              <w14:schemeClr w14:val="tx1"/>
            </w14:solidFill>
          </w14:textFill>
        </w:rPr>
        <w:t>）项目实施方案分（满分</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w:t>
      </w:r>
    </w:p>
    <w:p w14:paraId="3CB5A79B">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由评委根据磋商供应商的实施方案优劣独立打分，未达到最低进档要求的不得分，每档全部满足才得满分，不满足或部分满足，则按照上一档评分。</w:t>
      </w:r>
    </w:p>
    <w:p w14:paraId="1FEBC778">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w:t>
      </w:r>
      <w:r>
        <w:rPr>
          <w:rFonts w:hint="eastAsia" w:hAnsi="宋体"/>
          <w:bCs/>
          <w:color w:val="000000" w:themeColor="text1"/>
          <w:lang w:val="en"/>
          <w14:textFill>
            <w14:solidFill>
              <w14:schemeClr w14:val="tx1"/>
            </w14:solidFill>
          </w14:textFill>
        </w:rPr>
        <w:t>1</w:t>
      </w:r>
      <w:r>
        <w:rPr>
          <w:rFonts w:hint="eastAsia" w:hAnsi="宋体"/>
          <w:bCs/>
          <w:color w:val="000000" w:themeColor="text1"/>
          <w:lang w:val="en-US" w:eastAsia="zh-CN"/>
          <w14:textFill>
            <w14:solidFill>
              <w14:schemeClr w14:val="tx1"/>
            </w14:solidFill>
          </w14:textFill>
        </w:rPr>
        <w:t>4</w:t>
      </w:r>
      <w:r>
        <w:rPr>
          <w:rFonts w:hint="eastAsia" w:hAnsi="宋体"/>
          <w:bCs/>
          <w:color w:val="000000" w:themeColor="text1"/>
          <w14:textFill>
            <w14:solidFill>
              <w14:schemeClr w14:val="tx1"/>
            </w14:solidFill>
          </w14:textFill>
        </w:rPr>
        <w:t>分）：实施方案中有项目实施组织机构，项目实施方法和人员投入计划与进度计划；</w:t>
      </w:r>
    </w:p>
    <w:p w14:paraId="334FF81F">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w:t>
      </w:r>
      <w:r>
        <w:rPr>
          <w:rFonts w:hint="eastAsia" w:hAnsi="宋体"/>
          <w:bCs/>
          <w:color w:val="000000" w:themeColor="text1"/>
          <w:lang w:val="en-US" w:eastAsia="zh-CN"/>
          <w14:textFill>
            <w14:solidFill>
              <w14:schemeClr w14:val="tx1"/>
            </w14:solidFill>
          </w14:textFill>
        </w:rPr>
        <w:t>7</w:t>
      </w:r>
      <w:r>
        <w:rPr>
          <w:rFonts w:hint="eastAsia" w:hAnsi="宋体"/>
          <w:bCs/>
          <w:color w:val="000000" w:themeColor="text1"/>
          <w14:textFill>
            <w14:solidFill>
              <w14:schemeClr w14:val="tx1"/>
            </w14:solidFill>
          </w14:textFill>
        </w:rPr>
        <w:t>分）：在满足一档的基础上，实施方案描述详细、完整，有项目实施方法及实施步骤，项目实施组织机构健全，有项目实施管理措施等；供应商拟投入本项目的实施人员有3人（含3人）以上；</w:t>
      </w:r>
    </w:p>
    <w:p w14:paraId="1DEE9993">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分）：在满足二档的基础上，实施方案提供合理的工期保证措施、赶工计划、质量控制措施、项目风险管理措施、安全管理方案、验收管理方案；供应商拟投入本项目的实施人员有5人（含5人）以上。</w:t>
      </w:r>
    </w:p>
    <w:p w14:paraId="65866DD9">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）售后服务方案分（满分</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w:t>
      </w:r>
    </w:p>
    <w:p w14:paraId="713108AD">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由评委根据磋商供应商的实施方案优劣独立打分，未达到最低进档要求的不得分，每档全部满足才得满分，不满足或部分满足，则按照上一档评分。</w:t>
      </w:r>
    </w:p>
    <w:p w14:paraId="0126D5CE">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一档（1</w:t>
      </w:r>
      <w:r>
        <w:rPr>
          <w:rFonts w:hint="eastAsia" w:hAnsi="宋体"/>
          <w:bCs/>
          <w:color w:val="000000" w:themeColor="text1"/>
          <w:lang w:val="en-US" w:eastAsia="zh-CN"/>
          <w14:textFill>
            <w14:solidFill>
              <w14:schemeClr w14:val="tx1"/>
            </w14:solidFill>
          </w14:textFill>
        </w:rPr>
        <w:t>4</w:t>
      </w:r>
      <w:r>
        <w:rPr>
          <w:rFonts w:hint="eastAsia" w:hAnsi="宋体"/>
          <w:bCs/>
          <w:color w:val="000000" w:themeColor="text1"/>
          <w14:textFill>
            <w14:solidFill>
              <w14:schemeClr w14:val="tx1"/>
            </w14:solidFill>
          </w14:textFill>
        </w:rPr>
        <w:t>分）：售后服务方案满足采购需求，服务响应体系、组织架构、服务流程不清晰，培训方案针对性差、培训方式不明确，故障响应及达到故障现场时间基本满足采购要求的。</w:t>
      </w:r>
    </w:p>
    <w:p w14:paraId="49E4E42D">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w:t>
      </w:r>
      <w:r>
        <w:rPr>
          <w:rFonts w:hint="eastAsia" w:hAnsi="宋体"/>
          <w:bCs/>
          <w:color w:val="000000" w:themeColor="text1"/>
          <w:lang w:val="en-US" w:eastAsia="zh-CN"/>
          <w14:textFill>
            <w14:solidFill>
              <w14:schemeClr w14:val="tx1"/>
            </w14:solidFill>
          </w14:textFill>
        </w:rPr>
        <w:t>17</w:t>
      </w:r>
      <w:r>
        <w:rPr>
          <w:rFonts w:hint="eastAsia" w:hAnsi="宋体"/>
          <w:bCs/>
          <w:color w:val="000000" w:themeColor="text1"/>
          <w14:textFill>
            <w14:solidFill>
              <w14:schemeClr w14:val="tx1"/>
            </w14:solidFill>
          </w14:textFill>
        </w:rPr>
        <w:t>分）：售后服务方案中提供故障处理流程、维护保障流程，有售后服务流程及响应时间，有7x24小时服务电话，具备专业化日常维护及应急抢修队伍，售后服务人员配置充足。</w:t>
      </w:r>
    </w:p>
    <w:p w14:paraId="6D126FDB">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售后服务方案中提供故障处理流程、维护保障流程，有售后服务流程及响应时间，有7x24小时服务电话，具备专业化日常维护及应急抢修队伍，有应急维护方案和应急组织架构，故障时有替代产品且有备件库，能免费提供技术支持服务和定期回访，售后服务人员配置充足。</w:t>
      </w:r>
    </w:p>
    <w:p w14:paraId="775A243C">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（三）总得分 = 1 + 2 + 3。</w:t>
      </w:r>
      <w:r>
        <w:rPr>
          <w:rFonts w:hint="eastAsia" w:hAnsi="宋体"/>
          <w:bCs/>
          <w:color w:val="000000" w:themeColor="text1"/>
          <w14:textFill>
            <w14:solidFill>
              <w14:schemeClr w14:val="tx1"/>
            </w14:solidFill>
          </w14:textFill>
        </w:rPr>
        <w:t xml:space="preserve">  </w:t>
      </w:r>
    </w:p>
    <w:p w14:paraId="582CFF6A">
      <w:pPr>
        <w:pStyle w:val="19"/>
        <w:spacing w:line="420" w:lineRule="exact"/>
        <w:ind w:firstLine="542" w:firstLineChars="257"/>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三、成交候选人推荐原则</w:t>
      </w:r>
    </w:p>
    <w:p w14:paraId="514F7BD2">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w:t>
      </w:r>
    </w:p>
    <w:p w14:paraId="57774D34">
      <w:pPr>
        <w:pStyle w:val="19"/>
        <w:spacing w:line="420" w:lineRule="exact"/>
        <w:ind w:firstLine="539" w:firstLineChars="257"/>
        <w:rPr>
          <w:rFonts w:hAnsi="宋体"/>
          <w:bCs/>
          <w:strike/>
          <w:color w:val="000000" w:themeColor="text1"/>
          <w:highlight w:val="yellow"/>
          <w14:textFill>
            <w14:solidFill>
              <w14:schemeClr w14:val="tx1"/>
            </w14:solidFill>
          </w14:textFill>
        </w:rPr>
      </w:pPr>
      <w:r>
        <w:rPr>
          <w:rFonts w:hint="eastAsia" w:hAnsi="宋体"/>
          <w:bCs/>
          <w:color w:val="000000" w:themeColor="text1"/>
          <w14:textFill>
            <w14:solidFill>
              <w14:schemeClr w14:val="tx1"/>
            </w14:solidFill>
          </w14:textFill>
        </w:rPr>
        <w:t>排名第一的成交候选人放弃成交、因不可抗力提出不能履行合同，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14:paraId="16D9AD78">
      <w:pPr>
        <w:pStyle w:val="33"/>
        <w:ind w:firstLine="422"/>
        <w:rPr>
          <w:rFonts w:hAnsi="宋体" w:eastAsia="PMingLiU"/>
          <w:bCs/>
          <w:color w:val="000000" w:themeColor="text1"/>
          <w:lang w:eastAsia="zh-TW"/>
          <w14:textFill>
            <w14:solidFill>
              <w14:schemeClr w14:val="tx1"/>
            </w14:solidFill>
          </w14:textFill>
        </w:rPr>
      </w:pPr>
      <w:r>
        <w:rPr>
          <w:rFonts w:hint="eastAsia" w:hAnsi="宋体"/>
          <w:bCs/>
          <w:color w:val="000000" w:themeColor="text1"/>
          <w14:textFill>
            <w14:solidFill>
              <w14:schemeClr w14:val="tx1"/>
            </w14:solidFill>
          </w14:textFill>
        </w:rPr>
        <w:t>（</w:t>
      </w:r>
      <w:r>
        <w:rPr>
          <w:rFonts w:hint="eastAsia" w:hAnsi="宋体"/>
          <w:bCs/>
          <w:color w:val="000000" w:themeColor="text1"/>
          <w:lang w:eastAsia="zh-CN"/>
          <w14:textFill>
            <w14:solidFill>
              <w14:schemeClr w14:val="tx1"/>
            </w14:solidFill>
          </w14:textFill>
        </w:rPr>
        <w:t>二</w:t>
      </w:r>
      <w:r>
        <w:rPr>
          <w:rFonts w:hint="eastAsia" w:hAnsi="宋体"/>
          <w:bCs/>
          <w:color w:val="000000" w:themeColor="text1"/>
          <w14:textFill>
            <w14:solidFill>
              <w14:schemeClr w14:val="tx1"/>
            </w14:solidFill>
          </w14:textFill>
        </w:rPr>
        <w:t>）成交</w:t>
      </w:r>
      <w:r>
        <w:rPr>
          <w:rFonts w:hint="eastAsia" w:hAnsi="宋体"/>
          <w:bCs/>
          <w:color w:val="000000" w:themeColor="text1"/>
          <w:lang w:eastAsia="zh-TW"/>
          <w14:textFill>
            <w14:solidFill>
              <w14:schemeClr w14:val="tx1"/>
            </w14:solidFill>
          </w14:textFill>
        </w:rPr>
        <w:t>推荐原则</w:t>
      </w:r>
      <w:r>
        <w:rPr>
          <w:rFonts w:hint="eastAsia" w:hAnsi="宋体"/>
          <w:bCs/>
          <w:color w:val="000000" w:themeColor="text1"/>
          <w14:textFill>
            <w14:solidFill>
              <w14:schemeClr w14:val="tx1"/>
            </w14:solidFill>
          </w14:textFill>
        </w:rPr>
        <w:t>：磋商供应商可</w:t>
      </w:r>
      <w:r>
        <w:rPr>
          <w:rFonts w:hint="eastAsia" w:hAnsi="宋体"/>
          <w:bCs/>
          <w:color w:val="000000" w:themeColor="text1"/>
          <w:lang w:eastAsia="zh-TW"/>
          <w14:textFill>
            <w14:solidFill>
              <w14:schemeClr w14:val="tx1"/>
            </w14:solidFill>
          </w14:textFill>
        </w:rPr>
        <w:t>对</w:t>
      </w:r>
      <w:r>
        <w:rPr>
          <w:rFonts w:hint="eastAsia" w:hAnsi="宋体"/>
          <w:bCs/>
          <w:color w:val="000000" w:themeColor="text1"/>
          <w14:textFill>
            <w14:solidFill>
              <w14:schemeClr w14:val="tx1"/>
            </w14:solidFill>
          </w14:textFill>
        </w:rPr>
        <w:t>所有分标</w:t>
      </w:r>
      <w:r>
        <w:rPr>
          <w:rFonts w:hint="eastAsia" w:hAnsi="宋体"/>
          <w:bCs/>
          <w:color w:val="000000" w:themeColor="text1"/>
          <w:lang w:eastAsia="zh-TW"/>
          <w14:textFill>
            <w14:solidFill>
              <w14:schemeClr w14:val="tx1"/>
            </w14:solidFill>
          </w14:textFill>
        </w:rPr>
        <w:t>进行</w:t>
      </w:r>
      <w:r>
        <w:rPr>
          <w:rFonts w:hint="eastAsia" w:hAnsi="宋体"/>
          <w:bCs/>
          <w:color w:val="000000" w:themeColor="text1"/>
          <w14:textFill>
            <w14:solidFill>
              <w14:schemeClr w14:val="tx1"/>
            </w14:solidFill>
          </w14:textFill>
        </w:rPr>
        <w:t>响应</w:t>
      </w:r>
      <w:r>
        <w:rPr>
          <w:rFonts w:hint="eastAsia" w:hAnsi="宋体"/>
          <w:bCs/>
          <w:color w:val="000000" w:themeColor="text1"/>
          <w:lang w:eastAsia="zh-TW"/>
          <w14:textFill>
            <w14:solidFill>
              <w14:schemeClr w14:val="tx1"/>
            </w14:solidFill>
          </w14:textFill>
        </w:rPr>
        <w:t>并报价，</w:t>
      </w:r>
      <w:r>
        <w:rPr>
          <w:rFonts w:hint="eastAsia" w:hAnsi="宋体"/>
          <w:bCs/>
          <w:color w:val="000000" w:themeColor="text1"/>
          <w14:textFill>
            <w14:solidFill>
              <w14:schemeClr w14:val="tx1"/>
            </w14:solidFill>
          </w14:textFill>
        </w:rPr>
        <w:t>一个供应商只能成交其中一个分标，评定顺序为：分标1→分标2→分标3</w:t>
      </w:r>
      <w:r>
        <w:rPr>
          <w:rFonts w:hint="eastAsia" w:hAnsi="宋体"/>
          <w:bCs/>
          <w:color w:val="000000" w:themeColor="text1"/>
          <w:lang w:eastAsia="zh-TW"/>
          <w14:textFill>
            <w14:solidFill>
              <w14:schemeClr w14:val="tx1"/>
            </w14:solidFill>
          </w14:textFill>
        </w:rPr>
        <w:t>。</w:t>
      </w:r>
    </w:p>
    <w:p w14:paraId="37E08573">
      <w:pPr>
        <w:pStyle w:val="33"/>
        <w:ind w:firstLine="422"/>
        <w:rPr>
          <w:rFonts w:hAnsi="宋体" w:cs="宋体"/>
          <w:bCs/>
          <w:color w:val="000000" w:themeColor="text1"/>
          <w:kern w:val="0"/>
          <w:szCs w:val="24"/>
          <w14:textFill>
            <w14:solidFill>
              <w14:schemeClr w14:val="tx1"/>
            </w14:solidFill>
          </w14:textFill>
        </w:rPr>
      </w:pPr>
    </w:p>
    <w:p w14:paraId="3B6C50BD">
      <w:pPr>
        <w:pStyle w:val="33"/>
        <w:ind w:firstLine="422"/>
        <w:rPr>
          <w:color w:val="000000" w:themeColor="text1"/>
          <w14:textFill>
            <w14:solidFill>
              <w14:schemeClr w14:val="tx1"/>
            </w14:solidFill>
          </w14:textFill>
        </w:rPr>
      </w:pPr>
      <w:r>
        <w:rPr>
          <w:color w:val="000000" w:themeColor="text1"/>
          <w14:textFill>
            <w14:solidFill>
              <w14:schemeClr w14:val="tx1"/>
            </w14:solidFill>
          </w14:textFill>
        </w:rPr>
        <w:br w:type="page"/>
      </w:r>
    </w:p>
    <w:p w14:paraId="456232D5">
      <w:pPr>
        <w:pStyle w:val="19"/>
        <w:adjustRightInd w:val="0"/>
        <w:snapToGrid w:val="0"/>
        <w:spacing w:line="380" w:lineRule="exact"/>
        <w:ind w:firstLine="3313" w:firstLineChars="1100"/>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评审方法及评分标准</w:t>
      </w:r>
    </w:p>
    <w:p w14:paraId="6344FCDA">
      <w:pPr>
        <w:pStyle w:val="2"/>
        <w:spacing w:before="0" w:after="0"/>
        <w:jc w:val="center"/>
        <w:rPr>
          <w:color w:val="000000" w:themeColor="text1"/>
          <w:sz w:val="21"/>
          <w:szCs w:val="21"/>
          <w:u w:val="single"/>
          <w14:textFill>
            <w14:solidFill>
              <w14:schemeClr w14:val="tx1"/>
            </w14:solidFill>
          </w14:textFill>
        </w:rPr>
      </w:pPr>
      <w:r>
        <w:rPr>
          <w:rFonts w:hint="eastAsia"/>
          <w:color w:val="000000" w:themeColor="text1"/>
          <w:sz w:val="21"/>
          <w:szCs w:val="21"/>
          <w:u w:val="single"/>
          <w14:textFill>
            <w14:solidFill>
              <w14:schemeClr w14:val="tx1"/>
            </w14:solidFill>
          </w14:textFill>
        </w:rPr>
        <w:t>(适用于分标</w:t>
      </w:r>
      <w:r>
        <w:rPr>
          <w:color w:val="000000" w:themeColor="text1"/>
          <w:sz w:val="21"/>
          <w:szCs w:val="21"/>
          <w:u w:val="single"/>
          <w14:textFill>
            <w14:solidFill>
              <w14:schemeClr w14:val="tx1"/>
            </w14:solidFill>
          </w14:textFill>
        </w:rPr>
        <w:t>2</w:t>
      </w:r>
      <w:r>
        <w:rPr>
          <w:rFonts w:hint="eastAsia" w:ascii="宋体" w:hAnsi="宋体"/>
          <w:color w:val="000000" w:themeColor="text1"/>
          <w:sz w:val="21"/>
          <w:szCs w:val="21"/>
          <w:u w:val="single"/>
          <w14:textFill>
            <w14:solidFill>
              <w14:schemeClr w14:val="tx1"/>
            </w14:solidFill>
          </w14:textFill>
        </w:rPr>
        <w:t>)</w:t>
      </w:r>
    </w:p>
    <w:p w14:paraId="68A5317A">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一、评标原则</w:t>
      </w:r>
    </w:p>
    <w:p w14:paraId="2467FFF2">
      <w:pPr>
        <w:pStyle w:val="19"/>
        <w:adjustRightInd w:val="0"/>
        <w:snapToGrid w:val="0"/>
        <w:spacing w:line="38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szCs w:val="21"/>
          <w14:textFill>
            <w14:solidFill>
              <w14:schemeClr w14:val="tx1"/>
            </w14:solidFill>
          </w14:textFill>
        </w:rPr>
        <w:t>(一) 磋商小组</w:t>
      </w:r>
      <w:r>
        <w:rPr>
          <w:rFonts w:hint="eastAsia" w:hAnsi="宋体" w:cs="宋体"/>
          <w:color w:val="000000" w:themeColor="text1"/>
          <w:kern w:val="0"/>
          <w:szCs w:val="21"/>
          <w14:textFill>
            <w14:solidFill>
              <w14:schemeClr w14:val="tx1"/>
            </w14:solidFill>
          </w14:textFill>
        </w:rPr>
        <w:t>成员组成：本竞争性磋商采购项目的磋商小组由采购人代表和评审专家共三人以上的单数组成，其中评审专家的人数不得少于磋商小组成员总数的三分之二。</w:t>
      </w:r>
    </w:p>
    <w:p w14:paraId="44D2AC99">
      <w:pPr>
        <w:pStyle w:val="19"/>
        <w:adjustRightInd w:val="0"/>
        <w:snapToGrid w:val="0"/>
        <w:spacing w:line="38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(二) 评审依据：磋商小组以竞争性磋商文件和竞争性磋商响应文件为依据，对磋商人的内容按百分制打分。</w:t>
      </w:r>
    </w:p>
    <w:p w14:paraId="61344092">
      <w:pPr>
        <w:pStyle w:val="19"/>
        <w:adjustRightInd w:val="0"/>
        <w:snapToGrid w:val="0"/>
        <w:spacing w:line="380" w:lineRule="exact"/>
        <w:ind w:firstLine="359" w:firstLineChars="171"/>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（三）评审方式：</w:t>
      </w:r>
      <w:r>
        <w:rPr>
          <w:rFonts w:hint="eastAsia" w:hAnsi="宋体"/>
          <w:bCs/>
          <w:color w:val="000000" w:themeColor="text1"/>
          <w14:textFill>
            <w14:solidFill>
              <w14:schemeClr w14:val="tx1"/>
            </w14:solidFill>
          </w14:textFill>
        </w:rPr>
        <w:t>以封闭方式进行</w:t>
      </w:r>
      <w:r>
        <w:rPr>
          <w:rFonts w:hint="eastAsia" w:hAnsi="宋体" w:cs="宋体"/>
          <w:color w:val="000000" w:themeColor="text1"/>
          <w:kern w:val="0"/>
          <w:szCs w:val="21"/>
          <w14:textFill>
            <w14:solidFill>
              <w14:schemeClr w14:val="tx1"/>
            </w14:solidFill>
          </w14:textFill>
        </w:rPr>
        <w:t>。</w:t>
      </w:r>
    </w:p>
    <w:p w14:paraId="2C9E1CD2">
      <w:pPr>
        <w:pStyle w:val="19"/>
        <w:adjustRightInd w:val="0"/>
        <w:snapToGrid w:val="0"/>
        <w:spacing w:line="420" w:lineRule="exact"/>
        <w:ind w:firstLine="359" w:firstLineChars="171"/>
        <w:rPr>
          <w:color w:val="000000" w:themeColor="text1"/>
          <w14:textFill>
            <w14:solidFill>
              <w14:schemeClr w14:val="tx1"/>
            </w14:solidFill>
          </w14:textFill>
        </w:rPr>
      </w:pPr>
      <w:r>
        <w:rPr>
          <w:rFonts w:hint="eastAsia" w:hAnsi="宋体" w:cs="宋体"/>
          <w:color w:val="000000" w:themeColor="text1"/>
          <w:kern w:val="0"/>
          <w:szCs w:val="21"/>
          <w14:textFill>
            <w14:solidFill>
              <w14:schemeClr w14:val="tx1"/>
            </w14:solidFill>
          </w14:textFill>
        </w:rPr>
        <w:t>（四）无效响应处理原则：在评审过程中，包括在异常低价认定程序中被认定为无效的响应，其响应文件不再进入后续评审阶段，也不参与得分计算与汇总排名。</w:t>
      </w:r>
    </w:p>
    <w:p w14:paraId="48C480D3">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二、评审方法</w:t>
      </w:r>
    </w:p>
    <w:p w14:paraId="358F0501">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 xml:space="preserve">   （一）对进入详评的，采用百分制综合评分法。</w:t>
      </w:r>
    </w:p>
    <w:p w14:paraId="4ABFD5D9">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 xml:space="preserve">   （二）计分办法（按四舍五入取至百分位）：</w:t>
      </w:r>
    </w:p>
    <w:p w14:paraId="3C7BC18B">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1、价格分…………………………………………………………………20分</w:t>
      </w:r>
    </w:p>
    <w:p w14:paraId="72BCD7EC">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14:paraId="0F8E2F2F">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5CB4C616">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1E2013AF">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（2）以满足采购文件要求的最低最后评标价为20分。</w:t>
      </w:r>
    </w:p>
    <w:p w14:paraId="4F9FE44F">
      <w:pPr>
        <w:pStyle w:val="19"/>
        <w:spacing w:line="420" w:lineRule="exact"/>
        <w:ind w:firstLine="539" w:firstLineChars="257"/>
        <w:rPr>
          <w:rFonts w:hint="eastAsia" w:hAnsi="宋体" w:eastAsia="宋体"/>
          <w:bCs/>
          <w:color w:val="000000" w:themeColor="text1"/>
          <w:lang w:eastAsia="zh-CN"/>
          <w14:textFill>
            <w14:solidFill>
              <w14:schemeClr w14:val="tx1"/>
            </w14:solidFill>
          </w14:textFill>
        </w:rPr>
      </w:pPr>
      <w:r>
        <w:rPr>
          <w:rFonts w:hint="eastAsia" w:hAnsi="宋体"/>
          <w:bCs/>
          <w:color w:val="000000" w:themeColor="text1"/>
          <w14:textFill>
            <w14:solidFill>
              <w14:schemeClr w14:val="tx1"/>
            </w14:solidFill>
          </w14:textFill>
        </w:rPr>
        <w:t>（3）某磋商供应商报价分 = 磋商供应商最低最后评标价（金额）/某磋商供应商最后评标价（金额）×20分</w:t>
      </w:r>
      <w:r>
        <w:rPr>
          <w:rFonts w:hint="eastAsia" w:hAnsi="宋体"/>
          <w:bCs/>
          <w:color w:val="000000" w:themeColor="text1"/>
          <w:lang w:eastAsia="zh-CN"/>
          <w14:textFill>
            <w14:solidFill>
              <w14:schemeClr w14:val="tx1"/>
            </w14:solidFill>
          </w14:textFill>
        </w:rPr>
        <w:t>。</w:t>
      </w:r>
    </w:p>
    <w:p w14:paraId="44068C55">
      <w:pPr>
        <w:pStyle w:val="19"/>
        <w:spacing w:line="420" w:lineRule="exact"/>
        <w:ind w:firstLine="542" w:firstLineChars="257"/>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2、商务分…………………………………………………………………20分</w:t>
      </w:r>
    </w:p>
    <w:p w14:paraId="4A42665B">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（1）供应商自202</w:t>
      </w: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年以来具有互联网专线业绩的，每项得</w:t>
      </w:r>
      <w:r>
        <w:rPr>
          <w:rFonts w:hint="eastAsia" w:hAnsi="宋体"/>
          <w:bCs/>
          <w:color w:val="000000" w:themeColor="text1"/>
          <w:lang w:val="en-US" w:eastAsia="zh-CN"/>
          <w14:textFill>
            <w14:solidFill>
              <w14:schemeClr w14:val="tx1"/>
            </w14:solidFill>
          </w14:textFill>
        </w:rPr>
        <w:t>2</w:t>
      </w:r>
      <w:r>
        <w:rPr>
          <w:rFonts w:hint="eastAsia" w:hAnsi="宋体"/>
          <w:bCs/>
          <w:color w:val="000000" w:themeColor="text1"/>
          <w14:textFill>
            <w14:solidFill>
              <w14:schemeClr w14:val="tx1"/>
            </w14:solidFill>
          </w14:textFill>
        </w:rPr>
        <w:t>分，满分得</w:t>
      </w:r>
      <w:r>
        <w:rPr>
          <w:rFonts w:hint="eastAsia" w:hAnsi="宋体"/>
          <w:bCs/>
          <w:color w:val="000000" w:themeColor="text1"/>
          <w:lang w:val="en-US" w:eastAsia="zh-CN"/>
          <w14:textFill>
            <w14:solidFill>
              <w14:schemeClr w14:val="tx1"/>
            </w14:solidFill>
          </w14:textFill>
        </w:rPr>
        <w:t>16</w:t>
      </w:r>
      <w:r>
        <w:rPr>
          <w:rFonts w:hint="eastAsia" w:hAnsi="宋体"/>
          <w:bCs/>
          <w:color w:val="000000" w:themeColor="text1"/>
          <w14:textFill>
            <w14:solidFill>
              <w14:schemeClr w14:val="tx1"/>
            </w14:solidFill>
          </w14:textFill>
        </w:rPr>
        <w:t>分。（须提供合同关键页扫描件）</w:t>
      </w:r>
    </w:p>
    <w:p w14:paraId="705D83DA">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（2）供应商拟投入的实施负责人具备计算机应用（高级）工程师、信息系统项目管理师（高级）、系统分析师（高级）、系统架构设计师（高级）证书的，每个证得2分，满分</w:t>
      </w:r>
      <w:r>
        <w:rPr>
          <w:rFonts w:hint="eastAsia" w:hAnsi="宋体"/>
          <w:bCs/>
          <w:color w:val="000000" w:themeColor="text1"/>
          <w:lang w:val="en-US" w:eastAsia="zh-CN"/>
          <w14:textFill>
            <w14:solidFill>
              <w14:schemeClr w14:val="tx1"/>
            </w14:solidFill>
          </w14:textFill>
        </w:rPr>
        <w:t>4</w:t>
      </w:r>
      <w:r>
        <w:rPr>
          <w:rFonts w:hint="eastAsia" w:hAnsi="宋体"/>
          <w:bCs/>
          <w:color w:val="000000" w:themeColor="text1"/>
          <w14:textFill>
            <w14:solidFill>
              <w14:schemeClr w14:val="tx1"/>
            </w14:solidFill>
          </w14:textFill>
        </w:rPr>
        <w:t>分。</w:t>
      </w:r>
    </w:p>
    <w:p w14:paraId="4E983762">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xml:space="preserve"> 注：投标时需提供有效证书扫描件并加盖供应商公章（或电子签章），且</w:t>
      </w:r>
      <w:r>
        <w:rPr>
          <w:rFonts w:hint="eastAsia" w:hAnsi="宋体"/>
          <w:bCs/>
          <w:color w:val="000000" w:themeColor="text1"/>
          <w:lang w:val="en"/>
          <w14:textFill>
            <w14:solidFill>
              <w14:schemeClr w14:val="tx1"/>
            </w14:solidFill>
          </w14:textFill>
        </w:rPr>
        <w:t>提供</w:t>
      </w:r>
      <w:r>
        <w:rPr>
          <w:rFonts w:hint="eastAsia" w:hAnsi="宋体"/>
          <w:bCs/>
          <w:color w:val="000000" w:themeColor="text1"/>
          <w14:textFill>
            <w14:solidFill>
              <w14:schemeClr w14:val="tx1"/>
            </w14:solidFill>
          </w14:textFill>
        </w:rPr>
        <w:t>响应文件递交截止时间前半年内连续3个月供应商为其缴纳社保证明材料和相关证书复印件</w:t>
      </w:r>
      <w:r>
        <w:rPr>
          <w:rFonts w:hAnsi="宋体"/>
          <w:bCs/>
          <w:color w:val="000000" w:themeColor="text1"/>
          <w:lang w:val="en"/>
          <w14:textFill>
            <w14:solidFill>
              <w14:schemeClr w14:val="tx1"/>
            </w14:solidFill>
          </w14:textFill>
        </w:rPr>
        <w:t>，</w:t>
      </w:r>
      <w:r>
        <w:rPr>
          <w:rFonts w:hint="eastAsia" w:hAnsi="宋体"/>
          <w:bCs/>
          <w:color w:val="000000" w:themeColor="text1"/>
          <w14:textFill>
            <w14:solidFill>
              <w14:schemeClr w14:val="tx1"/>
            </w14:solidFill>
          </w14:textFill>
        </w:rPr>
        <w:t>否则不得分。</w:t>
      </w:r>
    </w:p>
    <w:p w14:paraId="704629C8">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 xml:space="preserve"> 3、技术分…………………………………………………………………60分</w:t>
      </w:r>
    </w:p>
    <w:p w14:paraId="4EBDE2BA">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（1）技术方案分（满分20分）</w:t>
      </w:r>
    </w:p>
    <w:p w14:paraId="65AFEA30">
      <w:pPr>
        <w:pStyle w:val="19"/>
        <w:spacing w:line="420" w:lineRule="exact"/>
        <w:ind w:firstLine="539" w:firstLineChars="257"/>
        <w:rPr>
          <w:rFonts w:hAnsi="宋体"/>
          <w:bCs/>
          <w:color w:val="000000" w:themeColor="text1"/>
          <w14:textFill>
            <w14:solidFill>
              <w14:schemeClr w14:val="tx1"/>
            </w14:solidFill>
          </w14:textFill>
        </w:rPr>
      </w:pPr>
      <w:r>
        <w:rPr>
          <w:rFonts w:hint="eastAsia" w:ascii="汉仪书宋二S" w:hAnsi="汉仪书宋二S" w:eastAsia="汉仪书宋二S" w:cs="汉仪书宋二S"/>
          <w:bCs/>
          <w:color w:val="000000" w:themeColor="text1"/>
          <w14:textFill>
            <w14:solidFill>
              <w14:schemeClr w14:val="tx1"/>
            </w14:solidFill>
          </w14:textFill>
        </w:rPr>
        <w:t>①</w:t>
      </w:r>
      <w:r>
        <w:rPr>
          <w:rFonts w:hint="eastAsia" w:hAnsi="宋体"/>
          <w:bCs/>
          <w:color w:val="000000" w:themeColor="text1"/>
          <w14:textFill>
            <w14:solidFill>
              <w14:schemeClr w14:val="tx1"/>
            </w14:solidFill>
          </w14:textFill>
        </w:rPr>
        <w:t>由评委根据磋商供应商的技术方案优劣独立打分，未达到最低进档要求的不得分，每档全部满足才得满分，不满足或部分满足，则按照上一档评分。</w:t>
      </w:r>
    </w:p>
    <w:p w14:paraId="6DFC1819">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w:t>
      </w:r>
      <w:r>
        <w:rPr>
          <w:rFonts w:hint="eastAsia" w:hAnsi="宋体"/>
          <w:bCs/>
          <w:color w:val="000000" w:themeColor="text1"/>
          <w:lang w:val="en-US" w:eastAsia="zh-CN"/>
          <w14:textFill>
            <w14:solidFill>
              <w14:schemeClr w14:val="tx1"/>
            </w14:solidFill>
          </w14:textFill>
        </w:rPr>
        <w:t>14</w:t>
      </w:r>
      <w:r>
        <w:rPr>
          <w:rFonts w:hint="eastAsia" w:hAnsi="宋体"/>
          <w:bCs/>
          <w:color w:val="000000" w:themeColor="text1"/>
          <w14:textFill>
            <w14:solidFill>
              <w14:schemeClr w14:val="tx1"/>
            </w14:solidFill>
          </w14:textFill>
        </w:rPr>
        <w:t>分）：没有明显技术错误，技术方案基本可行，主要设备性能基本满足，系统功能配置基本达到要求的。</w:t>
      </w:r>
    </w:p>
    <w:p w14:paraId="6A22A2B2">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w:t>
      </w:r>
      <w:r>
        <w:rPr>
          <w:rFonts w:hint="eastAsia" w:hAnsi="宋体"/>
          <w:bCs/>
          <w:color w:val="000000" w:themeColor="text1"/>
          <w:lang w:val="en-US" w:eastAsia="zh-CN"/>
          <w14:textFill>
            <w14:solidFill>
              <w14:schemeClr w14:val="tx1"/>
            </w14:solidFill>
          </w14:textFill>
        </w:rPr>
        <w:t>7</w:t>
      </w:r>
      <w:r>
        <w:rPr>
          <w:rFonts w:hint="eastAsia" w:hAnsi="宋体"/>
          <w:bCs/>
          <w:color w:val="000000" w:themeColor="text1"/>
          <w14:textFill>
            <w14:solidFill>
              <w14:schemeClr w14:val="tx1"/>
            </w14:solidFill>
          </w14:textFill>
        </w:rPr>
        <w:t>分）：在满足一档的基础上，技术方案能说明组网结构及所用传输设备。</w:t>
      </w:r>
    </w:p>
    <w:p w14:paraId="3B8EE699">
      <w:pPr>
        <w:pStyle w:val="19"/>
        <w:spacing w:line="420" w:lineRule="exact"/>
        <w:ind w:firstLine="539" w:firstLineChars="257"/>
        <w:rPr>
          <w:rFonts w:hAnsi="宋体"/>
          <w:bCs/>
          <w:color w:val="000000" w:themeColor="text1"/>
          <w:highlight w:val="none"/>
          <w14:textFill>
            <w14:solidFill>
              <w14:schemeClr w14:val="tx1"/>
            </w14:solidFill>
          </w14:textFill>
        </w:rPr>
      </w:pPr>
      <w:r>
        <w:rPr>
          <w:rFonts w:hint="eastAsia" w:hAnsi="宋体"/>
          <w:bCs/>
          <w:color w:val="000000" w:themeColor="text1"/>
          <w14:textFill>
            <w14:solidFill>
              <w14:schemeClr w14:val="tx1"/>
            </w14:solidFill>
          </w14:textFill>
        </w:rPr>
        <w:t>三档（</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在满足二档的基础上，技术方案论述准确、详细，能详细描述选型组网技术的技术原理、功能，有主要设备性能，系统功能配置齐全，光缆资源覆盖到所有前端点，且方案整体性、兼容性、可扩展性、易维护性、冗余性、安全性好。</w:t>
      </w:r>
    </w:p>
    <w:p w14:paraId="74313CC4">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（2）项目实施方案分（满分</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w:t>
      </w:r>
    </w:p>
    <w:p w14:paraId="1FF52C75">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由评委根据磋商供应商的实施方案优劣独立打分，未达到最低进档要求的不得分，每档全部满足才得满分，不满足或部分满足，则按照上一档评分。</w:t>
      </w:r>
    </w:p>
    <w:p w14:paraId="1BB744B8">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w:t>
      </w:r>
      <w:r>
        <w:rPr>
          <w:rFonts w:hint="eastAsia" w:hAnsi="宋体"/>
          <w:bCs/>
          <w:color w:val="000000" w:themeColor="text1"/>
          <w:lang w:val="en-US" w:eastAsia="zh-CN"/>
          <w14:textFill>
            <w14:solidFill>
              <w14:schemeClr w14:val="tx1"/>
            </w14:solidFill>
          </w14:textFill>
        </w:rPr>
        <w:t>14</w:t>
      </w:r>
      <w:r>
        <w:rPr>
          <w:rFonts w:hint="eastAsia" w:hAnsi="宋体"/>
          <w:bCs/>
          <w:color w:val="000000" w:themeColor="text1"/>
          <w14:textFill>
            <w14:solidFill>
              <w14:schemeClr w14:val="tx1"/>
            </w14:solidFill>
          </w14:textFill>
        </w:rPr>
        <w:t>分）：实施方案中有各个阶段工作安排，人员安排及施工进度计划，工程实施安全保障措施，工程进度控制措施并有赶工措施，工程施工规范及质量要求，工程质量保证措施和质量管理程序，项目风险管理措施，文明施工管理措施的。</w:t>
      </w:r>
    </w:p>
    <w:p w14:paraId="60D413DE">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w:t>
      </w:r>
      <w:r>
        <w:rPr>
          <w:rFonts w:hint="eastAsia" w:hAnsi="宋体"/>
          <w:bCs/>
          <w:color w:val="000000" w:themeColor="text1"/>
          <w:lang w:val="en-US" w:eastAsia="zh-CN"/>
          <w14:textFill>
            <w14:solidFill>
              <w14:schemeClr w14:val="tx1"/>
            </w14:solidFill>
          </w14:textFill>
        </w:rPr>
        <w:t>7</w:t>
      </w:r>
      <w:r>
        <w:rPr>
          <w:rFonts w:hint="eastAsia" w:hAnsi="宋体"/>
          <w:bCs/>
          <w:color w:val="000000" w:themeColor="text1"/>
          <w14:textFill>
            <w14:solidFill>
              <w14:schemeClr w14:val="tx1"/>
            </w14:solidFill>
          </w14:textFill>
        </w:rPr>
        <w:t>分）：在满足一档基础上，实施方案中有项目管理文档计划，项目管理组织机构图的。</w:t>
      </w:r>
    </w:p>
    <w:p w14:paraId="430B215C">
      <w:pPr>
        <w:pStyle w:val="19"/>
        <w:spacing w:line="420" w:lineRule="exact"/>
        <w:ind w:firstLine="539" w:firstLineChars="257"/>
        <w:rPr>
          <w:rFonts w:hAnsi="宋体"/>
          <w:bCs/>
          <w:color w:val="000000" w:themeColor="text1"/>
          <w:lang w:val="zh-CN"/>
          <w14:textFill>
            <w14:solidFill>
              <w14:schemeClr w14:val="tx1"/>
            </w14:solidFill>
          </w14:textFill>
        </w:rPr>
      </w:pPr>
      <w:r>
        <w:rPr>
          <w:rFonts w:hint="eastAsia" w:hAnsi="宋体"/>
          <w:bCs/>
          <w:color w:val="000000" w:themeColor="text1"/>
          <w14:textFill>
            <w14:solidFill>
              <w14:schemeClr w14:val="tx1"/>
            </w14:solidFill>
          </w14:textFill>
        </w:rPr>
        <w:t>三档（</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分）：在满足二档基础上，提供质量控制措施、项目风险管理措施、安全管理方案、验收管理方案</w:t>
      </w:r>
      <w:r>
        <w:rPr>
          <w:rFonts w:hint="eastAsia" w:hAnsi="宋体"/>
          <w:bCs/>
          <w:color w:val="000000" w:themeColor="text1"/>
          <w:lang w:eastAsia="zh-CN"/>
          <w14:textFill>
            <w14:solidFill>
              <w14:schemeClr w14:val="tx1"/>
            </w14:solidFill>
          </w14:textFill>
        </w:rPr>
        <w:t>；</w:t>
      </w:r>
      <w:r>
        <w:rPr>
          <w:rFonts w:hint="eastAsia" w:hAnsi="宋体"/>
          <w:bCs/>
          <w:color w:val="000000" w:themeColor="text1"/>
          <w14:textFill>
            <w14:solidFill>
              <w14:schemeClr w14:val="tx1"/>
            </w14:solidFill>
          </w14:textFill>
        </w:rPr>
        <w:t>实施方案中有系统联调的。</w:t>
      </w:r>
    </w:p>
    <w:p w14:paraId="5A59ED1B">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int="eastAsia" w:hAnsi="宋体"/>
          <w:bCs/>
          <w:color w:val="000000" w:themeColor="text1"/>
          <w:lang w:val="en-US" w:eastAsia="zh-CN"/>
          <w14:textFill>
            <w14:solidFill>
              <w14:schemeClr w14:val="tx1"/>
            </w14:solidFill>
          </w14:textFill>
        </w:rPr>
        <w:t>3</w:t>
      </w:r>
      <w:r>
        <w:rPr>
          <w:rFonts w:hint="eastAsia" w:hAnsi="宋体"/>
          <w:bCs/>
          <w:color w:val="000000" w:themeColor="text1"/>
          <w14:textFill>
            <w14:solidFill>
              <w14:schemeClr w14:val="tx1"/>
            </w14:solidFill>
          </w14:textFill>
        </w:rPr>
        <w:t>）售后服务方案分（满分</w:t>
      </w:r>
      <w:r>
        <w:rPr>
          <w:rFonts w:hint="eastAsia" w:hAnsi="宋体"/>
          <w:bCs/>
          <w:color w:val="000000" w:themeColor="text1"/>
          <w:lang w:val="en-US" w:eastAsia="zh-CN"/>
          <w14:textFill>
            <w14:solidFill>
              <w14:schemeClr w14:val="tx1"/>
            </w14:solidFill>
          </w14:textFill>
        </w:rPr>
        <w:t>2</w:t>
      </w:r>
      <w:r>
        <w:rPr>
          <w:rFonts w:hint="eastAsia" w:hAnsi="宋体"/>
          <w:bCs/>
          <w:color w:val="000000" w:themeColor="text1"/>
          <w14:textFill>
            <w14:solidFill>
              <w14:schemeClr w14:val="tx1"/>
            </w14:solidFill>
          </w14:textFill>
        </w:rPr>
        <w:t>0分）</w:t>
      </w:r>
    </w:p>
    <w:p w14:paraId="46EA12CE">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由评委根据磋商供应商的售后服务方案优劣独立打分，未达到最低进档要求的不得分，每档全部满足才得满分，不满足或部分满足，则按照上一档评分。</w:t>
      </w:r>
    </w:p>
    <w:p w14:paraId="1CE03531">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w:t>
      </w:r>
      <w:r>
        <w:rPr>
          <w:rFonts w:hint="eastAsia" w:hAnsi="宋体"/>
          <w:bCs/>
          <w:color w:val="000000" w:themeColor="text1"/>
          <w:lang w:val="en-US" w:eastAsia="zh-CN"/>
          <w14:textFill>
            <w14:solidFill>
              <w14:schemeClr w14:val="tx1"/>
            </w14:solidFill>
          </w14:textFill>
        </w:rPr>
        <w:t>14</w:t>
      </w:r>
      <w:r>
        <w:rPr>
          <w:rFonts w:hint="eastAsia" w:hAnsi="宋体"/>
          <w:bCs/>
          <w:color w:val="000000" w:themeColor="text1"/>
          <w14:textFill>
            <w14:solidFill>
              <w14:schemeClr w14:val="tx1"/>
            </w14:solidFill>
          </w14:textFill>
        </w:rPr>
        <w:t xml:space="preserve">分）：方案描述包括售后服务支持、服务流程等方面内容，方案总体描述、可操作性、完整性基本满足项目要求，能提供应急保障方案，且方案基本可行。 </w:t>
      </w:r>
    </w:p>
    <w:p w14:paraId="60654FCC">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w:t>
      </w:r>
      <w:r>
        <w:rPr>
          <w:rFonts w:hint="eastAsia" w:hAnsi="宋体"/>
          <w:bCs/>
          <w:color w:val="000000" w:themeColor="text1"/>
          <w:lang w:val="en-US" w:eastAsia="zh-CN"/>
          <w14:textFill>
            <w14:solidFill>
              <w14:schemeClr w14:val="tx1"/>
            </w14:solidFill>
          </w14:textFill>
        </w:rPr>
        <w:t>17</w:t>
      </w:r>
      <w:r>
        <w:rPr>
          <w:rFonts w:hint="eastAsia" w:hAnsi="宋体"/>
          <w:bCs/>
          <w:color w:val="000000" w:themeColor="text1"/>
          <w14:textFill>
            <w14:solidFill>
              <w14:schemeClr w14:val="tx1"/>
            </w14:solidFill>
          </w14:textFill>
        </w:rPr>
        <w:t>分）：方案描述包括售后服务支持、服务流程、应急保障预案等内容，表述详细，可操作性、完整性强，服务措施到位，资源配置合理，在项目所在地配置少量的售后服务车辆，且投入一定数量的运维服务人员。</w:t>
      </w:r>
    </w:p>
    <w:p w14:paraId="29B32B63">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w:t>
      </w:r>
      <w:r>
        <w:rPr>
          <w:rFonts w:hint="eastAsia" w:hAnsi="宋体"/>
          <w:bCs/>
          <w:color w:val="000000" w:themeColor="text1"/>
          <w:lang w:val="en-US" w:eastAsia="zh-CN"/>
          <w14:textFill>
            <w14:solidFill>
              <w14:schemeClr w14:val="tx1"/>
            </w14:solidFill>
          </w14:textFill>
        </w:rPr>
        <w:t>2</w:t>
      </w:r>
      <w:r>
        <w:rPr>
          <w:rFonts w:hint="eastAsia" w:hAnsi="宋体"/>
          <w:bCs/>
          <w:color w:val="000000" w:themeColor="text1"/>
          <w14:textFill>
            <w14:solidFill>
              <w14:schemeClr w14:val="tx1"/>
            </w14:solidFill>
          </w14:textFill>
        </w:rPr>
        <w:t>0分）：售后服务方案详细、具体、有效，服务措施详实、针对性和实用性强，供应商售后服务方案全面、详细、具体、有效，方案包括售后服务支持、服务流程、应急保障预案、明确响应时间、保密承诺、培训计划、资源配置等服务内容；有本地售后服务团队提供服务，投入校园区域专职售后运维负责人 1 名以上；供应商或其上级公司提供至少一个本项目售后服务所需的在有效期内的设备校准证书，以保障售后的服务质量；在项目所在地配置有数量充足的售后服务车辆，可覆盖采购需求中所涉及的实施范围。</w:t>
      </w:r>
    </w:p>
    <w:p w14:paraId="59944C7B">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（三）总得分 = 1 + 2 + 3。</w:t>
      </w:r>
      <w:r>
        <w:rPr>
          <w:rFonts w:hint="eastAsia" w:hAnsi="宋体"/>
          <w:bCs/>
          <w:color w:val="000000" w:themeColor="text1"/>
          <w14:textFill>
            <w14:solidFill>
              <w14:schemeClr w14:val="tx1"/>
            </w14:solidFill>
          </w14:textFill>
        </w:rPr>
        <w:t xml:space="preserve">  </w:t>
      </w:r>
    </w:p>
    <w:p w14:paraId="2946EA85">
      <w:pPr>
        <w:pStyle w:val="19"/>
        <w:spacing w:line="420" w:lineRule="exact"/>
        <w:ind w:firstLine="542" w:firstLineChars="257"/>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三、成交候选人推荐原则</w:t>
      </w:r>
    </w:p>
    <w:p w14:paraId="209FB002">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w:t>
      </w:r>
    </w:p>
    <w:p w14:paraId="292FFF57">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排名第一的成交候选人放弃成交、因不可抗力提出不能履行合同，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14:paraId="031D8395">
      <w:pPr>
        <w:pStyle w:val="33"/>
        <w:ind w:left="0" w:leftChars="0" w:firstLine="0" w:firstLineChars="0"/>
        <w:rPr>
          <w:rFonts w:hint="eastAsia" w:hAnsi="宋体"/>
          <w:bCs/>
          <w:color w:val="000000" w:themeColor="text1"/>
          <w14:textFill>
            <w14:solidFill>
              <w14:schemeClr w14:val="tx1"/>
            </w14:solidFill>
          </w14:textFill>
        </w:rPr>
      </w:pPr>
    </w:p>
    <w:p w14:paraId="4F2A179E">
      <w:pPr>
        <w:pStyle w:val="33"/>
        <w:ind w:left="0" w:leftChars="0" w:firstLine="422" w:firstLineChars="200"/>
        <w:rPr>
          <w:color w:val="000000" w:themeColor="text1"/>
          <w:lang w:eastAsia="zh-TW"/>
          <w14:textFill>
            <w14:solidFill>
              <w14:schemeClr w14:val="tx1"/>
            </w14:solidFill>
          </w14:textFill>
        </w:rPr>
      </w:pPr>
      <w:r>
        <w:rPr>
          <w:rFonts w:hint="eastAsia" w:hAnsi="宋体"/>
          <w:bCs/>
          <w:color w:val="000000" w:themeColor="text1"/>
          <w14:textFill>
            <w14:solidFill>
              <w14:schemeClr w14:val="tx1"/>
            </w14:solidFill>
          </w14:textFill>
        </w:rPr>
        <w:t>（</w:t>
      </w:r>
      <w:r>
        <w:rPr>
          <w:rFonts w:hint="eastAsia" w:hAnsi="宋体"/>
          <w:bCs/>
          <w:color w:val="000000" w:themeColor="text1"/>
          <w:lang w:eastAsia="zh-CN"/>
          <w14:textFill>
            <w14:solidFill>
              <w14:schemeClr w14:val="tx1"/>
            </w14:solidFill>
          </w14:textFill>
        </w:rPr>
        <w:t>二</w:t>
      </w:r>
      <w:r>
        <w:rPr>
          <w:rFonts w:hint="eastAsia" w:hAnsi="宋体"/>
          <w:bCs/>
          <w:color w:val="000000" w:themeColor="text1"/>
          <w14:textFill>
            <w14:solidFill>
              <w14:schemeClr w14:val="tx1"/>
            </w14:solidFill>
          </w14:textFill>
        </w:rPr>
        <w:t>）成交</w:t>
      </w:r>
      <w:r>
        <w:rPr>
          <w:rFonts w:hint="eastAsia" w:hAnsi="宋体"/>
          <w:bCs/>
          <w:color w:val="000000" w:themeColor="text1"/>
          <w:lang w:eastAsia="zh-TW"/>
          <w14:textFill>
            <w14:solidFill>
              <w14:schemeClr w14:val="tx1"/>
            </w14:solidFill>
          </w14:textFill>
        </w:rPr>
        <w:t>推荐原则</w:t>
      </w:r>
      <w:r>
        <w:rPr>
          <w:rFonts w:hint="eastAsia" w:hAnsi="宋体"/>
          <w:bCs/>
          <w:color w:val="000000" w:themeColor="text1"/>
          <w14:textFill>
            <w14:solidFill>
              <w14:schemeClr w14:val="tx1"/>
            </w14:solidFill>
          </w14:textFill>
        </w:rPr>
        <w:t>：磋商供应商可</w:t>
      </w:r>
      <w:r>
        <w:rPr>
          <w:rFonts w:hint="eastAsia" w:hAnsi="宋体"/>
          <w:bCs/>
          <w:color w:val="000000" w:themeColor="text1"/>
          <w:lang w:eastAsia="zh-TW"/>
          <w14:textFill>
            <w14:solidFill>
              <w14:schemeClr w14:val="tx1"/>
            </w14:solidFill>
          </w14:textFill>
        </w:rPr>
        <w:t>对</w:t>
      </w:r>
      <w:r>
        <w:rPr>
          <w:rFonts w:hint="eastAsia" w:hAnsi="宋体"/>
          <w:bCs/>
          <w:color w:val="000000" w:themeColor="text1"/>
          <w14:textFill>
            <w14:solidFill>
              <w14:schemeClr w14:val="tx1"/>
            </w14:solidFill>
          </w14:textFill>
        </w:rPr>
        <w:t>所有分标</w:t>
      </w:r>
      <w:r>
        <w:rPr>
          <w:rFonts w:hint="eastAsia" w:hAnsi="宋体"/>
          <w:bCs/>
          <w:color w:val="000000" w:themeColor="text1"/>
          <w:lang w:eastAsia="zh-TW"/>
          <w14:textFill>
            <w14:solidFill>
              <w14:schemeClr w14:val="tx1"/>
            </w14:solidFill>
          </w14:textFill>
        </w:rPr>
        <w:t>进行</w:t>
      </w:r>
      <w:r>
        <w:rPr>
          <w:rFonts w:hint="eastAsia" w:hAnsi="宋体"/>
          <w:bCs/>
          <w:color w:val="000000" w:themeColor="text1"/>
          <w14:textFill>
            <w14:solidFill>
              <w14:schemeClr w14:val="tx1"/>
            </w14:solidFill>
          </w14:textFill>
        </w:rPr>
        <w:t>响应</w:t>
      </w:r>
      <w:r>
        <w:rPr>
          <w:rFonts w:hint="eastAsia" w:hAnsi="宋体"/>
          <w:bCs/>
          <w:color w:val="000000" w:themeColor="text1"/>
          <w:lang w:eastAsia="zh-TW"/>
          <w14:textFill>
            <w14:solidFill>
              <w14:schemeClr w14:val="tx1"/>
            </w14:solidFill>
          </w14:textFill>
        </w:rPr>
        <w:t>并报价，</w:t>
      </w:r>
      <w:r>
        <w:rPr>
          <w:rFonts w:hint="eastAsia" w:hAnsi="宋体"/>
          <w:bCs/>
          <w:color w:val="000000" w:themeColor="text1"/>
          <w14:textFill>
            <w14:solidFill>
              <w14:schemeClr w14:val="tx1"/>
            </w14:solidFill>
          </w14:textFill>
        </w:rPr>
        <w:t>一个供应商只能成交其中一个分标。</w:t>
      </w:r>
      <w:r>
        <w:rPr>
          <w:rFonts w:hint="eastAsia" w:hAnsi="宋体"/>
          <w:bCs/>
          <w:color w:val="000000" w:themeColor="text1"/>
          <w:highlight w:val="none"/>
          <w14:textFill>
            <w14:solidFill>
              <w14:schemeClr w14:val="tx1"/>
            </w14:solidFill>
          </w14:textFill>
        </w:rPr>
        <w:t>分标1的第一成交候选人不能再推荐为分标2第一成交候选人</w:t>
      </w:r>
      <w:r>
        <w:rPr>
          <w:rFonts w:hint="eastAsia" w:hAnsi="宋体"/>
          <w:bCs/>
          <w:color w:val="000000" w:themeColor="text1"/>
          <w:highlight w:val="none"/>
          <w:lang w:eastAsia="zh-TW"/>
          <w14:textFill>
            <w14:solidFill>
              <w14:schemeClr w14:val="tx1"/>
            </w14:solidFill>
          </w14:textFill>
        </w:rPr>
        <w:t>。</w:t>
      </w:r>
      <w:r>
        <w:rPr>
          <w:color w:val="000000" w:themeColor="text1"/>
          <w:lang w:eastAsia="zh-TW"/>
          <w14:textFill>
            <w14:solidFill>
              <w14:schemeClr w14:val="tx1"/>
            </w14:solidFill>
          </w14:textFill>
        </w:rPr>
        <w:br w:type="page"/>
      </w:r>
    </w:p>
    <w:p w14:paraId="1CD8D594">
      <w:pPr>
        <w:pStyle w:val="19"/>
        <w:adjustRightInd w:val="0"/>
        <w:snapToGrid w:val="0"/>
        <w:spacing w:line="380" w:lineRule="exact"/>
        <w:ind w:firstLine="3313" w:firstLineChars="1100"/>
        <w:rPr>
          <w:rFonts w:hAnsi="宋体" w:cs="宋体"/>
          <w:b/>
          <w:bCs/>
          <w:color w:val="000000" w:themeColor="text1"/>
          <w:sz w:val="30"/>
          <w:szCs w:val="30"/>
          <w14:textFill>
            <w14:solidFill>
              <w14:schemeClr w14:val="tx1"/>
            </w14:solidFill>
          </w14:textFill>
        </w:rPr>
      </w:pPr>
      <w:r>
        <w:rPr>
          <w:rFonts w:hint="eastAsia" w:hAnsi="宋体" w:cs="宋体"/>
          <w:b/>
          <w:bCs/>
          <w:color w:val="000000" w:themeColor="text1"/>
          <w:sz w:val="30"/>
          <w:szCs w:val="30"/>
          <w14:textFill>
            <w14:solidFill>
              <w14:schemeClr w14:val="tx1"/>
            </w14:solidFill>
          </w14:textFill>
        </w:rPr>
        <w:t>评审方法及评分标准</w:t>
      </w:r>
    </w:p>
    <w:p w14:paraId="458645B0">
      <w:pPr>
        <w:pStyle w:val="2"/>
        <w:spacing w:before="0" w:after="0"/>
        <w:jc w:val="center"/>
        <w:rPr>
          <w:rFonts w:ascii="宋体" w:hAnsi="宋体" w:cs="宋体"/>
          <w:color w:val="000000" w:themeColor="text1"/>
          <w:kern w:val="2"/>
          <w:sz w:val="21"/>
          <w:szCs w:val="21"/>
          <w:u w:val="single"/>
          <w14:textFill>
            <w14:solidFill>
              <w14:schemeClr w14:val="tx1"/>
            </w14:solidFill>
          </w14:textFill>
        </w:rPr>
      </w:pPr>
      <w:r>
        <w:rPr>
          <w:rFonts w:hint="eastAsia" w:ascii="宋体" w:hAnsi="宋体" w:cs="宋体"/>
          <w:color w:val="000000" w:themeColor="text1"/>
          <w:kern w:val="2"/>
          <w:sz w:val="21"/>
          <w:szCs w:val="21"/>
          <w:u w:val="single"/>
          <w14:textFill>
            <w14:solidFill>
              <w14:schemeClr w14:val="tx1"/>
            </w14:solidFill>
          </w14:textFill>
        </w:rPr>
        <w:t>(适用于分标3)</w:t>
      </w:r>
    </w:p>
    <w:p w14:paraId="4B2C503F">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一、评标原则</w:t>
      </w:r>
    </w:p>
    <w:p w14:paraId="7E0F5C85">
      <w:pPr>
        <w:pStyle w:val="19"/>
        <w:adjustRightInd w:val="0"/>
        <w:snapToGrid w:val="0"/>
        <w:spacing w:line="38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szCs w:val="21"/>
          <w14:textFill>
            <w14:solidFill>
              <w14:schemeClr w14:val="tx1"/>
            </w14:solidFill>
          </w14:textFill>
        </w:rPr>
        <w:t>(一) 磋商小组</w:t>
      </w:r>
      <w:r>
        <w:rPr>
          <w:rFonts w:hint="eastAsia" w:hAnsi="宋体" w:cs="宋体"/>
          <w:color w:val="000000" w:themeColor="text1"/>
          <w:kern w:val="0"/>
          <w:szCs w:val="21"/>
          <w14:textFill>
            <w14:solidFill>
              <w14:schemeClr w14:val="tx1"/>
            </w14:solidFill>
          </w14:textFill>
        </w:rPr>
        <w:t>成员组成：本竞争性磋商采购项目的磋商小组由采购人代表和评审专家共三人以上的单数组成，其中评审专家的人数不得少于磋商小组成员总数的三分之二。</w:t>
      </w:r>
    </w:p>
    <w:p w14:paraId="2E5D6024">
      <w:pPr>
        <w:pStyle w:val="19"/>
        <w:adjustRightInd w:val="0"/>
        <w:snapToGrid w:val="0"/>
        <w:spacing w:line="380" w:lineRule="exact"/>
        <w:ind w:firstLine="420" w:firstLineChars="200"/>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(二) 评审依据：磋商小组以竞争性磋商文件和竞争性磋商响应文件为依据，对磋商人的内容按百分制打分。</w:t>
      </w:r>
    </w:p>
    <w:p w14:paraId="4F3E0870">
      <w:pPr>
        <w:pStyle w:val="19"/>
        <w:adjustRightInd w:val="0"/>
        <w:snapToGrid w:val="0"/>
        <w:spacing w:line="380" w:lineRule="exact"/>
        <w:ind w:firstLine="359" w:firstLineChars="171"/>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（三）评审方式：</w:t>
      </w:r>
      <w:r>
        <w:rPr>
          <w:rFonts w:hint="eastAsia" w:hAnsi="宋体"/>
          <w:bCs/>
          <w:color w:val="000000" w:themeColor="text1"/>
          <w14:textFill>
            <w14:solidFill>
              <w14:schemeClr w14:val="tx1"/>
            </w14:solidFill>
          </w14:textFill>
        </w:rPr>
        <w:t>以封闭方式进行</w:t>
      </w:r>
      <w:r>
        <w:rPr>
          <w:rFonts w:hint="eastAsia" w:hAnsi="宋体" w:cs="宋体"/>
          <w:color w:val="000000" w:themeColor="text1"/>
          <w:kern w:val="0"/>
          <w:szCs w:val="21"/>
          <w14:textFill>
            <w14:solidFill>
              <w14:schemeClr w14:val="tx1"/>
            </w14:solidFill>
          </w14:textFill>
        </w:rPr>
        <w:t>。</w:t>
      </w:r>
    </w:p>
    <w:p w14:paraId="19D695D8">
      <w:pPr>
        <w:pStyle w:val="19"/>
        <w:adjustRightInd w:val="0"/>
        <w:snapToGrid w:val="0"/>
        <w:spacing w:line="420" w:lineRule="exact"/>
        <w:ind w:firstLine="359" w:firstLineChars="171"/>
        <w:rPr>
          <w:color w:val="000000" w:themeColor="text1"/>
          <w14:textFill>
            <w14:solidFill>
              <w14:schemeClr w14:val="tx1"/>
            </w14:solidFill>
          </w14:textFill>
        </w:rPr>
      </w:pPr>
      <w:r>
        <w:rPr>
          <w:rFonts w:hint="eastAsia" w:hAnsi="宋体" w:cs="宋体"/>
          <w:color w:val="000000" w:themeColor="text1"/>
          <w:kern w:val="0"/>
          <w:szCs w:val="21"/>
          <w14:textFill>
            <w14:solidFill>
              <w14:schemeClr w14:val="tx1"/>
            </w14:solidFill>
          </w14:textFill>
        </w:rPr>
        <w:t>（四）无效响应处理原则：在评审过程中，包括在异常低价认定程序中被认定为无效的响应，其响应文件不再进入后续评审阶段，也不参与得分计算与汇总排名。</w:t>
      </w:r>
    </w:p>
    <w:p w14:paraId="583F3B2F">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二、评审方法</w:t>
      </w:r>
    </w:p>
    <w:p w14:paraId="0CCE715D">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 xml:space="preserve">   （一）对进入详评的，采用百分制综合评分法。</w:t>
      </w:r>
    </w:p>
    <w:p w14:paraId="66DFB6DA">
      <w:pPr>
        <w:pStyle w:val="19"/>
        <w:adjustRightInd w:val="0"/>
        <w:snapToGrid w:val="0"/>
        <w:spacing w:line="380" w:lineRule="exac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 xml:space="preserve">   （二）计分办法（按四舍五入取至百分位）：</w:t>
      </w:r>
    </w:p>
    <w:p w14:paraId="2F76C0A2">
      <w:pPr>
        <w:pStyle w:val="19"/>
        <w:spacing w:line="420" w:lineRule="exact"/>
        <w:ind w:firstLine="422" w:firstLineChars="200"/>
        <w:outlineLvl w:val="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1、价格分…………………………………………………………………20分</w:t>
      </w:r>
    </w:p>
    <w:p w14:paraId="79C8CEDB">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符合《政府采购促进中小企业发展管理办法》（财库〔2020〕46号）规定条件且按该办法中规定的格式提供了《中小企业声明函》的小型和微型企业参与磋商，对其最后报价给予20%的扣除，扣除后的价格为评标价，即评标价=最后报价×（1-20%）；除上述情况外，评标价=最后报价。</w:t>
      </w:r>
    </w:p>
    <w:p w14:paraId="27B496C1">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磋商供应商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560832DE">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139456CD">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（2）以满足采购文件要求的最低最后评标价为20分。</w:t>
      </w:r>
    </w:p>
    <w:p w14:paraId="3CD2BC62">
      <w:pPr>
        <w:pStyle w:val="19"/>
        <w:spacing w:line="420" w:lineRule="exact"/>
        <w:ind w:firstLine="539" w:firstLineChars="257"/>
        <w:rPr>
          <w:rFonts w:hint="eastAsia" w:hAnsi="宋体" w:eastAsia="宋体"/>
          <w:bCs/>
          <w:color w:val="000000" w:themeColor="text1"/>
          <w:lang w:eastAsia="zh-CN"/>
          <w14:textFill>
            <w14:solidFill>
              <w14:schemeClr w14:val="tx1"/>
            </w14:solidFill>
          </w14:textFill>
        </w:rPr>
      </w:pPr>
      <w:r>
        <w:rPr>
          <w:rFonts w:hint="eastAsia" w:hAnsi="宋体"/>
          <w:bCs/>
          <w:color w:val="000000" w:themeColor="text1"/>
          <w14:textFill>
            <w14:solidFill>
              <w14:schemeClr w14:val="tx1"/>
            </w14:solidFill>
          </w14:textFill>
        </w:rPr>
        <w:t>（3）某磋商供应商报价分 = 磋商供应商最低最后评标价（金额）/某磋商供应商最后评标价（金额）×20分</w:t>
      </w:r>
      <w:r>
        <w:rPr>
          <w:rFonts w:hint="eastAsia" w:hAnsi="宋体"/>
          <w:bCs/>
          <w:color w:val="000000" w:themeColor="text1"/>
          <w:lang w:eastAsia="zh-CN"/>
          <w14:textFill>
            <w14:solidFill>
              <w14:schemeClr w14:val="tx1"/>
            </w14:solidFill>
          </w14:textFill>
        </w:rPr>
        <w:t>。</w:t>
      </w:r>
    </w:p>
    <w:p w14:paraId="7B91C122">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2、商务分…………………………………………………………………</w:t>
      </w:r>
      <w:r>
        <w:rPr>
          <w:rFonts w:hint="eastAsia" w:hAnsi="宋体"/>
          <w:b/>
          <w:color w:val="000000" w:themeColor="text1"/>
          <w:lang w:val="en-US" w:eastAsia="zh-CN"/>
          <w14:textFill>
            <w14:solidFill>
              <w14:schemeClr w14:val="tx1"/>
            </w14:solidFill>
          </w14:textFill>
        </w:rPr>
        <w:t>20</w:t>
      </w:r>
      <w:r>
        <w:rPr>
          <w:rFonts w:hint="eastAsia" w:hAnsi="宋体"/>
          <w:b/>
          <w:color w:val="000000" w:themeColor="text1"/>
          <w14:textFill>
            <w14:solidFill>
              <w14:schemeClr w14:val="tx1"/>
            </w14:solidFill>
          </w14:textFill>
        </w:rPr>
        <w:t>分</w:t>
      </w:r>
    </w:p>
    <w:p w14:paraId="3B5D1757">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（1）本项目需求及说明中标注“★”的技术参数为重要技术指标，投标产品所有技术指标、功能均能满足招标文件要求，得满分1</w:t>
      </w:r>
      <w:r>
        <w:rPr>
          <w:rFonts w:hint="eastAsia" w:hAnsi="宋体"/>
          <w:bCs/>
          <w:color w:val="000000" w:themeColor="text1"/>
          <w:lang w:val="en-US" w:eastAsia="zh-CN"/>
          <w14:textFill>
            <w14:solidFill>
              <w14:schemeClr w14:val="tx1"/>
            </w14:solidFill>
          </w14:textFill>
        </w:rPr>
        <w:t>2</w:t>
      </w:r>
      <w:r>
        <w:rPr>
          <w:rFonts w:hint="eastAsia" w:hAnsi="宋体"/>
          <w:bCs/>
          <w:color w:val="000000" w:themeColor="text1"/>
          <w14:textFill>
            <w14:solidFill>
              <w14:schemeClr w14:val="tx1"/>
            </w14:solidFill>
          </w14:textFill>
        </w:rPr>
        <w:t>分。标注“★”的技术参数负偏离的，每存在一项扣3分；其他技术参数负偏离的，每存在一项扣1分；扣完为止，不计负分。</w:t>
      </w:r>
    </w:p>
    <w:p w14:paraId="50F76AC1">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（2）供应商2023年至今，承接过类似项目业绩的，每提供一个得</w:t>
      </w:r>
      <w:r>
        <w:rPr>
          <w:rFonts w:hint="eastAsia" w:hAnsi="宋体"/>
          <w:bCs/>
          <w:color w:val="000000" w:themeColor="text1"/>
          <w:lang w:val="en-US" w:eastAsia="zh-CN"/>
          <w14:textFill>
            <w14:solidFill>
              <w14:schemeClr w14:val="tx1"/>
            </w14:solidFill>
          </w14:textFill>
        </w:rPr>
        <w:t>2</w:t>
      </w:r>
      <w:r>
        <w:rPr>
          <w:rFonts w:hint="eastAsia" w:hAnsi="宋体"/>
          <w:bCs/>
          <w:color w:val="000000" w:themeColor="text1"/>
          <w14:textFill>
            <w14:solidFill>
              <w14:schemeClr w14:val="tx1"/>
            </w14:solidFill>
          </w14:textFill>
        </w:rPr>
        <w:t>分，满分</w:t>
      </w:r>
      <w:r>
        <w:rPr>
          <w:rFonts w:hint="eastAsia" w:hAnsi="宋体"/>
          <w:bCs/>
          <w:color w:val="000000" w:themeColor="text1"/>
          <w:lang w:val="en-US" w:eastAsia="zh-CN"/>
          <w14:textFill>
            <w14:solidFill>
              <w14:schemeClr w14:val="tx1"/>
            </w14:solidFill>
          </w14:textFill>
        </w:rPr>
        <w:t>8</w:t>
      </w:r>
      <w:r>
        <w:rPr>
          <w:rFonts w:hint="eastAsia" w:hAnsi="宋体"/>
          <w:bCs/>
          <w:color w:val="000000" w:themeColor="text1"/>
          <w14:textFill>
            <w14:solidFill>
              <w14:schemeClr w14:val="tx1"/>
            </w14:solidFill>
          </w14:textFill>
        </w:rPr>
        <w:t>分。</w:t>
      </w:r>
    </w:p>
    <w:p w14:paraId="485246D4">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xml:space="preserve"> 注：提供中标（成交）通知书复印件（或扫描件）或合同复印件（或扫描件），且清晰反映出合同金额、签订合同年份等，并加盖供应商公章（或电子签章），否则不计分。</w:t>
      </w:r>
    </w:p>
    <w:p w14:paraId="17741686">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3、技术分…………………………………………………………………</w:t>
      </w:r>
      <w:r>
        <w:rPr>
          <w:rFonts w:hint="eastAsia" w:hAnsi="宋体"/>
          <w:b/>
          <w:color w:val="000000" w:themeColor="text1"/>
          <w:lang w:val="en-US" w:eastAsia="zh-CN"/>
          <w14:textFill>
            <w14:solidFill>
              <w14:schemeClr w14:val="tx1"/>
            </w14:solidFill>
          </w14:textFill>
        </w:rPr>
        <w:t>60</w:t>
      </w:r>
      <w:r>
        <w:rPr>
          <w:rFonts w:hint="eastAsia" w:hAnsi="宋体"/>
          <w:b/>
          <w:color w:val="000000" w:themeColor="text1"/>
          <w14:textFill>
            <w14:solidFill>
              <w14:schemeClr w14:val="tx1"/>
            </w14:solidFill>
          </w14:textFill>
        </w:rPr>
        <w:t>分</w:t>
      </w:r>
    </w:p>
    <w:p w14:paraId="5B90CE8C">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（1）技术方案分（满分</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w:t>
      </w:r>
    </w:p>
    <w:p w14:paraId="5D50AFB8">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由评委根据磋商供应商的技术方案优劣独立打分，未达到最低进档要求的不得分，每档全部满足才得满分，不满足或部分满足，则按照上一档评分。</w:t>
      </w:r>
    </w:p>
    <w:p w14:paraId="19FF5A1A">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一档（11分）：技术方案简单，技术参数基本满足采购文件要求，可应对采购人动态调整线路带宽需求。</w:t>
      </w:r>
    </w:p>
    <w:p w14:paraId="25AEE06D">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二档（14分）：在满足一档的基础上，网管系统能及时监测网络参数变化并通知采购人。</w:t>
      </w:r>
    </w:p>
    <w:p w14:paraId="427F0453">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三档（17分）：在满足二档的基础上，技术方案完整、合理，能说明组网结构及所用传输设备。</w:t>
      </w:r>
    </w:p>
    <w:p w14:paraId="2DF59A3D">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四档（20分）：在满足三档的基础上，技术方案有针对性，能充分说明组网结构及所用传输设备，提供线路双物理路由和中断及线路自愈环保护方案。</w:t>
      </w:r>
    </w:p>
    <w:p w14:paraId="77D60D8E">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（2）项目实施方案分（满分</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w:t>
      </w:r>
    </w:p>
    <w:p w14:paraId="69D2F373">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由评委根据磋商供应商的实施方案优劣独立打分，未达到最低进档要求的不得分，每档全部满足才得满分，不满足或部分满足，则按照上一档评分。</w:t>
      </w:r>
    </w:p>
    <w:p w14:paraId="0865B608">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一档（14分）：实施方案简单，有项目实施组织机构，项目实施方法和人员投入计划与进度计划；</w:t>
      </w:r>
    </w:p>
    <w:p w14:paraId="60BF1ECD">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17分）：在满足一档的基础上，实施方案描述详细、完整，可操作性强，有项目实施方法及实施步骤，项目实施组织机构健全，有项目实施管理措施等；供应商拟投入本项目的实施人员有3人（含3人）以上；</w:t>
      </w:r>
    </w:p>
    <w:p w14:paraId="51F3B251">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三档（20分）：在满足二档的基础上，提供合理的工期保证措施、赶工计划、质量控制措施、项目风险管理措施、安全管理方案、验收管理方案；供应商拟投入本项目的实施人员有5人（含5人）以上。</w:t>
      </w:r>
    </w:p>
    <w:p w14:paraId="409FCA22">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（3）服务方案分（满分</w:t>
      </w:r>
      <w:r>
        <w:rPr>
          <w:rFonts w:hint="eastAsia" w:hAnsi="宋体"/>
          <w:bCs/>
          <w:color w:val="000000" w:themeColor="text1"/>
          <w:lang w:val="en-US" w:eastAsia="zh-CN"/>
          <w14:textFill>
            <w14:solidFill>
              <w14:schemeClr w14:val="tx1"/>
            </w14:solidFill>
          </w14:textFill>
        </w:rPr>
        <w:t>20</w:t>
      </w:r>
      <w:r>
        <w:rPr>
          <w:rFonts w:hint="eastAsia" w:hAnsi="宋体"/>
          <w:bCs/>
          <w:color w:val="000000" w:themeColor="text1"/>
          <w14:textFill>
            <w14:solidFill>
              <w14:schemeClr w14:val="tx1"/>
            </w14:solidFill>
          </w14:textFill>
        </w:rPr>
        <w:t>分）</w:t>
      </w:r>
    </w:p>
    <w:p w14:paraId="4D1A5A09">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由评委根据磋商供应商的服务方案优劣独立打分，未达到最低进档要求的不得分，每档全部满足才得满分，不满足或部分满足，则按照上一档评分。</w:t>
      </w:r>
    </w:p>
    <w:p w14:paraId="06FCEEDA">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一档（</w:t>
      </w:r>
      <w:r>
        <w:rPr>
          <w:rFonts w:hint="eastAsia" w:hAnsi="宋体"/>
          <w:bCs/>
          <w:color w:val="000000" w:themeColor="text1"/>
          <w:lang w:val="en-US" w:eastAsia="zh-CN"/>
          <w14:textFill>
            <w14:solidFill>
              <w14:schemeClr w14:val="tx1"/>
            </w14:solidFill>
          </w14:textFill>
        </w:rPr>
        <w:t>14</w:t>
      </w:r>
      <w:r>
        <w:rPr>
          <w:rFonts w:hint="eastAsia" w:hAnsi="宋体"/>
          <w:bCs/>
          <w:color w:val="000000" w:themeColor="text1"/>
          <w14:textFill>
            <w14:solidFill>
              <w14:schemeClr w14:val="tx1"/>
            </w14:solidFill>
          </w14:textFill>
        </w:rPr>
        <w:t>分）：方案描述包括售后服务支持、服务流程等方面内容，方案总体可操作性、完整性基本满足项目要求，能提供应急保障方案，且方案基本可行。</w:t>
      </w:r>
    </w:p>
    <w:p w14:paraId="54083780">
      <w:pPr>
        <w:pStyle w:val="19"/>
        <w:spacing w:line="420" w:lineRule="exact"/>
        <w:ind w:firstLine="539" w:firstLineChars="257"/>
        <w:rPr>
          <w:rFonts w:hint="eastAsia"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二档（17分）：售后服务方案可行，有详细的服务保障方案、故障处理流程及应急演练方案，能提供3种故障申告途径及绿色通道，提供详细应急预案，具备网络保障能力，应对重大突发事件、重大节日可派出一定数量的应急保障专项作业车辆（需提供有效的保障车辆照片和供应商自身或上级法人机构的专项作业车辆行驶证复印件）；</w:t>
      </w:r>
    </w:p>
    <w:p w14:paraId="032FE1A6">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三档（20分）：在满足二档的基础上，有针对本项目采购内容的运行维护服务方案和网络安全事件处置管理流程；提供本地化服务；能提供5种故障申告途径及绿色通道，提供详细的培训计划。</w:t>
      </w:r>
    </w:p>
    <w:p w14:paraId="5EF04F81">
      <w:pPr>
        <w:pStyle w:val="19"/>
        <w:spacing w:line="420" w:lineRule="exact"/>
        <w:ind w:firstLine="542" w:firstLineChars="257"/>
        <w:rPr>
          <w:rFonts w:hAnsi="宋体"/>
          <w:bCs/>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（三）总得分 = 1 + 2 + 3。</w:t>
      </w:r>
      <w:r>
        <w:rPr>
          <w:rFonts w:hint="eastAsia" w:hAnsi="宋体"/>
          <w:bCs/>
          <w:color w:val="000000" w:themeColor="text1"/>
          <w14:textFill>
            <w14:solidFill>
              <w14:schemeClr w14:val="tx1"/>
            </w14:solidFill>
          </w14:textFill>
        </w:rPr>
        <w:t xml:space="preserve">  </w:t>
      </w:r>
    </w:p>
    <w:p w14:paraId="4426FC87">
      <w:pPr>
        <w:pStyle w:val="19"/>
        <w:spacing w:line="420" w:lineRule="exact"/>
        <w:ind w:firstLine="542" w:firstLineChars="257"/>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三、成交候选人推荐原则</w:t>
      </w:r>
    </w:p>
    <w:p w14:paraId="3034345C">
      <w:pPr>
        <w:pStyle w:val="19"/>
        <w:spacing w:line="420" w:lineRule="exact"/>
        <w:ind w:firstLine="539" w:firstLineChars="257"/>
        <w:rPr>
          <w:rFonts w:hAnsi="宋体"/>
          <w:bCs/>
          <w:strike/>
          <w:color w:val="000000" w:themeColor="text1"/>
          <w:highlight w:val="yellow"/>
          <w14:textFill>
            <w14:solidFill>
              <w14:schemeClr w14:val="tx1"/>
            </w14:solidFill>
          </w14:textFill>
        </w:rPr>
      </w:pPr>
      <w:r>
        <w:rPr>
          <w:rFonts w:hint="eastAsia" w:hAnsi="宋体"/>
          <w:bCs/>
          <w:color w:val="000000" w:themeColor="text1"/>
          <w14:textFill>
            <w14:solidFill>
              <w14:schemeClr w14:val="tx1"/>
            </w14:solidFill>
          </w14:textFill>
        </w:rPr>
        <w:t>（一）磋商小组将根据得分由高到低排列次序（得分相同时，以磋商报价由低到高顺序排列；得分相同且磋商报价相同的，按技术分优劣顺序排列）并推荐成交候选供应商。招标采购单位应当确定磋商小组推荐排名第一的成交候选人为成交人。排名第一的成交候选人放弃成交、因不可抗力提出不能履行合同，招标采购单位可以确定排名第二的成交候选人为成交人。排名第二的成交候选人因前款规定的同样原因不能签订合同的，招标采购单位可以确定排名第三的成交候选人为成交人，其余以此类推。采购人也可以决定重新采购。</w:t>
      </w:r>
    </w:p>
    <w:p w14:paraId="5DC96923">
      <w:pPr>
        <w:pStyle w:val="19"/>
        <w:spacing w:line="420" w:lineRule="exact"/>
        <w:ind w:firstLine="539" w:firstLineChars="257"/>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int="eastAsia" w:hAnsi="宋体"/>
          <w:bCs/>
          <w:color w:val="000000" w:themeColor="text1"/>
          <w:lang w:eastAsia="zh-CN"/>
          <w14:textFill>
            <w14:solidFill>
              <w14:schemeClr w14:val="tx1"/>
            </w14:solidFill>
          </w14:textFill>
        </w:rPr>
        <w:t>二</w:t>
      </w:r>
      <w:r>
        <w:rPr>
          <w:rFonts w:hint="eastAsia" w:hAnsi="宋体"/>
          <w:bCs/>
          <w:color w:val="000000" w:themeColor="text1"/>
          <w14:textFill>
            <w14:solidFill>
              <w14:schemeClr w14:val="tx1"/>
            </w14:solidFill>
          </w14:textFill>
        </w:rPr>
        <w:t>）成交</w:t>
      </w:r>
      <w:r>
        <w:rPr>
          <w:rFonts w:hint="eastAsia" w:hAnsi="宋体"/>
          <w:bCs/>
          <w:color w:val="000000" w:themeColor="text1"/>
          <w:lang w:eastAsia="zh-TW"/>
          <w14:textFill>
            <w14:solidFill>
              <w14:schemeClr w14:val="tx1"/>
            </w14:solidFill>
          </w14:textFill>
        </w:rPr>
        <w:t>推荐原则</w:t>
      </w:r>
      <w:r>
        <w:rPr>
          <w:rFonts w:hint="eastAsia" w:hAnsi="宋体"/>
          <w:bCs/>
          <w:color w:val="000000" w:themeColor="text1"/>
          <w14:textFill>
            <w14:solidFill>
              <w14:schemeClr w14:val="tx1"/>
            </w14:solidFill>
          </w14:textFill>
        </w:rPr>
        <w:t>：磋商供应商可</w:t>
      </w:r>
      <w:r>
        <w:rPr>
          <w:rFonts w:hint="eastAsia" w:hAnsi="宋体"/>
          <w:bCs/>
          <w:color w:val="000000" w:themeColor="text1"/>
          <w:lang w:eastAsia="zh-TW"/>
          <w14:textFill>
            <w14:solidFill>
              <w14:schemeClr w14:val="tx1"/>
            </w14:solidFill>
          </w14:textFill>
        </w:rPr>
        <w:t>对</w:t>
      </w:r>
      <w:r>
        <w:rPr>
          <w:rFonts w:hint="eastAsia" w:hAnsi="宋体"/>
          <w:bCs/>
          <w:color w:val="000000" w:themeColor="text1"/>
          <w14:textFill>
            <w14:solidFill>
              <w14:schemeClr w14:val="tx1"/>
            </w14:solidFill>
          </w14:textFill>
        </w:rPr>
        <w:t>所有分标</w:t>
      </w:r>
      <w:r>
        <w:rPr>
          <w:rFonts w:hint="eastAsia" w:hAnsi="宋体"/>
          <w:bCs/>
          <w:color w:val="000000" w:themeColor="text1"/>
          <w:lang w:eastAsia="zh-TW"/>
          <w14:textFill>
            <w14:solidFill>
              <w14:schemeClr w14:val="tx1"/>
            </w14:solidFill>
          </w14:textFill>
        </w:rPr>
        <w:t>进行</w:t>
      </w:r>
      <w:r>
        <w:rPr>
          <w:rFonts w:hint="eastAsia" w:hAnsi="宋体"/>
          <w:bCs/>
          <w:color w:val="000000" w:themeColor="text1"/>
          <w14:textFill>
            <w14:solidFill>
              <w14:schemeClr w14:val="tx1"/>
            </w14:solidFill>
          </w14:textFill>
        </w:rPr>
        <w:t>响应</w:t>
      </w:r>
      <w:r>
        <w:rPr>
          <w:rFonts w:hint="eastAsia" w:hAnsi="宋体"/>
          <w:bCs/>
          <w:color w:val="000000" w:themeColor="text1"/>
          <w:lang w:eastAsia="zh-TW"/>
          <w14:textFill>
            <w14:solidFill>
              <w14:schemeClr w14:val="tx1"/>
            </w14:solidFill>
          </w14:textFill>
        </w:rPr>
        <w:t>并报价，</w:t>
      </w:r>
      <w:r>
        <w:rPr>
          <w:rFonts w:hint="eastAsia" w:hAnsi="宋体"/>
          <w:bCs/>
          <w:color w:val="000000" w:themeColor="text1"/>
          <w14:textFill>
            <w14:solidFill>
              <w14:schemeClr w14:val="tx1"/>
            </w14:solidFill>
          </w14:textFill>
        </w:rPr>
        <w:t>一个供应商只能成交其中一个分标。</w:t>
      </w:r>
      <w:r>
        <w:rPr>
          <w:rFonts w:hint="eastAsia" w:hAnsi="宋体"/>
          <w:b/>
          <w:color w:val="000000" w:themeColor="text1"/>
          <w:highlight w:val="none"/>
          <w14:textFill>
            <w14:solidFill>
              <w14:schemeClr w14:val="tx1"/>
            </w14:solidFill>
          </w14:textFill>
        </w:rPr>
        <w:t>分标1、分标2的第一成交候选人不能再推荐为分标3第一成交候选人</w:t>
      </w:r>
      <w:r>
        <w:rPr>
          <w:rFonts w:hint="eastAsia" w:hAnsi="宋体"/>
          <w:bCs/>
          <w:color w:val="000000" w:themeColor="text1"/>
          <w:lang w:eastAsia="zh-TW"/>
          <w14:textFill>
            <w14:solidFill>
              <w14:schemeClr w14:val="tx1"/>
            </w14:solidFill>
          </w14:textFill>
        </w:rPr>
        <w:t>。</w:t>
      </w:r>
    </w:p>
    <w:p w14:paraId="12D35B01">
      <w:pPr>
        <w:pStyle w:val="33"/>
        <w:rPr>
          <w:rFonts w:hAnsi="宋体" w:eastAsia="PMingLiU"/>
          <w:bCs/>
          <w:color w:val="000000" w:themeColor="text1"/>
          <w:lang w:eastAsia="zh-TW"/>
          <w14:textFill>
            <w14:solidFill>
              <w14:schemeClr w14:val="tx1"/>
            </w14:solidFill>
          </w14:textFill>
        </w:rPr>
      </w:pPr>
    </w:p>
    <w:p w14:paraId="5156EF6F">
      <w:pPr>
        <w:pStyle w:val="33"/>
        <w:rPr>
          <w:rFonts w:hAnsi="宋体" w:eastAsia="PMingLiU"/>
          <w:bCs/>
          <w:color w:val="000000" w:themeColor="text1"/>
          <w:lang w:eastAsia="zh-TW"/>
          <w14:textFill>
            <w14:solidFill>
              <w14:schemeClr w14:val="tx1"/>
            </w14:solidFill>
          </w14:textFill>
        </w:rPr>
      </w:pPr>
    </w:p>
    <w:p w14:paraId="0F2C4666">
      <w:pPr>
        <w:pStyle w:val="33"/>
        <w:ind w:firstLine="422"/>
        <w:rPr>
          <w:rFonts w:hAnsi="宋体" w:cs="宋体"/>
          <w:bCs/>
          <w:color w:val="000000" w:themeColor="text1"/>
          <w:kern w:val="0"/>
          <w:szCs w:val="24"/>
          <w14:textFill>
            <w14:solidFill>
              <w14:schemeClr w14:val="tx1"/>
            </w14:solidFill>
          </w14:textFill>
        </w:rPr>
      </w:pPr>
    </w:p>
    <w:sectPr>
      <w:footerReference r:id="rId8" w:type="first"/>
      <w:footerReference r:id="rId7" w:type="default"/>
      <w:pgSz w:w="11906" w:h="16838"/>
      <w:pgMar w:top="1247" w:right="1247" w:bottom="1247" w:left="124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454D7E8-678D-47F5-8C85-7CD37882D57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D457622B-07D3-45EF-989A-879351065B3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7EDEBB2-9A65-4E4C-B8DE-EC80F1D547EE}"/>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4" w:fontKey="{811A2B4B-2968-43D7-BAF9-E0E0DBEAFDE6}"/>
  </w:font>
  <w:font w:name="仿宋">
    <w:panose1 w:val="02010609060101010101"/>
    <w:charset w:val="86"/>
    <w:family w:val="modern"/>
    <w:pitch w:val="default"/>
    <w:sig w:usb0="800002BF" w:usb1="38CF7CFA" w:usb2="00000016" w:usb3="00000000" w:csb0="00040001" w:csb1="00000000"/>
    <w:embedRegular r:id="rId5" w:fontKey="{E0B6FD9E-D7D8-405E-B8E7-8DA623F4F8ED}"/>
  </w:font>
  <w:font w:name="Arial Unicode MS">
    <w:panose1 w:val="020B0604020202020204"/>
    <w:charset w:val="86"/>
    <w:family w:val="auto"/>
    <w:pitch w:val="default"/>
    <w:sig w:usb0="FFFFFFFF" w:usb1="E9FFFFFF" w:usb2="0000003F" w:usb3="00000000" w:csb0="603F01FF" w:csb1="FFFF0000"/>
    <w:embedRegular r:id="rId6" w:fontKey="{B86EA055-2D89-4C98-8270-C895D6BE97DD}"/>
  </w:font>
  <w:font w:name="微软雅黑">
    <w:panose1 w:val="020B0503020204020204"/>
    <w:charset w:val="86"/>
    <w:family w:val="swiss"/>
    <w:pitch w:val="default"/>
    <w:sig w:usb0="80000287" w:usb1="2ACF3C50" w:usb2="00000016" w:usb3="00000000" w:csb0="0004001F" w:csb1="00000000"/>
    <w:embedRegular r:id="rId7" w:fontKey="{C70E297A-8164-4D8A-AC3C-B022405B9F6A}"/>
  </w:font>
  <w:font w:name="PMingLiU">
    <w:altName w:val="PMingLiU-ExtB"/>
    <w:panose1 w:val="02020500000000000000"/>
    <w:charset w:val="88"/>
    <w:family w:val="roman"/>
    <w:pitch w:val="default"/>
    <w:sig w:usb0="00000000" w:usb1="00000000" w:usb2="00000016" w:usb3="00000000" w:csb0="00100001" w:csb1="00000000"/>
    <w:embedRegular r:id="rId8" w:fontKey="{903CD05E-707A-454C-B48D-4E121DB1070E}"/>
  </w:font>
  <w:font w:name="PMingLiU-ExtB">
    <w:panose1 w:val="02020500000000000000"/>
    <w:charset w:val="88"/>
    <w:family w:val="auto"/>
    <w:pitch w:val="default"/>
    <w:sig w:usb0="8000002F" w:usb1="02000008" w:usb2="00000000" w:usb3="00000000" w:csb0="00100001" w:csb1="00000000"/>
  </w:font>
  <w:font w:name="汉仪书宋二S">
    <w:altName w:val="Times New Roman"/>
    <w:panose1 w:val="00000000000000000000"/>
    <w:charset w:val="00"/>
    <w:family w:val="auto"/>
    <w:pitch w:val="default"/>
    <w:sig w:usb0="00000000" w:usb1="00000000" w:usb2="00000000" w:usb3="00000000" w:csb0="00000000" w:csb1="00000000"/>
    <w:embedRegular r:id="rId9" w:fontKey="{575A8C6C-A591-4CE7-AFE7-B15EDCCD184F}"/>
  </w:font>
  <w:font w:name="WPSEMBED2">
    <w:panose1 w:val="020B0604020202020204"/>
    <w:charset w:val="86"/>
    <w:family w:val="auto"/>
    <w:pitch w:val="default"/>
    <w:sig w:usb0="FFFFFFFF" w:usb1="E9FFFFFF" w:usb2="0000003F" w:usb3="00000000" w:csb0="603F01FF" w:csb1="FFFF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0A37">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6C596">
    <w:pPr>
      <w:pStyle w:val="24"/>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61F23">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3115A8">
                          <w:pPr>
                            <w:pStyle w:val="24"/>
                          </w:pPr>
                          <w:r>
                            <w:fldChar w:fldCharType="begin"/>
                          </w:r>
                          <w:r>
                            <w:instrText xml:space="preserve"> PAGE  \* MERGEFORMAT </w:instrText>
                          </w:r>
                          <w:r>
                            <w:fldChar w:fldCharType="separate"/>
                          </w:r>
                          <w:r>
                            <w:t>48</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paY8EBAACNAwAADgAAAGRycy9lMm9Eb2MueG1srVPBjtMwEL0j8Q+W&#10;79TZI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OepaY8EBAACNAwAADgAAAAAAAAABACAAAAAeAQAAZHJzL2Uyb0RvYy54bWxQSwUG&#10;AAAAAAYABgBZAQAAUQUAAAAA&#10;">
              <v:fill on="f" focussize="0,0"/>
              <v:stroke on="f"/>
              <v:imagedata o:title=""/>
              <o:lock v:ext="edit" aspectratio="f"/>
              <v:textbox inset="0mm,0mm,0mm,0mm" style="mso-fit-shape-to-text:t;">
                <w:txbxContent>
                  <w:p w14:paraId="553115A8">
                    <w:pPr>
                      <w:pStyle w:val="24"/>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851A4">
    <w:pPr>
      <w:pStyle w:val="24"/>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185B09">
                          <w:pPr>
                            <w:pStyle w:val="24"/>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3RzcIBAACN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yt0c3CAQAAjQMAAA4AAAAAAAAAAQAgAAAAHgEAAGRycy9lMm9Eb2MueG1sUEsF&#10;BgAAAAAGAAYAWQEAAFIFAAAAAA==&#10;">
              <v:fill on="f" focussize="0,0"/>
              <v:stroke on="f"/>
              <v:imagedata o:title=""/>
              <o:lock v:ext="edit" aspectratio="f"/>
              <v:textbox inset="0mm,0mm,0mm,0mm" style="mso-fit-shape-to-text:t;">
                <w:txbxContent>
                  <w:p w14:paraId="6E185B09">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474F2">
    <w:pPr>
      <w:pStyle w:val="25"/>
      <w:jc w:val="right"/>
    </w:pPr>
    <w:r>
      <w:t xml:space="preserve">                    </w:t>
    </w:r>
    <w:r>
      <w:rPr>
        <w:rFonts w:hint="eastAsia"/>
      </w:rPr>
      <w:t xml:space="preserve">        </w:t>
    </w:r>
    <w:r>
      <w:rPr>
        <w:rFonts w:hint="eastAsia"/>
      </w:rPr>
      <w:fldChar w:fldCharType="begin"/>
    </w:r>
    <w:r>
      <w:rPr>
        <w:rFonts w:hint="eastAsia"/>
      </w:rPr>
      <w:instrText xml:space="preserve"> HYPERLINK "https://pay.gcy.zfcg.gxzf.gov.cn/budget-quota-index/" \l "/plan/list/_blank" \t "https://pay.gcy.zfcg.gxzf.gov.cn/purchaseplan_front/" </w:instrText>
    </w:r>
    <w:r>
      <w:rPr>
        <w:rFonts w:hint="eastAsia"/>
      </w:rPr>
      <w:fldChar w:fldCharType="separate"/>
    </w:r>
    <w:r>
      <w:rPr>
        <w:rFonts w:hint="eastAsia"/>
      </w:rPr>
      <w:fldChar w:fldCharType="begin"/>
    </w:r>
    <w:r>
      <w:rPr>
        <w:rFonts w:hint="eastAsia"/>
      </w:rPr>
      <w:instrText xml:space="preserve"> HYPERLINK "https://middle.gcy.zfcg.gxzf.gov.cn/budget-quota-index/" \l "/purchase/plan/details/22802899" \t "https://middle.gcy.zfcg.gxzf.gov.cn/purchaseplan_front/" \l "/plan/list/_blank" </w:instrText>
    </w:r>
    <w:r>
      <w:rPr>
        <w:rFonts w:hint="eastAsia"/>
      </w:rPr>
      <w:fldChar w:fldCharType="separate"/>
    </w:r>
    <w:r>
      <w:rPr>
        <w:rFonts w:hint="eastAsia"/>
      </w:rPr>
      <w:t>贺州学院2026-2028年互联网宽带接入服务</w:t>
    </w:r>
    <w:r>
      <w:rPr>
        <w:rFonts w:hint="eastAsia"/>
      </w:rPr>
      <w:fldChar w:fldCharType="end"/>
    </w:r>
    <w:r>
      <w:rPr>
        <w:rFonts w:hint="eastAsia"/>
      </w:rPr>
      <w:t>采购</w:t>
    </w:r>
    <w:r>
      <w:rPr>
        <w:rFonts w:hint="eastAsia"/>
      </w:rPr>
      <w:fldChar w:fldCharType="end"/>
    </w:r>
    <w:r>
      <w:rPr>
        <w:rFonts w:hint="eastAsia" w:cs="宋体"/>
      </w:rPr>
      <w:t>（GXZC2026-C3-00</w:t>
    </w:r>
    <w:r>
      <w:rPr>
        <w:rFonts w:hint="eastAsia" w:cs="宋体"/>
        <w:lang w:val="en-US" w:eastAsia="zh-CN"/>
      </w:rPr>
      <w:t>xx</w:t>
    </w:r>
    <w:r>
      <w:rPr>
        <w:rFonts w:hint="eastAsia" w:cs="宋体"/>
      </w:rPr>
      <w:t>-CGZX）</w:t>
    </w:r>
  </w:p>
  <w:p w14:paraId="550748A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FB859">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A8D57A"/>
    <w:multiLevelType w:val="singleLevel"/>
    <w:tmpl w:val="76A8D57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QwYTkyNTFkZjMwYzgzYTYyOGRlMzRlNWU1ZWVhYjcifQ=="/>
  </w:docVars>
  <w:rsids>
    <w:rsidRoot w:val="00172A27"/>
    <w:rsid w:val="00002E71"/>
    <w:rsid w:val="000046A2"/>
    <w:rsid w:val="00005AA5"/>
    <w:rsid w:val="00007BFC"/>
    <w:rsid w:val="00011411"/>
    <w:rsid w:val="00012946"/>
    <w:rsid w:val="000174B3"/>
    <w:rsid w:val="00021965"/>
    <w:rsid w:val="00022BF8"/>
    <w:rsid w:val="00022E20"/>
    <w:rsid w:val="000238B7"/>
    <w:rsid w:val="000335C0"/>
    <w:rsid w:val="00036169"/>
    <w:rsid w:val="00040014"/>
    <w:rsid w:val="0004257D"/>
    <w:rsid w:val="00043A5B"/>
    <w:rsid w:val="000443CD"/>
    <w:rsid w:val="000504BF"/>
    <w:rsid w:val="00051839"/>
    <w:rsid w:val="00052913"/>
    <w:rsid w:val="00056980"/>
    <w:rsid w:val="00057909"/>
    <w:rsid w:val="000600EB"/>
    <w:rsid w:val="00063A55"/>
    <w:rsid w:val="00065959"/>
    <w:rsid w:val="000662BF"/>
    <w:rsid w:val="00071D78"/>
    <w:rsid w:val="00072D28"/>
    <w:rsid w:val="000737A1"/>
    <w:rsid w:val="000742A7"/>
    <w:rsid w:val="0007467E"/>
    <w:rsid w:val="00076279"/>
    <w:rsid w:val="00076888"/>
    <w:rsid w:val="0007754A"/>
    <w:rsid w:val="00080EF3"/>
    <w:rsid w:val="000831CF"/>
    <w:rsid w:val="0008733C"/>
    <w:rsid w:val="00091754"/>
    <w:rsid w:val="0009362A"/>
    <w:rsid w:val="00095139"/>
    <w:rsid w:val="00095981"/>
    <w:rsid w:val="0009678C"/>
    <w:rsid w:val="000973DB"/>
    <w:rsid w:val="000A0524"/>
    <w:rsid w:val="000A05F5"/>
    <w:rsid w:val="000A4CEB"/>
    <w:rsid w:val="000A57CB"/>
    <w:rsid w:val="000A7AC0"/>
    <w:rsid w:val="000B017D"/>
    <w:rsid w:val="000B3B7D"/>
    <w:rsid w:val="000B3FC6"/>
    <w:rsid w:val="000B45BB"/>
    <w:rsid w:val="000B516B"/>
    <w:rsid w:val="000C5480"/>
    <w:rsid w:val="000C5C7B"/>
    <w:rsid w:val="000C73DD"/>
    <w:rsid w:val="000D255B"/>
    <w:rsid w:val="000D2922"/>
    <w:rsid w:val="000D293A"/>
    <w:rsid w:val="000D297B"/>
    <w:rsid w:val="000D31CC"/>
    <w:rsid w:val="000D6F6A"/>
    <w:rsid w:val="000D70B6"/>
    <w:rsid w:val="000E25E3"/>
    <w:rsid w:val="000E3817"/>
    <w:rsid w:val="000E458B"/>
    <w:rsid w:val="000E4EB9"/>
    <w:rsid w:val="000E5E32"/>
    <w:rsid w:val="000E7AE6"/>
    <w:rsid w:val="000F53B3"/>
    <w:rsid w:val="000F6A68"/>
    <w:rsid w:val="000F6CC3"/>
    <w:rsid w:val="000F72CF"/>
    <w:rsid w:val="00104185"/>
    <w:rsid w:val="0010436B"/>
    <w:rsid w:val="00105CDE"/>
    <w:rsid w:val="00106FE7"/>
    <w:rsid w:val="0010780D"/>
    <w:rsid w:val="0011370E"/>
    <w:rsid w:val="0011550C"/>
    <w:rsid w:val="00117751"/>
    <w:rsid w:val="00120D77"/>
    <w:rsid w:val="00124679"/>
    <w:rsid w:val="001255FC"/>
    <w:rsid w:val="00126896"/>
    <w:rsid w:val="00127186"/>
    <w:rsid w:val="001301BD"/>
    <w:rsid w:val="00136C7C"/>
    <w:rsid w:val="001371AC"/>
    <w:rsid w:val="00137466"/>
    <w:rsid w:val="0013772D"/>
    <w:rsid w:val="00141D29"/>
    <w:rsid w:val="00143156"/>
    <w:rsid w:val="001441F2"/>
    <w:rsid w:val="00145FA2"/>
    <w:rsid w:val="0014681C"/>
    <w:rsid w:val="00150DAA"/>
    <w:rsid w:val="00152000"/>
    <w:rsid w:val="0015259B"/>
    <w:rsid w:val="0015263B"/>
    <w:rsid w:val="00155069"/>
    <w:rsid w:val="0015598B"/>
    <w:rsid w:val="00155C97"/>
    <w:rsid w:val="00161BE7"/>
    <w:rsid w:val="00163A78"/>
    <w:rsid w:val="00163FB1"/>
    <w:rsid w:val="00166C7F"/>
    <w:rsid w:val="00172A27"/>
    <w:rsid w:val="00172A4B"/>
    <w:rsid w:val="0017496E"/>
    <w:rsid w:val="00175A9F"/>
    <w:rsid w:val="001772AA"/>
    <w:rsid w:val="00182BF5"/>
    <w:rsid w:val="00183B50"/>
    <w:rsid w:val="00185FA2"/>
    <w:rsid w:val="001879C7"/>
    <w:rsid w:val="001931FF"/>
    <w:rsid w:val="00193AB3"/>
    <w:rsid w:val="0019445C"/>
    <w:rsid w:val="001A05B5"/>
    <w:rsid w:val="001A6CF3"/>
    <w:rsid w:val="001B225C"/>
    <w:rsid w:val="001B50EE"/>
    <w:rsid w:val="001C1E35"/>
    <w:rsid w:val="001C3F8D"/>
    <w:rsid w:val="001C5E21"/>
    <w:rsid w:val="001C6DBD"/>
    <w:rsid w:val="001C7ACD"/>
    <w:rsid w:val="001C7DC3"/>
    <w:rsid w:val="001D0385"/>
    <w:rsid w:val="001D23DF"/>
    <w:rsid w:val="001D48BA"/>
    <w:rsid w:val="001D4BA2"/>
    <w:rsid w:val="001D688C"/>
    <w:rsid w:val="001E2371"/>
    <w:rsid w:val="001E3149"/>
    <w:rsid w:val="001E3B85"/>
    <w:rsid w:val="001E4D11"/>
    <w:rsid w:val="001E71BF"/>
    <w:rsid w:val="001E7D16"/>
    <w:rsid w:val="001E7D78"/>
    <w:rsid w:val="001F21D1"/>
    <w:rsid w:val="001F5AC0"/>
    <w:rsid w:val="001F7D43"/>
    <w:rsid w:val="00200DE0"/>
    <w:rsid w:val="0020177D"/>
    <w:rsid w:val="0020263D"/>
    <w:rsid w:val="002031B0"/>
    <w:rsid w:val="00210A63"/>
    <w:rsid w:val="00211875"/>
    <w:rsid w:val="00211B2A"/>
    <w:rsid w:val="002124A3"/>
    <w:rsid w:val="002127BE"/>
    <w:rsid w:val="0021485C"/>
    <w:rsid w:val="00216A53"/>
    <w:rsid w:val="00222278"/>
    <w:rsid w:val="002256A8"/>
    <w:rsid w:val="0023431F"/>
    <w:rsid w:val="002363C1"/>
    <w:rsid w:val="00237502"/>
    <w:rsid w:val="002409B1"/>
    <w:rsid w:val="002429F4"/>
    <w:rsid w:val="00242EC4"/>
    <w:rsid w:val="00244BA5"/>
    <w:rsid w:val="0024610D"/>
    <w:rsid w:val="00252A4D"/>
    <w:rsid w:val="00253740"/>
    <w:rsid w:val="00254982"/>
    <w:rsid w:val="00254D99"/>
    <w:rsid w:val="00255249"/>
    <w:rsid w:val="0025657C"/>
    <w:rsid w:val="00261853"/>
    <w:rsid w:val="002634EC"/>
    <w:rsid w:val="00264507"/>
    <w:rsid w:val="00265001"/>
    <w:rsid w:val="00266AB5"/>
    <w:rsid w:val="00267F69"/>
    <w:rsid w:val="002715D1"/>
    <w:rsid w:val="002773CF"/>
    <w:rsid w:val="002808BB"/>
    <w:rsid w:val="00281E06"/>
    <w:rsid w:val="002829AB"/>
    <w:rsid w:val="00283A5F"/>
    <w:rsid w:val="00286AF4"/>
    <w:rsid w:val="00291A45"/>
    <w:rsid w:val="00295500"/>
    <w:rsid w:val="002A00CB"/>
    <w:rsid w:val="002A26D3"/>
    <w:rsid w:val="002A3883"/>
    <w:rsid w:val="002A5705"/>
    <w:rsid w:val="002A6591"/>
    <w:rsid w:val="002A67E2"/>
    <w:rsid w:val="002B18D9"/>
    <w:rsid w:val="002B1FB3"/>
    <w:rsid w:val="002B5779"/>
    <w:rsid w:val="002B5DCA"/>
    <w:rsid w:val="002B7247"/>
    <w:rsid w:val="002C2580"/>
    <w:rsid w:val="002C6A8A"/>
    <w:rsid w:val="002D0025"/>
    <w:rsid w:val="002D3A71"/>
    <w:rsid w:val="002D4AFB"/>
    <w:rsid w:val="002D6A5C"/>
    <w:rsid w:val="002D71AF"/>
    <w:rsid w:val="002E0D71"/>
    <w:rsid w:val="002E3662"/>
    <w:rsid w:val="002E3FA9"/>
    <w:rsid w:val="002F1234"/>
    <w:rsid w:val="002F2F37"/>
    <w:rsid w:val="002F49B5"/>
    <w:rsid w:val="002F53DB"/>
    <w:rsid w:val="002F604D"/>
    <w:rsid w:val="002F6BFD"/>
    <w:rsid w:val="0030282F"/>
    <w:rsid w:val="003029FA"/>
    <w:rsid w:val="00304F54"/>
    <w:rsid w:val="00304F96"/>
    <w:rsid w:val="00305512"/>
    <w:rsid w:val="003059E0"/>
    <w:rsid w:val="00305E35"/>
    <w:rsid w:val="00305E98"/>
    <w:rsid w:val="00307252"/>
    <w:rsid w:val="0031085E"/>
    <w:rsid w:val="00310DF4"/>
    <w:rsid w:val="00312720"/>
    <w:rsid w:val="0032125A"/>
    <w:rsid w:val="00322DC2"/>
    <w:rsid w:val="00323260"/>
    <w:rsid w:val="00323B80"/>
    <w:rsid w:val="00325E58"/>
    <w:rsid w:val="00327AE5"/>
    <w:rsid w:val="003333F8"/>
    <w:rsid w:val="00333684"/>
    <w:rsid w:val="00333E7B"/>
    <w:rsid w:val="003346F5"/>
    <w:rsid w:val="0033721A"/>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24C"/>
    <w:rsid w:val="00377479"/>
    <w:rsid w:val="00383B4C"/>
    <w:rsid w:val="0038491F"/>
    <w:rsid w:val="00386789"/>
    <w:rsid w:val="00392BBC"/>
    <w:rsid w:val="003945E8"/>
    <w:rsid w:val="00394761"/>
    <w:rsid w:val="0039646B"/>
    <w:rsid w:val="003A0833"/>
    <w:rsid w:val="003A41EA"/>
    <w:rsid w:val="003A619F"/>
    <w:rsid w:val="003A68FA"/>
    <w:rsid w:val="003B7BD9"/>
    <w:rsid w:val="003C0370"/>
    <w:rsid w:val="003C2888"/>
    <w:rsid w:val="003C2916"/>
    <w:rsid w:val="003C2DD7"/>
    <w:rsid w:val="003C304C"/>
    <w:rsid w:val="003C3555"/>
    <w:rsid w:val="003C3D6F"/>
    <w:rsid w:val="003C739E"/>
    <w:rsid w:val="003C7C88"/>
    <w:rsid w:val="003D0570"/>
    <w:rsid w:val="003D14A0"/>
    <w:rsid w:val="003D1C72"/>
    <w:rsid w:val="003D1E3A"/>
    <w:rsid w:val="003D683C"/>
    <w:rsid w:val="003E179B"/>
    <w:rsid w:val="003E1802"/>
    <w:rsid w:val="003E55A5"/>
    <w:rsid w:val="003E787D"/>
    <w:rsid w:val="003F1E77"/>
    <w:rsid w:val="003F3A0F"/>
    <w:rsid w:val="003F4D7A"/>
    <w:rsid w:val="003F50FF"/>
    <w:rsid w:val="003F66C8"/>
    <w:rsid w:val="00401872"/>
    <w:rsid w:val="00401D7F"/>
    <w:rsid w:val="004023F4"/>
    <w:rsid w:val="004058CB"/>
    <w:rsid w:val="00411067"/>
    <w:rsid w:val="00417AB2"/>
    <w:rsid w:val="004205B2"/>
    <w:rsid w:val="004214F5"/>
    <w:rsid w:val="004220B8"/>
    <w:rsid w:val="00422C6A"/>
    <w:rsid w:val="004303D6"/>
    <w:rsid w:val="00430C90"/>
    <w:rsid w:val="004340F6"/>
    <w:rsid w:val="00435EDC"/>
    <w:rsid w:val="0043740D"/>
    <w:rsid w:val="00441C39"/>
    <w:rsid w:val="00447472"/>
    <w:rsid w:val="004516E9"/>
    <w:rsid w:val="00451EF3"/>
    <w:rsid w:val="0045278F"/>
    <w:rsid w:val="00455345"/>
    <w:rsid w:val="00455B68"/>
    <w:rsid w:val="00460134"/>
    <w:rsid w:val="004602C0"/>
    <w:rsid w:val="00462CC4"/>
    <w:rsid w:val="00464BAB"/>
    <w:rsid w:val="00477C37"/>
    <w:rsid w:val="00481615"/>
    <w:rsid w:val="0048166A"/>
    <w:rsid w:val="00481942"/>
    <w:rsid w:val="00482D2C"/>
    <w:rsid w:val="0048402E"/>
    <w:rsid w:val="0048466E"/>
    <w:rsid w:val="00484A7E"/>
    <w:rsid w:val="00486544"/>
    <w:rsid w:val="0048753E"/>
    <w:rsid w:val="00490D0D"/>
    <w:rsid w:val="004A0DC2"/>
    <w:rsid w:val="004A5A71"/>
    <w:rsid w:val="004B00F7"/>
    <w:rsid w:val="004B0795"/>
    <w:rsid w:val="004B099C"/>
    <w:rsid w:val="004B4466"/>
    <w:rsid w:val="004B5DC2"/>
    <w:rsid w:val="004C16F6"/>
    <w:rsid w:val="004C5025"/>
    <w:rsid w:val="004C7826"/>
    <w:rsid w:val="004D2A14"/>
    <w:rsid w:val="004D3C50"/>
    <w:rsid w:val="004D3EDA"/>
    <w:rsid w:val="004E0174"/>
    <w:rsid w:val="004E138E"/>
    <w:rsid w:val="004E281E"/>
    <w:rsid w:val="004E28B4"/>
    <w:rsid w:val="004E62E4"/>
    <w:rsid w:val="004F2AA1"/>
    <w:rsid w:val="004F2DCC"/>
    <w:rsid w:val="004F34D1"/>
    <w:rsid w:val="004F78C9"/>
    <w:rsid w:val="0050404E"/>
    <w:rsid w:val="00507283"/>
    <w:rsid w:val="00510AEF"/>
    <w:rsid w:val="00513251"/>
    <w:rsid w:val="005167F9"/>
    <w:rsid w:val="0052344F"/>
    <w:rsid w:val="005253BB"/>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66B16"/>
    <w:rsid w:val="0057278A"/>
    <w:rsid w:val="00574CCA"/>
    <w:rsid w:val="00576B72"/>
    <w:rsid w:val="00580B33"/>
    <w:rsid w:val="00582939"/>
    <w:rsid w:val="00582F57"/>
    <w:rsid w:val="00584E1F"/>
    <w:rsid w:val="005A0524"/>
    <w:rsid w:val="005A38C9"/>
    <w:rsid w:val="005A3CE1"/>
    <w:rsid w:val="005A70CD"/>
    <w:rsid w:val="005B2751"/>
    <w:rsid w:val="005B2B1E"/>
    <w:rsid w:val="005C00C7"/>
    <w:rsid w:val="005C2DD3"/>
    <w:rsid w:val="005C4904"/>
    <w:rsid w:val="005C62EE"/>
    <w:rsid w:val="005D1E46"/>
    <w:rsid w:val="005D2854"/>
    <w:rsid w:val="005D289E"/>
    <w:rsid w:val="005D4BF6"/>
    <w:rsid w:val="005D66B8"/>
    <w:rsid w:val="005E451F"/>
    <w:rsid w:val="005F442C"/>
    <w:rsid w:val="005F49B3"/>
    <w:rsid w:val="00607087"/>
    <w:rsid w:val="006120C9"/>
    <w:rsid w:val="00616B1F"/>
    <w:rsid w:val="00621F9B"/>
    <w:rsid w:val="00623E61"/>
    <w:rsid w:val="00626465"/>
    <w:rsid w:val="00631A51"/>
    <w:rsid w:val="0063588F"/>
    <w:rsid w:val="00635994"/>
    <w:rsid w:val="00637B39"/>
    <w:rsid w:val="00637C81"/>
    <w:rsid w:val="00644E84"/>
    <w:rsid w:val="006451A1"/>
    <w:rsid w:val="00647615"/>
    <w:rsid w:val="00652076"/>
    <w:rsid w:val="00655872"/>
    <w:rsid w:val="0065769E"/>
    <w:rsid w:val="00660B76"/>
    <w:rsid w:val="00661310"/>
    <w:rsid w:val="00662755"/>
    <w:rsid w:val="00663E22"/>
    <w:rsid w:val="00676566"/>
    <w:rsid w:val="00676EE0"/>
    <w:rsid w:val="006801F7"/>
    <w:rsid w:val="0068404A"/>
    <w:rsid w:val="006903C5"/>
    <w:rsid w:val="00691874"/>
    <w:rsid w:val="006963B8"/>
    <w:rsid w:val="006A02A8"/>
    <w:rsid w:val="006A1FA8"/>
    <w:rsid w:val="006A51A2"/>
    <w:rsid w:val="006A6383"/>
    <w:rsid w:val="006B2C0C"/>
    <w:rsid w:val="006B3592"/>
    <w:rsid w:val="006B457F"/>
    <w:rsid w:val="006B6507"/>
    <w:rsid w:val="006C01D7"/>
    <w:rsid w:val="006C3D78"/>
    <w:rsid w:val="006C62C6"/>
    <w:rsid w:val="006C7624"/>
    <w:rsid w:val="006D0E89"/>
    <w:rsid w:val="006D4489"/>
    <w:rsid w:val="006E0FBC"/>
    <w:rsid w:val="006E2595"/>
    <w:rsid w:val="006E6A3D"/>
    <w:rsid w:val="006E7329"/>
    <w:rsid w:val="006F0525"/>
    <w:rsid w:val="006F1B04"/>
    <w:rsid w:val="006F3D6E"/>
    <w:rsid w:val="006F45D7"/>
    <w:rsid w:val="007011F6"/>
    <w:rsid w:val="0070620C"/>
    <w:rsid w:val="00707397"/>
    <w:rsid w:val="00710BD0"/>
    <w:rsid w:val="007114DE"/>
    <w:rsid w:val="00714F9F"/>
    <w:rsid w:val="0071539E"/>
    <w:rsid w:val="00715690"/>
    <w:rsid w:val="0072404B"/>
    <w:rsid w:val="00726FB1"/>
    <w:rsid w:val="0073541D"/>
    <w:rsid w:val="0073672A"/>
    <w:rsid w:val="00742F52"/>
    <w:rsid w:val="00743BBE"/>
    <w:rsid w:val="007453AF"/>
    <w:rsid w:val="00745913"/>
    <w:rsid w:val="0074654E"/>
    <w:rsid w:val="00747A03"/>
    <w:rsid w:val="007500DF"/>
    <w:rsid w:val="00751881"/>
    <w:rsid w:val="0075603E"/>
    <w:rsid w:val="00756C0E"/>
    <w:rsid w:val="00760617"/>
    <w:rsid w:val="00765117"/>
    <w:rsid w:val="007666DA"/>
    <w:rsid w:val="00770898"/>
    <w:rsid w:val="00770A2A"/>
    <w:rsid w:val="00770FED"/>
    <w:rsid w:val="00773067"/>
    <w:rsid w:val="007733FE"/>
    <w:rsid w:val="00774B1C"/>
    <w:rsid w:val="00776461"/>
    <w:rsid w:val="00782861"/>
    <w:rsid w:val="007832B5"/>
    <w:rsid w:val="00786082"/>
    <w:rsid w:val="00786B01"/>
    <w:rsid w:val="00790535"/>
    <w:rsid w:val="00790563"/>
    <w:rsid w:val="00793C39"/>
    <w:rsid w:val="00797707"/>
    <w:rsid w:val="00797B1C"/>
    <w:rsid w:val="007A6069"/>
    <w:rsid w:val="007A6480"/>
    <w:rsid w:val="007A6EE1"/>
    <w:rsid w:val="007B06B4"/>
    <w:rsid w:val="007B0A6A"/>
    <w:rsid w:val="007B33EA"/>
    <w:rsid w:val="007B44CA"/>
    <w:rsid w:val="007C1898"/>
    <w:rsid w:val="007C4425"/>
    <w:rsid w:val="007C443E"/>
    <w:rsid w:val="007D26AA"/>
    <w:rsid w:val="007D3245"/>
    <w:rsid w:val="007D4FDA"/>
    <w:rsid w:val="007D5166"/>
    <w:rsid w:val="007D593D"/>
    <w:rsid w:val="007D5CF1"/>
    <w:rsid w:val="007D6F21"/>
    <w:rsid w:val="007E029D"/>
    <w:rsid w:val="007E0703"/>
    <w:rsid w:val="007E1AE9"/>
    <w:rsid w:val="007E1E0A"/>
    <w:rsid w:val="007E1EB2"/>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2CDB"/>
    <w:rsid w:val="0082597C"/>
    <w:rsid w:val="00830092"/>
    <w:rsid w:val="008355A9"/>
    <w:rsid w:val="008372E0"/>
    <w:rsid w:val="00837905"/>
    <w:rsid w:val="00841E19"/>
    <w:rsid w:val="008429CE"/>
    <w:rsid w:val="0084501B"/>
    <w:rsid w:val="0084596D"/>
    <w:rsid w:val="00846123"/>
    <w:rsid w:val="00851360"/>
    <w:rsid w:val="008563A7"/>
    <w:rsid w:val="00856C1A"/>
    <w:rsid w:val="00857CD1"/>
    <w:rsid w:val="00857D21"/>
    <w:rsid w:val="0086002E"/>
    <w:rsid w:val="00861DDB"/>
    <w:rsid w:val="0086319E"/>
    <w:rsid w:val="008658BF"/>
    <w:rsid w:val="00867849"/>
    <w:rsid w:val="00867879"/>
    <w:rsid w:val="00867BD6"/>
    <w:rsid w:val="00870B47"/>
    <w:rsid w:val="00874464"/>
    <w:rsid w:val="008802BB"/>
    <w:rsid w:val="00886548"/>
    <w:rsid w:val="008866B4"/>
    <w:rsid w:val="00891D4A"/>
    <w:rsid w:val="008925A3"/>
    <w:rsid w:val="0089403C"/>
    <w:rsid w:val="00894EF2"/>
    <w:rsid w:val="00896E00"/>
    <w:rsid w:val="008A2EC1"/>
    <w:rsid w:val="008A3822"/>
    <w:rsid w:val="008A57DC"/>
    <w:rsid w:val="008A62C0"/>
    <w:rsid w:val="008A764A"/>
    <w:rsid w:val="008B254C"/>
    <w:rsid w:val="008B28F3"/>
    <w:rsid w:val="008B2B53"/>
    <w:rsid w:val="008B2F51"/>
    <w:rsid w:val="008B3DA5"/>
    <w:rsid w:val="008B751B"/>
    <w:rsid w:val="008C03FB"/>
    <w:rsid w:val="008C05E8"/>
    <w:rsid w:val="008C1F29"/>
    <w:rsid w:val="008C4436"/>
    <w:rsid w:val="008C6CE5"/>
    <w:rsid w:val="008C728E"/>
    <w:rsid w:val="008D09F9"/>
    <w:rsid w:val="008E3F4F"/>
    <w:rsid w:val="008E51DC"/>
    <w:rsid w:val="008E6228"/>
    <w:rsid w:val="008E72C7"/>
    <w:rsid w:val="008E7E97"/>
    <w:rsid w:val="008F1F0E"/>
    <w:rsid w:val="008F4162"/>
    <w:rsid w:val="008F7C8D"/>
    <w:rsid w:val="00903BC2"/>
    <w:rsid w:val="009046CB"/>
    <w:rsid w:val="00906673"/>
    <w:rsid w:val="00907581"/>
    <w:rsid w:val="00907F0E"/>
    <w:rsid w:val="00910112"/>
    <w:rsid w:val="009106F8"/>
    <w:rsid w:val="00912077"/>
    <w:rsid w:val="009120B6"/>
    <w:rsid w:val="009132F0"/>
    <w:rsid w:val="00917B21"/>
    <w:rsid w:val="009222B9"/>
    <w:rsid w:val="0092368B"/>
    <w:rsid w:val="00924D8F"/>
    <w:rsid w:val="009255B7"/>
    <w:rsid w:val="00927389"/>
    <w:rsid w:val="00927AF5"/>
    <w:rsid w:val="00930B38"/>
    <w:rsid w:val="00932F47"/>
    <w:rsid w:val="0093374A"/>
    <w:rsid w:val="00936DC7"/>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6837"/>
    <w:rsid w:val="00987502"/>
    <w:rsid w:val="00996828"/>
    <w:rsid w:val="009A356B"/>
    <w:rsid w:val="009A5504"/>
    <w:rsid w:val="009A5EFC"/>
    <w:rsid w:val="009A7A13"/>
    <w:rsid w:val="009A7F02"/>
    <w:rsid w:val="009A7F34"/>
    <w:rsid w:val="009B05BE"/>
    <w:rsid w:val="009B266D"/>
    <w:rsid w:val="009B30CA"/>
    <w:rsid w:val="009B3FC2"/>
    <w:rsid w:val="009B4AE5"/>
    <w:rsid w:val="009B4F54"/>
    <w:rsid w:val="009B7E33"/>
    <w:rsid w:val="009C1042"/>
    <w:rsid w:val="009C200B"/>
    <w:rsid w:val="009C7453"/>
    <w:rsid w:val="009D242A"/>
    <w:rsid w:val="009D2B53"/>
    <w:rsid w:val="009D3EF4"/>
    <w:rsid w:val="009E033B"/>
    <w:rsid w:val="009E279D"/>
    <w:rsid w:val="009E3700"/>
    <w:rsid w:val="009F389B"/>
    <w:rsid w:val="009F779F"/>
    <w:rsid w:val="00A0160E"/>
    <w:rsid w:val="00A02796"/>
    <w:rsid w:val="00A028F7"/>
    <w:rsid w:val="00A02B7E"/>
    <w:rsid w:val="00A033BC"/>
    <w:rsid w:val="00A037FF"/>
    <w:rsid w:val="00A0506A"/>
    <w:rsid w:val="00A06A3C"/>
    <w:rsid w:val="00A136F0"/>
    <w:rsid w:val="00A13B1D"/>
    <w:rsid w:val="00A17B87"/>
    <w:rsid w:val="00A22E34"/>
    <w:rsid w:val="00A24A75"/>
    <w:rsid w:val="00A26B98"/>
    <w:rsid w:val="00A34F7B"/>
    <w:rsid w:val="00A40DE6"/>
    <w:rsid w:val="00A41AF3"/>
    <w:rsid w:val="00A43E27"/>
    <w:rsid w:val="00A44B7D"/>
    <w:rsid w:val="00A5143E"/>
    <w:rsid w:val="00A51D83"/>
    <w:rsid w:val="00A52201"/>
    <w:rsid w:val="00A524B8"/>
    <w:rsid w:val="00A54655"/>
    <w:rsid w:val="00A56D5F"/>
    <w:rsid w:val="00A57788"/>
    <w:rsid w:val="00A600CD"/>
    <w:rsid w:val="00A6177E"/>
    <w:rsid w:val="00A6333F"/>
    <w:rsid w:val="00A64D61"/>
    <w:rsid w:val="00A67823"/>
    <w:rsid w:val="00A72157"/>
    <w:rsid w:val="00A72787"/>
    <w:rsid w:val="00A72A01"/>
    <w:rsid w:val="00A73499"/>
    <w:rsid w:val="00A73D80"/>
    <w:rsid w:val="00A7527E"/>
    <w:rsid w:val="00A8475F"/>
    <w:rsid w:val="00A85057"/>
    <w:rsid w:val="00A851E3"/>
    <w:rsid w:val="00A8663A"/>
    <w:rsid w:val="00A92856"/>
    <w:rsid w:val="00A96DA9"/>
    <w:rsid w:val="00AA3D3E"/>
    <w:rsid w:val="00AA6225"/>
    <w:rsid w:val="00AB0419"/>
    <w:rsid w:val="00AB045F"/>
    <w:rsid w:val="00AB12B8"/>
    <w:rsid w:val="00AB463E"/>
    <w:rsid w:val="00AC04E1"/>
    <w:rsid w:val="00AC0A53"/>
    <w:rsid w:val="00AC252E"/>
    <w:rsid w:val="00AC288F"/>
    <w:rsid w:val="00AC2BF6"/>
    <w:rsid w:val="00AC624A"/>
    <w:rsid w:val="00AC7421"/>
    <w:rsid w:val="00AC7EEC"/>
    <w:rsid w:val="00AD0ABD"/>
    <w:rsid w:val="00AD0B5A"/>
    <w:rsid w:val="00AD0FFD"/>
    <w:rsid w:val="00AD143D"/>
    <w:rsid w:val="00AD1717"/>
    <w:rsid w:val="00AD4D42"/>
    <w:rsid w:val="00AE2421"/>
    <w:rsid w:val="00AE4320"/>
    <w:rsid w:val="00AE48AF"/>
    <w:rsid w:val="00AE6E74"/>
    <w:rsid w:val="00AF06DF"/>
    <w:rsid w:val="00AF1452"/>
    <w:rsid w:val="00AF1819"/>
    <w:rsid w:val="00AF1A9B"/>
    <w:rsid w:val="00AF397E"/>
    <w:rsid w:val="00AF54E8"/>
    <w:rsid w:val="00AF5F63"/>
    <w:rsid w:val="00AF6F4F"/>
    <w:rsid w:val="00AF7603"/>
    <w:rsid w:val="00B010C5"/>
    <w:rsid w:val="00B0196B"/>
    <w:rsid w:val="00B01A88"/>
    <w:rsid w:val="00B0412C"/>
    <w:rsid w:val="00B125A3"/>
    <w:rsid w:val="00B12EFE"/>
    <w:rsid w:val="00B1350C"/>
    <w:rsid w:val="00B13A84"/>
    <w:rsid w:val="00B160B5"/>
    <w:rsid w:val="00B17DAC"/>
    <w:rsid w:val="00B2161B"/>
    <w:rsid w:val="00B21E9A"/>
    <w:rsid w:val="00B27834"/>
    <w:rsid w:val="00B27D44"/>
    <w:rsid w:val="00B3637C"/>
    <w:rsid w:val="00B37A80"/>
    <w:rsid w:val="00B4044D"/>
    <w:rsid w:val="00B4118A"/>
    <w:rsid w:val="00B41749"/>
    <w:rsid w:val="00B42BB6"/>
    <w:rsid w:val="00B43075"/>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1A8D"/>
    <w:rsid w:val="00B733E9"/>
    <w:rsid w:val="00B73410"/>
    <w:rsid w:val="00B74F65"/>
    <w:rsid w:val="00B825C2"/>
    <w:rsid w:val="00B844F3"/>
    <w:rsid w:val="00B8510B"/>
    <w:rsid w:val="00B85A2A"/>
    <w:rsid w:val="00B87676"/>
    <w:rsid w:val="00B90B10"/>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1F2"/>
    <w:rsid w:val="00BC4F35"/>
    <w:rsid w:val="00BC56E9"/>
    <w:rsid w:val="00BC6746"/>
    <w:rsid w:val="00BD07B3"/>
    <w:rsid w:val="00BD1524"/>
    <w:rsid w:val="00BD2311"/>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429E"/>
    <w:rsid w:val="00BF60BE"/>
    <w:rsid w:val="00C017F8"/>
    <w:rsid w:val="00C15667"/>
    <w:rsid w:val="00C16BEE"/>
    <w:rsid w:val="00C16CD1"/>
    <w:rsid w:val="00C17064"/>
    <w:rsid w:val="00C171C2"/>
    <w:rsid w:val="00C17DBF"/>
    <w:rsid w:val="00C20F76"/>
    <w:rsid w:val="00C21161"/>
    <w:rsid w:val="00C23821"/>
    <w:rsid w:val="00C24CB6"/>
    <w:rsid w:val="00C24D3D"/>
    <w:rsid w:val="00C24E87"/>
    <w:rsid w:val="00C27982"/>
    <w:rsid w:val="00C32E3A"/>
    <w:rsid w:val="00C33334"/>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0611"/>
    <w:rsid w:val="00C727EB"/>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13BF"/>
    <w:rsid w:val="00CC310C"/>
    <w:rsid w:val="00CC325B"/>
    <w:rsid w:val="00CC4A04"/>
    <w:rsid w:val="00CC7134"/>
    <w:rsid w:val="00CD2318"/>
    <w:rsid w:val="00CD5681"/>
    <w:rsid w:val="00CE2064"/>
    <w:rsid w:val="00CE20BE"/>
    <w:rsid w:val="00CE3A67"/>
    <w:rsid w:val="00CE7036"/>
    <w:rsid w:val="00CF480A"/>
    <w:rsid w:val="00CF74B8"/>
    <w:rsid w:val="00D00832"/>
    <w:rsid w:val="00D00AA1"/>
    <w:rsid w:val="00D04E70"/>
    <w:rsid w:val="00D0682D"/>
    <w:rsid w:val="00D11332"/>
    <w:rsid w:val="00D134C3"/>
    <w:rsid w:val="00D14632"/>
    <w:rsid w:val="00D14BFB"/>
    <w:rsid w:val="00D14E3E"/>
    <w:rsid w:val="00D17A09"/>
    <w:rsid w:val="00D200D1"/>
    <w:rsid w:val="00D24097"/>
    <w:rsid w:val="00D255EB"/>
    <w:rsid w:val="00D25FD8"/>
    <w:rsid w:val="00D26002"/>
    <w:rsid w:val="00D27FA5"/>
    <w:rsid w:val="00D333FD"/>
    <w:rsid w:val="00D33452"/>
    <w:rsid w:val="00D36D8F"/>
    <w:rsid w:val="00D418F5"/>
    <w:rsid w:val="00D41BA6"/>
    <w:rsid w:val="00D42862"/>
    <w:rsid w:val="00D433A7"/>
    <w:rsid w:val="00D45A00"/>
    <w:rsid w:val="00D53014"/>
    <w:rsid w:val="00D61485"/>
    <w:rsid w:val="00D65B2C"/>
    <w:rsid w:val="00D66C9E"/>
    <w:rsid w:val="00D7375A"/>
    <w:rsid w:val="00D7701C"/>
    <w:rsid w:val="00D80EB8"/>
    <w:rsid w:val="00D82220"/>
    <w:rsid w:val="00D82856"/>
    <w:rsid w:val="00D83193"/>
    <w:rsid w:val="00D83ABA"/>
    <w:rsid w:val="00D90E0C"/>
    <w:rsid w:val="00D90F50"/>
    <w:rsid w:val="00DA4E66"/>
    <w:rsid w:val="00DA5384"/>
    <w:rsid w:val="00DA6A75"/>
    <w:rsid w:val="00DA7AD9"/>
    <w:rsid w:val="00DB1BE4"/>
    <w:rsid w:val="00DB21EB"/>
    <w:rsid w:val="00DB237D"/>
    <w:rsid w:val="00DB6595"/>
    <w:rsid w:val="00DB6EEB"/>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3E32"/>
    <w:rsid w:val="00E05F23"/>
    <w:rsid w:val="00E102BE"/>
    <w:rsid w:val="00E118AB"/>
    <w:rsid w:val="00E12772"/>
    <w:rsid w:val="00E128DE"/>
    <w:rsid w:val="00E157A4"/>
    <w:rsid w:val="00E15880"/>
    <w:rsid w:val="00E158D6"/>
    <w:rsid w:val="00E15A90"/>
    <w:rsid w:val="00E15C6D"/>
    <w:rsid w:val="00E171DD"/>
    <w:rsid w:val="00E20085"/>
    <w:rsid w:val="00E23ED0"/>
    <w:rsid w:val="00E275E8"/>
    <w:rsid w:val="00E309FE"/>
    <w:rsid w:val="00E32AC1"/>
    <w:rsid w:val="00E370F7"/>
    <w:rsid w:val="00E429AD"/>
    <w:rsid w:val="00E441C8"/>
    <w:rsid w:val="00E44EBB"/>
    <w:rsid w:val="00E4643B"/>
    <w:rsid w:val="00E46F8B"/>
    <w:rsid w:val="00E47F2A"/>
    <w:rsid w:val="00E5057B"/>
    <w:rsid w:val="00E60BC2"/>
    <w:rsid w:val="00E621B0"/>
    <w:rsid w:val="00E62265"/>
    <w:rsid w:val="00E63FCC"/>
    <w:rsid w:val="00E70521"/>
    <w:rsid w:val="00E709D2"/>
    <w:rsid w:val="00E7100D"/>
    <w:rsid w:val="00E71709"/>
    <w:rsid w:val="00E74171"/>
    <w:rsid w:val="00E7589F"/>
    <w:rsid w:val="00E75A98"/>
    <w:rsid w:val="00E80EDF"/>
    <w:rsid w:val="00E815B0"/>
    <w:rsid w:val="00E86FFC"/>
    <w:rsid w:val="00E87F3A"/>
    <w:rsid w:val="00E90E42"/>
    <w:rsid w:val="00E94CEA"/>
    <w:rsid w:val="00E95E18"/>
    <w:rsid w:val="00E961DA"/>
    <w:rsid w:val="00E969AE"/>
    <w:rsid w:val="00EA2A4B"/>
    <w:rsid w:val="00EA6CF0"/>
    <w:rsid w:val="00EA7751"/>
    <w:rsid w:val="00EB0CD1"/>
    <w:rsid w:val="00EB63E8"/>
    <w:rsid w:val="00EB6E6A"/>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071EC"/>
    <w:rsid w:val="00F13013"/>
    <w:rsid w:val="00F13FE7"/>
    <w:rsid w:val="00F15D49"/>
    <w:rsid w:val="00F16EA9"/>
    <w:rsid w:val="00F252C3"/>
    <w:rsid w:val="00F25464"/>
    <w:rsid w:val="00F255A6"/>
    <w:rsid w:val="00F25796"/>
    <w:rsid w:val="00F26040"/>
    <w:rsid w:val="00F26DE4"/>
    <w:rsid w:val="00F319B3"/>
    <w:rsid w:val="00F33422"/>
    <w:rsid w:val="00F36C68"/>
    <w:rsid w:val="00F427E7"/>
    <w:rsid w:val="00F472F5"/>
    <w:rsid w:val="00F47E6C"/>
    <w:rsid w:val="00F5100B"/>
    <w:rsid w:val="00F52193"/>
    <w:rsid w:val="00F5616E"/>
    <w:rsid w:val="00F611BC"/>
    <w:rsid w:val="00F636B0"/>
    <w:rsid w:val="00F6709B"/>
    <w:rsid w:val="00F67B3E"/>
    <w:rsid w:val="00F7156A"/>
    <w:rsid w:val="00F721E3"/>
    <w:rsid w:val="00F737AF"/>
    <w:rsid w:val="00F76C8B"/>
    <w:rsid w:val="00F77065"/>
    <w:rsid w:val="00F82DB6"/>
    <w:rsid w:val="00F914C3"/>
    <w:rsid w:val="00F94AB8"/>
    <w:rsid w:val="00F94F65"/>
    <w:rsid w:val="00F965A0"/>
    <w:rsid w:val="00FA021D"/>
    <w:rsid w:val="00FA046A"/>
    <w:rsid w:val="00FA1429"/>
    <w:rsid w:val="00FA5730"/>
    <w:rsid w:val="00FA6FCF"/>
    <w:rsid w:val="00FB233A"/>
    <w:rsid w:val="00FB44C5"/>
    <w:rsid w:val="00FB51F2"/>
    <w:rsid w:val="00FB6FF4"/>
    <w:rsid w:val="00FC0696"/>
    <w:rsid w:val="00FC23BC"/>
    <w:rsid w:val="00FC514E"/>
    <w:rsid w:val="00FC63C3"/>
    <w:rsid w:val="00FC6814"/>
    <w:rsid w:val="00FD2A6B"/>
    <w:rsid w:val="00FD4BF0"/>
    <w:rsid w:val="00FE2DEC"/>
    <w:rsid w:val="00FE356F"/>
    <w:rsid w:val="00FF07F1"/>
    <w:rsid w:val="00FF0C03"/>
    <w:rsid w:val="00FF299A"/>
    <w:rsid w:val="00FF489C"/>
    <w:rsid w:val="00FF5E0B"/>
    <w:rsid w:val="012B0AF2"/>
    <w:rsid w:val="034E22E5"/>
    <w:rsid w:val="04010A71"/>
    <w:rsid w:val="040B052F"/>
    <w:rsid w:val="05685F23"/>
    <w:rsid w:val="05722DFB"/>
    <w:rsid w:val="068C79F0"/>
    <w:rsid w:val="06FB0720"/>
    <w:rsid w:val="07013F3A"/>
    <w:rsid w:val="073EA0F0"/>
    <w:rsid w:val="075AF563"/>
    <w:rsid w:val="077566D6"/>
    <w:rsid w:val="07C43B4C"/>
    <w:rsid w:val="07C733D5"/>
    <w:rsid w:val="083FC648"/>
    <w:rsid w:val="0865499C"/>
    <w:rsid w:val="08AF4D90"/>
    <w:rsid w:val="093566C0"/>
    <w:rsid w:val="099077F7"/>
    <w:rsid w:val="099246EA"/>
    <w:rsid w:val="0B022976"/>
    <w:rsid w:val="0B1D50BA"/>
    <w:rsid w:val="0B4772EB"/>
    <w:rsid w:val="0B5548B2"/>
    <w:rsid w:val="0B707905"/>
    <w:rsid w:val="0C6F5DE9"/>
    <w:rsid w:val="0D333C9C"/>
    <w:rsid w:val="0D3B6CD1"/>
    <w:rsid w:val="0D5E57B3"/>
    <w:rsid w:val="0D6C40D7"/>
    <w:rsid w:val="0DDCAF9B"/>
    <w:rsid w:val="0DF14AD2"/>
    <w:rsid w:val="0E235DB6"/>
    <w:rsid w:val="0E8E5690"/>
    <w:rsid w:val="0EFD5E41"/>
    <w:rsid w:val="0F7C5683"/>
    <w:rsid w:val="0FBE7ABC"/>
    <w:rsid w:val="0FF569FA"/>
    <w:rsid w:val="10C300F7"/>
    <w:rsid w:val="11320F33"/>
    <w:rsid w:val="129836AE"/>
    <w:rsid w:val="139879D4"/>
    <w:rsid w:val="13A62E85"/>
    <w:rsid w:val="143573E9"/>
    <w:rsid w:val="165B7110"/>
    <w:rsid w:val="169240A3"/>
    <w:rsid w:val="16AD3796"/>
    <w:rsid w:val="16DA0983"/>
    <w:rsid w:val="17031791"/>
    <w:rsid w:val="172C7CBE"/>
    <w:rsid w:val="177F1018"/>
    <w:rsid w:val="17E603C4"/>
    <w:rsid w:val="18143770"/>
    <w:rsid w:val="190E5EBD"/>
    <w:rsid w:val="190F7296"/>
    <w:rsid w:val="19C17D7A"/>
    <w:rsid w:val="1A7813A7"/>
    <w:rsid w:val="1A7C602A"/>
    <w:rsid w:val="1A7F150A"/>
    <w:rsid w:val="1ADA1CDB"/>
    <w:rsid w:val="1C3D052D"/>
    <w:rsid w:val="1C5055A7"/>
    <w:rsid w:val="1CBD4EF4"/>
    <w:rsid w:val="1CF63924"/>
    <w:rsid w:val="1CFF02B6"/>
    <w:rsid w:val="1DAB29F9"/>
    <w:rsid w:val="1DBD7800"/>
    <w:rsid w:val="1DC87348"/>
    <w:rsid w:val="1DE0015A"/>
    <w:rsid w:val="1E2C3B3A"/>
    <w:rsid w:val="1E5716A9"/>
    <w:rsid w:val="1EC81D26"/>
    <w:rsid w:val="1EFD75BB"/>
    <w:rsid w:val="1F0E6C32"/>
    <w:rsid w:val="1FBE6ECF"/>
    <w:rsid w:val="1FCD6C57"/>
    <w:rsid w:val="1FF62406"/>
    <w:rsid w:val="1FFF3877"/>
    <w:rsid w:val="21352D06"/>
    <w:rsid w:val="21FD87DA"/>
    <w:rsid w:val="22325497"/>
    <w:rsid w:val="22D7AD45"/>
    <w:rsid w:val="237A3851"/>
    <w:rsid w:val="23FE7D27"/>
    <w:rsid w:val="2432177F"/>
    <w:rsid w:val="24AF3F64"/>
    <w:rsid w:val="251E4C45"/>
    <w:rsid w:val="25630D8E"/>
    <w:rsid w:val="26BE689E"/>
    <w:rsid w:val="26F94E2A"/>
    <w:rsid w:val="26FC6074"/>
    <w:rsid w:val="27F718F3"/>
    <w:rsid w:val="28F60FCD"/>
    <w:rsid w:val="29A204CA"/>
    <w:rsid w:val="2A6F702B"/>
    <w:rsid w:val="2B9B4B0B"/>
    <w:rsid w:val="2BE54F05"/>
    <w:rsid w:val="2CD83A12"/>
    <w:rsid w:val="2CE043F5"/>
    <w:rsid w:val="2D157E8F"/>
    <w:rsid w:val="2D502BE4"/>
    <w:rsid w:val="2D7FE649"/>
    <w:rsid w:val="2E9D18B8"/>
    <w:rsid w:val="2EAB4607"/>
    <w:rsid w:val="2EAFFCE1"/>
    <w:rsid w:val="2ED55B28"/>
    <w:rsid w:val="2F2D7712"/>
    <w:rsid w:val="2F4D5528"/>
    <w:rsid w:val="2F4F461B"/>
    <w:rsid w:val="2F595F57"/>
    <w:rsid w:val="2FCE3BE0"/>
    <w:rsid w:val="2FE01EB7"/>
    <w:rsid w:val="2FFD70E5"/>
    <w:rsid w:val="2FFF68E0"/>
    <w:rsid w:val="30051EEA"/>
    <w:rsid w:val="302A3C52"/>
    <w:rsid w:val="30EF77BC"/>
    <w:rsid w:val="3138415A"/>
    <w:rsid w:val="31F5442B"/>
    <w:rsid w:val="32546D64"/>
    <w:rsid w:val="331675CE"/>
    <w:rsid w:val="331D184C"/>
    <w:rsid w:val="333A74CA"/>
    <w:rsid w:val="33B74CF1"/>
    <w:rsid w:val="33D73E62"/>
    <w:rsid w:val="33FE7EBE"/>
    <w:rsid w:val="345E5F51"/>
    <w:rsid w:val="34711CE3"/>
    <w:rsid w:val="34F0112A"/>
    <w:rsid w:val="351647A5"/>
    <w:rsid w:val="35703F72"/>
    <w:rsid w:val="35F3CD2C"/>
    <w:rsid w:val="36315CC2"/>
    <w:rsid w:val="367FA077"/>
    <w:rsid w:val="36EF7F54"/>
    <w:rsid w:val="36F62584"/>
    <w:rsid w:val="36F70F67"/>
    <w:rsid w:val="37CB1876"/>
    <w:rsid w:val="37F7EB7C"/>
    <w:rsid w:val="37FBAD11"/>
    <w:rsid w:val="389F6328"/>
    <w:rsid w:val="38F50CFF"/>
    <w:rsid w:val="399B5885"/>
    <w:rsid w:val="39FB651B"/>
    <w:rsid w:val="3A457520"/>
    <w:rsid w:val="3A726050"/>
    <w:rsid w:val="3A81106F"/>
    <w:rsid w:val="3AF74835"/>
    <w:rsid w:val="3B77F6BA"/>
    <w:rsid w:val="3BDF4DB3"/>
    <w:rsid w:val="3BF20326"/>
    <w:rsid w:val="3BFDA1CC"/>
    <w:rsid w:val="3C2465FB"/>
    <w:rsid w:val="3C8B5A78"/>
    <w:rsid w:val="3D6EC284"/>
    <w:rsid w:val="3DF4794C"/>
    <w:rsid w:val="3DF79206"/>
    <w:rsid w:val="3E762A6F"/>
    <w:rsid w:val="3EBF310E"/>
    <w:rsid w:val="3EDF7774"/>
    <w:rsid w:val="3EE7F35A"/>
    <w:rsid w:val="3EFBD29B"/>
    <w:rsid w:val="3F575F62"/>
    <w:rsid w:val="3F7F697F"/>
    <w:rsid w:val="3F913EB9"/>
    <w:rsid w:val="3FA7D0B9"/>
    <w:rsid w:val="3FAD2204"/>
    <w:rsid w:val="3FB7B825"/>
    <w:rsid w:val="3FBE0E5B"/>
    <w:rsid w:val="3FC69776"/>
    <w:rsid w:val="3FDFD5D0"/>
    <w:rsid w:val="3FE71D87"/>
    <w:rsid w:val="3FEE004F"/>
    <w:rsid w:val="3FFC01BD"/>
    <w:rsid w:val="3FFFC764"/>
    <w:rsid w:val="3FFFEF10"/>
    <w:rsid w:val="402B55A8"/>
    <w:rsid w:val="4075342D"/>
    <w:rsid w:val="41390199"/>
    <w:rsid w:val="41A02F0E"/>
    <w:rsid w:val="41E607CA"/>
    <w:rsid w:val="422B3D00"/>
    <w:rsid w:val="451F4540"/>
    <w:rsid w:val="46625A9C"/>
    <w:rsid w:val="469D2F78"/>
    <w:rsid w:val="46E2098A"/>
    <w:rsid w:val="472A2E92"/>
    <w:rsid w:val="47FE6ED0"/>
    <w:rsid w:val="47FF9CFC"/>
    <w:rsid w:val="48521EAD"/>
    <w:rsid w:val="49942410"/>
    <w:rsid w:val="49B7DE0F"/>
    <w:rsid w:val="4A582E7A"/>
    <w:rsid w:val="4BCF652C"/>
    <w:rsid w:val="4CFB2E60"/>
    <w:rsid w:val="4CFEBCE4"/>
    <w:rsid w:val="4D031035"/>
    <w:rsid w:val="4D6548BF"/>
    <w:rsid w:val="4D7ACCDD"/>
    <w:rsid w:val="4D925153"/>
    <w:rsid w:val="4DBB4A2B"/>
    <w:rsid w:val="4DC62DB4"/>
    <w:rsid w:val="4E5D1788"/>
    <w:rsid w:val="4ED37275"/>
    <w:rsid w:val="4EDA10ED"/>
    <w:rsid w:val="4EDF8A09"/>
    <w:rsid w:val="4F1D07B2"/>
    <w:rsid w:val="4F7F90A2"/>
    <w:rsid w:val="4FE2609D"/>
    <w:rsid w:val="4FEF1EF0"/>
    <w:rsid w:val="507563A4"/>
    <w:rsid w:val="53C438F2"/>
    <w:rsid w:val="53EE9518"/>
    <w:rsid w:val="53F0C5CB"/>
    <w:rsid w:val="541BCB13"/>
    <w:rsid w:val="54370568"/>
    <w:rsid w:val="54776BB6"/>
    <w:rsid w:val="54903770"/>
    <w:rsid w:val="553E2047"/>
    <w:rsid w:val="55B5F4FF"/>
    <w:rsid w:val="55DF9E23"/>
    <w:rsid w:val="55E76829"/>
    <w:rsid w:val="55EF5316"/>
    <w:rsid w:val="573BAD9D"/>
    <w:rsid w:val="57BB8B3C"/>
    <w:rsid w:val="57BC467E"/>
    <w:rsid w:val="57EBFFEE"/>
    <w:rsid w:val="57F6419B"/>
    <w:rsid w:val="58315214"/>
    <w:rsid w:val="591470C9"/>
    <w:rsid w:val="596EDF01"/>
    <w:rsid w:val="59771406"/>
    <w:rsid w:val="59777B81"/>
    <w:rsid w:val="59B855A8"/>
    <w:rsid w:val="59E20F76"/>
    <w:rsid w:val="59EA607C"/>
    <w:rsid w:val="59FFD34A"/>
    <w:rsid w:val="5A160C1F"/>
    <w:rsid w:val="5A504051"/>
    <w:rsid w:val="5A706581"/>
    <w:rsid w:val="5AAC50E0"/>
    <w:rsid w:val="5ABE67E5"/>
    <w:rsid w:val="5B6D7546"/>
    <w:rsid w:val="5BAE8049"/>
    <w:rsid w:val="5BC55123"/>
    <w:rsid w:val="5BE865EB"/>
    <w:rsid w:val="5BFB7457"/>
    <w:rsid w:val="5C174686"/>
    <w:rsid w:val="5C6A25D5"/>
    <w:rsid w:val="5D7E1939"/>
    <w:rsid w:val="5DA23475"/>
    <w:rsid w:val="5DCF5A6A"/>
    <w:rsid w:val="5DF6490C"/>
    <w:rsid w:val="5DFEF60E"/>
    <w:rsid w:val="5DFF21E2"/>
    <w:rsid w:val="5E397CBE"/>
    <w:rsid w:val="5E6B877C"/>
    <w:rsid w:val="5E6C8CEB"/>
    <w:rsid w:val="5EDE31B9"/>
    <w:rsid w:val="5EE5824A"/>
    <w:rsid w:val="5EE5D609"/>
    <w:rsid w:val="5EEA4C23"/>
    <w:rsid w:val="5EEE99A5"/>
    <w:rsid w:val="5EF7C4C2"/>
    <w:rsid w:val="5EFB1336"/>
    <w:rsid w:val="5F6FE79E"/>
    <w:rsid w:val="5F79ED8D"/>
    <w:rsid w:val="5FB011CE"/>
    <w:rsid w:val="5FB9D704"/>
    <w:rsid w:val="5FBB4A09"/>
    <w:rsid w:val="5FBF8B8E"/>
    <w:rsid w:val="5FC65502"/>
    <w:rsid w:val="5FCA0EFB"/>
    <w:rsid w:val="5FD3B468"/>
    <w:rsid w:val="5FD9210B"/>
    <w:rsid w:val="5FDF45E1"/>
    <w:rsid w:val="5FECC3A1"/>
    <w:rsid w:val="5FEDA2FE"/>
    <w:rsid w:val="5FEFC986"/>
    <w:rsid w:val="5FEFCA0D"/>
    <w:rsid w:val="5FFD9428"/>
    <w:rsid w:val="5FFDEF85"/>
    <w:rsid w:val="5FFE4588"/>
    <w:rsid w:val="5FFE63DD"/>
    <w:rsid w:val="5FFF09F5"/>
    <w:rsid w:val="5FFFE86A"/>
    <w:rsid w:val="623D6B58"/>
    <w:rsid w:val="623F7235"/>
    <w:rsid w:val="62725EA2"/>
    <w:rsid w:val="629A2E12"/>
    <w:rsid w:val="62C34D2E"/>
    <w:rsid w:val="62ED21AA"/>
    <w:rsid w:val="633B8253"/>
    <w:rsid w:val="646172A2"/>
    <w:rsid w:val="657F0712"/>
    <w:rsid w:val="65837118"/>
    <w:rsid w:val="66E01C06"/>
    <w:rsid w:val="66EF6515"/>
    <w:rsid w:val="677551D7"/>
    <w:rsid w:val="6776B792"/>
    <w:rsid w:val="67ACBE53"/>
    <w:rsid w:val="67E63D20"/>
    <w:rsid w:val="67F21865"/>
    <w:rsid w:val="68242759"/>
    <w:rsid w:val="684B4FEE"/>
    <w:rsid w:val="68C92B74"/>
    <w:rsid w:val="690D5038"/>
    <w:rsid w:val="6964370F"/>
    <w:rsid w:val="6965077C"/>
    <w:rsid w:val="69D65C6C"/>
    <w:rsid w:val="69E655EC"/>
    <w:rsid w:val="69FD7386"/>
    <w:rsid w:val="6A9F0B34"/>
    <w:rsid w:val="6AEF297F"/>
    <w:rsid w:val="6AF34DBE"/>
    <w:rsid w:val="6B9B657B"/>
    <w:rsid w:val="6BB70A45"/>
    <w:rsid w:val="6BE7241B"/>
    <w:rsid w:val="6BE7998C"/>
    <w:rsid w:val="6BFF21EF"/>
    <w:rsid w:val="6C22511C"/>
    <w:rsid w:val="6C537AB1"/>
    <w:rsid w:val="6CD147FD"/>
    <w:rsid w:val="6CF77871"/>
    <w:rsid w:val="6D1C540E"/>
    <w:rsid w:val="6D411AF3"/>
    <w:rsid w:val="6D512242"/>
    <w:rsid w:val="6D7D9BE4"/>
    <w:rsid w:val="6DAD2175"/>
    <w:rsid w:val="6DB5258D"/>
    <w:rsid w:val="6DEEF148"/>
    <w:rsid w:val="6E3EF6B5"/>
    <w:rsid w:val="6E4616F0"/>
    <w:rsid w:val="6E7DB819"/>
    <w:rsid w:val="6ECD1A62"/>
    <w:rsid w:val="6EF06AD7"/>
    <w:rsid w:val="6F37DF7B"/>
    <w:rsid w:val="6F392FC6"/>
    <w:rsid w:val="6F57C120"/>
    <w:rsid w:val="6F7EB0DF"/>
    <w:rsid w:val="6F7FE959"/>
    <w:rsid w:val="6FA32F07"/>
    <w:rsid w:val="6FEDED60"/>
    <w:rsid w:val="6FF53DE7"/>
    <w:rsid w:val="6FF5462D"/>
    <w:rsid w:val="6FF97A92"/>
    <w:rsid w:val="6FFE1697"/>
    <w:rsid w:val="6FFFDC82"/>
    <w:rsid w:val="70C24CEE"/>
    <w:rsid w:val="70EB2CF8"/>
    <w:rsid w:val="71BEC72B"/>
    <w:rsid w:val="71BF5395"/>
    <w:rsid w:val="71C31235"/>
    <w:rsid w:val="71D95667"/>
    <w:rsid w:val="71FF9DE8"/>
    <w:rsid w:val="722B37F2"/>
    <w:rsid w:val="72F91527"/>
    <w:rsid w:val="73135269"/>
    <w:rsid w:val="73431C36"/>
    <w:rsid w:val="734779C3"/>
    <w:rsid w:val="73F066CF"/>
    <w:rsid w:val="7476515B"/>
    <w:rsid w:val="748FA538"/>
    <w:rsid w:val="74944D92"/>
    <w:rsid w:val="74F26362"/>
    <w:rsid w:val="74F3B48E"/>
    <w:rsid w:val="74FB85BA"/>
    <w:rsid w:val="74FF5CE8"/>
    <w:rsid w:val="753F352D"/>
    <w:rsid w:val="7541494A"/>
    <w:rsid w:val="757F7805"/>
    <w:rsid w:val="75BF6EBF"/>
    <w:rsid w:val="75DDB0BF"/>
    <w:rsid w:val="75EE6689"/>
    <w:rsid w:val="75EFF2DE"/>
    <w:rsid w:val="75FC367F"/>
    <w:rsid w:val="768B25D1"/>
    <w:rsid w:val="76AF7FDA"/>
    <w:rsid w:val="76D7D5B9"/>
    <w:rsid w:val="76FF3576"/>
    <w:rsid w:val="770420D4"/>
    <w:rsid w:val="773F13B1"/>
    <w:rsid w:val="775FBE79"/>
    <w:rsid w:val="77676090"/>
    <w:rsid w:val="7769D953"/>
    <w:rsid w:val="776EB91E"/>
    <w:rsid w:val="7777A8B9"/>
    <w:rsid w:val="777FB10A"/>
    <w:rsid w:val="779CED17"/>
    <w:rsid w:val="77A67D90"/>
    <w:rsid w:val="77DB524F"/>
    <w:rsid w:val="77DEE1D5"/>
    <w:rsid w:val="77DF1C6F"/>
    <w:rsid w:val="77F70684"/>
    <w:rsid w:val="77FDD8A3"/>
    <w:rsid w:val="77FF1138"/>
    <w:rsid w:val="77FFFD43"/>
    <w:rsid w:val="78FD327E"/>
    <w:rsid w:val="795B5DAC"/>
    <w:rsid w:val="79BF1D63"/>
    <w:rsid w:val="79FFDD40"/>
    <w:rsid w:val="7A861051"/>
    <w:rsid w:val="7A9078B5"/>
    <w:rsid w:val="7ADD1A02"/>
    <w:rsid w:val="7AEE637E"/>
    <w:rsid w:val="7B5F542B"/>
    <w:rsid w:val="7B7455D7"/>
    <w:rsid w:val="7B7F7F7B"/>
    <w:rsid w:val="7BB6D6A6"/>
    <w:rsid w:val="7BB901E2"/>
    <w:rsid w:val="7BBF6C9B"/>
    <w:rsid w:val="7BD30139"/>
    <w:rsid w:val="7BD5EFEB"/>
    <w:rsid w:val="7BDCBB11"/>
    <w:rsid w:val="7BDF3042"/>
    <w:rsid w:val="7BF72E04"/>
    <w:rsid w:val="7BFAACB0"/>
    <w:rsid w:val="7C9DA66B"/>
    <w:rsid w:val="7CD37006"/>
    <w:rsid w:val="7CDFCC40"/>
    <w:rsid w:val="7CEE28E6"/>
    <w:rsid w:val="7CF75FDF"/>
    <w:rsid w:val="7CFEDFC1"/>
    <w:rsid w:val="7D1336C4"/>
    <w:rsid w:val="7D3704BA"/>
    <w:rsid w:val="7D7E8CB0"/>
    <w:rsid w:val="7D7F7AA5"/>
    <w:rsid w:val="7DA79D13"/>
    <w:rsid w:val="7DC231DA"/>
    <w:rsid w:val="7DC43066"/>
    <w:rsid w:val="7DCB8770"/>
    <w:rsid w:val="7DD8E524"/>
    <w:rsid w:val="7DDFCEE9"/>
    <w:rsid w:val="7DEEF755"/>
    <w:rsid w:val="7DEFF645"/>
    <w:rsid w:val="7DF024BC"/>
    <w:rsid w:val="7DFA3789"/>
    <w:rsid w:val="7DFBE81A"/>
    <w:rsid w:val="7DFD98BF"/>
    <w:rsid w:val="7DFE2F13"/>
    <w:rsid w:val="7E3F5B30"/>
    <w:rsid w:val="7E7F3B73"/>
    <w:rsid w:val="7EAE219C"/>
    <w:rsid w:val="7EB7E4BE"/>
    <w:rsid w:val="7ECC82A1"/>
    <w:rsid w:val="7EDDCC5D"/>
    <w:rsid w:val="7EDFD308"/>
    <w:rsid w:val="7EE6837C"/>
    <w:rsid w:val="7EF73F4B"/>
    <w:rsid w:val="7EFF67AA"/>
    <w:rsid w:val="7EFFEDE1"/>
    <w:rsid w:val="7F2FF4B4"/>
    <w:rsid w:val="7F3BC0AB"/>
    <w:rsid w:val="7F3BF027"/>
    <w:rsid w:val="7F5BCED6"/>
    <w:rsid w:val="7F5F5353"/>
    <w:rsid w:val="7F7B217C"/>
    <w:rsid w:val="7F7B3E6A"/>
    <w:rsid w:val="7F7EBB78"/>
    <w:rsid w:val="7F7FFC24"/>
    <w:rsid w:val="7F983D01"/>
    <w:rsid w:val="7FA17A77"/>
    <w:rsid w:val="7FA678BA"/>
    <w:rsid w:val="7FB5B104"/>
    <w:rsid w:val="7FBA2457"/>
    <w:rsid w:val="7FBBA05D"/>
    <w:rsid w:val="7FBFB83D"/>
    <w:rsid w:val="7FBFC7BD"/>
    <w:rsid w:val="7FBFE979"/>
    <w:rsid w:val="7FD57267"/>
    <w:rsid w:val="7FD6360B"/>
    <w:rsid w:val="7FD759A0"/>
    <w:rsid w:val="7FDE3514"/>
    <w:rsid w:val="7FDF99A8"/>
    <w:rsid w:val="7FDFF867"/>
    <w:rsid w:val="7FE77048"/>
    <w:rsid w:val="7FE7F756"/>
    <w:rsid w:val="7FEB01C4"/>
    <w:rsid w:val="7FEF6137"/>
    <w:rsid w:val="7FF30E6A"/>
    <w:rsid w:val="7FF37A68"/>
    <w:rsid w:val="7FF512E2"/>
    <w:rsid w:val="7FF9E922"/>
    <w:rsid w:val="7FFAA578"/>
    <w:rsid w:val="7FFB092A"/>
    <w:rsid w:val="7FFC041A"/>
    <w:rsid w:val="7FFFAADE"/>
    <w:rsid w:val="7FFFBA8F"/>
    <w:rsid w:val="7FFFDCC0"/>
    <w:rsid w:val="8EDF4397"/>
    <w:rsid w:val="8FBFF54E"/>
    <w:rsid w:val="8FCF1DE1"/>
    <w:rsid w:val="94EF4F28"/>
    <w:rsid w:val="95FA8741"/>
    <w:rsid w:val="9A5ED525"/>
    <w:rsid w:val="9BFF8EBD"/>
    <w:rsid w:val="9EEE52EB"/>
    <w:rsid w:val="9FB30895"/>
    <w:rsid w:val="9FC7F6E5"/>
    <w:rsid w:val="9FFE718F"/>
    <w:rsid w:val="9FFF6784"/>
    <w:rsid w:val="9FFFFB2E"/>
    <w:rsid w:val="A26EB80E"/>
    <w:rsid w:val="A77FEE2B"/>
    <w:rsid w:val="ABF75CBB"/>
    <w:rsid w:val="AC7B7E0E"/>
    <w:rsid w:val="ADB78354"/>
    <w:rsid w:val="AED82A83"/>
    <w:rsid w:val="AEDD18FF"/>
    <w:rsid w:val="AF641D1C"/>
    <w:rsid w:val="AFECA635"/>
    <w:rsid w:val="AFFB0872"/>
    <w:rsid w:val="AFFE70F9"/>
    <w:rsid w:val="B0E6CF71"/>
    <w:rsid w:val="B0EB5A96"/>
    <w:rsid w:val="B134DDA8"/>
    <w:rsid w:val="B265D556"/>
    <w:rsid w:val="B2BE5DB0"/>
    <w:rsid w:val="B3571ACB"/>
    <w:rsid w:val="B36EAD7B"/>
    <w:rsid w:val="B77D3191"/>
    <w:rsid w:val="B7AEE049"/>
    <w:rsid w:val="B7CE57CD"/>
    <w:rsid w:val="B7D7983B"/>
    <w:rsid w:val="B7FE07E2"/>
    <w:rsid w:val="BB777A33"/>
    <w:rsid w:val="BBEE2051"/>
    <w:rsid w:val="BBF7FD6B"/>
    <w:rsid w:val="BDE876F0"/>
    <w:rsid w:val="BDEF522B"/>
    <w:rsid w:val="BEEEE457"/>
    <w:rsid w:val="BEFD99BF"/>
    <w:rsid w:val="BEFFABDB"/>
    <w:rsid w:val="BEFFDE38"/>
    <w:rsid w:val="BF35237C"/>
    <w:rsid w:val="BF9BF269"/>
    <w:rsid w:val="BFBEF5E5"/>
    <w:rsid w:val="BFCF441F"/>
    <w:rsid w:val="BFEB88F4"/>
    <w:rsid w:val="BFEF1803"/>
    <w:rsid w:val="BFF7758B"/>
    <w:rsid w:val="BFFB2989"/>
    <w:rsid w:val="BFFF2EC0"/>
    <w:rsid w:val="C3FE36A2"/>
    <w:rsid w:val="C4113FE5"/>
    <w:rsid w:val="C6EE5606"/>
    <w:rsid w:val="C6F986E4"/>
    <w:rsid w:val="C6FFDE2B"/>
    <w:rsid w:val="C7FDC1D0"/>
    <w:rsid w:val="C8FB0701"/>
    <w:rsid w:val="C9FCB202"/>
    <w:rsid w:val="CBEE748B"/>
    <w:rsid w:val="CE7E6F86"/>
    <w:rsid w:val="CF6F2140"/>
    <w:rsid w:val="CFAF11EC"/>
    <w:rsid w:val="CFDB72D1"/>
    <w:rsid w:val="CFEFA230"/>
    <w:rsid w:val="CFFF2694"/>
    <w:rsid w:val="D1BF747D"/>
    <w:rsid w:val="D39AA514"/>
    <w:rsid w:val="D6FFFE2D"/>
    <w:rsid w:val="D77DCD12"/>
    <w:rsid w:val="D7FBFC0F"/>
    <w:rsid w:val="D7FE0350"/>
    <w:rsid w:val="D7FE9A29"/>
    <w:rsid w:val="D7FFE6AF"/>
    <w:rsid w:val="D95E3A8F"/>
    <w:rsid w:val="D99504EF"/>
    <w:rsid w:val="DAFD7F6A"/>
    <w:rsid w:val="DB3E13DF"/>
    <w:rsid w:val="DBD6EB57"/>
    <w:rsid w:val="DBF62662"/>
    <w:rsid w:val="DBFC9C3A"/>
    <w:rsid w:val="DBFD1687"/>
    <w:rsid w:val="DBFF4858"/>
    <w:rsid w:val="DC7EB132"/>
    <w:rsid w:val="DCBEA0AF"/>
    <w:rsid w:val="DCEE8043"/>
    <w:rsid w:val="DD5EDB37"/>
    <w:rsid w:val="DE3FB864"/>
    <w:rsid w:val="DE9AB642"/>
    <w:rsid w:val="DEBB350F"/>
    <w:rsid w:val="DEEFF2F7"/>
    <w:rsid w:val="DEFF0091"/>
    <w:rsid w:val="DF1F6E04"/>
    <w:rsid w:val="DF4F1911"/>
    <w:rsid w:val="DF5F84C7"/>
    <w:rsid w:val="DF66EF8B"/>
    <w:rsid w:val="DF7BA630"/>
    <w:rsid w:val="DF7F2B8B"/>
    <w:rsid w:val="DFBB967D"/>
    <w:rsid w:val="DFBDA347"/>
    <w:rsid w:val="DFEB2C8E"/>
    <w:rsid w:val="DFFF02B9"/>
    <w:rsid w:val="E16C1E6F"/>
    <w:rsid w:val="E1D9A4FD"/>
    <w:rsid w:val="E737DD2F"/>
    <w:rsid w:val="E7BBA80D"/>
    <w:rsid w:val="E7F3BD4E"/>
    <w:rsid w:val="E7F649D4"/>
    <w:rsid w:val="E99D7335"/>
    <w:rsid w:val="EAB5594E"/>
    <w:rsid w:val="EBB731DD"/>
    <w:rsid w:val="EBB75BBD"/>
    <w:rsid w:val="EBFD2BDB"/>
    <w:rsid w:val="EBFED5E6"/>
    <w:rsid w:val="EBFF6F11"/>
    <w:rsid w:val="EC93A452"/>
    <w:rsid w:val="EC958FEA"/>
    <w:rsid w:val="ECEFF239"/>
    <w:rsid w:val="ED3982E3"/>
    <w:rsid w:val="ED7DD499"/>
    <w:rsid w:val="ED7F4ED0"/>
    <w:rsid w:val="EDB7916B"/>
    <w:rsid w:val="EDEF5CBD"/>
    <w:rsid w:val="EDF3E8A6"/>
    <w:rsid w:val="EDFB0E00"/>
    <w:rsid w:val="EE57DB5C"/>
    <w:rsid w:val="EEAF4A7F"/>
    <w:rsid w:val="EEBFC13E"/>
    <w:rsid w:val="EEEF106B"/>
    <w:rsid w:val="EEFF82B4"/>
    <w:rsid w:val="EF57309C"/>
    <w:rsid w:val="EF5F7351"/>
    <w:rsid w:val="EF7276FB"/>
    <w:rsid w:val="EF7BD798"/>
    <w:rsid w:val="EF8CE2E7"/>
    <w:rsid w:val="EFB5C78D"/>
    <w:rsid w:val="EFBE0AD5"/>
    <w:rsid w:val="EFE3EE7F"/>
    <w:rsid w:val="EFE74C92"/>
    <w:rsid w:val="EFF74666"/>
    <w:rsid w:val="F095C415"/>
    <w:rsid w:val="F0AFE35F"/>
    <w:rsid w:val="F2C2AB02"/>
    <w:rsid w:val="F37D9750"/>
    <w:rsid w:val="F3AAAAA1"/>
    <w:rsid w:val="F3CF4FB7"/>
    <w:rsid w:val="F41D7E64"/>
    <w:rsid w:val="F4BD875B"/>
    <w:rsid w:val="F4EFE9D3"/>
    <w:rsid w:val="F61B348A"/>
    <w:rsid w:val="F6520062"/>
    <w:rsid w:val="F6D54F91"/>
    <w:rsid w:val="F6D7EF78"/>
    <w:rsid w:val="F6FF567E"/>
    <w:rsid w:val="F6FF9E8C"/>
    <w:rsid w:val="F71E4865"/>
    <w:rsid w:val="F72C2E6D"/>
    <w:rsid w:val="F73E1329"/>
    <w:rsid w:val="F75BA114"/>
    <w:rsid w:val="F75DC1AD"/>
    <w:rsid w:val="F75F2C6D"/>
    <w:rsid w:val="F76FC25E"/>
    <w:rsid w:val="F787EABE"/>
    <w:rsid w:val="F7889B50"/>
    <w:rsid w:val="F7AE726D"/>
    <w:rsid w:val="F7BB7038"/>
    <w:rsid w:val="F7C5A586"/>
    <w:rsid w:val="F7EB7047"/>
    <w:rsid w:val="F7EF25D9"/>
    <w:rsid w:val="F7EF55F5"/>
    <w:rsid w:val="F7F410FC"/>
    <w:rsid w:val="F7FBA42E"/>
    <w:rsid w:val="F7FC9CC1"/>
    <w:rsid w:val="F7FE3CB0"/>
    <w:rsid w:val="F82D047F"/>
    <w:rsid w:val="F89F8BAB"/>
    <w:rsid w:val="F9CF988F"/>
    <w:rsid w:val="F9EEC4C8"/>
    <w:rsid w:val="F9FE7287"/>
    <w:rsid w:val="FA3F7082"/>
    <w:rsid w:val="FA4D8039"/>
    <w:rsid w:val="FA5DCEEC"/>
    <w:rsid w:val="FAA54045"/>
    <w:rsid w:val="FABFE58F"/>
    <w:rsid w:val="FAFD9633"/>
    <w:rsid w:val="FAFF9E26"/>
    <w:rsid w:val="FB5D2B99"/>
    <w:rsid w:val="FB639927"/>
    <w:rsid w:val="FB7AA3F6"/>
    <w:rsid w:val="FB7F19C1"/>
    <w:rsid w:val="FB7FD1FC"/>
    <w:rsid w:val="FBBDA8BB"/>
    <w:rsid w:val="FBBFEF49"/>
    <w:rsid w:val="FBED33A9"/>
    <w:rsid w:val="FBEF34C1"/>
    <w:rsid w:val="FBEF377D"/>
    <w:rsid w:val="FBEF56A3"/>
    <w:rsid w:val="FBF53AAE"/>
    <w:rsid w:val="FBFA9DF1"/>
    <w:rsid w:val="FBFB31ED"/>
    <w:rsid w:val="FBFEC1B3"/>
    <w:rsid w:val="FBFF4D7F"/>
    <w:rsid w:val="FBFFFB95"/>
    <w:rsid w:val="FD3FB3B4"/>
    <w:rsid w:val="FD5D2ADF"/>
    <w:rsid w:val="FD777AB5"/>
    <w:rsid w:val="FD7B8E0F"/>
    <w:rsid w:val="FDAF832B"/>
    <w:rsid w:val="FDB3DBAE"/>
    <w:rsid w:val="FDBBE41A"/>
    <w:rsid w:val="FDE760F1"/>
    <w:rsid w:val="FDFF5699"/>
    <w:rsid w:val="FDFF8840"/>
    <w:rsid w:val="FE3E6EDC"/>
    <w:rsid w:val="FE5E40FA"/>
    <w:rsid w:val="FE7995BA"/>
    <w:rsid w:val="FE7EC854"/>
    <w:rsid w:val="FE9F301F"/>
    <w:rsid w:val="FEB76F32"/>
    <w:rsid w:val="FEB7E16B"/>
    <w:rsid w:val="FEBE97FD"/>
    <w:rsid w:val="FEBF02CF"/>
    <w:rsid w:val="FEBF67C9"/>
    <w:rsid w:val="FEDD3735"/>
    <w:rsid w:val="FEDE60DC"/>
    <w:rsid w:val="FEEF028B"/>
    <w:rsid w:val="FEFD8236"/>
    <w:rsid w:val="FEFF957A"/>
    <w:rsid w:val="FEFFA922"/>
    <w:rsid w:val="FF0F17AC"/>
    <w:rsid w:val="FF2EED2C"/>
    <w:rsid w:val="FF5229E0"/>
    <w:rsid w:val="FF57EA7D"/>
    <w:rsid w:val="FF5FD92A"/>
    <w:rsid w:val="FF6C5DC1"/>
    <w:rsid w:val="FF7572E0"/>
    <w:rsid w:val="FF7D29E2"/>
    <w:rsid w:val="FF7E3EA0"/>
    <w:rsid w:val="FF7E43A2"/>
    <w:rsid w:val="FF7F49A8"/>
    <w:rsid w:val="FF7F7AB7"/>
    <w:rsid w:val="FF7F9B93"/>
    <w:rsid w:val="FF969CFD"/>
    <w:rsid w:val="FFA71530"/>
    <w:rsid w:val="FFA737CB"/>
    <w:rsid w:val="FFB1279E"/>
    <w:rsid w:val="FFB77E4A"/>
    <w:rsid w:val="FFBCDBAE"/>
    <w:rsid w:val="FFBF21B0"/>
    <w:rsid w:val="FFBF265E"/>
    <w:rsid w:val="FFCCA2F5"/>
    <w:rsid w:val="FFCF2CA0"/>
    <w:rsid w:val="FFCF8FAB"/>
    <w:rsid w:val="FFD51E64"/>
    <w:rsid w:val="FFD600FB"/>
    <w:rsid w:val="FFE35D9D"/>
    <w:rsid w:val="FFEB9E34"/>
    <w:rsid w:val="FFEBCD70"/>
    <w:rsid w:val="FFEF0C42"/>
    <w:rsid w:val="FFEF4BFA"/>
    <w:rsid w:val="FFF5F731"/>
    <w:rsid w:val="FFF6CE5B"/>
    <w:rsid w:val="FFFC62DF"/>
    <w:rsid w:val="FFFC74B9"/>
    <w:rsid w:val="FFFD6499"/>
    <w:rsid w:val="FFFEAD66"/>
    <w:rsid w:val="FFFF1E2F"/>
    <w:rsid w:val="FFFF58C6"/>
    <w:rsid w:val="FFFF6D30"/>
    <w:rsid w:val="FFFFD29B"/>
    <w:rsid w:val="FFFFE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qFormat/>
    <w:uiPriority w:val="0"/>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link w:val="49"/>
    <w:qFormat/>
    <w:uiPriority w:val="0"/>
    <w:pPr>
      <w:keepNext/>
      <w:keepLines/>
      <w:spacing w:before="260" w:after="260" w:line="416" w:lineRule="auto"/>
      <w:outlineLvl w:val="2"/>
    </w:pPr>
    <w:rPr>
      <w:b/>
      <w:bCs/>
      <w:sz w:val="32"/>
      <w:szCs w:val="32"/>
    </w:rPr>
  </w:style>
  <w:style w:type="paragraph" w:styleId="5">
    <w:name w:val="heading 4"/>
    <w:basedOn w:val="1"/>
    <w:next w:val="1"/>
    <w:link w:val="50"/>
    <w:qFormat/>
    <w:uiPriority w:val="0"/>
    <w:pPr>
      <w:keepNext/>
      <w:keepLines/>
      <w:widowControl/>
      <w:spacing w:before="120" w:after="120" w:line="360" w:lineRule="auto"/>
      <w:jc w:val="center"/>
      <w:outlineLvl w:val="3"/>
    </w:pPr>
    <w:rPr>
      <w:rFonts w:ascii="Arial" w:hAnsi="Arial" w:eastAsia="黑体"/>
      <w:sz w:val="28"/>
      <w:szCs w:val="24"/>
    </w:rPr>
  </w:style>
  <w:style w:type="paragraph" w:styleId="6">
    <w:name w:val="heading 5"/>
    <w:basedOn w:val="1"/>
    <w:next w:val="7"/>
    <w:link w:val="51"/>
    <w:qFormat/>
    <w:uiPriority w:val="0"/>
    <w:pPr>
      <w:keepNext/>
      <w:keepLines/>
      <w:spacing w:before="280" w:after="290" w:line="376" w:lineRule="auto"/>
      <w:outlineLvl w:val="4"/>
    </w:pPr>
    <w:rPr>
      <w:b/>
      <w:sz w:val="28"/>
      <w:szCs w:val="24"/>
    </w:rPr>
  </w:style>
  <w:style w:type="paragraph" w:styleId="8">
    <w:name w:val="heading 6"/>
    <w:basedOn w:val="1"/>
    <w:next w:val="7"/>
    <w:link w:val="53"/>
    <w:qFormat/>
    <w:uiPriority w:val="0"/>
    <w:pPr>
      <w:keepNext/>
      <w:keepLines/>
      <w:spacing w:before="240" w:after="64" w:line="320" w:lineRule="auto"/>
      <w:outlineLvl w:val="5"/>
    </w:pPr>
    <w:rPr>
      <w:rFonts w:ascii="Arial" w:hAnsi="Arial" w:eastAsia="黑体"/>
      <w:b/>
      <w:sz w:val="24"/>
      <w:szCs w:val="24"/>
    </w:rPr>
  </w:style>
  <w:style w:type="paragraph" w:styleId="9">
    <w:name w:val="heading 7"/>
    <w:basedOn w:val="1"/>
    <w:next w:val="7"/>
    <w:link w:val="54"/>
    <w:qFormat/>
    <w:uiPriority w:val="0"/>
    <w:pPr>
      <w:keepNext/>
      <w:keepLines/>
      <w:spacing w:before="240" w:after="64" w:line="320" w:lineRule="auto"/>
      <w:outlineLvl w:val="6"/>
    </w:pPr>
    <w:rPr>
      <w:b/>
      <w:sz w:val="24"/>
      <w:szCs w:val="24"/>
    </w:rPr>
  </w:style>
  <w:style w:type="paragraph" w:styleId="10">
    <w:name w:val="heading 8"/>
    <w:basedOn w:val="1"/>
    <w:next w:val="7"/>
    <w:link w:val="55"/>
    <w:qFormat/>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7"/>
    <w:link w:val="56"/>
    <w:qFormat/>
    <w:uiPriority w:val="0"/>
    <w:pPr>
      <w:keepNext/>
      <w:keepLines/>
      <w:spacing w:before="240" w:after="64" w:line="320" w:lineRule="auto"/>
      <w:outlineLvl w:val="8"/>
    </w:pPr>
    <w:rPr>
      <w:rFonts w:ascii="Arial" w:hAnsi="Arial" w:eastAsia="黑体"/>
      <w:szCs w:val="24"/>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ind w:firstLine="420"/>
    </w:pPr>
    <w:rPr>
      <w:rFonts w:ascii="Calibri" w:hAnsi="Calibri"/>
      <w:szCs w:val="20"/>
    </w:rPr>
  </w:style>
  <w:style w:type="paragraph" w:styleId="12">
    <w:name w:val="Document Map"/>
    <w:basedOn w:val="1"/>
    <w:link w:val="57"/>
    <w:qFormat/>
    <w:uiPriority w:val="0"/>
    <w:rPr>
      <w:rFonts w:ascii="宋体" w:hAnsi="Calibri"/>
      <w:sz w:val="18"/>
      <w:szCs w:val="20"/>
    </w:rPr>
  </w:style>
  <w:style w:type="paragraph" w:styleId="13">
    <w:name w:val="annotation text"/>
    <w:basedOn w:val="1"/>
    <w:link w:val="58"/>
    <w:qFormat/>
    <w:uiPriority w:val="0"/>
    <w:pPr>
      <w:jc w:val="left"/>
    </w:pPr>
  </w:style>
  <w:style w:type="paragraph" w:styleId="14">
    <w:name w:val="Salutation"/>
    <w:basedOn w:val="1"/>
    <w:next w:val="1"/>
    <w:link w:val="59"/>
    <w:qFormat/>
    <w:uiPriority w:val="0"/>
    <w:rPr>
      <w:sz w:val="28"/>
      <w:szCs w:val="24"/>
    </w:rPr>
  </w:style>
  <w:style w:type="paragraph" w:styleId="15">
    <w:name w:val="Body Text 3"/>
    <w:basedOn w:val="1"/>
    <w:link w:val="60"/>
    <w:qFormat/>
    <w:uiPriority w:val="0"/>
    <w:pPr>
      <w:spacing w:line="500" w:lineRule="exact"/>
    </w:pPr>
    <w:rPr>
      <w:b/>
      <w:bCs/>
      <w:sz w:val="24"/>
      <w:szCs w:val="24"/>
    </w:rPr>
  </w:style>
  <w:style w:type="paragraph" w:styleId="16">
    <w:name w:val="Body Text"/>
    <w:basedOn w:val="1"/>
    <w:next w:val="1"/>
    <w:link w:val="61"/>
    <w:qFormat/>
    <w:uiPriority w:val="0"/>
    <w:pPr>
      <w:spacing w:line="380" w:lineRule="exact"/>
    </w:pPr>
    <w:rPr>
      <w:sz w:val="24"/>
      <w:szCs w:val="24"/>
    </w:rPr>
  </w:style>
  <w:style w:type="paragraph" w:styleId="17">
    <w:name w:val="Body Text Indent"/>
    <w:basedOn w:val="1"/>
    <w:link w:val="62"/>
    <w:qFormat/>
    <w:uiPriority w:val="0"/>
    <w:pPr>
      <w:ind w:firstLine="830" w:firstLineChars="352"/>
    </w:pPr>
    <w:rPr>
      <w:rFonts w:ascii="仿宋_GB2312" w:eastAsia="仿宋_GB2312" w:cs="仿宋_GB2312"/>
      <w:sz w:val="32"/>
      <w:szCs w:val="32"/>
    </w:rPr>
  </w:style>
  <w:style w:type="paragraph" w:styleId="18">
    <w:name w:val="Block Text"/>
    <w:basedOn w:val="1"/>
    <w:qFormat/>
    <w:uiPriority w:val="0"/>
    <w:pPr>
      <w:adjustRightInd w:val="0"/>
      <w:spacing w:line="300" w:lineRule="auto"/>
      <w:ind w:left="958" w:right="-120" w:rightChars="-120"/>
      <w:jc w:val="left"/>
    </w:pPr>
    <w:rPr>
      <w:rFonts w:ascii="宋体" w:hAnsi="宋体" w:cs="宋体"/>
      <w:sz w:val="28"/>
      <w:szCs w:val="28"/>
    </w:rPr>
  </w:style>
  <w:style w:type="paragraph" w:styleId="19">
    <w:name w:val="Plain Text"/>
    <w:basedOn w:val="1"/>
    <w:next w:val="2"/>
    <w:link w:val="63"/>
    <w:qFormat/>
    <w:uiPriority w:val="0"/>
    <w:rPr>
      <w:rFonts w:ascii="宋体" w:hAnsi="Courier New"/>
      <w:szCs w:val="20"/>
    </w:rPr>
  </w:style>
  <w:style w:type="paragraph" w:styleId="20">
    <w:name w:val="Date"/>
    <w:basedOn w:val="1"/>
    <w:next w:val="1"/>
    <w:link w:val="64"/>
    <w:qFormat/>
    <w:uiPriority w:val="0"/>
    <w:pPr>
      <w:ind w:left="100" w:leftChars="2500"/>
    </w:pPr>
  </w:style>
  <w:style w:type="paragraph" w:styleId="21">
    <w:name w:val="Body Text Indent 2"/>
    <w:basedOn w:val="1"/>
    <w:link w:val="65"/>
    <w:qFormat/>
    <w:uiPriority w:val="0"/>
    <w:pPr>
      <w:ind w:firstLine="630"/>
    </w:pPr>
    <w:rPr>
      <w:sz w:val="32"/>
      <w:szCs w:val="20"/>
    </w:rPr>
  </w:style>
  <w:style w:type="paragraph" w:styleId="22">
    <w:name w:val="endnote text"/>
    <w:basedOn w:val="1"/>
    <w:link w:val="66"/>
    <w:qFormat/>
    <w:uiPriority w:val="0"/>
    <w:pPr>
      <w:snapToGrid w:val="0"/>
      <w:jc w:val="left"/>
    </w:pPr>
    <w:rPr>
      <w:rFonts w:ascii="Calibri" w:hAnsi="Calibri"/>
      <w:szCs w:val="22"/>
    </w:rPr>
  </w:style>
  <w:style w:type="paragraph" w:styleId="23">
    <w:name w:val="Balloon Text"/>
    <w:basedOn w:val="1"/>
    <w:link w:val="67"/>
    <w:qFormat/>
    <w:uiPriority w:val="0"/>
    <w:rPr>
      <w:sz w:val="18"/>
      <w:szCs w:val="18"/>
    </w:rPr>
  </w:style>
  <w:style w:type="paragraph" w:styleId="24">
    <w:name w:val="footer"/>
    <w:basedOn w:val="1"/>
    <w:link w:val="68"/>
    <w:qFormat/>
    <w:uiPriority w:val="0"/>
    <w:pPr>
      <w:tabs>
        <w:tab w:val="center" w:pos="4153"/>
        <w:tab w:val="right" w:pos="8306"/>
      </w:tabs>
      <w:snapToGrid w:val="0"/>
      <w:jc w:val="left"/>
    </w:pPr>
    <w:rPr>
      <w:sz w:val="18"/>
      <w:szCs w:val="18"/>
    </w:rPr>
  </w:style>
  <w:style w:type="paragraph" w:styleId="25">
    <w:name w:val="header"/>
    <w:basedOn w:val="1"/>
    <w:link w:val="69"/>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style>
  <w:style w:type="paragraph" w:styleId="27">
    <w:name w:val="Body Text Indent 3"/>
    <w:basedOn w:val="1"/>
    <w:link w:val="70"/>
    <w:qFormat/>
    <w:uiPriority w:val="0"/>
    <w:pPr>
      <w:spacing w:after="120"/>
      <w:ind w:left="420" w:leftChars="200"/>
    </w:pPr>
    <w:rPr>
      <w:sz w:val="16"/>
      <w:szCs w:val="16"/>
    </w:rPr>
  </w:style>
  <w:style w:type="paragraph" w:styleId="28">
    <w:name w:val="table of figures"/>
    <w:basedOn w:val="1"/>
    <w:next w:val="1"/>
    <w:qFormat/>
    <w:uiPriority w:val="0"/>
    <w:pPr>
      <w:ind w:left="200" w:leftChars="200" w:hanging="200" w:hangingChars="200"/>
    </w:pPr>
    <w:rPr>
      <w:rFonts w:ascii="宋体" w:hAnsi="Courier New" w:cs="宋体"/>
    </w:rPr>
  </w:style>
  <w:style w:type="paragraph" w:styleId="29">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cs="宋体"/>
      <w:color w:val="008000"/>
      <w:kern w:val="0"/>
    </w:rPr>
  </w:style>
  <w:style w:type="paragraph" w:styleId="30">
    <w:name w:val="Body Text 2"/>
    <w:basedOn w:val="1"/>
    <w:link w:val="71"/>
    <w:qFormat/>
    <w:uiPriority w:val="0"/>
    <w:pPr>
      <w:spacing w:after="120" w:line="480" w:lineRule="auto"/>
    </w:pPr>
    <w:rPr>
      <w:szCs w:val="24"/>
    </w:rPr>
  </w:style>
  <w:style w:type="paragraph" w:styleId="31">
    <w:name w:val="HTML Preformatted"/>
    <w:basedOn w:val="1"/>
    <w:link w:val="7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3">
    <w:name w:val="index 1"/>
    <w:basedOn w:val="1"/>
    <w:next w:val="1"/>
    <w:qFormat/>
    <w:uiPriority w:val="0"/>
    <w:pPr>
      <w:spacing w:line="400" w:lineRule="exact"/>
      <w:ind w:firstLine="420" w:firstLineChars="200"/>
    </w:pPr>
    <w:rPr>
      <w:rFonts w:ascii="宋体" w:hAnsi="Courier New"/>
      <w:b/>
      <w:szCs w:val="20"/>
    </w:rPr>
  </w:style>
  <w:style w:type="paragraph" w:styleId="34">
    <w:name w:val="Title"/>
    <w:basedOn w:val="1"/>
    <w:next w:val="1"/>
    <w:link w:val="73"/>
    <w:qFormat/>
    <w:uiPriority w:val="0"/>
    <w:pPr>
      <w:spacing w:before="240" w:after="60"/>
      <w:jc w:val="center"/>
      <w:outlineLvl w:val="0"/>
    </w:pPr>
    <w:rPr>
      <w:rFonts w:ascii="Arial" w:hAnsi="Arial"/>
      <w:b/>
      <w:bCs/>
      <w:sz w:val="32"/>
      <w:szCs w:val="32"/>
    </w:rPr>
  </w:style>
  <w:style w:type="paragraph" w:styleId="35">
    <w:name w:val="annotation subject"/>
    <w:basedOn w:val="13"/>
    <w:next w:val="13"/>
    <w:link w:val="74"/>
    <w:qFormat/>
    <w:uiPriority w:val="0"/>
    <w:rPr>
      <w:b/>
      <w:bCs/>
    </w:rPr>
  </w:style>
  <w:style w:type="paragraph" w:styleId="36">
    <w:name w:val="Body Text First Indent"/>
    <w:basedOn w:val="16"/>
    <w:qFormat/>
    <w:uiPriority w:val="0"/>
    <w:pPr>
      <w:spacing w:after="120" w:line="240" w:lineRule="auto"/>
      <w:ind w:firstLine="420" w:firstLineChars="100"/>
    </w:pPr>
    <w:rPr>
      <w:sz w:val="21"/>
    </w:rPr>
  </w:style>
  <w:style w:type="paragraph" w:styleId="37">
    <w:name w:val="Body Text First Indent 2"/>
    <w:basedOn w:val="17"/>
    <w:qFormat/>
    <w:uiPriority w:val="0"/>
    <w:pPr>
      <w:spacing w:after="120"/>
      <w:ind w:left="420" w:leftChars="200" w:firstLine="420" w:firstLineChars="200"/>
    </w:pPr>
    <w:rPr>
      <w:rFonts w:ascii="Times New Roman" w:eastAsia="宋体" w:cs="Times New Roman"/>
      <w:sz w:val="21"/>
      <w:szCs w:val="21"/>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rFonts w:ascii="Times New Roman" w:hAnsi="Times New Roman" w:eastAsia="宋体" w:cs="Times New Roman"/>
      <w:b/>
      <w:bCs/>
    </w:rPr>
  </w:style>
  <w:style w:type="character" w:styleId="42">
    <w:name w:val="page number"/>
    <w:qFormat/>
    <w:uiPriority w:val="0"/>
    <w:rPr>
      <w:rFonts w:ascii="Times New Roman" w:hAnsi="Times New Roman" w:eastAsia="宋体" w:cs="Times New Roman"/>
    </w:rPr>
  </w:style>
  <w:style w:type="character" w:styleId="43">
    <w:name w:val="FollowedHyperlink"/>
    <w:qFormat/>
    <w:uiPriority w:val="0"/>
    <w:rPr>
      <w:rFonts w:ascii="Times New Roman" w:hAnsi="Times New Roman" w:eastAsia="宋体" w:cs="Times New Roman"/>
      <w:color w:val="800080"/>
      <w:u w:val="single"/>
    </w:rPr>
  </w:style>
  <w:style w:type="character" w:styleId="44">
    <w:name w:val="Hyperlink"/>
    <w:qFormat/>
    <w:uiPriority w:val="0"/>
    <w:rPr>
      <w:rFonts w:ascii="Times New Roman" w:hAnsi="Times New Roman" w:eastAsia="宋体" w:cs="Times New Roman"/>
      <w:color w:val="0000FF"/>
      <w:u w:val="single"/>
    </w:rPr>
  </w:style>
  <w:style w:type="character" w:styleId="45">
    <w:name w:val="annotation reference"/>
    <w:qFormat/>
    <w:uiPriority w:val="0"/>
    <w:rPr>
      <w:rFonts w:ascii="Times New Roman" w:hAnsi="Times New Roman" w:eastAsia="宋体" w:cs="Times New Roman"/>
      <w:sz w:val="21"/>
      <w:szCs w:val="21"/>
    </w:rPr>
  </w:style>
  <w:style w:type="character" w:styleId="46">
    <w:name w:val="HTML Sample"/>
    <w:qFormat/>
    <w:uiPriority w:val="0"/>
    <w:rPr>
      <w:rFonts w:ascii="宋体" w:hAnsi="宋体" w:eastAsia="宋体" w:cs="宋体"/>
    </w:rPr>
  </w:style>
  <w:style w:type="character" w:customStyle="1" w:styleId="47">
    <w:name w:val="标题 1 字符"/>
    <w:link w:val="2"/>
    <w:qFormat/>
    <w:uiPriority w:val="0"/>
    <w:rPr>
      <w:rFonts w:ascii="Times New Roman" w:hAnsi="Times New Roman" w:eastAsia="宋体" w:cs="Times New Roman"/>
      <w:b/>
      <w:bCs/>
      <w:kern w:val="44"/>
      <w:sz w:val="44"/>
      <w:szCs w:val="44"/>
      <w:lang w:val="en-US" w:eastAsia="zh-CN" w:bidi="ar-SA"/>
    </w:rPr>
  </w:style>
  <w:style w:type="character" w:customStyle="1" w:styleId="48">
    <w:name w:val="标题 2 字符"/>
    <w:link w:val="3"/>
    <w:qFormat/>
    <w:uiPriority w:val="0"/>
    <w:rPr>
      <w:rFonts w:ascii="Calibri Light" w:hAnsi="Calibri Light" w:eastAsia="宋体" w:cs="Times New Roman"/>
      <w:b/>
      <w:bCs/>
      <w:kern w:val="2"/>
      <w:sz w:val="32"/>
      <w:szCs w:val="32"/>
      <w:lang w:val="en-US" w:eastAsia="zh-CN" w:bidi="ar-SA"/>
    </w:rPr>
  </w:style>
  <w:style w:type="character" w:customStyle="1" w:styleId="49">
    <w:name w:val="标题 3 字符"/>
    <w:link w:val="4"/>
    <w:qFormat/>
    <w:uiPriority w:val="0"/>
    <w:rPr>
      <w:rFonts w:ascii="Times New Roman" w:hAnsi="Times New Roman" w:eastAsia="宋体" w:cs="Times New Roman"/>
      <w:b/>
      <w:bCs/>
      <w:kern w:val="2"/>
      <w:sz w:val="32"/>
      <w:szCs w:val="32"/>
      <w:lang w:val="en-US" w:eastAsia="zh-CN" w:bidi="ar-SA"/>
    </w:rPr>
  </w:style>
  <w:style w:type="character" w:customStyle="1" w:styleId="50">
    <w:name w:val="标题 4 字符"/>
    <w:link w:val="5"/>
    <w:qFormat/>
    <w:uiPriority w:val="0"/>
    <w:rPr>
      <w:rFonts w:ascii="Arial" w:hAnsi="Arial" w:eastAsia="黑体" w:cs="Times New Roman"/>
      <w:kern w:val="2"/>
      <w:sz w:val="28"/>
      <w:szCs w:val="24"/>
      <w:lang w:val="en-US" w:eastAsia="zh-CN" w:bidi="ar-SA"/>
    </w:rPr>
  </w:style>
  <w:style w:type="character" w:customStyle="1" w:styleId="51">
    <w:name w:val="标题 5 字符"/>
    <w:link w:val="6"/>
    <w:qFormat/>
    <w:uiPriority w:val="0"/>
    <w:rPr>
      <w:rFonts w:ascii="Times New Roman" w:hAnsi="Times New Roman" w:eastAsia="宋体" w:cs="Times New Roman"/>
      <w:b/>
      <w:kern w:val="2"/>
      <w:sz w:val="28"/>
      <w:szCs w:val="24"/>
      <w:lang w:val="en-US" w:eastAsia="zh-CN" w:bidi="ar-SA"/>
    </w:rPr>
  </w:style>
  <w:style w:type="character" w:customStyle="1" w:styleId="52">
    <w:name w:val="正文缩进 字符"/>
    <w:link w:val="7"/>
    <w:qFormat/>
    <w:uiPriority w:val="0"/>
    <w:rPr>
      <w:rFonts w:ascii="Calibri" w:hAnsi="Calibri" w:eastAsia="宋体" w:cs="Times New Roman"/>
      <w:kern w:val="2"/>
      <w:sz w:val="21"/>
      <w:lang w:val="en-US" w:eastAsia="zh-CN" w:bidi="ar-SA"/>
    </w:rPr>
  </w:style>
  <w:style w:type="character" w:customStyle="1" w:styleId="53">
    <w:name w:val="标题 6 字符"/>
    <w:link w:val="8"/>
    <w:qFormat/>
    <w:uiPriority w:val="0"/>
    <w:rPr>
      <w:rFonts w:ascii="Arial" w:hAnsi="Arial" w:eastAsia="黑体" w:cs="Times New Roman"/>
      <w:b/>
      <w:kern w:val="2"/>
      <w:sz w:val="24"/>
      <w:szCs w:val="24"/>
      <w:lang w:val="en-US" w:eastAsia="zh-CN" w:bidi="ar-SA"/>
    </w:rPr>
  </w:style>
  <w:style w:type="character" w:customStyle="1" w:styleId="54">
    <w:name w:val="标题 7 字符"/>
    <w:link w:val="9"/>
    <w:qFormat/>
    <w:uiPriority w:val="0"/>
    <w:rPr>
      <w:rFonts w:ascii="Times New Roman" w:hAnsi="Times New Roman" w:eastAsia="宋体" w:cs="Times New Roman"/>
      <w:b/>
      <w:kern w:val="2"/>
      <w:sz w:val="24"/>
      <w:szCs w:val="24"/>
      <w:lang w:val="en-US" w:eastAsia="zh-CN" w:bidi="ar-SA"/>
    </w:rPr>
  </w:style>
  <w:style w:type="character" w:customStyle="1" w:styleId="55">
    <w:name w:val="标题 8 字符"/>
    <w:link w:val="10"/>
    <w:qFormat/>
    <w:uiPriority w:val="0"/>
    <w:rPr>
      <w:rFonts w:ascii="Arial" w:hAnsi="Arial" w:eastAsia="黑体" w:cs="Times New Roman"/>
      <w:kern w:val="2"/>
      <w:sz w:val="24"/>
      <w:szCs w:val="24"/>
      <w:lang w:val="en-US" w:eastAsia="zh-CN" w:bidi="ar-SA"/>
    </w:rPr>
  </w:style>
  <w:style w:type="character" w:customStyle="1" w:styleId="56">
    <w:name w:val="标题 9 字符"/>
    <w:link w:val="11"/>
    <w:qFormat/>
    <w:uiPriority w:val="0"/>
    <w:rPr>
      <w:rFonts w:ascii="Arial" w:hAnsi="Arial" w:eastAsia="黑体" w:cs="Times New Roman"/>
      <w:kern w:val="2"/>
      <w:sz w:val="21"/>
      <w:szCs w:val="24"/>
      <w:lang w:val="en-US" w:eastAsia="zh-CN" w:bidi="ar-SA"/>
    </w:rPr>
  </w:style>
  <w:style w:type="character" w:customStyle="1" w:styleId="57">
    <w:name w:val="文档结构图 字符"/>
    <w:link w:val="12"/>
    <w:qFormat/>
    <w:uiPriority w:val="0"/>
    <w:rPr>
      <w:rFonts w:ascii="宋体" w:hAnsi="Calibri" w:eastAsia="宋体" w:cs="Times New Roman"/>
      <w:kern w:val="2"/>
      <w:sz w:val="18"/>
      <w:lang w:val="en-US" w:eastAsia="zh-CN" w:bidi="ar-SA"/>
    </w:rPr>
  </w:style>
  <w:style w:type="character" w:customStyle="1" w:styleId="58">
    <w:name w:val="批注文字 字符"/>
    <w:link w:val="13"/>
    <w:qFormat/>
    <w:uiPriority w:val="0"/>
    <w:rPr>
      <w:rFonts w:ascii="Times New Roman" w:hAnsi="Times New Roman" w:eastAsia="宋体" w:cs="Times New Roman"/>
      <w:kern w:val="2"/>
      <w:sz w:val="21"/>
      <w:szCs w:val="21"/>
      <w:lang w:val="en-US" w:eastAsia="zh-CN" w:bidi="ar-SA"/>
    </w:rPr>
  </w:style>
  <w:style w:type="character" w:customStyle="1" w:styleId="59">
    <w:name w:val="称呼 字符"/>
    <w:link w:val="14"/>
    <w:qFormat/>
    <w:uiPriority w:val="0"/>
    <w:rPr>
      <w:rFonts w:ascii="Times New Roman" w:hAnsi="Times New Roman" w:eastAsia="宋体" w:cs="Times New Roman"/>
      <w:kern w:val="2"/>
      <w:sz w:val="28"/>
      <w:szCs w:val="24"/>
      <w:lang w:bidi="ar-SA"/>
    </w:rPr>
  </w:style>
  <w:style w:type="character" w:customStyle="1" w:styleId="60">
    <w:name w:val="正文文本 3 字符"/>
    <w:link w:val="15"/>
    <w:qFormat/>
    <w:uiPriority w:val="0"/>
    <w:rPr>
      <w:rFonts w:ascii="Times New Roman" w:hAnsi="Times New Roman" w:eastAsia="宋体" w:cs="Times New Roman"/>
      <w:b/>
      <w:bCs/>
      <w:kern w:val="2"/>
      <w:sz w:val="24"/>
      <w:szCs w:val="24"/>
      <w:lang w:val="en-US" w:eastAsia="zh-CN" w:bidi="ar-SA"/>
    </w:rPr>
  </w:style>
  <w:style w:type="character" w:customStyle="1" w:styleId="61">
    <w:name w:val="正文文本 字符"/>
    <w:link w:val="16"/>
    <w:qFormat/>
    <w:uiPriority w:val="0"/>
    <w:rPr>
      <w:rFonts w:ascii="Times New Roman" w:hAnsi="Times New Roman" w:eastAsia="宋体" w:cs="Times New Roman"/>
      <w:kern w:val="2"/>
      <w:sz w:val="24"/>
      <w:szCs w:val="24"/>
      <w:lang w:val="en-US" w:eastAsia="zh-CN" w:bidi="ar-SA"/>
    </w:rPr>
  </w:style>
  <w:style w:type="character" w:customStyle="1" w:styleId="62">
    <w:name w:val="正文文本缩进 字符"/>
    <w:link w:val="17"/>
    <w:qFormat/>
    <w:uiPriority w:val="0"/>
    <w:rPr>
      <w:rFonts w:ascii="仿宋_GB2312" w:hAnsi="Times New Roman" w:eastAsia="仿宋_GB2312" w:cs="仿宋_GB2312"/>
      <w:kern w:val="2"/>
      <w:sz w:val="32"/>
      <w:szCs w:val="32"/>
      <w:lang w:val="en-US" w:eastAsia="zh-CN" w:bidi="ar-SA"/>
    </w:rPr>
  </w:style>
  <w:style w:type="character" w:customStyle="1" w:styleId="63">
    <w:name w:val="纯文本 字符"/>
    <w:link w:val="19"/>
    <w:qFormat/>
    <w:uiPriority w:val="0"/>
    <w:rPr>
      <w:rFonts w:ascii="宋体" w:hAnsi="Courier New" w:eastAsia="宋体" w:cs="Times New Roman"/>
      <w:kern w:val="2"/>
      <w:sz w:val="21"/>
      <w:lang w:val="en-US" w:eastAsia="zh-CN" w:bidi="ar-SA"/>
    </w:rPr>
  </w:style>
  <w:style w:type="character" w:customStyle="1" w:styleId="64">
    <w:name w:val="日期 字符"/>
    <w:link w:val="20"/>
    <w:qFormat/>
    <w:uiPriority w:val="0"/>
    <w:rPr>
      <w:rFonts w:ascii="Times New Roman" w:hAnsi="Times New Roman" w:eastAsia="宋体" w:cs="Times New Roman"/>
      <w:kern w:val="2"/>
      <w:sz w:val="21"/>
      <w:szCs w:val="21"/>
      <w:lang w:val="en-US" w:eastAsia="zh-CN" w:bidi="ar-SA"/>
    </w:rPr>
  </w:style>
  <w:style w:type="character" w:customStyle="1" w:styleId="65">
    <w:name w:val="正文文本缩进 2 字符"/>
    <w:link w:val="21"/>
    <w:qFormat/>
    <w:uiPriority w:val="0"/>
    <w:rPr>
      <w:rFonts w:ascii="Times New Roman" w:hAnsi="Times New Roman" w:eastAsia="宋体" w:cs="Times New Roman"/>
      <w:kern w:val="2"/>
      <w:sz w:val="32"/>
      <w:lang w:val="en-US" w:eastAsia="zh-CN" w:bidi="ar-SA"/>
    </w:rPr>
  </w:style>
  <w:style w:type="character" w:customStyle="1" w:styleId="66">
    <w:name w:val="尾注文本 字符"/>
    <w:link w:val="22"/>
    <w:qFormat/>
    <w:uiPriority w:val="0"/>
    <w:rPr>
      <w:rFonts w:ascii="Calibri" w:hAnsi="Calibri" w:eastAsia="宋体" w:cs="Times New Roman"/>
      <w:kern w:val="2"/>
      <w:sz w:val="21"/>
      <w:szCs w:val="22"/>
      <w:lang w:bidi="ar-SA"/>
    </w:rPr>
  </w:style>
  <w:style w:type="character" w:customStyle="1" w:styleId="67">
    <w:name w:val="批注框文本 字符"/>
    <w:link w:val="23"/>
    <w:qFormat/>
    <w:uiPriority w:val="0"/>
    <w:rPr>
      <w:rFonts w:ascii="Times New Roman" w:hAnsi="Times New Roman" w:eastAsia="宋体" w:cs="Times New Roman"/>
      <w:kern w:val="2"/>
      <w:sz w:val="18"/>
      <w:szCs w:val="18"/>
      <w:lang w:val="en-US" w:eastAsia="zh-CN" w:bidi="ar-SA"/>
    </w:rPr>
  </w:style>
  <w:style w:type="character" w:customStyle="1" w:styleId="68">
    <w:name w:val="页脚 字符"/>
    <w:link w:val="24"/>
    <w:qFormat/>
    <w:uiPriority w:val="0"/>
    <w:rPr>
      <w:rFonts w:ascii="Times New Roman" w:hAnsi="Times New Roman" w:eastAsia="宋体" w:cs="Times New Roman"/>
      <w:kern w:val="2"/>
      <w:sz w:val="18"/>
      <w:szCs w:val="18"/>
      <w:lang w:val="en-US" w:eastAsia="zh-CN" w:bidi="ar-SA"/>
    </w:rPr>
  </w:style>
  <w:style w:type="character" w:customStyle="1" w:styleId="69">
    <w:name w:val="页眉 字符"/>
    <w:link w:val="25"/>
    <w:qFormat/>
    <w:uiPriority w:val="0"/>
    <w:rPr>
      <w:rFonts w:ascii="Times New Roman" w:hAnsi="Times New Roman" w:eastAsia="宋体" w:cs="Times New Roman"/>
      <w:kern w:val="2"/>
      <w:sz w:val="18"/>
      <w:szCs w:val="18"/>
      <w:lang w:val="en-US" w:eastAsia="zh-CN" w:bidi="ar-SA"/>
    </w:rPr>
  </w:style>
  <w:style w:type="character" w:customStyle="1" w:styleId="70">
    <w:name w:val="正文文本缩进 3 字符"/>
    <w:link w:val="27"/>
    <w:qFormat/>
    <w:uiPriority w:val="0"/>
    <w:rPr>
      <w:rFonts w:ascii="Times New Roman" w:hAnsi="Times New Roman" w:eastAsia="宋体" w:cs="Times New Roman"/>
      <w:kern w:val="2"/>
      <w:sz w:val="16"/>
      <w:szCs w:val="16"/>
      <w:lang w:val="en-US" w:eastAsia="zh-CN" w:bidi="ar-SA"/>
    </w:rPr>
  </w:style>
  <w:style w:type="character" w:customStyle="1" w:styleId="71">
    <w:name w:val="正文文本 2 字符"/>
    <w:link w:val="30"/>
    <w:qFormat/>
    <w:uiPriority w:val="0"/>
    <w:rPr>
      <w:rFonts w:ascii="Times New Roman" w:hAnsi="Times New Roman" w:eastAsia="宋体" w:cs="Times New Roman"/>
      <w:kern w:val="2"/>
      <w:sz w:val="21"/>
      <w:szCs w:val="24"/>
      <w:lang w:val="en-US" w:eastAsia="zh-CN" w:bidi="ar-SA"/>
    </w:rPr>
  </w:style>
  <w:style w:type="character" w:customStyle="1" w:styleId="72">
    <w:name w:val="HTML 预设格式 字符"/>
    <w:link w:val="31"/>
    <w:qFormat/>
    <w:uiPriority w:val="0"/>
    <w:rPr>
      <w:rFonts w:ascii="黑体" w:hAnsi="Courier New" w:eastAsia="黑体" w:cs="Courier New"/>
      <w:lang w:val="en-US" w:eastAsia="zh-CN" w:bidi="ar-SA"/>
    </w:rPr>
  </w:style>
  <w:style w:type="character" w:customStyle="1" w:styleId="73">
    <w:name w:val="标题 字符"/>
    <w:link w:val="34"/>
    <w:qFormat/>
    <w:uiPriority w:val="0"/>
    <w:rPr>
      <w:rFonts w:ascii="Arial" w:hAnsi="Arial" w:eastAsia="宋体" w:cs="Times New Roman"/>
      <w:b/>
      <w:bCs/>
      <w:kern w:val="2"/>
      <w:sz w:val="32"/>
      <w:szCs w:val="32"/>
      <w:lang w:bidi="ar-SA"/>
    </w:rPr>
  </w:style>
  <w:style w:type="character" w:customStyle="1" w:styleId="74">
    <w:name w:val="批注主题 字符"/>
    <w:link w:val="35"/>
    <w:qFormat/>
    <w:uiPriority w:val="0"/>
    <w:rPr>
      <w:rFonts w:ascii="Times New Roman" w:hAnsi="Times New Roman" w:eastAsia="宋体" w:cs="Times New Roman"/>
      <w:b/>
      <w:bCs/>
      <w:kern w:val="2"/>
      <w:sz w:val="21"/>
      <w:szCs w:val="21"/>
      <w:lang w:val="en-US" w:eastAsia="zh-CN" w:bidi="ar-SA"/>
    </w:rPr>
  </w:style>
  <w:style w:type="paragraph" w:customStyle="1" w:styleId="75">
    <w:name w:val="样式 0正文 + 首行缩进:  2 字符1"/>
    <w:basedOn w:val="1"/>
    <w:qFormat/>
    <w:uiPriority w:val="0"/>
    <w:pPr>
      <w:spacing w:line="360" w:lineRule="auto"/>
      <w:ind w:firstLine="200" w:firstLineChars="200"/>
    </w:pPr>
    <w:rPr>
      <w:szCs w:val="20"/>
    </w:rPr>
  </w:style>
  <w:style w:type="character" w:customStyle="1" w:styleId="76">
    <w:name w:val="15"/>
    <w:qFormat/>
    <w:uiPriority w:val="0"/>
    <w:rPr>
      <w:rFonts w:hint="default" w:ascii="Times New Roman" w:hAnsi="Times New Roman" w:eastAsia="宋体" w:cs="Times New Roman"/>
      <w:color w:val="0000FF"/>
      <w:u w:val="single"/>
    </w:rPr>
  </w:style>
  <w:style w:type="character" w:customStyle="1" w:styleId="77">
    <w:name w:val="bookmark-item uuid-1595987359344 code-00004 addword single-line-text-input-box-cls"/>
    <w:qFormat/>
    <w:uiPriority w:val="0"/>
    <w:rPr>
      <w:rFonts w:ascii="Times New Roman" w:hAnsi="Times New Roman" w:eastAsia="宋体" w:cs="Times New Roman"/>
    </w:rPr>
  </w:style>
  <w:style w:type="character" w:customStyle="1" w:styleId="78">
    <w:name w:val="bookmark-item uuid-1595987369689 code-00003 addword single-line-text-input-box-cls"/>
    <w:qFormat/>
    <w:uiPriority w:val="0"/>
    <w:rPr>
      <w:rFonts w:ascii="Times New Roman" w:hAnsi="Times New Roman" w:eastAsia="宋体" w:cs="Times New Roman"/>
    </w:rPr>
  </w:style>
  <w:style w:type="character" w:customStyle="1" w:styleId="79">
    <w:name w:val="bookmark-item uuid-1595987387629 code-am01400034 addword numeric-input-box-cls"/>
    <w:qFormat/>
    <w:uiPriority w:val="0"/>
    <w:rPr>
      <w:rFonts w:ascii="Times New Roman" w:hAnsi="Times New Roman" w:eastAsia="宋体" w:cs="Times New Roman"/>
    </w:rPr>
  </w:style>
  <w:style w:type="character" w:customStyle="1" w:styleId="80">
    <w:name w:val="bookmark-item uuid-1593432150293 code-am014biditemname editdisable single-line-text-input-box-cls"/>
    <w:qFormat/>
    <w:uiPriority w:val="0"/>
    <w:rPr>
      <w:rFonts w:ascii="Times New Roman" w:hAnsi="Times New Roman" w:eastAsia="宋体" w:cs="Times New Roman"/>
    </w:rPr>
  </w:style>
  <w:style w:type="character" w:customStyle="1" w:styleId="81">
    <w:name w:val="bookmark-item uuid-1595941076685 code-am014biditemcount editdisable single-line-text-input-box-cls"/>
    <w:qFormat/>
    <w:uiPriority w:val="0"/>
    <w:rPr>
      <w:rFonts w:ascii="Times New Roman" w:hAnsi="Times New Roman" w:eastAsia="宋体" w:cs="Times New Roman"/>
    </w:rPr>
  </w:style>
  <w:style w:type="character" w:customStyle="1" w:styleId="82">
    <w:name w:val="bookmark-item uuid-1593421137256 code-am014budgetprice editdisable single-line-text-input-box-cls"/>
    <w:qFormat/>
    <w:uiPriority w:val="0"/>
    <w:rPr>
      <w:rFonts w:ascii="Times New Roman" w:hAnsi="Times New Roman" w:eastAsia="宋体" w:cs="Times New Roman"/>
    </w:rPr>
  </w:style>
  <w:style w:type="character" w:customStyle="1" w:styleId="83">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4">
    <w:name w:val="bookmark-item uuid-1593432166973 code-am014remarks editdisable single-line-text-input-box-cls"/>
    <w:qFormat/>
    <w:uiPriority w:val="0"/>
    <w:rPr>
      <w:rFonts w:ascii="Times New Roman" w:hAnsi="Times New Roman" w:eastAsia="宋体" w:cs="Times New Roman"/>
    </w:rPr>
  </w:style>
  <w:style w:type="character" w:customStyle="1" w:styleId="85">
    <w:name w:val="bookmark-item uuid-1595987425520 code-23021 editdisable multi-line-text-input-box-cls readonly"/>
    <w:qFormat/>
    <w:uiPriority w:val="0"/>
    <w:rPr>
      <w:rFonts w:ascii="Times New Roman" w:hAnsi="Times New Roman" w:eastAsia="宋体" w:cs="Times New Roman"/>
    </w:rPr>
  </w:style>
  <w:style w:type="character" w:customStyle="1" w:styleId="86">
    <w:name w:val="bookmark-item uuid-1596276761070 code-22002 editdisable multi-line-text-input-box-cls readonly"/>
    <w:qFormat/>
    <w:uiPriority w:val="0"/>
    <w:rPr>
      <w:rFonts w:ascii="Times New Roman" w:hAnsi="Times New Roman" w:eastAsia="宋体" w:cs="Times New Roman"/>
    </w:rPr>
  </w:style>
  <w:style w:type="character" w:customStyle="1" w:styleId="87">
    <w:name w:val="bookmark-item uuid-1595987985571 code-25003 addword date-selection-cls"/>
    <w:qFormat/>
    <w:uiPriority w:val="0"/>
    <w:rPr>
      <w:rFonts w:ascii="Times New Roman" w:hAnsi="Times New Roman" w:eastAsia="宋体" w:cs="Times New Roman"/>
    </w:rPr>
  </w:style>
  <w:style w:type="character" w:customStyle="1" w:styleId="88">
    <w:name w:val="bookmark-item uuid-1595987959773 code-25004 editdisable date-selection-cls readonly"/>
    <w:qFormat/>
    <w:uiPriority w:val="0"/>
    <w:rPr>
      <w:rFonts w:ascii="Times New Roman" w:hAnsi="Times New Roman" w:eastAsia="宋体" w:cs="Times New Roman"/>
    </w:rPr>
  </w:style>
  <w:style w:type="character" w:customStyle="1" w:styleId="89">
    <w:name w:val="bookmark-item uuid-1595988019709 code-25005 addword morning-time-section-selection-cls"/>
    <w:qFormat/>
    <w:uiPriority w:val="0"/>
    <w:rPr>
      <w:rFonts w:ascii="Times New Roman" w:hAnsi="Times New Roman" w:eastAsia="宋体" w:cs="Times New Roman"/>
    </w:rPr>
  </w:style>
  <w:style w:type="character" w:customStyle="1" w:styleId="90">
    <w:name w:val="bookmark-item uuid-1595988030421 code-25006 addword afternoon-time-section-selection-cls"/>
    <w:qFormat/>
    <w:uiPriority w:val="0"/>
    <w:rPr>
      <w:rFonts w:ascii="Times New Roman" w:hAnsi="Times New Roman" w:eastAsia="宋体" w:cs="Times New Roman"/>
    </w:rPr>
  </w:style>
  <w:style w:type="character" w:customStyle="1" w:styleId="91">
    <w:name w:val="bookmark-item uuid-1595988073673 code-25007 editdisable single-line-text-input-box-cls readonly"/>
    <w:qFormat/>
    <w:uiPriority w:val="0"/>
    <w:rPr>
      <w:rFonts w:ascii="Times New Roman" w:hAnsi="Times New Roman" w:eastAsia="宋体" w:cs="Times New Roman"/>
    </w:rPr>
  </w:style>
  <w:style w:type="character" w:customStyle="1" w:styleId="92">
    <w:name w:val="bookmark-item uuid-1595988080611 code-25008 editdisable single-line-text-input-box-cls readonly"/>
    <w:qFormat/>
    <w:uiPriority w:val="0"/>
    <w:rPr>
      <w:rFonts w:ascii="Times New Roman" w:hAnsi="Times New Roman" w:eastAsia="宋体" w:cs="Times New Roman"/>
    </w:rPr>
  </w:style>
  <w:style w:type="character" w:customStyle="1" w:styleId="93">
    <w:name w:val="bookmark-item uuid-1595988095908 code-25009 addword numeric-input-box-cls"/>
    <w:qFormat/>
    <w:uiPriority w:val="0"/>
    <w:rPr>
      <w:rFonts w:ascii="Times New Roman" w:hAnsi="Times New Roman" w:eastAsia="宋体" w:cs="Times New Roman"/>
    </w:rPr>
  </w:style>
  <w:style w:type="character" w:customStyle="1" w:styleId="94">
    <w:name w:val="bookmark-item uuid-1595988122451 code-25011 addword date-time-selection-cls"/>
    <w:qFormat/>
    <w:uiPriority w:val="0"/>
    <w:rPr>
      <w:rFonts w:ascii="Times New Roman" w:hAnsi="Times New Roman" w:eastAsia="宋体" w:cs="Times New Roman"/>
    </w:rPr>
  </w:style>
  <w:style w:type="character" w:customStyle="1" w:styleId="95">
    <w:name w:val="bookmark-item uuid-1595988200124 code-25012 editdisable single-line-text-input-box-cls readonly"/>
    <w:qFormat/>
    <w:uiPriority w:val="0"/>
    <w:rPr>
      <w:rFonts w:ascii="Times New Roman" w:hAnsi="Times New Roman" w:eastAsia="宋体" w:cs="Times New Roman"/>
    </w:rPr>
  </w:style>
  <w:style w:type="character" w:customStyle="1" w:styleId="96">
    <w:name w:val="bookmark-item uuid-1595988227171 code-25011 addword date-time-selection-cls"/>
    <w:qFormat/>
    <w:uiPriority w:val="0"/>
    <w:rPr>
      <w:rFonts w:ascii="Times New Roman" w:hAnsi="Times New Roman" w:eastAsia="宋体" w:cs="Times New Roman"/>
    </w:rPr>
  </w:style>
  <w:style w:type="character" w:customStyle="1" w:styleId="97">
    <w:name w:val="bookmark-item uuid-1595988252461 code-25015 editdisable single-line-text-input-box-cls readonly"/>
    <w:qFormat/>
    <w:uiPriority w:val="0"/>
    <w:rPr>
      <w:rFonts w:ascii="Times New Roman" w:hAnsi="Times New Roman" w:eastAsia="宋体" w:cs="Times New Roman"/>
    </w:rPr>
  </w:style>
  <w:style w:type="character" w:customStyle="1" w:styleId="98">
    <w:name w:val="bookmark-item uuid-1589194982864 code-31006 addword multi-line-text-input-box-cls"/>
    <w:qFormat/>
    <w:uiPriority w:val="0"/>
    <w:rPr>
      <w:rFonts w:ascii="Times New Roman" w:hAnsi="Times New Roman" w:eastAsia="宋体" w:cs="Times New Roman"/>
    </w:rPr>
  </w:style>
  <w:style w:type="character" w:customStyle="1" w:styleId="99">
    <w:name w:val="bookmark-item uuid-1596004663203 code-00014 editdisable interval-text-box-cls readonly"/>
    <w:qFormat/>
    <w:uiPriority w:val="0"/>
    <w:rPr>
      <w:rFonts w:ascii="Times New Roman" w:hAnsi="Times New Roman" w:eastAsia="宋体" w:cs="Times New Roman"/>
    </w:rPr>
  </w:style>
  <w:style w:type="character" w:customStyle="1" w:styleId="100">
    <w:name w:val="bookmark-item uuid-1596004672274 code-00018 addword single-line-text-input-box-cls"/>
    <w:qFormat/>
    <w:uiPriority w:val="0"/>
    <w:rPr>
      <w:rFonts w:ascii="Times New Roman" w:hAnsi="Times New Roman" w:eastAsia="宋体" w:cs="Times New Roman"/>
    </w:rPr>
  </w:style>
  <w:style w:type="character" w:customStyle="1" w:styleId="101">
    <w:name w:val="bookmark-item uuid-1596004688403 code-00015 editdisable single-line-text-input-box-cls readonly"/>
    <w:qFormat/>
    <w:uiPriority w:val="0"/>
    <w:rPr>
      <w:rFonts w:ascii="Times New Roman" w:hAnsi="Times New Roman" w:eastAsia="宋体" w:cs="Times New Roman"/>
    </w:rPr>
  </w:style>
  <w:style w:type="character" w:customStyle="1" w:styleId="102">
    <w:name w:val="bookmark-item uuid-1596004695990 code-00016 editdisable single-line-text-input-box-cls readonly"/>
    <w:qFormat/>
    <w:uiPriority w:val="0"/>
    <w:rPr>
      <w:rFonts w:ascii="Times New Roman" w:hAnsi="Times New Roman" w:eastAsia="宋体" w:cs="Times New Roman"/>
    </w:rPr>
  </w:style>
  <w:style w:type="character" w:customStyle="1" w:styleId="103">
    <w:name w:val="bookmark-item uuid-1596004721081 code-00009 addword interval-text-box-cls"/>
    <w:qFormat/>
    <w:uiPriority w:val="0"/>
    <w:rPr>
      <w:rFonts w:ascii="Times New Roman" w:hAnsi="Times New Roman" w:eastAsia="宋体" w:cs="Times New Roman"/>
    </w:rPr>
  </w:style>
  <w:style w:type="character" w:customStyle="1" w:styleId="104">
    <w:name w:val="bookmark-item uuid-1596004728442 code-00013 editdisable single-line-text-input-box-cls readonly"/>
    <w:qFormat/>
    <w:uiPriority w:val="0"/>
    <w:rPr>
      <w:rFonts w:ascii="Times New Roman" w:hAnsi="Times New Roman" w:eastAsia="宋体" w:cs="Times New Roman"/>
    </w:rPr>
  </w:style>
  <w:style w:type="character" w:customStyle="1" w:styleId="105">
    <w:name w:val="bookmark-item uuid-1596004745033 code-00010 editdisable single-line-text-input-box-cls readonly"/>
    <w:qFormat/>
    <w:uiPriority w:val="0"/>
    <w:rPr>
      <w:rFonts w:ascii="Times New Roman" w:hAnsi="Times New Roman" w:eastAsia="宋体" w:cs="Times New Roman"/>
    </w:rPr>
  </w:style>
  <w:style w:type="character" w:customStyle="1" w:styleId="106">
    <w:name w:val="bookmark-item uuid-1596004753055 code-00011 addword single-line-text-input-box-cls"/>
    <w:qFormat/>
    <w:uiPriority w:val="0"/>
    <w:rPr>
      <w:rFonts w:ascii="Times New Roman" w:hAnsi="Times New Roman" w:eastAsia="宋体" w:cs="Times New Roman"/>
    </w:rPr>
  </w:style>
  <w:style w:type="paragraph" w:customStyle="1" w:styleId="107">
    <w:name w:val="1"/>
    <w:basedOn w:val="1"/>
    <w:next w:val="19"/>
    <w:qFormat/>
    <w:uiPriority w:val="0"/>
    <w:rPr>
      <w:rFonts w:ascii="宋体" w:hAnsi="Courier New" w:cs="宋体"/>
    </w:rPr>
  </w:style>
  <w:style w:type="character" w:customStyle="1" w:styleId="108">
    <w:name w:val="Body text|3_"/>
    <w:link w:val="109"/>
    <w:qFormat/>
    <w:uiPriority w:val="0"/>
    <w:rPr>
      <w:rFonts w:ascii="宋体" w:hAnsi="宋体" w:eastAsia="宋体" w:cs="Times New Roman"/>
      <w:sz w:val="34"/>
      <w:szCs w:val="34"/>
      <w:lang w:bidi="ar-SA"/>
    </w:rPr>
  </w:style>
  <w:style w:type="paragraph" w:customStyle="1" w:styleId="109">
    <w:name w:val="Body text|3"/>
    <w:basedOn w:val="1"/>
    <w:link w:val="108"/>
    <w:qFormat/>
    <w:uiPriority w:val="0"/>
    <w:pPr>
      <w:spacing w:after="460"/>
      <w:jc w:val="center"/>
    </w:pPr>
    <w:rPr>
      <w:rFonts w:ascii="宋体" w:hAnsi="宋体" w:eastAsia="Times New Roman"/>
      <w:kern w:val="0"/>
      <w:sz w:val="34"/>
      <w:szCs w:val="34"/>
    </w:rPr>
  </w:style>
  <w:style w:type="character" w:customStyle="1" w:styleId="110">
    <w:name w:val="Body text|1_"/>
    <w:link w:val="111"/>
    <w:qFormat/>
    <w:uiPriority w:val="0"/>
    <w:rPr>
      <w:rFonts w:ascii="宋体" w:hAnsi="宋体" w:eastAsia="宋体" w:cs="Times New Roman"/>
      <w:sz w:val="30"/>
      <w:szCs w:val="30"/>
      <w:lang w:bidi="ar-SA"/>
    </w:rPr>
  </w:style>
  <w:style w:type="paragraph" w:customStyle="1" w:styleId="111">
    <w:name w:val="Body text|1"/>
    <w:basedOn w:val="1"/>
    <w:link w:val="110"/>
    <w:qFormat/>
    <w:uiPriority w:val="0"/>
    <w:pPr>
      <w:spacing w:line="352" w:lineRule="auto"/>
      <w:ind w:firstLine="400"/>
      <w:jc w:val="left"/>
    </w:pPr>
    <w:rPr>
      <w:rFonts w:ascii="宋体" w:hAnsi="宋体" w:eastAsia="Times New Roman"/>
      <w:kern w:val="0"/>
      <w:sz w:val="30"/>
      <w:szCs w:val="30"/>
    </w:rPr>
  </w:style>
  <w:style w:type="character" w:customStyle="1" w:styleId="112">
    <w:name w:val="纯文本 Char1"/>
    <w:qFormat/>
    <w:uiPriority w:val="0"/>
    <w:rPr>
      <w:rFonts w:ascii="宋体" w:hAnsi="Courier New" w:eastAsia="宋体" w:cs="Times New Roman"/>
      <w:kern w:val="2"/>
      <w:sz w:val="21"/>
      <w:lang w:val="en-US" w:eastAsia="zh-CN"/>
    </w:rPr>
  </w:style>
  <w:style w:type="character" w:customStyle="1" w:styleId="113">
    <w:name w:val="param-name"/>
    <w:qFormat/>
    <w:uiPriority w:val="0"/>
    <w:rPr>
      <w:rFonts w:ascii="Times New Roman" w:hAnsi="Times New Roman" w:eastAsia="宋体" w:cs="Times New Roman"/>
    </w:rPr>
  </w:style>
  <w:style w:type="character" w:customStyle="1" w:styleId="114">
    <w:name w:val="1ji Char"/>
    <w:link w:val="115"/>
    <w:qFormat/>
    <w:uiPriority w:val="0"/>
    <w:rPr>
      <w:rFonts w:ascii="宋体" w:hAnsi="宋体" w:eastAsia="宋体" w:cs="Times New Roman"/>
      <w:b/>
      <w:kern w:val="44"/>
      <w:sz w:val="44"/>
      <w:lang w:val="en-US" w:eastAsia="zh-CN" w:bidi="ar-SA"/>
    </w:rPr>
  </w:style>
  <w:style w:type="paragraph" w:customStyle="1" w:styleId="115">
    <w:name w:val="1ji"/>
    <w:basedOn w:val="2"/>
    <w:link w:val="114"/>
    <w:qFormat/>
    <w:uiPriority w:val="0"/>
    <w:pPr>
      <w:keepLines w:val="0"/>
      <w:widowControl/>
      <w:spacing w:before="0" w:after="0" w:line="240" w:lineRule="auto"/>
      <w:jc w:val="center"/>
    </w:pPr>
    <w:rPr>
      <w:rFonts w:ascii="宋体" w:hAnsi="宋体"/>
      <w:bCs w:val="0"/>
      <w:szCs w:val="20"/>
    </w:rPr>
  </w:style>
  <w:style w:type="character" w:customStyle="1" w:styleId="116">
    <w:name w:val="文档结构图 Char"/>
    <w:qFormat/>
    <w:uiPriority w:val="0"/>
    <w:rPr>
      <w:rFonts w:ascii="宋体" w:hAnsi="Times New Roman" w:eastAsia="宋体" w:cs="Times New Roman"/>
      <w:kern w:val="2"/>
      <w:sz w:val="18"/>
    </w:rPr>
  </w:style>
  <w:style w:type="character" w:customStyle="1" w:styleId="117">
    <w:name w:val="标题 1 Char1"/>
    <w:qFormat/>
    <w:uiPriority w:val="0"/>
    <w:rPr>
      <w:rFonts w:ascii="Calibri" w:hAnsi="Calibri" w:eastAsia="宋体" w:cs="Times New Roman"/>
      <w:b/>
      <w:kern w:val="44"/>
      <w:sz w:val="24"/>
    </w:rPr>
  </w:style>
  <w:style w:type="character" w:customStyle="1" w:styleId="118">
    <w:name w:val="纯文本 Char"/>
    <w:qFormat/>
    <w:uiPriority w:val="0"/>
    <w:rPr>
      <w:rFonts w:ascii="宋体" w:hAnsi="Courier New" w:eastAsia="宋体" w:cs="Times New Roman"/>
      <w:kern w:val="2"/>
      <w:sz w:val="21"/>
      <w:lang w:val="en-US" w:eastAsia="zh-CN"/>
    </w:rPr>
  </w:style>
  <w:style w:type="paragraph" w:customStyle="1" w:styleId="119">
    <w:name w:val="列出段落1"/>
    <w:basedOn w:val="1"/>
    <w:qFormat/>
    <w:uiPriority w:val="0"/>
    <w:pPr>
      <w:widowControl/>
      <w:spacing w:after="160" w:line="259" w:lineRule="auto"/>
      <w:ind w:left="720"/>
      <w:jc w:val="left"/>
    </w:pPr>
    <w:rPr>
      <w:rFonts w:ascii="Calibri" w:hAnsi="Calibri" w:cs="Calibri"/>
      <w:kern w:val="0"/>
      <w:sz w:val="22"/>
      <w:szCs w:val="22"/>
    </w:rPr>
  </w:style>
  <w:style w:type="paragraph" w:customStyle="1" w:styleId="120">
    <w:name w:val="p0"/>
    <w:basedOn w:val="1"/>
    <w:qFormat/>
    <w:uiPriority w:val="0"/>
    <w:pPr>
      <w:widowControl/>
    </w:pPr>
    <w:rPr>
      <w:kern w:val="0"/>
    </w:rPr>
  </w:style>
  <w:style w:type="paragraph" w:customStyle="1" w:styleId="121">
    <w:name w:val="列出段落11"/>
    <w:basedOn w:val="1"/>
    <w:qFormat/>
    <w:uiPriority w:val="0"/>
    <w:pPr>
      <w:ind w:firstLine="420" w:firstLineChars="200"/>
    </w:pPr>
    <w:rPr>
      <w:rFonts w:ascii="Calibri" w:hAnsi="Calibri" w:cs="Calibri"/>
    </w:rPr>
  </w:style>
  <w:style w:type="paragraph" w:customStyle="1" w:styleId="122">
    <w:name w:val="修订1"/>
    <w:qFormat/>
    <w:uiPriority w:val="0"/>
    <w:rPr>
      <w:rFonts w:ascii="Times New Roman" w:hAnsi="Times New Roman" w:eastAsia="宋体" w:cs="Times New Roman"/>
      <w:kern w:val="2"/>
      <w:sz w:val="21"/>
      <w:szCs w:val="21"/>
      <w:lang w:val="en-US" w:eastAsia="zh-CN" w:bidi="ar-SA"/>
    </w:rPr>
  </w:style>
  <w:style w:type="paragraph" w:customStyle="1" w:styleId="123">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24">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5">
    <w:name w:val="Plain Text Char"/>
    <w:qFormat/>
    <w:uiPriority w:val="0"/>
    <w:rPr>
      <w:rFonts w:ascii="宋体" w:hAnsi="Courier New" w:eastAsia="宋体" w:cs="Courier New"/>
      <w:kern w:val="2"/>
      <w:sz w:val="21"/>
      <w:szCs w:val="21"/>
      <w:lang w:val="en-US" w:eastAsia="zh-CN" w:bidi="ar-SA"/>
    </w:rPr>
  </w:style>
  <w:style w:type="paragraph" w:customStyle="1" w:styleId="126">
    <w:name w:val="列出段落2"/>
    <w:basedOn w:val="1"/>
    <w:qFormat/>
    <w:uiPriority w:val="0"/>
    <w:pPr>
      <w:ind w:firstLine="420" w:firstLineChars="200"/>
    </w:pPr>
  </w:style>
  <w:style w:type="paragraph" w:customStyle="1" w:styleId="127">
    <w:name w:val="p15"/>
    <w:basedOn w:val="1"/>
    <w:qFormat/>
    <w:uiPriority w:val="0"/>
    <w:pPr>
      <w:widowControl/>
    </w:pPr>
    <w:rPr>
      <w:rFonts w:ascii="宋体" w:hAnsi="宋体" w:cs="宋体"/>
      <w:kern w:val="0"/>
    </w:rPr>
  </w:style>
  <w:style w:type="character" w:customStyle="1" w:styleId="128">
    <w:name w:val="Char Char22"/>
    <w:qFormat/>
    <w:uiPriority w:val="0"/>
    <w:rPr>
      <w:rFonts w:ascii="Times New Roman" w:hAnsi="Times New Roman" w:eastAsia="宋体" w:cs="Times New Roman"/>
      <w:sz w:val="24"/>
      <w:lang w:bidi="ar-SA"/>
    </w:rPr>
  </w:style>
  <w:style w:type="character" w:customStyle="1" w:styleId="129">
    <w:name w:val="Plain Text Char1"/>
    <w:qFormat/>
    <w:uiPriority w:val="0"/>
    <w:rPr>
      <w:rFonts w:ascii="宋体" w:hAnsi="Courier New" w:eastAsia="宋体" w:cs="Times New Roman"/>
      <w:kern w:val="2"/>
      <w:sz w:val="21"/>
      <w:lang w:val="en-US" w:eastAsia="zh-CN"/>
    </w:rPr>
  </w:style>
  <w:style w:type="character" w:customStyle="1" w:styleId="130">
    <w:name w:val="无间隔 字符"/>
    <w:link w:val="131"/>
    <w:qFormat/>
    <w:uiPriority w:val="0"/>
    <w:rPr>
      <w:rFonts w:ascii="Calibri" w:hAnsi="Calibri" w:eastAsia="Times New Roman" w:cs="Times New Roman"/>
      <w:sz w:val="22"/>
      <w:szCs w:val="22"/>
      <w:lang w:val="en-US" w:eastAsia="zh-CN" w:bidi="ar-SA"/>
    </w:rPr>
  </w:style>
  <w:style w:type="paragraph" w:styleId="131">
    <w:name w:val="No Spacing"/>
    <w:link w:val="130"/>
    <w:qFormat/>
    <w:uiPriority w:val="0"/>
    <w:rPr>
      <w:rFonts w:ascii="Calibri" w:hAnsi="Calibri" w:eastAsia="Times New Roman" w:cs="Times New Roman"/>
      <w:sz w:val="22"/>
      <w:szCs w:val="22"/>
      <w:lang w:val="en-US" w:eastAsia="zh-CN" w:bidi="ar-SA"/>
    </w:rPr>
  </w:style>
  <w:style w:type="character" w:customStyle="1" w:styleId="132">
    <w:name w:val="自定义标题一 Char Char Char"/>
    <w:link w:val="133"/>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3">
    <w:name w:val="自定义标题一"/>
    <w:basedOn w:val="2"/>
    <w:link w:val="132"/>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34">
    <w:name w:val="Plain Text Char Char"/>
    <w:link w:val="135"/>
    <w:qFormat/>
    <w:uiPriority w:val="0"/>
    <w:rPr>
      <w:rFonts w:ascii="宋体" w:hAnsi="Courier New" w:eastAsia="宋体" w:cs="Times New Roman"/>
      <w:kern w:val="2"/>
      <w:sz w:val="21"/>
      <w:lang w:bidi="ar-SA"/>
    </w:rPr>
  </w:style>
  <w:style w:type="paragraph" w:customStyle="1" w:styleId="135">
    <w:name w:val="纯文本1"/>
    <w:basedOn w:val="1"/>
    <w:link w:val="134"/>
    <w:qFormat/>
    <w:uiPriority w:val="0"/>
    <w:rPr>
      <w:rFonts w:ascii="宋体" w:hAnsi="Courier New"/>
      <w:szCs w:val="20"/>
    </w:rPr>
  </w:style>
  <w:style w:type="character" w:customStyle="1" w:styleId="136">
    <w:name w:val="列表段落 字符"/>
    <w:link w:val="137"/>
    <w:qFormat/>
    <w:uiPriority w:val="0"/>
    <w:rPr>
      <w:rFonts w:ascii="Calibri" w:hAnsi="Calibri" w:eastAsia="宋体" w:cs="Times New Roman"/>
      <w:kern w:val="2"/>
      <w:sz w:val="21"/>
      <w:szCs w:val="22"/>
      <w:lang w:val="en-US" w:eastAsia="zh-CN" w:bidi="ar-SA"/>
    </w:rPr>
  </w:style>
  <w:style w:type="paragraph" w:styleId="137">
    <w:name w:val="List Paragraph"/>
    <w:basedOn w:val="1"/>
    <w:link w:val="136"/>
    <w:qFormat/>
    <w:uiPriority w:val="0"/>
    <w:pPr>
      <w:ind w:firstLine="420" w:firstLineChars="200"/>
    </w:pPr>
    <w:rPr>
      <w:rFonts w:ascii="Calibri" w:hAnsi="Calibri"/>
      <w:szCs w:val="22"/>
    </w:rPr>
  </w:style>
  <w:style w:type="paragraph" w:customStyle="1" w:styleId="138">
    <w:name w:val="标题3"/>
    <w:basedOn w:val="4"/>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样式 正文文字 + 小四 段后: 0 磅 行距: 1.5 倍行距"/>
    <w:basedOn w:val="16"/>
    <w:qFormat/>
    <w:uiPriority w:val="0"/>
    <w:pPr>
      <w:spacing w:line="360" w:lineRule="auto"/>
      <w:ind w:firstLine="480" w:firstLineChars="200"/>
    </w:pPr>
    <w:rPr>
      <w:rFonts w:cs="宋体"/>
      <w:szCs w:val="20"/>
    </w:rPr>
  </w:style>
  <w:style w:type="character" w:customStyle="1" w:styleId="141">
    <w:name w:val="纯文本 Char3"/>
    <w:qFormat/>
    <w:uiPriority w:val="0"/>
    <w:rPr>
      <w:rFonts w:ascii="宋体" w:hAnsi="Courier New" w:eastAsia="宋体" w:cs="Courier New"/>
      <w:kern w:val="2"/>
      <w:sz w:val="21"/>
      <w:szCs w:val="21"/>
      <w:lang w:val="en-US" w:eastAsia="zh-CN" w:bidi="ar-SA"/>
    </w:rPr>
  </w:style>
  <w:style w:type="character" w:customStyle="1" w:styleId="142">
    <w:name w:val="bookmark-item"/>
    <w:qFormat/>
    <w:uiPriority w:val="0"/>
    <w:rPr>
      <w:rFonts w:ascii="Times New Roman" w:hAnsi="Times New Roman" w:eastAsia="宋体" w:cs="Times New Roman"/>
    </w:rPr>
  </w:style>
  <w:style w:type="paragraph" w:customStyle="1" w:styleId="143">
    <w:name w:val="样式1"/>
    <w:basedOn w:val="37"/>
    <w:next w:val="1"/>
    <w:qFormat/>
    <w:uiPriority w:val="0"/>
    <w:pPr>
      <w:spacing w:after="0"/>
      <w:ind w:left="0" w:leftChars="0"/>
    </w:pPr>
    <w:rPr>
      <w:rFonts w:ascii="仿宋_GB2312" w:hAnsi="仿宋_GB2312" w:eastAsia="仿宋" w:cs="仿宋_GB2312"/>
      <w:sz w:val="28"/>
      <w:szCs w:val="28"/>
    </w:rPr>
  </w:style>
  <w:style w:type="character" w:customStyle="1" w:styleId="144">
    <w:name w:val="Char Char15"/>
    <w:qFormat/>
    <w:uiPriority w:val="0"/>
    <w:rPr>
      <w:rFonts w:ascii="宋体" w:hAnsi="宋体" w:eastAsia="宋体" w:cs="Times New Roman"/>
      <w:kern w:val="2"/>
      <w:sz w:val="21"/>
      <w:szCs w:val="21"/>
      <w:lang w:val="en-US" w:eastAsia="zh-CN" w:bidi="ar-SA"/>
    </w:rPr>
  </w:style>
  <w:style w:type="character" w:customStyle="1" w:styleId="145">
    <w:name w:val="NormalCharacter"/>
    <w:qFormat/>
    <w:uiPriority w:val="0"/>
    <w:rPr>
      <w:rFonts w:ascii="Times New Roman" w:hAnsi="Times New Roman" w:eastAsia="宋体" w:cs="Times New Roman"/>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表内文字"/>
    <w:basedOn w:val="1"/>
    <w:qFormat/>
    <w:uiPriority w:val="0"/>
    <w:pPr>
      <w:snapToGrid w:val="0"/>
      <w:spacing w:line="360" w:lineRule="exact"/>
    </w:pPr>
    <w:rPr>
      <w:rFonts w:ascii="宋体" w:hAnsi="宋体"/>
      <w:b/>
      <w:color w:val="0000FF"/>
    </w:rPr>
  </w:style>
  <w:style w:type="character" w:customStyle="1" w:styleId="148">
    <w:name w:val="Footer Char"/>
    <w:qFormat/>
    <w:uiPriority w:val="0"/>
    <w:rPr>
      <w:rFonts w:ascii="Times New Roman" w:hAnsi="Times New Roman" w:eastAsia="宋体" w:cs="Times New Roman"/>
      <w:kern w:val="2"/>
      <w:sz w:val="18"/>
      <w:szCs w:val="18"/>
      <w:lang w:val="en-US" w:eastAsia="zh-CN" w:bidi="ar-SA"/>
    </w:rPr>
  </w:style>
  <w:style w:type="character" w:customStyle="1" w:styleId="149">
    <w:name w:val="Header Char"/>
    <w:qFormat/>
    <w:uiPriority w:val="0"/>
    <w:rPr>
      <w:rFonts w:ascii="Times New Roman" w:hAnsi="Times New Roman" w:eastAsia="宋体" w:cs="Times New Roman"/>
      <w:kern w:val="2"/>
      <w:sz w:val="18"/>
      <w:szCs w:val="18"/>
      <w:lang w:val="en-US" w:eastAsia="zh-CN" w:bidi="ar-SA"/>
    </w:rPr>
  </w:style>
  <w:style w:type="character" w:customStyle="1" w:styleId="150">
    <w:name w:val="Body Text Char"/>
    <w:qFormat/>
    <w:uiPriority w:val="0"/>
    <w:rPr>
      <w:rFonts w:ascii="Times New Roman" w:hAnsi="Times New Roman" w:eastAsia="宋体" w:cs="Times New Roman"/>
      <w:sz w:val="24"/>
      <w:lang w:bidi="ar-SA"/>
    </w:rPr>
  </w:style>
  <w:style w:type="character" w:customStyle="1" w:styleId="151">
    <w:name w:val="Char Char28"/>
    <w:qFormat/>
    <w:uiPriority w:val="0"/>
    <w:rPr>
      <w:rFonts w:ascii="Times New Roman" w:hAnsi="Times New Roman" w:eastAsia="宋体" w:cs="Times New Roman"/>
      <w:b/>
      <w:bCs/>
      <w:kern w:val="44"/>
      <w:sz w:val="44"/>
      <w:szCs w:val="44"/>
      <w:lang w:val="en-US" w:eastAsia="zh-CN" w:bidi="ar-SA"/>
    </w:rPr>
  </w:style>
  <w:style w:type="paragraph" w:customStyle="1" w:styleId="152">
    <w:name w:val="表格文字"/>
    <w:basedOn w:val="1"/>
    <w:qFormat/>
    <w:uiPriority w:val="0"/>
    <w:pPr>
      <w:spacing w:before="25" w:after="25"/>
      <w:jc w:val="left"/>
    </w:pPr>
    <w:rPr>
      <w:bCs/>
      <w:spacing w:val="10"/>
      <w:kern w:val="0"/>
      <w:sz w:val="24"/>
    </w:rPr>
  </w:style>
  <w:style w:type="character" w:customStyle="1" w:styleId="153">
    <w:name w:val="bookmark-item uuid-1588129973591 code-23015 addword single-line-text-input-box-cls readonly"/>
    <w:qFormat/>
    <w:uiPriority w:val="0"/>
  </w:style>
  <w:style w:type="paragraph" w:customStyle="1" w:styleId="154">
    <w:name w:val="TOC 标题2"/>
    <w:next w:val="1"/>
    <w:qFormat/>
    <w:uiPriority w:val="99"/>
    <w:pPr>
      <w:wordWrap w:val="0"/>
    </w:pPr>
    <w:rPr>
      <w:rFonts w:ascii="Calibri" w:hAnsi="Calibri" w:eastAsia="宋体" w:cs="Times New Roman"/>
      <w:sz w:val="32"/>
      <w:lang w:val="en-US" w:eastAsia="zh-CN" w:bidi="ar-SA"/>
    </w:rPr>
  </w:style>
  <w:style w:type="paragraph" w:customStyle="1" w:styleId="155">
    <w:name w:val="列出段落3"/>
    <w:basedOn w:val="1"/>
    <w:qFormat/>
    <w:uiPriority w:val="34"/>
    <w:pPr>
      <w:ind w:firstLine="420" w:firstLineChars="200"/>
    </w:pPr>
    <w:rPr>
      <w:rFonts w:ascii="Calibri" w:hAnsi="Calibri"/>
      <w:szCs w:val="22"/>
    </w:rPr>
  </w:style>
  <w:style w:type="paragraph" w:customStyle="1" w:styleId="156">
    <w:name w:val="正文首行缩进1"/>
    <w:basedOn w:val="1"/>
    <w:qFormat/>
    <w:uiPriority w:val="0"/>
    <w:pPr>
      <w:spacing w:after="120"/>
      <w:ind w:firstLine="420" w:firstLineChars="100"/>
    </w:pPr>
  </w:style>
  <w:style w:type="paragraph" w:customStyle="1" w:styleId="157">
    <w:name w:val="首行缩进"/>
    <w:basedOn w:val="1"/>
    <w:qFormat/>
    <w:uiPriority w:val="0"/>
    <w:pPr>
      <w:ind w:firstLine="480" w:firstLineChars="200"/>
    </w:pPr>
    <w:rPr>
      <w:lang w:val="zh-CN"/>
    </w:rPr>
  </w:style>
  <w:style w:type="paragraph" w:customStyle="1" w:styleId="158">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14366</Words>
  <Characters>15756</Characters>
  <Lines>277</Lines>
  <Paragraphs>78</Paragraphs>
  <TotalTime>56</TotalTime>
  <ScaleCrop>false</ScaleCrop>
  <LinksUpToDate>false</LinksUpToDate>
  <CharactersWithSpaces>16124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2026-04-03T16:53:00Z</dcterms:created>
  <dc:creator>GZH</dc:creator>
  <cp:lastModifiedBy>李革</cp:lastModifiedBy>
  <dcterms:modified xsi:type="dcterms:W3CDTF">2026-07-29T10:56:03Z</dcterms:modified>
  <dc:title>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D25F7B23C49F423D9580C4FB0639D9A2_13</vt:lpwstr>
  </property>
  <property fmtid="{D5CDD505-2E9C-101B-9397-08002B2CF9AE}" pid="4" name="KSOTemplateDocerSaveRecord">
    <vt:lpwstr>eyJoZGlkIjoiMjUyMDliYWRjMGNiMGQwMGM4NzNjNjc2OGYzM2RiYmUiLCJ1c2VySWQiOiIxNDc0NDk5MzgxIn0=</vt:lpwstr>
  </property>
</Properties>
</file>