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BBEF5">
      <w:pPr>
        <w:keepNext/>
        <w:keepLines/>
        <w:widowControl w:val="0"/>
        <w:spacing w:before="340" w:after="330" w:line="578" w:lineRule="auto"/>
        <w:jc w:val="center"/>
        <w:outlineLvl w:val="0"/>
        <w:rPr>
          <w:rFonts w:hint="eastAsia" w:ascii="Times New Roman" w:hAnsi="Times New Roman" w:eastAsia="宋体" w:cs="Times New Roman"/>
          <w:b/>
          <w:bCs/>
          <w:i/>
          <w:iCs/>
          <w:color w:val="auto"/>
          <w:kern w:val="44"/>
          <w:sz w:val="32"/>
          <w:szCs w:val="32"/>
          <w:highlight w:val="yellow"/>
          <w:lang w:val="en-US" w:eastAsia="zh-CN" w:bidi="ar-SA"/>
        </w:rPr>
      </w:pPr>
      <w:r>
        <w:rPr>
          <w:rFonts w:hint="eastAsia" w:ascii="Cambria" w:hAnsi="Cambria" w:eastAsia="宋体" w:cs="Times New Roman"/>
          <w:b/>
          <w:bCs w:val="0"/>
          <w:color w:val="auto"/>
          <w:kern w:val="44"/>
          <w:sz w:val="32"/>
          <w:szCs w:val="32"/>
          <w:lang w:val="en-US" w:eastAsia="zh-CN" w:bidi="ar-SA"/>
        </w:rPr>
        <w:t>采购需求</w:t>
      </w:r>
    </w:p>
    <w:p w14:paraId="70B82FE8">
      <w:pPr>
        <w:spacing w:line="42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说明：</w:t>
      </w:r>
    </w:p>
    <w:p w14:paraId="58432C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12A0BC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05038035">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12"/>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3F93ED8F">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1FF4934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68038968">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1986183C">
      <w:pPr>
        <w:widowControl w:val="0"/>
        <w:spacing w:line="420" w:lineRule="exact"/>
        <w:ind w:firstLine="420" w:firstLineChars="20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tbl>
      <w:tblPr>
        <w:tblStyle w:val="10"/>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328"/>
        <w:gridCol w:w="800"/>
        <w:gridCol w:w="6012"/>
        <w:gridCol w:w="946"/>
      </w:tblGrid>
      <w:tr w14:paraId="32E2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2" w:type="dxa"/>
            <w:gridSpan w:val="5"/>
            <w:tcBorders>
              <w:top w:val="single" w:color="auto" w:sz="4" w:space="0"/>
            </w:tcBorders>
            <w:noWrap w:val="0"/>
            <w:vAlign w:val="center"/>
          </w:tcPr>
          <w:p w14:paraId="7971A18A">
            <w:pPr>
              <w:spacing w:line="360" w:lineRule="auto"/>
              <w:rPr>
                <w:rFonts w:hint="eastAsia" w:ascii="宋体" w:hAnsi="宋体" w:eastAsia="宋体" w:cs="宋体"/>
                <w:color w:val="auto"/>
                <w:sz w:val="22"/>
                <w:szCs w:val="22"/>
              </w:rPr>
            </w:pPr>
            <w:r>
              <w:rPr>
                <w:rFonts w:hint="eastAsia" w:ascii="宋体" w:hAnsi="宋体" w:eastAsia="宋体" w:cs="宋体"/>
                <w:b/>
                <w:bCs/>
                <w:color w:val="auto"/>
                <w:sz w:val="22"/>
                <w:szCs w:val="22"/>
              </w:rPr>
              <w:t>一、需求一览表</w:t>
            </w:r>
          </w:p>
        </w:tc>
      </w:tr>
      <w:tr w14:paraId="0D6D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 w:type="dxa"/>
            <w:tcBorders>
              <w:top w:val="single" w:color="auto" w:sz="4" w:space="0"/>
            </w:tcBorders>
            <w:noWrap w:val="0"/>
            <w:vAlign w:val="center"/>
          </w:tcPr>
          <w:p w14:paraId="352AAB63">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328" w:type="dxa"/>
            <w:tcBorders>
              <w:top w:val="single" w:color="auto" w:sz="4" w:space="0"/>
            </w:tcBorders>
            <w:noWrap w:val="0"/>
            <w:vAlign w:val="center"/>
          </w:tcPr>
          <w:p w14:paraId="35B71E01">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标的名称</w:t>
            </w:r>
          </w:p>
        </w:tc>
        <w:tc>
          <w:tcPr>
            <w:tcW w:w="800" w:type="dxa"/>
            <w:tcBorders>
              <w:top w:val="single" w:color="auto" w:sz="4" w:space="0"/>
            </w:tcBorders>
            <w:noWrap w:val="0"/>
            <w:vAlign w:val="center"/>
          </w:tcPr>
          <w:p w14:paraId="495F6CFA">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数量及单位</w:t>
            </w:r>
          </w:p>
          <w:p w14:paraId="03054EA6">
            <w:pPr>
              <w:spacing w:line="360" w:lineRule="auto"/>
              <w:jc w:val="center"/>
              <w:rPr>
                <w:rFonts w:hint="eastAsia" w:ascii="宋体" w:hAnsi="宋体" w:eastAsia="宋体" w:cs="宋体"/>
                <w:color w:val="auto"/>
                <w:sz w:val="22"/>
                <w:szCs w:val="22"/>
              </w:rPr>
            </w:pPr>
          </w:p>
        </w:tc>
        <w:tc>
          <w:tcPr>
            <w:tcW w:w="6012" w:type="dxa"/>
            <w:tcBorders>
              <w:top w:val="single" w:color="auto" w:sz="4" w:space="0"/>
            </w:tcBorders>
            <w:noWrap w:val="0"/>
            <w:vAlign w:val="center"/>
          </w:tcPr>
          <w:p w14:paraId="5932003E">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服务</w:t>
            </w:r>
            <w:r>
              <w:rPr>
                <w:rFonts w:hint="eastAsia" w:ascii="宋体" w:hAnsi="宋体" w:eastAsia="宋体" w:cs="宋体"/>
                <w:color w:val="auto"/>
                <w:sz w:val="22"/>
                <w:szCs w:val="22"/>
                <w:lang w:val="en-US" w:eastAsia="zh-CN"/>
              </w:rPr>
              <w:t>要求</w:t>
            </w:r>
          </w:p>
        </w:tc>
        <w:tc>
          <w:tcPr>
            <w:tcW w:w="946" w:type="dxa"/>
            <w:tcBorders>
              <w:top w:val="single" w:color="auto" w:sz="4" w:space="0"/>
            </w:tcBorders>
            <w:noWrap w:val="0"/>
            <w:vAlign w:val="center"/>
          </w:tcPr>
          <w:p w14:paraId="6E221DF3">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中小企业划分标准所属行业名称（行业名称及划分见本章附件</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w:t>
            </w:r>
          </w:p>
        </w:tc>
      </w:tr>
      <w:tr w14:paraId="26AC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3CF52D5E">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w:t>
            </w:r>
          </w:p>
        </w:tc>
        <w:tc>
          <w:tcPr>
            <w:tcW w:w="1328" w:type="dxa"/>
            <w:noWrap w:val="0"/>
            <w:vAlign w:val="center"/>
          </w:tcPr>
          <w:p w14:paraId="5D5B3656">
            <w:pP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微信小程序</w:t>
            </w:r>
          </w:p>
        </w:tc>
        <w:tc>
          <w:tcPr>
            <w:tcW w:w="800" w:type="dxa"/>
            <w:noWrap w:val="0"/>
            <w:vAlign w:val="center"/>
          </w:tcPr>
          <w:p w14:paraId="4359B1A2">
            <w:pPr>
              <w:spacing w:line="360"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1项</w:t>
            </w:r>
          </w:p>
        </w:tc>
        <w:tc>
          <w:tcPr>
            <w:tcW w:w="6012" w:type="dxa"/>
            <w:noWrap w:val="0"/>
            <w:vAlign w:val="top"/>
          </w:tcPr>
          <w:p w14:paraId="08BF1D4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▲为提升患者就医便捷度，建设一套独立、完整、可长期维护的医院掌上服务微信小程序。基于</w:t>
            </w:r>
            <w:r>
              <w:rPr>
                <w:rFonts w:hint="eastAsia" w:ascii="宋体" w:hAnsi="宋体" w:eastAsia="宋体" w:cs="宋体"/>
                <w:color w:val="auto"/>
                <w:sz w:val="22"/>
                <w:szCs w:val="22"/>
                <w:lang w:val="en-US" w:eastAsia="zh-CN"/>
              </w:rPr>
              <w:t>微信小程序的</w:t>
            </w:r>
            <w:r>
              <w:rPr>
                <w:rFonts w:hint="eastAsia" w:ascii="宋体" w:hAnsi="宋体" w:eastAsia="宋体" w:cs="宋体"/>
                <w:color w:val="auto"/>
                <w:sz w:val="22"/>
                <w:szCs w:val="22"/>
              </w:rPr>
              <w:t>医院掌上医院平台包含预约挂号、预约挂号缴费、预约挂号记录查询、报告查询、排队叫号、费用记录、就诊记录、住院满意度调查、就诊指南、科室介绍、医院导航、疾病百科、药品查询、物价查询、出院带药查询、一号管三天、候补挂号、智能导诊、个人中心、健康卡管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系统后台管理</w:t>
            </w:r>
            <w:r>
              <w:rPr>
                <w:rFonts w:hint="eastAsia" w:ascii="宋体" w:hAnsi="宋体" w:eastAsia="宋体" w:cs="宋体"/>
                <w:color w:val="auto"/>
                <w:sz w:val="22"/>
                <w:szCs w:val="22"/>
              </w:rPr>
              <w:t>等功能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需对接第三方服务如云影像平台、电子票据、居民电子健康卡等平台</w:t>
            </w:r>
            <w:r>
              <w:rPr>
                <w:rFonts w:hint="eastAsia" w:ascii="宋体" w:hAnsi="宋体" w:eastAsia="宋体" w:cs="宋体"/>
                <w:color w:val="auto"/>
                <w:sz w:val="22"/>
                <w:szCs w:val="22"/>
                <w:lang w:eastAsia="zh-CN"/>
              </w:rPr>
              <w:t>，需满足将</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lang w:eastAsia="zh-CN"/>
              </w:rPr>
              <w:t>现有掌上医院功能平移到微信小程序上。</w:t>
            </w:r>
          </w:p>
        </w:tc>
        <w:tc>
          <w:tcPr>
            <w:tcW w:w="946" w:type="dxa"/>
            <w:noWrap w:val="0"/>
            <w:vAlign w:val="center"/>
          </w:tcPr>
          <w:p w14:paraId="4C98A921">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707E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0F19E3C1">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w:t>
            </w:r>
          </w:p>
        </w:tc>
        <w:tc>
          <w:tcPr>
            <w:tcW w:w="1328" w:type="dxa"/>
            <w:noWrap w:val="0"/>
            <w:vAlign w:val="center"/>
          </w:tcPr>
          <w:p w14:paraId="2638C62B">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适老化改造</w:t>
            </w:r>
          </w:p>
        </w:tc>
        <w:tc>
          <w:tcPr>
            <w:tcW w:w="800" w:type="dxa"/>
            <w:noWrap w:val="0"/>
            <w:vAlign w:val="center"/>
          </w:tcPr>
          <w:p w14:paraId="3BC04386">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3CF8C860">
            <w:pPr>
              <w:pStyle w:val="6"/>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掌上医院长辈模式，对首页、挂号、缴费、绑卡等高频应用功能进行全新的功能界面设计，功能入口字体放大，突出重点信息，配色突出，去除各种非必要的链接信息，方便老年人快速清晰识别功能。可根据就诊患者年龄自动判断，弹窗提示60岁以上的用户是否需要切换长辈模式，支持手动进行切换至长辈模式。</w:t>
            </w:r>
          </w:p>
        </w:tc>
        <w:tc>
          <w:tcPr>
            <w:tcW w:w="946" w:type="dxa"/>
            <w:noWrap w:val="0"/>
            <w:vAlign w:val="center"/>
          </w:tcPr>
          <w:p w14:paraId="760A2632">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1992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76C3140A">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w:t>
            </w:r>
          </w:p>
        </w:tc>
        <w:tc>
          <w:tcPr>
            <w:tcW w:w="1328" w:type="dxa"/>
            <w:noWrap w:val="0"/>
            <w:vAlign w:val="center"/>
          </w:tcPr>
          <w:p w14:paraId="17F08DF6">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门诊线上签到</w:t>
            </w:r>
          </w:p>
        </w:tc>
        <w:tc>
          <w:tcPr>
            <w:tcW w:w="800" w:type="dxa"/>
            <w:noWrap w:val="0"/>
            <w:vAlign w:val="center"/>
          </w:tcPr>
          <w:p w14:paraId="5F71B589">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241F3305">
            <w:pPr>
              <w:pStyle w:val="6"/>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支持患者通过移动端进行门诊、复诊的线上签到，无需到窗口或自助机进行二次排队。</w:t>
            </w:r>
          </w:p>
        </w:tc>
        <w:tc>
          <w:tcPr>
            <w:tcW w:w="946" w:type="dxa"/>
            <w:noWrap w:val="0"/>
            <w:vAlign w:val="center"/>
          </w:tcPr>
          <w:p w14:paraId="1AF7D80F">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1A05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0D5F4144">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4</w:t>
            </w:r>
          </w:p>
        </w:tc>
        <w:tc>
          <w:tcPr>
            <w:tcW w:w="1328" w:type="dxa"/>
            <w:noWrap w:val="0"/>
            <w:vAlign w:val="center"/>
          </w:tcPr>
          <w:p w14:paraId="21AF38F1">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门诊候诊查询</w:t>
            </w:r>
          </w:p>
        </w:tc>
        <w:tc>
          <w:tcPr>
            <w:tcW w:w="800" w:type="dxa"/>
            <w:noWrap w:val="0"/>
            <w:vAlign w:val="center"/>
          </w:tcPr>
          <w:p w14:paraId="52B40442">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142C02EE">
            <w:pPr>
              <w:pStyle w:val="6"/>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支持患者通过移动端查询门诊的排队候诊信息，候诊信息包含，就诊人信息，等待人数，以及对应候诊排队的列表，支持对患者推送候诊提醒，提醒患者按时赴诊。</w:t>
            </w:r>
          </w:p>
        </w:tc>
        <w:tc>
          <w:tcPr>
            <w:tcW w:w="946" w:type="dxa"/>
            <w:noWrap w:val="0"/>
            <w:vAlign w:val="center"/>
          </w:tcPr>
          <w:p w14:paraId="6CB1DAD7">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223B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54C87741">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5</w:t>
            </w:r>
          </w:p>
        </w:tc>
        <w:tc>
          <w:tcPr>
            <w:tcW w:w="1328" w:type="dxa"/>
            <w:noWrap w:val="0"/>
            <w:vAlign w:val="center"/>
          </w:tcPr>
          <w:p w14:paraId="19BB9E44">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病案复印</w:t>
            </w:r>
          </w:p>
        </w:tc>
        <w:tc>
          <w:tcPr>
            <w:tcW w:w="800" w:type="dxa"/>
            <w:noWrap w:val="0"/>
            <w:vAlign w:val="center"/>
          </w:tcPr>
          <w:p w14:paraId="4C331AB7">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24380255">
            <w:pPr>
              <w:pStyle w:val="6"/>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或代理申请病案复印，通过选择住院记录，填写个人、代领人信息、上传证明文件等相关个人信息，并选择领取方式、复印数量，自动计算费用，支付费用后由病案人员审核，通过后进行复印和邮寄，方便患者获取既往住院病历。</w:t>
            </w:r>
          </w:p>
        </w:tc>
        <w:tc>
          <w:tcPr>
            <w:tcW w:w="946" w:type="dxa"/>
            <w:noWrap w:val="0"/>
            <w:vAlign w:val="center"/>
          </w:tcPr>
          <w:p w14:paraId="52287F2C">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56B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7BBB753E">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w:t>
            </w:r>
          </w:p>
        </w:tc>
        <w:tc>
          <w:tcPr>
            <w:tcW w:w="1328" w:type="dxa"/>
            <w:noWrap w:val="0"/>
            <w:vAlign w:val="center"/>
          </w:tcPr>
          <w:p w14:paraId="3B5BB139">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院内消息提醒</w:t>
            </w:r>
          </w:p>
        </w:tc>
        <w:tc>
          <w:tcPr>
            <w:tcW w:w="800" w:type="dxa"/>
            <w:noWrap w:val="0"/>
            <w:vAlign w:val="center"/>
          </w:tcPr>
          <w:p w14:paraId="4193B500">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2714F3D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通过与HIS信息系统或其他系统对接，通过标准服务接口接收院内各业务系统的任务和消息信息，并通过微信消息渠道告知患者。如预约挂号消息提示、缴费消息提示、取药通知、入院提示、报告出具提醒、医师停诊</w:t>
            </w:r>
            <w:r>
              <w:rPr>
                <w:rFonts w:hint="eastAsia" w:ascii="宋体" w:hAnsi="宋体" w:eastAsia="宋体" w:cs="宋体"/>
                <w:color w:val="auto"/>
                <w:sz w:val="22"/>
                <w:szCs w:val="22"/>
                <w:lang w:val="en-US" w:eastAsia="zh-CN"/>
              </w:rPr>
              <w:t>提醒</w:t>
            </w:r>
            <w:r>
              <w:rPr>
                <w:rFonts w:hint="eastAsia" w:ascii="宋体" w:hAnsi="宋体" w:eastAsia="宋体" w:cs="宋体"/>
                <w:color w:val="auto"/>
                <w:sz w:val="22"/>
                <w:szCs w:val="22"/>
              </w:rPr>
              <w:t>，用户可</w:t>
            </w:r>
            <w:r>
              <w:rPr>
                <w:rFonts w:hint="eastAsia" w:ascii="宋体" w:hAnsi="宋体" w:eastAsia="宋体" w:cs="宋体"/>
                <w:color w:val="auto"/>
                <w:sz w:val="22"/>
                <w:szCs w:val="22"/>
                <w:lang w:val="en-US" w:eastAsia="zh-CN"/>
              </w:rPr>
              <w:t>基于小程序推送规则</w:t>
            </w:r>
            <w:r>
              <w:rPr>
                <w:rFonts w:hint="eastAsia" w:ascii="宋体" w:hAnsi="宋体" w:eastAsia="宋体" w:cs="宋体"/>
                <w:color w:val="auto"/>
                <w:sz w:val="22"/>
                <w:szCs w:val="22"/>
              </w:rPr>
              <w:t>定制化选择需要推送的消息。</w:t>
            </w:r>
          </w:p>
        </w:tc>
        <w:tc>
          <w:tcPr>
            <w:tcW w:w="946" w:type="dxa"/>
            <w:noWrap w:val="0"/>
            <w:vAlign w:val="center"/>
          </w:tcPr>
          <w:p w14:paraId="6C1C9551">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2A9B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187207B4">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7</w:t>
            </w:r>
          </w:p>
        </w:tc>
        <w:tc>
          <w:tcPr>
            <w:tcW w:w="1328" w:type="dxa"/>
            <w:noWrap w:val="0"/>
            <w:vAlign w:val="center"/>
          </w:tcPr>
          <w:p w14:paraId="412B46A9">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住院预交金充值</w:t>
            </w:r>
          </w:p>
        </w:tc>
        <w:tc>
          <w:tcPr>
            <w:tcW w:w="800" w:type="dxa"/>
            <w:noWrap w:val="0"/>
            <w:vAlign w:val="center"/>
          </w:tcPr>
          <w:p w14:paraId="76E4A933">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4C19793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支持患者通过移动端进行住院预交金充值。支持查询预交金余额信息，支持患者本人或者</w:t>
            </w:r>
            <w:r>
              <w:rPr>
                <w:rFonts w:hint="eastAsia" w:ascii="宋体" w:hAnsi="宋体" w:eastAsia="宋体" w:cs="宋体"/>
                <w:color w:val="auto"/>
                <w:sz w:val="22"/>
                <w:szCs w:val="22"/>
                <w:lang w:val="en-US" w:eastAsia="zh-CN"/>
              </w:rPr>
              <w:t>家属</w:t>
            </w:r>
            <w:r>
              <w:rPr>
                <w:rFonts w:hint="eastAsia" w:ascii="宋体" w:hAnsi="宋体" w:eastAsia="宋体" w:cs="宋体"/>
                <w:color w:val="auto"/>
                <w:sz w:val="22"/>
                <w:szCs w:val="22"/>
              </w:rPr>
              <w:t>切换卡号充值预交金。</w:t>
            </w:r>
          </w:p>
          <w:p w14:paraId="5966BFDF">
            <w:pPr>
              <w:pStyle w:val="6"/>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支持当患者住院预交金余额不足时，通过微信、短信等推送方式向患者推送住院预交金催缴提醒，患者可点击提醒消息快速跳转至住院预交金充值界面，完成住院预交金充值。</w:t>
            </w:r>
          </w:p>
        </w:tc>
        <w:tc>
          <w:tcPr>
            <w:tcW w:w="946" w:type="dxa"/>
            <w:noWrap w:val="0"/>
            <w:vAlign w:val="center"/>
          </w:tcPr>
          <w:p w14:paraId="676DDBC6">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5E15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08BD484B">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8</w:t>
            </w:r>
          </w:p>
        </w:tc>
        <w:tc>
          <w:tcPr>
            <w:tcW w:w="1328" w:type="dxa"/>
            <w:noWrap w:val="0"/>
            <w:vAlign w:val="center"/>
          </w:tcPr>
          <w:p w14:paraId="75EE5DB8">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入院登记</w:t>
            </w:r>
          </w:p>
        </w:tc>
        <w:tc>
          <w:tcPr>
            <w:tcW w:w="800" w:type="dxa"/>
            <w:noWrap w:val="0"/>
            <w:vAlign w:val="center"/>
          </w:tcPr>
          <w:p w14:paraId="1820E43D">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220FE2C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当医生给患者开具住院单后，患者可通过移动端进行住院信息确认、完成入院登记。</w:t>
            </w:r>
          </w:p>
        </w:tc>
        <w:tc>
          <w:tcPr>
            <w:tcW w:w="946" w:type="dxa"/>
            <w:noWrap w:val="0"/>
            <w:vAlign w:val="center"/>
          </w:tcPr>
          <w:p w14:paraId="220214C9">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4CE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4644D1F9">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9</w:t>
            </w:r>
          </w:p>
        </w:tc>
        <w:tc>
          <w:tcPr>
            <w:tcW w:w="1328" w:type="dxa"/>
            <w:noWrap w:val="0"/>
            <w:vAlign w:val="center"/>
          </w:tcPr>
          <w:p w14:paraId="4F01487F">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门诊预约挂号诊查费在线缴纳</w:t>
            </w:r>
          </w:p>
        </w:tc>
        <w:tc>
          <w:tcPr>
            <w:tcW w:w="800" w:type="dxa"/>
            <w:noWrap w:val="0"/>
            <w:vAlign w:val="center"/>
          </w:tcPr>
          <w:p w14:paraId="38E46130">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54AAB816">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患者通过移动端选择科室、医生和时段进行预约后，可进入在线支付环节，完成诊查费在线支付，患者在规定时间退号时诊查费原路退回。</w:t>
            </w:r>
          </w:p>
        </w:tc>
        <w:tc>
          <w:tcPr>
            <w:tcW w:w="946" w:type="dxa"/>
            <w:noWrap w:val="0"/>
            <w:vAlign w:val="center"/>
          </w:tcPr>
          <w:p w14:paraId="6CD5D248">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2A15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5BEA03E3">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10</w:t>
            </w:r>
          </w:p>
        </w:tc>
        <w:tc>
          <w:tcPr>
            <w:tcW w:w="1328" w:type="dxa"/>
            <w:noWrap w:val="0"/>
            <w:vAlign w:val="center"/>
          </w:tcPr>
          <w:p w14:paraId="5ABC2F3E">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出院带药查询</w:t>
            </w:r>
          </w:p>
        </w:tc>
        <w:tc>
          <w:tcPr>
            <w:tcW w:w="800" w:type="dxa"/>
            <w:noWrap w:val="0"/>
            <w:vAlign w:val="center"/>
          </w:tcPr>
          <w:p w14:paraId="635D6E7D">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36679F8F">
            <w:pPr>
              <w:keepNext/>
              <w:keepLines/>
              <w:pageBreakBefore w:val="0"/>
              <w:widowControl w:val="0"/>
              <w:kinsoku/>
              <w:wordWrap/>
              <w:overflowPunct/>
              <w:topLinePunct w:val="0"/>
              <w:autoSpaceDE/>
              <w:autoSpaceDN/>
              <w:bidi w:val="0"/>
              <w:adjustRightInd/>
              <w:snapToGrid/>
              <w:spacing w:before="260" w:after="260" w:line="560" w:lineRule="exact"/>
              <w:ind w:firstLine="0" w:firstLineChars="0"/>
              <w:jc w:val="both"/>
              <w:textAlignment w:val="auto"/>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支持患者通过移动端在线查询出院带药信息，出院带药信息包含药品类型、药品名称、用药剂量、用药频次、用药天数等。</w:t>
            </w:r>
          </w:p>
        </w:tc>
        <w:tc>
          <w:tcPr>
            <w:tcW w:w="946" w:type="dxa"/>
            <w:noWrap w:val="0"/>
            <w:vAlign w:val="center"/>
          </w:tcPr>
          <w:p w14:paraId="42870B95">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5805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63A27AE9">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11</w:t>
            </w:r>
          </w:p>
        </w:tc>
        <w:tc>
          <w:tcPr>
            <w:tcW w:w="1328" w:type="dxa"/>
            <w:noWrap w:val="0"/>
            <w:vAlign w:val="center"/>
          </w:tcPr>
          <w:p w14:paraId="299B22B0">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候补预约</w:t>
            </w:r>
          </w:p>
        </w:tc>
        <w:tc>
          <w:tcPr>
            <w:tcW w:w="800" w:type="dxa"/>
            <w:noWrap w:val="0"/>
            <w:vAlign w:val="center"/>
          </w:tcPr>
          <w:p w14:paraId="59AC3327">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2D3F0986">
            <w:pPr>
              <w:keepNext/>
              <w:keepLines/>
              <w:pageBreakBefore w:val="0"/>
              <w:widowControl w:val="0"/>
              <w:kinsoku/>
              <w:wordWrap/>
              <w:overflowPunct/>
              <w:topLinePunct w:val="0"/>
              <w:autoSpaceDE/>
              <w:autoSpaceDN/>
              <w:bidi w:val="0"/>
              <w:adjustRightInd/>
              <w:snapToGrid/>
              <w:spacing w:before="260" w:after="260" w:line="560" w:lineRule="exact"/>
              <w:ind w:firstLine="0" w:firstLineChars="0"/>
              <w:jc w:val="both"/>
              <w:textAlignment w:val="auto"/>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支持当医生对应日期下的号源已约满时，支持患者填写候补信息，提交候补预约申请后，一旦出现其他患者退号的情况，系统会依据候补队列的先后次序，自动为患者预约号源。在预约成功后，系统自动推送消息/短信通知患者。</w:t>
            </w:r>
          </w:p>
        </w:tc>
        <w:tc>
          <w:tcPr>
            <w:tcW w:w="946" w:type="dxa"/>
            <w:noWrap w:val="0"/>
            <w:vAlign w:val="center"/>
          </w:tcPr>
          <w:p w14:paraId="6231ECDF">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1E49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27513F6F">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12</w:t>
            </w:r>
          </w:p>
        </w:tc>
        <w:tc>
          <w:tcPr>
            <w:tcW w:w="1328" w:type="dxa"/>
            <w:noWrap w:val="0"/>
            <w:vAlign w:val="center"/>
          </w:tcPr>
          <w:p w14:paraId="77811418">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一号管三天</w:t>
            </w:r>
          </w:p>
        </w:tc>
        <w:tc>
          <w:tcPr>
            <w:tcW w:w="800" w:type="dxa"/>
            <w:noWrap w:val="0"/>
            <w:vAlign w:val="center"/>
          </w:tcPr>
          <w:p w14:paraId="79B95B74">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21CFEF87">
            <w:pPr>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支持患者通过移动端对符合一号管三天的情形进行预约挂号，免收诊查费，与HIS系统对接完成患者预约挂号。患者完成“一号管三天”预约后，通过移动端推送包含就诊时段、医生信息的通知，同时支持患者在移动端查询该预约的有效期限及使用状态，方便患者合理安排就诊时间。</w:t>
            </w:r>
          </w:p>
        </w:tc>
        <w:tc>
          <w:tcPr>
            <w:tcW w:w="946" w:type="dxa"/>
            <w:noWrap w:val="0"/>
            <w:vAlign w:val="center"/>
          </w:tcPr>
          <w:p w14:paraId="50A278B4">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4A70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46662B1C">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13</w:t>
            </w:r>
          </w:p>
        </w:tc>
        <w:tc>
          <w:tcPr>
            <w:tcW w:w="1328" w:type="dxa"/>
            <w:noWrap w:val="0"/>
            <w:vAlign w:val="center"/>
          </w:tcPr>
          <w:p w14:paraId="469EDF86">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预约挂号及档案授权对接全民健康信息平台接口改造</w:t>
            </w:r>
          </w:p>
        </w:tc>
        <w:tc>
          <w:tcPr>
            <w:tcW w:w="800" w:type="dxa"/>
            <w:noWrap w:val="0"/>
            <w:vAlign w:val="center"/>
          </w:tcPr>
          <w:p w14:paraId="5BE11CB5">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center"/>
          </w:tcPr>
          <w:p w14:paraId="12A0C6F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支持对接广西全民健康信息平台上传数据及授权接口，支持预约成功后进行档案授权。</w:t>
            </w:r>
          </w:p>
        </w:tc>
        <w:tc>
          <w:tcPr>
            <w:tcW w:w="946" w:type="dxa"/>
            <w:noWrap w:val="0"/>
            <w:vAlign w:val="center"/>
          </w:tcPr>
          <w:p w14:paraId="1CB1B7EB">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2396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4D8A024A">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14</w:t>
            </w:r>
          </w:p>
        </w:tc>
        <w:tc>
          <w:tcPr>
            <w:tcW w:w="1328" w:type="dxa"/>
            <w:noWrap w:val="0"/>
            <w:vAlign w:val="center"/>
          </w:tcPr>
          <w:p w14:paraId="782DABE3">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智能感知门户</w:t>
            </w:r>
          </w:p>
        </w:tc>
        <w:tc>
          <w:tcPr>
            <w:tcW w:w="800" w:type="dxa"/>
            <w:noWrap w:val="0"/>
            <w:vAlign w:val="center"/>
          </w:tcPr>
          <w:p w14:paraId="6AF28AD8">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13FAC04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打造患者智能感知门户，动态感知患者就医需求并精准匹配医疗资源，智能化引导患者就医。支持智能消息分级提醒、智能感知卡片、智能功能推荐等。</w:t>
            </w:r>
          </w:p>
          <w:p w14:paraId="6F217FCA">
            <w:pPr>
              <w:pageBreakBefore w:val="0"/>
              <w:widowControl w:val="0"/>
              <w:numPr>
                <w:ilvl w:val="0"/>
                <w:numId w:val="0"/>
              </w:numPr>
              <w:kinsoku/>
              <w:wordWrap/>
              <w:overflowPunct/>
              <w:topLinePunct w:val="0"/>
              <w:autoSpaceDE/>
              <w:autoSpaceDN/>
              <w:bidi w:val="0"/>
              <w:adjustRightInd/>
              <w:snapToGrid/>
              <w:spacing w:line="560" w:lineRule="exact"/>
              <w:ind w:firstLine="442" w:firstLineChars="200"/>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1.可视化就诊卡</w:t>
            </w:r>
          </w:p>
          <w:p w14:paraId="2F70E956">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支持患者在智能感知门户可切换就诊卡，切换后，感知门户首页可展示可视化就诊卡数据，并且该就诊卡数据会应用在智能感知业务当中，每次进入业务，都会默认获取就诊卡的信息。</w:t>
            </w:r>
          </w:p>
          <w:p w14:paraId="2EE7955F">
            <w:pPr>
              <w:pageBreakBefore w:val="0"/>
              <w:widowControl w:val="0"/>
              <w:numPr>
                <w:ilvl w:val="0"/>
                <w:numId w:val="0"/>
              </w:numPr>
              <w:kinsoku/>
              <w:wordWrap/>
              <w:overflowPunct/>
              <w:topLinePunct w:val="0"/>
              <w:autoSpaceDE/>
              <w:autoSpaceDN/>
              <w:bidi w:val="0"/>
              <w:adjustRightInd/>
              <w:snapToGrid/>
              <w:spacing w:line="560" w:lineRule="exact"/>
              <w:ind w:firstLine="442" w:firstLineChars="200"/>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2.智能主动消息提醒</w:t>
            </w:r>
          </w:p>
          <w:p w14:paraId="1F0CD4BE">
            <w:pPr>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b/>
                <w:bCs/>
                <w:color w:val="auto"/>
                <w:sz w:val="22"/>
                <w:szCs w:val="22"/>
              </w:rPr>
            </w:pPr>
            <w:r>
              <w:rPr>
                <w:rFonts w:hint="eastAsia" w:ascii="宋体" w:hAnsi="宋体" w:eastAsia="宋体" w:cs="宋体"/>
                <w:color w:val="auto"/>
                <w:sz w:val="22"/>
                <w:szCs w:val="22"/>
                <w:lang w:val="en-US" w:eastAsia="zh-CN"/>
              </w:rPr>
              <w:t>支持</w:t>
            </w:r>
            <w:r>
              <w:rPr>
                <w:rFonts w:hint="eastAsia" w:ascii="宋体" w:hAnsi="宋体" w:eastAsia="宋体" w:cs="宋体"/>
                <w:color w:val="auto"/>
                <w:sz w:val="22"/>
                <w:szCs w:val="22"/>
              </w:rPr>
              <w:t>通过对消息内容进行分类整合，涵盖预约挂号</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结算提醒</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取药通知</w:t>
            </w:r>
            <w:r>
              <w:rPr>
                <w:rFonts w:hint="eastAsia" w:ascii="宋体" w:hAnsi="宋体" w:eastAsia="宋体" w:cs="宋体"/>
                <w:color w:val="auto"/>
                <w:sz w:val="22"/>
                <w:szCs w:val="22"/>
              </w:rPr>
              <w:t>等类型，针对</w:t>
            </w:r>
            <w:r>
              <w:rPr>
                <w:rFonts w:hint="eastAsia" w:ascii="宋体" w:hAnsi="宋体" w:eastAsia="宋体" w:cs="宋体"/>
                <w:color w:val="auto"/>
                <w:sz w:val="22"/>
                <w:szCs w:val="22"/>
                <w:lang w:val="en-US" w:eastAsia="zh-CN"/>
              </w:rPr>
              <w:t>检验</w:t>
            </w:r>
            <w:r>
              <w:rPr>
                <w:rFonts w:hint="eastAsia" w:ascii="宋体" w:hAnsi="宋体" w:eastAsia="宋体" w:cs="宋体"/>
                <w:color w:val="auto"/>
                <w:sz w:val="22"/>
                <w:szCs w:val="22"/>
              </w:rPr>
              <w:t>异常指标等重点消息在首页标红突出，帮助患者快速识别关键信息，及时掌握就医各环节相关动态，避免遗漏重要事项。</w:t>
            </w:r>
          </w:p>
          <w:p w14:paraId="6760167C">
            <w:pPr>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b/>
                <w:bCs/>
                <w:color w:val="auto"/>
                <w:sz w:val="22"/>
                <w:szCs w:val="22"/>
              </w:rPr>
            </w:pPr>
            <w:r>
              <w:rPr>
                <w:rFonts w:hint="eastAsia" w:ascii="宋体" w:hAnsi="宋体" w:eastAsia="宋体" w:cs="宋体"/>
                <w:color w:val="auto"/>
                <w:sz w:val="22"/>
                <w:szCs w:val="22"/>
              </w:rPr>
              <w:t>支持患者在智能感知门户首页查看今日未读消息内容，针对异常指标等重点消息在首页标红突出，帮助患者快速识别关键信息。</w:t>
            </w:r>
          </w:p>
          <w:p w14:paraId="76F2A5E2">
            <w:pPr>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支持患者通过智能感知门户首页，查看分类消息内容，如预约挂号、报告结果、结算提醒、取药服务、住院提醒。</w:t>
            </w:r>
          </w:p>
          <w:p w14:paraId="560E9B5E">
            <w:pPr>
              <w:pageBreakBefore w:val="0"/>
              <w:widowControl w:val="0"/>
              <w:numPr>
                <w:ilvl w:val="0"/>
                <w:numId w:val="0"/>
              </w:numPr>
              <w:kinsoku/>
              <w:wordWrap/>
              <w:overflowPunct/>
              <w:topLinePunct w:val="0"/>
              <w:autoSpaceDE/>
              <w:autoSpaceDN/>
              <w:bidi w:val="0"/>
              <w:adjustRightInd/>
              <w:snapToGrid/>
              <w:spacing w:line="560" w:lineRule="exact"/>
              <w:ind w:firstLine="442" w:firstLineChars="200"/>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3.智能感知卡片</w:t>
            </w:r>
          </w:p>
          <w:p w14:paraId="44C9527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支持动态捕捉患者就医需求并精准匹配医疗资源；同时展示当前就诊环节关键信息（如门诊候诊、结算提醒、</w:t>
            </w:r>
            <w:r>
              <w:rPr>
                <w:rFonts w:hint="eastAsia" w:ascii="宋体" w:hAnsi="宋体" w:eastAsia="宋体" w:cs="宋体"/>
                <w:color w:val="auto"/>
                <w:sz w:val="22"/>
                <w:szCs w:val="22"/>
                <w:lang w:val="en-US" w:eastAsia="zh-CN"/>
              </w:rPr>
              <w:t>检验检查提醒、</w:t>
            </w:r>
            <w:r>
              <w:rPr>
                <w:rFonts w:hint="eastAsia" w:ascii="宋体" w:hAnsi="宋体" w:eastAsia="宋体" w:cs="宋体"/>
                <w:color w:val="auto"/>
                <w:sz w:val="22"/>
                <w:szCs w:val="22"/>
              </w:rPr>
              <w:t>取药提醒），同步提供排队人数及等待时间预测，缓解患者等待焦虑，清晰引导完成当前业务流程。</w:t>
            </w:r>
          </w:p>
          <w:p w14:paraId="4FE714FA">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.1门诊候诊感知卡片</w:t>
            </w:r>
          </w:p>
          <w:p w14:paraId="188F9E9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支持患者在智能感知门户首页查看当天有效的门诊预约记录。支持查看基础信息含预约时间、预约医生、预约科室、就诊位置等。支持患者查看排队进度，如前方排队人数、等待时间预测。</w:t>
            </w:r>
          </w:p>
          <w:p w14:paraId="7E95B034">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.2缴费结算感知卡片</w:t>
            </w:r>
          </w:p>
          <w:p w14:paraId="7917C64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支持患者在智能感知门户首页查看门诊待结算订单，点击可跳转进行在线结算。</w:t>
            </w:r>
          </w:p>
          <w:p w14:paraId="6896680B">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.3取药提醒感知卡片</w:t>
            </w:r>
          </w:p>
          <w:p w14:paraId="01CC2AF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支持患者在智能感知门户首页查看取药位置及窗口，根据位置信息指引，前往指定窗口。</w:t>
            </w:r>
          </w:p>
          <w:p w14:paraId="3019AB6C">
            <w:pPr>
              <w:pageBreakBefore w:val="0"/>
              <w:widowControl w:val="0"/>
              <w:numPr>
                <w:ilvl w:val="0"/>
                <w:numId w:val="0"/>
              </w:numPr>
              <w:kinsoku/>
              <w:wordWrap/>
              <w:overflowPunct/>
              <w:topLinePunct w:val="0"/>
              <w:autoSpaceDE/>
              <w:autoSpaceDN/>
              <w:bidi w:val="0"/>
              <w:adjustRightInd/>
              <w:snapToGrid/>
              <w:spacing w:line="560" w:lineRule="exact"/>
              <w:ind w:firstLine="442" w:firstLineChars="200"/>
              <w:jc w:val="both"/>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4.智能功能推荐</w:t>
            </w:r>
          </w:p>
          <w:p w14:paraId="21D2A2B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根据患者当前的就医状态感知患者后续的功能使用需求，进行功能的智能推荐，如当患者当天存在有效预约挂号记录时，会智能推荐智能预问诊、门诊导医、缴费结算、门诊记录，减少患者手动查找成本，提升功能使用便捷性，契合患者实时就医需求。</w:t>
            </w:r>
          </w:p>
        </w:tc>
        <w:tc>
          <w:tcPr>
            <w:tcW w:w="946" w:type="dxa"/>
            <w:noWrap w:val="0"/>
            <w:vAlign w:val="center"/>
          </w:tcPr>
          <w:p w14:paraId="0564E379">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3784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5701D937">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15</w:t>
            </w:r>
          </w:p>
        </w:tc>
        <w:tc>
          <w:tcPr>
            <w:tcW w:w="1328" w:type="dxa"/>
            <w:noWrap w:val="0"/>
            <w:vAlign w:val="center"/>
          </w:tcPr>
          <w:p w14:paraId="66895C9E">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门诊就诊全流程智能导诊</w:t>
            </w:r>
          </w:p>
        </w:tc>
        <w:tc>
          <w:tcPr>
            <w:tcW w:w="800" w:type="dxa"/>
            <w:noWrap w:val="0"/>
            <w:vAlign w:val="center"/>
          </w:tcPr>
          <w:p w14:paraId="090C6484">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3E84E648">
            <w:pPr>
              <w:keepNext/>
              <w:keepLines/>
              <w:pageBreakBefore w:val="0"/>
              <w:widowControl w:val="0"/>
              <w:kinsoku/>
              <w:wordWrap/>
              <w:overflowPunct/>
              <w:topLinePunct w:val="0"/>
              <w:autoSpaceDE/>
              <w:autoSpaceDN/>
              <w:bidi w:val="0"/>
              <w:adjustRightInd/>
              <w:snapToGrid/>
              <w:spacing w:before="80" w:after="40" w:line="560" w:lineRule="exact"/>
              <w:jc w:val="both"/>
              <w:textAlignment w:val="auto"/>
              <w:outlineLvl w:val="3"/>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门诊就诊全流程智能导诊，为患者提供门诊就医指引。</w:t>
            </w:r>
          </w:p>
          <w:p w14:paraId="3D5F4FAF">
            <w:pPr>
              <w:keepNext/>
              <w:keepLines/>
              <w:pageBreakBefore w:val="0"/>
              <w:widowControl w:val="0"/>
              <w:kinsoku/>
              <w:wordWrap/>
              <w:overflowPunct/>
              <w:topLinePunct w:val="0"/>
              <w:autoSpaceDE/>
              <w:autoSpaceDN/>
              <w:bidi w:val="0"/>
              <w:adjustRightInd/>
              <w:snapToGrid/>
              <w:spacing w:before="80" w:after="40" w:line="560" w:lineRule="exact"/>
              <w:jc w:val="both"/>
              <w:textAlignment w:val="auto"/>
              <w:outlineLvl w:val="3"/>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1.支持门诊就诊全流程指引：支持门诊就诊全流程可视化，支持预约挂号、门诊候诊、门诊缴费、报告查询及查看当前挂号、候诊、缴费、报告环节的相关信息。</w:t>
            </w:r>
          </w:p>
          <w:p w14:paraId="74005934">
            <w:pPr>
              <w:keepNext/>
              <w:keepLines/>
              <w:pageBreakBefore w:val="0"/>
              <w:widowControl w:val="0"/>
              <w:kinsoku/>
              <w:wordWrap/>
              <w:overflowPunct/>
              <w:topLinePunct w:val="0"/>
              <w:autoSpaceDE/>
              <w:autoSpaceDN/>
              <w:bidi w:val="0"/>
              <w:adjustRightInd/>
              <w:snapToGrid/>
              <w:spacing w:before="80" w:after="40" w:line="560" w:lineRule="exact"/>
              <w:jc w:val="both"/>
              <w:textAlignment w:val="auto"/>
              <w:outlineLvl w:val="3"/>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2.支持门诊就诊全流程配置：支持医院管理员配置门诊就诊全流程智能导诊功能，支持设置启用的就诊全流程环节及页面服务内容。</w:t>
            </w:r>
          </w:p>
        </w:tc>
        <w:tc>
          <w:tcPr>
            <w:tcW w:w="946" w:type="dxa"/>
            <w:noWrap w:val="0"/>
            <w:vAlign w:val="center"/>
          </w:tcPr>
          <w:p w14:paraId="4846E316">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120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02951287">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16</w:t>
            </w:r>
          </w:p>
        </w:tc>
        <w:tc>
          <w:tcPr>
            <w:tcW w:w="1328" w:type="dxa"/>
            <w:noWrap w:val="0"/>
            <w:vAlign w:val="center"/>
          </w:tcPr>
          <w:p w14:paraId="727B44DF">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智能预问诊</w:t>
            </w:r>
          </w:p>
        </w:tc>
        <w:tc>
          <w:tcPr>
            <w:tcW w:w="800" w:type="dxa"/>
            <w:noWrap w:val="0"/>
            <w:vAlign w:val="center"/>
          </w:tcPr>
          <w:p w14:paraId="75DFFC5D">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6EFAF57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对接电子病历系统，在医生问诊前，支持文字、语音等人机交互，采集患者临床专科病史信息。根据不同患者预约的不同科室，进行人机交互引导患者完成症状、现病史、既往史等临床信息采集。支持依据病历书写要求，自动提取关键信息，生成格式标准、内容准确的病史文书，预问诊结果可直接写入电子病历系统，供医生在门诊书写病历时参考和引用，帮助医生快速了解患者基本病情、减少电子病历录入时间。</w:t>
            </w:r>
          </w:p>
        </w:tc>
        <w:tc>
          <w:tcPr>
            <w:tcW w:w="946" w:type="dxa"/>
            <w:noWrap w:val="0"/>
            <w:vAlign w:val="center"/>
          </w:tcPr>
          <w:p w14:paraId="5338845B">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497A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511CF4FD">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17</w:t>
            </w:r>
          </w:p>
        </w:tc>
        <w:tc>
          <w:tcPr>
            <w:tcW w:w="1328" w:type="dxa"/>
            <w:noWrap w:val="0"/>
            <w:vAlign w:val="center"/>
          </w:tcPr>
          <w:p w14:paraId="6BBB044F">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AI陪诊数字人</w:t>
            </w:r>
          </w:p>
        </w:tc>
        <w:tc>
          <w:tcPr>
            <w:tcW w:w="800" w:type="dxa"/>
            <w:noWrap w:val="0"/>
            <w:vAlign w:val="center"/>
          </w:tcPr>
          <w:p w14:paraId="2031D6EE">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730C02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1.智能门诊分诊</w:t>
            </w:r>
          </w:p>
          <w:p w14:paraId="135E4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在AI陪诊数字人交互界面通过文字、语音等人机对话方式实现人机交互，完成对患者症状、现病史、既往史等临床信息采集。利用人工智能技术，为患者智能推荐就诊科室和医生，提升就诊精准性和效率，减少患者候诊时间。</w:t>
            </w:r>
          </w:p>
          <w:p w14:paraId="65871D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.智能报告解读</w:t>
            </w:r>
          </w:p>
          <w:p w14:paraId="28B350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在AI数字人交互界面进行检查检验报告智能解读，患者通过对话唤醒报告解读功能。支持手动上传外院报告图片、选择本院检查/检验报告单，数字人将专业的报告转化为通俗易懂的内容，若存在疑问，可快速点击预约挂号入口进行挂号。</w:t>
            </w:r>
          </w:p>
          <w:p w14:paraId="42547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.智能感知卡片</w:t>
            </w:r>
          </w:p>
          <w:p w14:paraId="061F9B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支持根据患者就诊节点信息，在AI数字人交互界面展示智能感知卡片，支持门诊候诊、缴费结算、取药提醒等不同状态的卡片自动展示。</w:t>
            </w:r>
          </w:p>
          <w:p w14:paraId="081DAF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.智能就医辅助</w:t>
            </w:r>
          </w:p>
          <w:p w14:paraId="145C9190">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在智能就医咨询助手界面支持文本输入/语音交流方式与智能就医咨询助手进行人机交互，智能就医咨询助手可智能识别患者就医诉求，根据患者就医需求智能唤起医院已上线运行的门诊、住院、便民等多场景移动服务应用，快速完成功能下钻定位，直达功能/业务服务页面，推送至患者，如：预约挂号、门诊缴费、报告查询</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费用记录查询、智能预问诊等</w:t>
            </w:r>
            <w:r>
              <w:rPr>
                <w:rFonts w:hint="eastAsia" w:ascii="宋体" w:hAnsi="宋体" w:eastAsia="宋体" w:cs="宋体"/>
                <w:color w:val="auto"/>
                <w:sz w:val="22"/>
                <w:szCs w:val="22"/>
              </w:rPr>
              <w:t>，患者可支持业务辅助功能快速完成业务操作。</w:t>
            </w:r>
          </w:p>
          <w:p w14:paraId="3D80E2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.1 预约挂号辅助</w:t>
            </w:r>
          </w:p>
          <w:p w14:paraId="412C523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支持患者通过文本输入/语音交流方式直接进行指定业务服务下达，如；辅助预约某医生的号源，</w:t>
            </w:r>
            <w:r>
              <w:rPr>
                <w:rFonts w:hint="eastAsia" w:ascii="宋体" w:hAnsi="宋体" w:eastAsia="宋体" w:cs="宋体"/>
                <w:color w:val="auto"/>
                <w:sz w:val="22"/>
                <w:szCs w:val="22"/>
                <w:lang w:val="en-US" w:eastAsia="zh-CN"/>
              </w:rPr>
              <w:t>数字人可</w:t>
            </w:r>
            <w:r>
              <w:rPr>
                <w:rFonts w:hint="eastAsia" w:ascii="宋体" w:hAnsi="宋体" w:eastAsia="宋体" w:cs="宋体"/>
                <w:color w:val="auto"/>
                <w:sz w:val="22"/>
                <w:szCs w:val="22"/>
              </w:rPr>
              <w:t>支持直接帮助患者进行号源预约信息登记，患者只需核对预约信息点击确认即可实现预约挂号快捷操作。</w:t>
            </w:r>
          </w:p>
          <w:p w14:paraId="747816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4.2</w:t>
            </w:r>
            <w:r>
              <w:rPr>
                <w:rFonts w:hint="eastAsia" w:ascii="宋体" w:hAnsi="宋体" w:eastAsia="宋体" w:cs="宋体"/>
                <w:color w:val="auto"/>
                <w:sz w:val="22"/>
                <w:szCs w:val="22"/>
              </w:rPr>
              <w:t>门诊结算辅助</w:t>
            </w:r>
          </w:p>
          <w:p w14:paraId="4B402AB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支持患者通过文本输入/语音交流方式直接进行</w:t>
            </w:r>
            <w:r>
              <w:rPr>
                <w:rFonts w:hint="eastAsia" w:ascii="宋体" w:hAnsi="宋体" w:eastAsia="宋体" w:cs="宋体"/>
                <w:color w:val="auto"/>
                <w:sz w:val="22"/>
                <w:szCs w:val="22"/>
                <w:lang w:val="en-US" w:eastAsia="zh-CN"/>
              </w:rPr>
              <w:t>结算业务服务指令下达，数字人可提供对应门诊结算服务入口；支持</w:t>
            </w:r>
            <w:r>
              <w:rPr>
                <w:rFonts w:hint="eastAsia" w:ascii="宋体" w:hAnsi="宋体" w:eastAsia="宋体" w:cs="宋体"/>
                <w:color w:val="auto"/>
                <w:sz w:val="22"/>
                <w:szCs w:val="22"/>
              </w:rPr>
              <w:t>快速完成功能下钻定位，直达功能/业务服务页面</w:t>
            </w:r>
            <w:r>
              <w:rPr>
                <w:rFonts w:hint="eastAsia" w:ascii="宋体" w:hAnsi="宋体" w:eastAsia="宋体" w:cs="宋体"/>
                <w:color w:val="auto"/>
                <w:sz w:val="22"/>
                <w:szCs w:val="22"/>
                <w:lang w:val="en-US" w:eastAsia="zh-CN"/>
              </w:rPr>
              <w:t>。数字人支持根据患者当前就诊状态主动提示患者进行门诊结算。</w:t>
            </w:r>
          </w:p>
          <w:p w14:paraId="099AE8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报告查询辅助</w:t>
            </w:r>
          </w:p>
          <w:p w14:paraId="74CC1A6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支持患者通过文本输入/语音交流方式直接进行</w:t>
            </w:r>
            <w:r>
              <w:rPr>
                <w:rFonts w:hint="eastAsia" w:ascii="宋体" w:hAnsi="宋体" w:eastAsia="宋体" w:cs="宋体"/>
                <w:color w:val="auto"/>
                <w:sz w:val="22"/>
                <w:szCs w:val="22"/>
                <w:lang w:val="en-US" w:eastAsia="zh-CN"/>
              </w:rPr>
              <w:t>报告查询业务指令下达，数字人可提供对应报告查询服务入口；支持</w:t>
            </w:r>
            <w:r>
              <w:rPr>
                <w:rFonts w:hint="eastAsia" w:ascii="宋体" w:hAnsi="宋体" w:eastAsia="宋体" w:cs="宋体"/>
                <w:color w:val="auto"/>
                <w:sz w:val="22"/>
                <w:szCs w:val="22"/>
              </w:rPr>
              <w:t>快速完成功能下钻定位，直达功能/业务服务页面</w:t>
            </w:r>
            <w:r>
              <w:rPr>
                <w:rFonts w:hint="eastAsia" w:ascii="宋体" w:hAnsi="宋体" w:eastAsia="宋体" w:cs="宋体"/>
                <w:color w:val="auto"/>
                <w:sz w:val="22"/>
                <w:szCs w:val="22"/>
                <w:lang w:val="en-US" w:eastAsia="zh-CN"/>
              </w:rPr>
              <w:t>。数字人支持根据患者当前就诊状态主动提示患者进行报告查询。</w:t>
            </w:r>
          </w:p>
          <w:p w14:paraId="4805A6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就诊记录查询辅助</w:t>
            </w:r>
          </w:p>
          <w:p w14:paraId="01280B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支持患者通过文本输入/语音交流方式直接进行</w:t>
            </w:r>
            <w:r>
              <w:rPr>
                <w:rFonts w:hint="eastAsia" w:ascii="宋体" w:hAnsi="宋体" w:eastAsia="宋体" w:cs="宋体"/>
                <w:color w:val="auto"/>
                <w:sz w:val="22"/>
                <w:szCs w:val="22"/>
                <w:lang w:val="en-US" w:eastAsia="zh-CN"/>
              </w:rPr>
              <w:t>就诊记录查询业务指令下达，数字人可提供对应门诊/住院就诊记录服务入口；支持</w:t>
            </w:r>
            <w:r>
              <w:rPr>
                <w:rFonts w:hint="eastAsia" w:ascii="宋体" w:hAnsi="宋体" w:eastAsia="宋体" w:cs="宋体"/>
                <w:color w:val="auto"/>
                <w:sz w:val="22"/>
                <w:szCs w:val="22"/>
              </w:rPr>
              <w:t>快速完成功能下钻定位，直达功能/业务服务页面</w:t>
            </w:r>
            <w:r>
              <w:rPr>
                <w:rFonts w:hint="eastAsia" w:ascii="宋体" w:hAnsi="宋体" w:eastAsia="宋体" w:cs="宋体"/>
                <w:color w:val="auto"/>
                <w:sz w:val="22"/>
                <w:szCs w:val="22"/>
                <w:lang w:val="en-US" w:eastAsia="zh-CN"/>
              </w:rPr>
              <w:t>。数字人支持根据患者当前就诊状态主动提示患者进行报告查询。</w:t>
            </w:r>
          </w:p>
          <w:p w14:paraId="23E362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费用记录查询辅助</w:t>
            </w:r>
          </w:p>
          <w:p w14:paraId="50A3B4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支持患者通过文本输入/语音交流方式直接进行</w:t>
            </w:r>
            <w:r>
              <w:rPr>
                <w:rFonts w:hint="eastAsia" w:ascii="宋体" w:hAnsi="宋体" w:eastAsia="宋体" w:cs="宋体"/>
                <w:color w:val="auto"/>
                <w:sz w:val="22"/>
                <w:szCs w:val="22"/>
                <w:lang w:val="en-US" w:eastAsia="zh-CN"/>
              </w:rPr>
              <w:t>费用记录查询业务指令下达，数字人可提供对应门诊/住院费用记录服务入口；支持</w:t>
            </w:r>
            <w:r>
              <w:rPr>
                <w:rFonts w:hint="eastAsia" w:ascii="宋体" w:hAnsi="宋体" w:eastAsia="宋体" w:cs="宋体"/>
                <w:color w:val="auto"/>
                <w:sz w:val="22"/>
                <w:szCs w:val="22"/>
              </w:rPr>
              <w:t>快速完成功能下钻定位，直达功能/业务服务页面</w:t>
            </w:r>
            <w:r>
              <w:rPr>
                <w:rFonts w:hint="eastAsia" w:ascii="宋体" w:hAnsi="宋体" w:eastAsia="宋体" w:cs="宋体"/>
                <w:color w:val="auto"/>
                <w:sz w:val="22"/>
                <w:szCs w:val="22"/>
                <w:lang w:val="en-US" w:eastAsia="zh-CN"/>
              </w:rPr>
              <w:t>。数字人支持根据患者当前就诊状态主动提示患者进行费用记录查询。</w:t>
            </w:r>
          </w:p>
          <w:p w14:paraId="23F88E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智能</w:t>
            </w:r>
            <w:r>
              <w:rPr>
                <w:rFonts w:hint="eastAsia" w:ascii="宋体" w:hAnsi="宋体" w:eastAsia="宋体" w:cs="宋体"/>
                <w:color w:val="auto"/>
                <w:sz w:val="22"/>
                <w:szCs w:val="22"/>
                <w:lang w:val="en-US" w:eastAsia="zh-CN"/>
              </w:rPr>
              <w:t>客服</w:t>
            </w:r>
            <w:r>
              <w:rPr>
                <w:rFonts w:hint="eastAsia" w:ascii="宋体" w:hAnsi="宋体" w:eastAsia="宋体" w:cs="宋体"/>
                <w:color w:val="auto"/>
                <w:sz w:val="22"/>
                <w:szCs w:val="22"/>
              </w:rPr>
              <w:t>辅助</w:t>
            </w:r>
          </w:p>
          <w:p w14:paraId="0E97DB85">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Style w:val="13"/>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支持</w:t>
            </w:r>
            <w:r>
              <w:rPr>
                <w:rFonts w:hint="eastAsia" w:ascii="宋体" w:hAnsi="宋体" w:eastAsia="宋体" w:cs="宋体"/>
                <w:color w:val="auto"/>
                <w:sz w:val="22"/>
                <w:szCs w:val="22"/>
              </w:rPr>
              <w:t>智能客服的问答应用，支持文字输入或语音交流方式进行客服询问。</w:t>
            </w:r>
            <w:r>
              <w:rPr>
                <w:rFonts w:hint="eastAsia" w:ascii="宋体" w:hAnsi="宋体" w:eastAsia="宋体" w:cs="宋体"/>
                <w:color w:val="auto"/>
                <w:sz w:val="22"/>
                <w:szCs w:val="22"/>
                <w:lang w:val="en-US" w:eastAsia="zh-CN"/>
              </w:rPr>
              <w:t>数字人</w:t>
            </w:r>
            <w:r>
              <w:rPr>
                <w:rFonts w:hint="eastAsia" w:ascii="宋体" w:hAnsi="宋体" w:eastAsia="宋体" w:cs="宋体"/>
                <w:color w:val="auto"/>
                <w:sz w:val="22"/>
                <w:szCs w:val="22"/>
              </w:rPr>
              <w:t>在经过语义识别后，基于知识库为用户提供准确的解答，确保用户的问题得到有效解决，帮助患者实时解答常见就医问题。</w:t>
            </w:r>
          </w:p>
          <w:p w14:paraId="3FA22E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.界面交互模块</w:t>
            </w:r>
          </w:p>
          <w:p w14:paraId="47F04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1 就诊卡切换</w:t>
            </w:r>
          </w:p>
          <w:p w14:paraId="7BF238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支持切换当前患者已绑就诊卡信息，就诊卡信息将当作AI数字人主索引信息进行感知卡片呈现，及对话索引内容。</w:t>
            </w:r>
          </w:p>
          <w:p w14:paraId="045F65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.2 多模式交互</w:t>
            </w:r>
          </w:p>
          <w:p w14:paraId="1BA15B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支持患者通过手动输入+语音输入的方式，与AI数字人发起对话。</w:t>
            </w:r>
          </w:p>
          <w:p w14:paraId="15F134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.3 语音播报</w:t>
            </w:r>
          </w:p>
          <w:p w14:paraId="7051A3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支持患者针对全局开启/关闭语音播报功能；支持针对单一对话内容开启/关闭语音播报功能。</w:t>
            </w:r>
          </w:p>
          <w:p w14:paraId="53EC4A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.4 会话新建</w:t>
            </w:r>
          </w:p>
          <w:p w14:paraId="116CC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支持患者清空当前会话内容，快捷创建会话内容。</w:t>
            </w:r>
          </w:p>
          <w:p w14:paraId="6642C8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5.5</w:t>
            </w:r>
            <w:r>
              <w:rPr>
                <w:rFonts w:hint="eastAsia" w:ascii="宋体" w:hAnsi="宋体" w:eastAsia="宋体" w:cs="宋体"/>
                <w:color w:val="auto"/>
                <w:sz w:val="22"/>
                <w:szCs w:val="22"/>
              </w:rPr>
              <w:t>虚拟形象设置</w:t>
            </w:r>
          </w:p>
          <w:p w14:paraId="70B19E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5.5.1</w:t>
            </w:r>
            <w:r>
              <w:rPr>
                <w:rFonts w:hint="eastAsia" w:ascii="宋体" w:hAnsi="宋体" w:eastAsia="宋体" w:cs="宋体"/>
                <w:color w:val="auto"/>
                <w:sz w:val="22"/>
                <w:szCs w:val="22"/>
              </w:rPr>
              <w:t>虚拟形象切换</w:t>
            </w:r>
          </w:p>
          <w:p w14:paraId="692CD1D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支持患者支持智能就医咨询助手界面切换“数字助手”虚拟形象，支持根据患者语音交流的需求，设置智能就医咨询助手语音交互的播报速度。</w:t>
            </w:r>
          </w:p>
          <w:p w14:paraId="7FF7A4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5.5.2</w:t>
            </w:r>
            <w:r>
              <w:rPr>
                <w:rFonts w:hint="eastAsia" w:ascii="宋体" w:hAnsi="宋体" w:eastAsia="宋体" w:cs="宋体"/>
                <w:color w:val="auto"/>
                <w:sz w:val="22"/>
                <w:szCs w:val="22"/>
              </w:rPr>
              <w:t>虚拟形象定制</w:t>
            </w:r>
          </w:p>
          <w:p w14:paraId="6A4D12DA">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支持根据</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的需求，定制符合</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形象的“陪诊数字人”形象。</w:t>
            </w:r>
          </w:p>
        </w:tc>
        <w:tc>
          <w:tcPr>
            <w:tcW w:w="946" w:type="dxa"/>
            <w:noWrap w:val="0"/>
            <w:vAlign w:val="center"/>
          </w:tcPr>
          <w:p w14:paraId="5F90816F">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5F02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33B85005">
            <w:pPr>
              <w:widowControl w:val="0"/>
              <w:numPr>
                <w:ilvl w:val="0"/>
                <w:numId w:val="0"/>
              </w:numPr>
              <w:ind w:left="0" w:leftChars="0" w:firstLine="0" w:firstLineChars="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18</w:t>
            </w:r>
          </w:p>
        </w:tc>
        <w:tc>
          <w:tcPr>
            <w:tcW w:w="1328" w:type="dxa"/>
            <w:noWrap w:val="0"/>
            <w:vAlign w:val="center"/>
          </w:tcPr>
          <w:p w14:paraId="69634323">
            <w:pPr>
              <w:keepNext/>
              <w:keepLines/>
              <w:widowControl w:val="0"/>
              <w:spacing w:before="260" w:after="260" w:line="416" w:lineRule="auto"/>
              <w:jc w:val="both"/>
              <w:outlineLvl w:val="2"/>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系统后台管理</w:t>
            </w:r>
          </w:p>
        </w:tc>
        <w:tc>
          <w:tcPr>
            <w:tcW w:w="800" w:type="dxa"/>
            <w:noWrap w:val="0"/>
            <w:vAlign w:val="center"/>
          </w:tcPr>
          <w:p w14:paraId="66DADA8C">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1项</w:t>
            </w:r>
          </w:p>
        </w:tc>
        <w:tc>
          <w:tcPr>
            <w:tcW w:w="6012" w:type="dxa"/>
            <w:noWrap w:val="0"/>
            <w:vAlign w:val="top"/>
          </w:tcPr>
          <w:p w14:paraId="44B181F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管理</w:t>
            </w:r>
          </w:p>
          <w:p w14:paraId="1330EA8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支持对</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信息的维护管理；提供</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基本信息维护、</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服务管理、资源管理；支持</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的业务配置。</w:t>
            </w:r>
          </w:p>
          <w:p w14:paraId="369A7AAE">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2.科室管理</w:t>
            </w:r>
          </w:p>
          <w:p w14:paraId="200829CE">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w:t>
            </w:r>
            <w:r>
              <w:rPr>
                <w:rFonts w:hint="eastAsia" w:ascii="宋体" w:hAnsi="宋体" w:eastAsia="宋体" w:cs="宋体"/>
                <w:color w:val="auto"/>
                <w:sz w:val="22"/>
                <w:szCs w:val="22"/>
                <w:lang w:val="en-US" w:eastAsia="zh-CN"/>
              </w:rPr>
              <w:t>医院</w:t>
            </w:r>
            <w:r>
              <w:rPr>
                <w:rFonts w:hint="eastAsia" w:ascii="宋体" w:hAnsi="宋体" w:eastAsia="宋体" w:cs="宋体"/>
                <w:color w:val="auto"/>
                <w:sz w:val="22"/>
                <w:szCs w:val="22"/>
              </w:rPr>
              <w:t>科室管理。支持多级科室维护，可进行新增、编辑和删除；支持维护各个科室的人员管理、科室介绍的维护，预约挂号科室/医生的挂号须知的维护。</w:t>
            </w:r>
          </w:p>
          <w:p w14:paraId="304ECCD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3.服务管理</w:t>
            </w:r>
          </w:p>
          <w:p w14:paraId="5C46B48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支持掌上医院平台的服务管理，包括应用服务支持开启/关闭、服务分发、服务者管理。</w:t>
            </w:r>
          </w:p>
          <w:p w14:paraId="530134B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4.资源管理</w:t>
            </w:r>
          </w:p>
          <w:p w14:paraId="6C89384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支持掌上医院平台的资源维护管理，包括界面元素的维护管理；支持资源新增、编辑功能，资源的刷新，资源对应界面元素的新增、编辑。</w:t>
            </w:r>
          </w:p>
          <w:p w14:paraId="1807D46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5.角色管理</w:t>
            </w:r>
          </w:p>
          <w:p w14:paraId="0CB54C3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支持平台的角色管理，角色对应的资源的分发；支持角色的新增、编辑功能，角色下的资源管理、角色下成员的新增、删除；根据角色配置机构权限。</w:t>
            </w:r>
          </w:p>
          <w:p w14:paraId="5CF8CE7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6.缴费记录管理</w:t>
            </w:r>
          </w:p>
          <w:p w14:paraId="24267D6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支持查看掌上医院平台的历史缴费记录，支持按时间索引查询缴费订单信息。支持订单数据导出功能。</w:t>
            </w:r>
          </w:p>
        </w:tc>
        <w:tc>
          <w:tcPr>
            <w:tcW w:w="946" w:type="dxa"/>
            <w:noWrap w:val="0"/>
            <w:vAlign w:val="center"/>
          </w:tcPr>
          <w:p w14:paraId="06CE8937">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软件和信息技术服务业</w:t>
            </w:r>
          </w:p>
        </w:tc>
      </w:tr>
      <w:tr w14:paraId="3246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798FDF90">
            <w:pPr>
              <w:spacing w:line="360" w:lineRule="auto"/>
              <w:ind w:left="0" w:leftChars="0" w:right="0" w:rightChars="0" w:firstLine="0" w:firstLineChars="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w:t>
            </w:r>
          </w:p>
        </w:tc>
        <w:tc>
          <w:tcPr>
            <w:tcW w:w="1328" w:type="dxa"/>
            <w:noWrap w:val="0"/>
            <w:vAlign w:val="center"/>
          </w:tcPr>
          <w:p w14:paraId="29C5FEEA">
            <w:pPr>
              <w:spacing w:line="360" w:lineRule="auto"/>
              <w:ind w:left="0" w:leftChars="0" w:right="0" w:righ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算力资源服务器</w:t>
            </w:r>
          </w:p>
        </w:tc>
        <w:tc>
          <w:tcPr>
            <w:tcW w:w="800" w:type="dxa"/>
            <w:noWrap w:val="0"/>
            <w:vAlign w:val="center"/>
          </w:tcPr>
          <w:p w14:paraId="3158842F">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1套</w:t>
            </w:r>
          </w:p>
        </w:tc>
        <w:tc>
          <w:tcPr>
            <w:tcW w:w="6012" w:type="dxa"/>
            <w:noWrap w:val="0"/>
            <w:vAlign w:val="center"/>
          </w:tcPr>
          <w:p w14:paraId="7730AF9A">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外形：2U机架式服务器，含导轨套件</w:t>
            </w:r>
            <w:r>
              <w:rPr>
                <w:rFonts w:hint="eastAsia" w:ascii="宋体" w:hAnsi="宋体" w:eastAsia="宋体" w:cs="宋体"/>
                <w:color w:val="auto"/>
                <w:sz w:val="22"/>
                <w:szCs w:val="22"/>
                <w:highlight w:val="none"/>
                <w:lang w:eastAsia="zh-CN"/>
              </w:rPr>
              <w:t>；</w:t>
            </w:r>
          </w:p>
          <w:p w14:paraId="38F03826">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内存：配置≥64GB DDR4内存，最多可搭配≥20根DDR4内存。</w:t>
            </w:r>
          </w:p>
          <w:p w14:paraId="508348E3">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GPU/NPU加速卡：≥1张高性能AI加速卡，总显存≥96GB。算力性能不低于以下任一型号：华为昇腾910C（128GB）、英伟达A100（80GB）、英伟达H20（96GB）、AMD MI300X（192GB）、寒武纪思元590（80GB）、海光深算系列（单卡≥64GB）、天数智芯智铠100、壁仞BR100（64GB）AI加速卡。供应商应确保所选加速卡与医院小程序后端框架兼容，</w:t>
            </w:r>
            <w:r>
              <w:rPr>
                <w:rFonts w:hint="eastAsia" w:ascii="宋体" w:hAnsi="宋体" w:eastAsia="宋体" w:cs="宋体"/>
                <w:b/>
                <w:bCs/>
                <w:color w:val="auto"/>
                <w:sz w:val="22"/>
                <w:szCs w:val="22"/>
                <w:highlight w:val="none"/>
              </w:rPr>
              <w:t>并</w:t>
            </w:r>
            <w:r>
              <w:rPr>
                <w:rFonts w:hint="eastAsia" w:ascii="宋体" w:hAnsi="宋体" w:eastAsia="宋体" w:cs="宋体"/>
                <w:b/>
                <w:bCs/>
                <w:color w:val="auto"/>
                <w:sz w:val="22"/>
                <w:szCs w:val="22"/>
                <w:highlight w:val="none"/>
                <w:lang w:val="en-US" w:eastAsia="zh-CN"/>
              </w:rPr>
              <w:t>在响应文件中</w:t>
            </w:r>
            <w:r>
              <w:rPr>
                <w:rFonts w:hint="eastAsia" w:ascii="宋体" w:hAnsi="宋体" w:eastAsia="宋体" w:cs="宋体"/>
                <w:b/>
                <w:bCs/>
                <w:color w:val="auto"/>
                <w:sz w:val="22"/>
                <w:szCs w:val="22"/>
                <w:highlight w:val="none"/>
              </w:rPr>
              <w:t>提供相应驱动及推理框架适配方案。</w:t>
            </w:r>
          </w:p>
          <w:p w14:paraId="2593368F">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CPU ：配置≥2颗国产或主流x86架构处理器，单颗物理核心数≥32核</w:t>
            </w:r>
            <w:r>
              <w:rPr>
                <w:rFonts w:hint="eastAsia" w:ascii="宋体" w:hAnsi="宋体" w:eastAsia="宋体" w:cs="宋体"/>
                <w:color w:val="auto"/>
                <w:sz w:val="22"/>
                <w:szCs w:val="22"/>
                <w:highlight w:val="none"/>
                <w:lang w:eastAsia="zh-CN"/>
              </w:rPr>
              <w:t>；</w:t>
            </w:r>
          </w:p>
          <w:p w14:paraId="63BADD81">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主频≥2.2GHz，支持超线程。</w:t>
            </w:r>
          </w:p>
          <w:p w14:paraId="5C757F9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硬盘：配置≥2块600G 10K企业级SAS硬盘。</w:t>
            </w:r>
          </w:p>
          <w:p w14:paraId="2B4F1EC0">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RAID卡：独立RAID卡，支持RAID 0/1/5/6/10。</w:t>
            </w:r>
          </w:p>
          <w:p w14:paraId="7F52750E">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网络：≥2个千兆电口。</w:t>
            </w:r>
          </w:p>
        </w:tc>
        <w:tc>
          <w:tcPr>
            <w:tcW w:w="946" w:type="dxa"/>
            <w:noWrap w:val="0"/>
            <w:vAlign w:val="center"/>
          </w:tcPr>
          <w:p w14:paraId="4D22C303">
            <w:pPr>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工业 </w:t>
            </w:r>
          </w:p>
        </w:tc>
      </w:tr>
      <w:tr w14:paraId="2B71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82" w:type="dxa"/>
            <w:gridSpan w:val="5"/>
            <w:noWrap w:val="0"/>
            <w:vAlign w:val="center"/>
          </w:tcPr>
          <w:p w14:paraId="73B5B911">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b/>
                <w:bCs/>
                <w:color w:val="auto"/>
                <w:sz w:val="22"/>
                <w:szCs w:val="22"/>
              </w:rPr>
              <w:t>二、商务条款</w:t>
            </w:r>
          </w:p>
        </w:tc>
      </w:tr>
      <w:tr w14:paraId="1CEA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6BB770B7">
            <w:pPr>
              <w:tabs>
                <w:tab w:val="left" w:pos="180"/>
                <w:tab w:val="left" w:pos="1620"/>
              </w:tabs>
              <w:spacing w:line="360" w:lineRule="auto"/>
              <w:jc w:val="center"/>
              <w:rPr>
                <w:rFonts w:hint="eastAsia" w:ascii="宋体" w:hAnsi="宋体" w:eastAsia="宋体" w:cs="宋体"/>
                <w:color w:val="auto"/>
                <w:sz w:val="22"/>
                <w:szCs w:val="22"/>
              </w:rPr>
            </w:pPr>
            <w:r>
              <w:rPr>
                <w:rFonts w:hint="eastAsia" w:ascii="宋体" w:hAnsi="宋体" w:eastAsia="宋体" w:cs="宋体"/>
                <w:bCs/>
                <w:color w:val="auto"/>
                <w:sz w:val="22"/>
                <w:szCs w:val="22"/>
              </w:rPr>
              <w:t>合同签订时间</w:t>
            </w:r>
          </w:p>
        </w:tc>
        <w:tc>
          <w:tcPr>
            <w:tcW w:w="7758" w:type="dxa"/>
            <w:gridSpan w:val="3"/>
            <w:noWrap w:val="0"/>
            <w:vAlign w:val="center"/>
          </w:tcPr>
          <w:p w14:paraId="5F165A6F">
            <w:pPr>
              <w:widowControl/>
              <w:spacing w:line="360" w:lineRule="auto"/>
              <w:jc w:val="left"/>
              <w:rPr>
                <w:rFonts w:hint="eastAsia" w:ascii="宋体" w:hAnsi="宋体" w:eastAsia="宋体" w:cs="宋体"/>
                <w:color w:val="auto"/>
                <w:sz w:val="22"/>
                <w:szCs w:val="22"/>
              </w:rPr>
            </w:pPr>
            <w:r>
              <w:rPr>
                <w:rFonts w:hint="eastAsia" w:ascii="宋体" w:hAnsi="宋体" w:eastAsia="宋体" w:cs="宋体"/>
                <w:color w:val="auto"/>
                <w:kern w:val="0"/>
                <w:sz w:val="22"/>
                <w:szCs w:val="22"/>
              </w:rPr>
              <w:t xml:space="preserve">自成交通知书发出之日起25日内。 </w:t>
            </w:r>
          </w:p>
        </w:tc>
      </w:tr>
      <w:tr w14:paraId="2D5A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2D6F882B">
            <w:pPr>
              <w:widowControl/>
              <w:spacing w:line="360" w:lineRule="auto"/>
              <w:ind w:firstLine="220" w:firstLineChars="100"/>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质保期、</w:t>
            </w:r>
            <w:r>
              <w:rPr>
                <w:rFonts w:hint="eastAsia" w:ascii="宋体" w:hAnsi="宋体" w:eastAsia="宋体" w:cs="宋体"/>
                <w:bCs/>
                <w:color w:val="auto"/>
                <w:sz w:val="22"/>
                <w:szCs w:val="22"/>
              </w:rPr>
              <w:t>成果交付时间及地点</w:t>
            </w:r>
          </w:p>
        </w:tc>
        <w:tc>
          <w:tcPr>
            <w:tcW w:w="7758" w:type="dxa"/>
            <w:gridSpan w:val="3"/>
            <w:noWrap w:val="0"/>
            <w:vAlign w:val="center"/>
          </w:tcPr>
          <w:p w14:paraId="122FB121">
            <w:pPr>
              <w:spacing w:line="360" w:lineRule="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1.质保期：自项目验收合格之日起一年。</w:t>
            </w:r>
          </w:p>
          <w:p w14:paraId="54617A7B">
            <w:pPr>
              <w:spacing w:line="360" w:lineRule="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sz w:val="22"/>
                <w:szCs w:val="22"/>
              </w:rPr>
              <w:t>.提交服务成果时间：</w:t>
            </w:r>
            <w:r>
              <w:rPr>
                <w:rFonts w:hint="eastAsia" w:ascii="宋体" w:hAnsi="宋体" w:eastAsia="宋体" w:cs="宋体"/>
                <w:color w:val="auto"/>
                <w:sz w:val="22"/>
                <w:szCs w:val="22"/>
                <w:lang w:val="en-US" w:eastAsia="zh-CN"/>
              </w:rPr>
              <w:t>自合同签订之日起45天。</w:t>
            </w:r>
          </w:p>
          <w:p w14:paraId="3FE2F3A1">
            <w:pPr>
              <w:spacing w:line="36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.交付地点：广西防城港市采购人指定地点。</w:t>
            </w:r>
          </w:p>
        </w:tc>
      </w:tr>
      <w:tr w14:paraId="1577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515B1289">
            <w:pPr>
              <w:tabs>
                <w:tab w:val="left" w:pos="180"/>
                <w:tab w:val="left" w:pos="1620"/>
              </w:tabs>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付款形式</w:t>
            </w:r>
          </w:p>
        </w:tc>
        <w:tc>
          <w:tcPr>
            <w:tcW w:w="7758" w:type="dxa"/>
            <w:gridSpan w:val="3"/>
            <w:noWrap w:val="0"/>
            <w:vAlign w:val="center"/>
          </w:tcPr>
          <w:p w14:paraId="4D24E487">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（一）合同签订之日起</w:t>
            </w:r>
            <w:r>
              <w:rPr>
                <w:rFonts w:hint="eastAsia" w:ascii="宋体" w:hAnsi="宋体" w:eastAsia="宋体" w:cs="宋体"/>
                <w:color w:val="auto"/>
                <w:sz w:val="22"/>
                <w:szCs w:val="22"/>
                <w:lang w:val="en-US" w:eastAsia="zh-CN"/>
              </w:rPr>
              <w:t>10个</w:t>
            </w:r>
            <w:r>
              <w:rPr>
                <w:rFonts w:hint="eastAsia" w:ascii="宋体" w:hAnsi="宋体" w:eastAsia="宋体" w:cs="宋体"/>
                <w:color w:val="auto"/>
                <w:sz w:val="22"/>
                <w:szCs w:val="22"/>
                <w:lang w:eastAsia="zh-CN"/>
              </w:rPr>
              <w:t>工作日</w:t>
            </w:r>
            <w:r>
              <w:rPr>
                <w:rFonts w:hint="eastAsia" w:ascii="宋体" w:hAnsi="宋体" w:eastAsia="宋体" w:cs="宋体"/>
                <w:color w:val="auto"/>
                <w:sz w:val="22"/>
                <w:szCs w:val="22"/>
              </w:rPr>
              <w:t>内，成交供应商提出书面申请经采购人审核通过后10个工作日内，采购人向成交供应商支付合同金额的30%。</w:t>
            </w:r>
          </w:p>
          <w:p w14:paraId="2E644459">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（二）成交供应商完成</w:t>
            </w:r>
            <w:r>
              <w:rPr>
                <w:rFonts w:hint="eastAsia" w:ascii="宋体" w:hAnsi="宋体" w:eastAsia="宋体" w:cs="宋体"/>
                <w:color w:val="auto"/>
                <w:sz w:val="22"/>
                <w:szCs w:val="22"/>
                <w:lang w:val="en-US" w:eastAsia="zh-CN"/>
              </w:rPr>
              <w:t>系统升级，并通过验收合格正常使用</w:t>
            </w:r>
            <w:r>
              <w:rPr>
                <w:rFonts w:hint="eastAsia" w:ascii="宋体" w:hAnsi="宋体" w:eastAsia="宋体" w:cs="宋体"/>
                <w:color w:val="auto"/>
                <w:sz w:val="22"/>
                <w:szCs w:val="22"/>
              </w:rPr>
              <w:t>后</w:t>
            </w:r>
            <w:r>
              <w:rPr>
                <w:rFonts w:hint="eastAsia" w:ascii="宋体" w:hAnsi="宋体" w:eastAsia="宋体" w:cs="宋体"/>
                <w:color w:val="auto"/>
                <w:sz w:val="22"/>
                <w:szCs w:val="22"/>
                <w:lang w:eastAsia="zh-CN"/>
              </w:rPr>
              <w:t>一年</w:t>
            </w:r>
            <w:r>
              <w:rPr>
                <w:rFonts w:hint="eastAsia" w:ascii="宋体" w:hAnsi="宋体" w:eastAsia="宋体" w:cs="宋体"/>
                <w:color w:val="auto"/>
                <w:sz w:val="22"/>
                <w:szCs w:val="22"/>
              </w:rPr>
              <w:t>内支付合同金额的</w:t>
            </w:r>
            <w:r>
              <w:rPr>
                <w:rFonts w:hint="eastAsia" w:ascii="宋体" w:hAnsi="宋体" w:eastAsia="宋体" w:cs="宋体"/>
                <w:color w:val="auto"/>
                <w:sz w:val="22"/>
                <w:szCs w:val="22"/>
                <w:lang w:val="en-US" w:eastAsia="zh-CN"/>
              </w:rPr>
              <w:t>60</w:t>
            </w:r>
            <w:r>
              <w:rPr>
                <w:rFonts w:hint="eastAsia" w:ascii="宋体" w:hAnsi="宋体" w:eastAsia="宋体" w:cs="宋体"/>
                <w:color w:val="auto"/>
                <w:sz w:val="22"/>
                <w:szCs w:val="22"/>
              </w:rPr>
              <w:t>%。</w:t>
            </w:r>
          </w:p>
          <w:p w14:paraId="7A3D1D2F">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三</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质保期结束</w:t>
            </w:r>
            <w:r>
              <w:rPr>
                <w:rFonts w:hint="eastAsia" w:ascii="宋体" w:hAnsi="宋体" w:eastAsia="宋体" w:cs="宋体"/>
                <w:color w:val="auto"/>
                <w:sz w:val="22"/>
                <w:szCs w:val="22"/>
              </w:rPr>
              <w:t>后10个工作日内支付合同金额的10%。</w:t>
            </w:r>
          </w:p>
          <w:p w14:paraId="75990CF7">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rPr>
              <w:t>）每次支付前，成交供应商均须向采购人提供与当期计量支付金额等额的合法的增值税发票。</w:t>
            </w:r>
          </w:p>
        </w:tc>
      </w:tr>
      <w:tr w14:paraId="5F3D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044C74A5">
            <w:pPr>
              <w:tabs>
                <w:tab w:val="left" w:pos="180"/>
                <w:tab w:val="left" w:pos="1620"/>
              </w:tabs>
              <w:spacing w:line="360" w:lineRule="auto"/>
              <w:jc w:val="center"/>
              <w:rPr>
                <w:rFonts w:hint="eastAsia" w:ascii="宋体" w:hAnsi="宋体" w:eastAsia="宋体" w:cs="宋体"/>
                <w:color w:val="auto"/>
                <w:sz w:val="22"/>
                <w:szCs w:val="22"/>
              </w:rPr>
            </w:pPr>
            <w:r>
              <w:rPr>
                <w:rFonts w:hint="eastAsia" w:ascii="宋体" w:hAnsi="宋体" w:eastAsia="宋体" w:cs="宋体"/>
                <w:bCs/>
                <w:color w:val="auto"/>
                <w:sz w:val="22"/>
                <w:szCs w:val="22"/>
              </w:rPr>
              <w:t>报价及其他要求</w:t>
            </w:r>
          </w:p>
        </w:tc>
        <w:tc>
          <w:tcPr>
            <w:tcW w:w="7758" w:type="dxa"/>
            <w:gridSpan w:val="3"/>
            <w:noWrap w:val="0"/>
            <w:vAlign w:val="center"/>
          </w:tcPr>
          <w:p w14:paraId="4CF81654">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供应商就全部服务内容做完整唯一报价，且总价不能超过采购预算金额。磋商报价是履行合同的最终价格，应包括但不限于项目所有服务内容、</w:t>
            </w:r>
            <w:r>
              <w:rPr>
                <w:rFonts w:hint="eastAsia" w:ascii="宋体" w:hAnsi="宋体" w:eastAsia="宋体" w:cs="宋体"/>
                <w:color w:val="auto"/>
                <w:sz w:val="22"/>
                <w:szCs w:val="22"/>
                <w:lang w:val="en-US" w:eastAsia="zh-CN"/>
              </w:rPr>
              <w:t>货物费用</w:t>
            </w:r>
            <w:r>
              <w:rPr>
                <w:rFonts w:hint="eastAsia" w:ascii="宋体" w:hAnsi="宋体" w:eastAsia="宋体" w:cs="宋体"/>
                <w:color w:val="auto"/>
                <w:sz w:val="22"/>
                <w:szCs w:val="22"/>
              </w:rPr>
              <w:t>、项目所需投入的人员、技术、验收等费用、包含各项保险费用和各项税金。政策性文件规定及合同包含的应有风险、责任等各项应有费用。其他(如有):运输、装卸、安装、迁移、调试、培训、系统实施(含咨询)软件开发、技术支持、项目验收、售后服务、更新升级、涉及的所有第三方接口</w:t>
            </w:r>
            <w:r>
              <w:rPr>
                <w:rFonts w:hint="eastAsia" w:ascii="宋体" w:hAnsi="宋体" w:eastAsia="宋体" w:cs="宋体"/>
                <w:color w:val="auto"/>
                <w:sz w:val="22"/>
                <w:szCs w:val="22"/>
                <w:lang w:eastAsia="zh-CN"/>
              </w:rPr>
              <w:t>、系统安全整改</w:t>
            </w:r>
            <w:r>
              <w:rPr>
                <w:rFonts w:hint="eastAsia" w:ascii="宋体" w:hAnsi="宋体" w:eastAsia="宋体" w:cs="宋体"/>
                <w:color w:val="auto"/>
                <w:sz w:val="22"/>
                <w:szCs w:val="22"/>
              </w:rPr>
              <w:t>等完成本项目服务所有内容及其他所有可能发生的一切费用。</w:t>
            </w:r>
          </w:p>
        </w:tc>
      </w:tr>
      <w:tr w14:paraId="3D7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19974AAF">
            <w:pPr>
              <w:spacing w:line="360" w:lineRule="auto"/>
              <w:jc w:val="center"/>
              <w:rPr>
                <w:rFonts w:hint="eastAsia" w:ascii="宋体" w:hAnsi="宋体" w:eastAsia="宋体" w:cs="宋体"/>
                <w:color w:val="auto"/>
                <w:sz w:val="22"/>
                <w:szCs w:val="22"/>
              </w:rPr>
            </w:pPr>
            <w:r>
              <w:rPr>
                <w:rFonts w:hint="eastAsia" w:ascii="宋体" w:hAnsi="宋体" w:eastAsia="宋体" w:cs="宋体"/>
                <w:bCs/>
                <w:color w:val="auto"/>
                <w:sz w:val="22"/>
                <w:szCs w:val="22"/>
              </w:rPr>
              <w:t>服务要求</w:t>
            </w:r>
          </w:p>
        </w:tc>
        <w:tc>
          <w:tcPr>
            <w:tcW w:w="7758" w:type="dxa"/>
            <w:gridSpan w:val="3"/>
            <w:noWrap w:val="0"/>
            <w:vAlign w:val="center"/>
          </w:tcPr>
          <w:p w14:paraId="5D20DB4C">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1.处理问题响应时间：接到采购人处理问题通知后 24 小时内到达采购人指定现场。 </w:t>
            </w:r>
          </w:p>
          <w:p w14:paraId="79179615">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系统应满足访问控制、安全审计、剩余信息保护、软件容错等</w:t>
            </w:r>
            <w:r>
              <w:rPr>
                <w:rFonts w:hint="eastAsia" w:ascii="宋体" w:hAnsi="宋体" w:eastAsia="宋体" w:cs="宋体"/>
                <w:color w:val="auto"/>
                <w:sz w:val="22"/>
                <w:szCs w:val="22"/>
              </w:rPr>
              <w:t>信息系统安全等级保护（第三级）</w:t>
            </w:r>
            <w:r>
              <w:rPr>
                <w:rFonts w:hint="eastAsia" w:ascii="宋体" w:hAnsi="宋体" w:eastAsia="宋体" w:cs="宋体"/>
                <w:color w:val="auto"/>
                <w:sz w:val="22"/>
                <w:szCs w:val="22"/>
                <w:lang w:val="en-US" w:eastAsia="zh-CN"/>
              </w:rPr>
              <w:t>的其他规范要求。</w:t>
            </w:r>
          </w:p>
          <w:p w14:paraId="346807AC">
            <w:pPr>
              <w:spacing w:line="360" w:lineRule="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其他：</w:t>
            </w:r>
            <w:r>
              <w:rPr>
                <w:rFonts w:hint="eastAsia" w:ascii="宋体" w:hAnsi="宋体" w:eastAsia="宋体" w:cs="宋体"/>
                <w:color w:val="auto"/>
                <w:sz w:val="22"/>
                <w:szCs w:val="22"/>
                <w:lang w:val="en-US" w:eastAsia="zh-CN"/>
              </w:rPr>
              <w:t>成交</w:t>
            </w:r>
            <w:r>
              <w:rPr>
                <w:rFonts w:hint="eastAsia" w:ascii="宋体" w:hAnsi="宋体" w:eastAsia="宋体" w:cs="宋体"/>
                <w:color w:val="auto"/>
                <w:sz w:val="22"/>
                <w:szCs w:val="22"/>
              </w:rPr>
              <w:t>供应商</w:t>
            </w:r>
            <w:r>
              <w:rPr>
                <w:rFonts w:hint="eastAsia" w:ascii="宋体" w:hAnsi="宋体" w:eastAsia="宋体" w:cs="宋体"/>
                <w:color w:val="auto"/>
                <w:sz w:val="22"/>
                <w:szCs w:val="22"/>
                <w:lang w:val="en-US" w:eastAsia="zh-CN"/>
              </w:rPr>
              <w:t>应</w:t>
            </w:r>
            <w:r>
              <w:rPr>
                <w:rFonts w:hint="eastAsia" w:ascii="宋体" w:hAnsi="宋体" w:eastAsia="宋体" w:cs="宋体"/>
                <w:color w:val="auto"/>
                <w:sz w:val="22"/>
                <w:szCs w:val="22"/>
              </w:rPr>
              <w:t>根据</w:t>
            </w:r>
            <w:r>
              <w:rPr>
                <w:rFonts w:hint="eastAsia" w:ascii="宋体" w:hAnsi="宋体" w:eastAsia="宋体" w:cs="宋体"/>
                <w:color w:val="auto"/>
                <w:sz w:val="22"/>
                <w:szCs w:val="22"/>
                <w:lang w:val="en-US" w:eastAsia="zh-CN"/>
              </w:rPr>
              <w:t>采购人使用反馈</w:t>
            </w:r>
            <w:r>
              <w:rPr>
                <w:rFonts w:hint="eastAsia" w:ascii="宋体" w:hAnsi="宋体" w:eastAsia="宋体" w:cs="宋体"/>
                <w:color w:val="auto"/>
                <w:sz w:val="22"/>
                <w:szCs w:val="22"/>
              </w:rPr>
              <w:t>意见情况</w:t>
            </w:r>
            <w:r>
              <w:rPr>
                <w:rFonts w:hint="eastAsia" w:ascii="宋体" w:hAnsi="宋体" w:eastAsia="宋体" w:cs="宋体"/>
                <w:color w:val="auto"/>
                <w:sz w:val="22"/>
                <w:szCs w:val="22"/>
                <w:lang w:val="en-US" w:eastAsia="zh-CN"/>
              </w:rPr>
              <w:t>进行</w:t>
            </w:r>
            <w:r>
              <w:rPr>
                <w:rFonts w:hint="eastAsia" w:ascii="宋体" w:hAnsi="宋体" w:eastAsia="宋体" w:cs="宋体"/>
                <w:color w:val="auto"/>
                <w:sz w:val="22"/>
                <w:szCs w:val="22"/>
              </w:rPr>
              <w:t>相应修改完善</w:t>
            </w:r>
            <w:r>
              <w:rPr>
                <w:rFonts w:hint="eastAsia" w:ascii="宋体" w:hAnsi="宋体" w:eastAsia="宋体" w:cs="宋体"/>
                <w:color w:val="auto"/>
                <w:sz w:val="22"/>
                <w:szCs w:val="22"/>
                <w:lang w:val="en-US" w:eastAsia="zh-CN"/>
              </w:rPr>
              <w:t>升级的</w:t>
            </w:r>
            <w:r>
              <w:rPr>
                <w:rFonts w:hint="eastAsia" w:ascii="宋体" w:hAnsi="宋体" w:eastAsia="宋体" w:cs="宋体"/>
                <w:color w:val="auto"/>
                <w:sz w:val="22"/>
                <w:szCs w:val="22"/>
              </w:rPr>
              <w:t xml:space="preserve">内容。 </w:t>
            </w:r>
          </w:p>
        </w:tc>
      </w:tr>
      <w:tr w14:paraId="0A47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587A4DA8">
            <w:pPr>
              <w:widowControl/>
              <w:spacing w:line="360" w:lineRule="auto"/>
              <w:ind w:firstLine="220" w:firstLineChars="100"/>
              <w:jc w:val="left"/>
              <w:rPr>
                <w:rFonts w:hint="eastAsia" w:ascii="宋体" w:hAnsi="宋体" w:eastAsia="宋体" w:cs="宋体"/>
                <w:color w:val="auto"/>
                <w:sz w:val="22"/>
                <w:szCs w:val="22"/>
              </w:rPr>
            </w:pPr>
            <w:r>
              <w:rPr>
                <w:rFonts w:hint="eastAsia" w:ascii="宋体" w:hAnsi="宋体" w:eastAsia="宋体" w:cs="宋体"/>
                <w:bCs/>
                <w:color w:val="auto"/>
                <w:sz w:val="22"/>
                <w:szCs w:val="22"/>
              </w:rPr>
              <w:t>验收标准、验收要求</w:t>
            </w:r>
          </w:p>
        </w:tc>
        <w:tc>
          <w:tcPr>
            <w:tcW w:w="7758" w:type="dxa"/>
            <w:gridSpan w:val="3"/>
            <w:noWrap w:val="0"/>
            <w:vAlign w:val="center"/>
          </w:tcPr>
          <w:p w14:paraId="67B54824">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成交供应商在服务验收时由采购人对照竞争性磋商文件的服务内容及要求全面核对检验，对所有要求出具的证明文件的原件进行核查，如不符合竞争性磋商文件的技术需求及要求以及提供虚假承诺的，按相关规定做不予接受服务处理及违约处理，成交供应商承担所有责任和费用，采购人保留进一步追究责任的权利。 </w:t>
            </w:r>
          </w:p>
          <w:p w14:paraId="19344198">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2.供应商提交</w:t>
            </w:r>
            <w:r>
              <w:rPr>
                <w:rFonts w:hint="eastAsia" w:ascii="宋体" w:hAnsi="宋体" w:eastAsia="宋体" w:cs="宋体"/>
                <w:color w:val="auto"/>
                <w:sz w:val="22"/>
                <w:szCs w:val="22"/>
                <w:lang w:val="en-US" w:eastAsia="zh-CN"/>
              </w:rPr>
              <w:t>升级</w:t>
            </w:r>
            <w:r>
              <w:rPr>
                <w:rFonts w:hint="eastAsia" w:ascii="宋体" w:hAnsi="宋体" w:eastAsia="宋体" w:cs="宋体"/>
                <w:color w:val="auto"/>
                <w:sz w:val="22"/>
                <w:szCs w:val="22"/>
              </w:rPr>
              <w:t xml:space="preserve">成果需满足采购人审查要求，项目有其他要求的按其要求。 </w:t>
            </w:r>
          </w:p>
          <w:p w14:paraId="3AC95B2F">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3.其他验收要求按本项目采购合同执行，未尽事宜按照《关于印发广西壮族自治区政府采购项目履约验收管理办法的通知》[桂财采〔2015〕22 号]以及《财政部关于进一步加强政府采购需求和履约验收管理的指导意见》[财库〔2016〕205 号]规定执行。 </w:t>
            </w:r>
          </w:p>
        </w:tc>
      </w:tr>
      <w:tr w14:paraId="4891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1A651654">
            <w:pPr>
              <w:widowControl/>
              <w:spacing w:line="360" w:lineRule="auto"/>
              <w:ind w:left="0" w:leftChars="0" w:right="0" w:rightChars="0" w:firstLine="0" w:firstLineChars="0"/>
              <w:jc w:val="center"/>
              <w:rPr>
                <w:rFonts w:hint="eastAsia" w:ascii="宋体" w:hAnsi="宋体" w:eastAsia="宋体" w:cs="宋体"/>
                <w:color w:val="auto"/>
                <w:sz w:val="22"/>
                <w:szCs w:val="22"/>
              </w:rPr>
            </w:pPr>
            <w:r>
              <w:rPr>
                <w:rFonts w:hint="eastAsia" w:ascii="宋体" w:hAnsi="宋体" w:eastAsia="宋体" w:cs="宋体"/>
                <w:bCs/>
                <w:color w:val="auto"/>
                <w:sz w:val="22"/>
                <w:szCs w:val="22"/>
              </w:rPr>
              <w:t>其他要求</w:t>
            </w:r>
          </w:p>
        </w:tc>
        <w:tc>
          <w:tcPr>
            <w:tcW w:w="7758" w:type="dxa"/>
            <w:gridSpan w:val="3"/>
            <w:noWrap w:val="0"/>
            <w:vAlign w:val="center"/>
          </w:tcPr>
          <w:p w14:paraId="757BF4B8">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本项目</w:t>
            </w:r>
            <w:r>
              <w:rPr>
                <w:rFonts w:hint="eastAsia" w:ascii="宋体" w:hAnsi="宋体" w:eastAsia="宋体" w:cs="宋体"/>
                <w:color w:val="auto"/>
                <w:sz w:val="22"/>
                <w:szCs w:val="22"/>
                <w:lang w:val="en-US" w:eastAsia="zh-CN"/>
              </w:rPr>
              <w:t>升级完成后，</w:t>
            </w:r>
            <w:r>
              <w:rPr>
                <w:rFonts w:hint="eastAsia" w:ascii="宋体" w:hAnsi="宋体" w:eastAsia="宋体" w:cs="宋体"/>
                <w:color w:val="auto"/>
                <w:sz w:val="22"/>
                <w:szCs w:val="22"/>
              </w:rPr>
              <w:t>成果归采购人所有，成交供应商不得以任何单位或个人的名义擅自使用及公开发表或向他人提供。</w:t>
            </w:r>
          </w:p>
        </w:tc>
      </w:tr>
      <w:tr w14:paraId="1AD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gridSpan w:val="2"/>
            <w:noWrap w:val="0"/>
            <w:vAlign w:val="center"/>
          </w:tcPr>
          <w:p w14:paraId="7B73A41B">
            <w:pPr>
              <w:spacing w:line="400" w:lineRule="exact"/>
              <w:ind w:left="0" w:leftChars="0" w:right="0" w:rightChars="0" w:firstLine="0" w:firstLineChars="0"/>
              <w:jc w:val="center"/>
              <w:rPr>
                <w:rFonts w:hint="eastAsia" w:ascii="宋体" w:hAnsi="宋体" w:eastAsia="宋体" w:cs="宋体"/>
                <w:bCs/>
                <w:color w:val="auto"/>
                <w:sz w:val="24"/>
                <w:szCs w:val="24"/>
              </w:rPr>
            </w:pPr>
            <w:r>
              <w:rPr>
                <w:rFonts w:hint="eastAsia" w:ascii="宋体" w:hAnsi="宋体" w:eastAsia="宋体" w:cs="宋体"/>
                <w:color w:val="auto"/>
                <w:sz w:val="22"/>
                <w:szCs w:val="28"/>
              </w:rPr>
              <w:t>其他说明</w:t>
            </w:r>
          </w:p>
        </w:tc>
        <w:tc>
          <w:tcPr>
            <w:tcW w:w="7758" w:type="dxa"/>
            <w:gridSpan w:val="3"/>
            <w:noWrap w:val="0"/>
            <w:vAlign w:val="top"/>
          </w:tcPr>
          <w:p w14:paraId="49F1CEF5">
            <w:pPr>
              <w:widowControl/>
              <w:shd w:val="clear" w:color="auto" w:fill="auto"/>
              <w:tabs>
                <w:tab w:val="left" w:pos="180"/>
                <w:tab w:val="left" w:pos="1620"/>
              </w:tabs>
              <w:spacing w:line="360" w:lineRule="auto"/>
              <w:ind w:firstLine="440" w:firstLineChars="200"/>
              <w:jc w:val="left"/>
              <w:rPr>
                <w:rFonts w:hint="eastAsia" w:ascii="宋体" w:hAnsi="宋体" w:cs="宋体"/>
                <w:color w:val="auto"/>
                <w:sz w:val="22"/>
                <w:szCs w:val="28"/>
              </w:rPr>
            </w:pPr>
            <w:r>
              <w:rPr>
                <w:rFonts w:hint="eastAsia" w:ascii="宋体" w:hAnsi="宋体" w:eastAsia="宋体" w:cs="宋体"/>
                <w:color w:val="auto"/>
                <w:sz w:val="22"/>
                <w:szCs w:val="22"/>
              </w:rPr>
              <w:t>一、进口产品说明</w:t>
            </w:r>
            <w:r>
              <w:rPr>
                <w:rFonts w:hint="eastAsia" w:ascii="宋体" w:hAnsi="宋体" w:cs="宋体"/>
                <w:color w:val="auto"/>
                <w:sz w:val="22"/>
                <w:szCs w:val="28"/>
                <w:lang w:eastAsia="zh-CN"/>
              </w:rPr>
              <w:t>：</w:t>
            </w:r>
          </w:p>
          <w:p w14:paraId="48EBEA6F">
            <w:pPr>
              <w:tabs>
                <w:tab w:val="left" w:pos="180"/>
                <w:tab w:val="left" w:pos="1620"/>
              </w:tabs>
              <w:spacing w:line="360" w:lineRule="auto"/>
              <w:ind w:firstLine="440" w:firstLineChars="200"/>
              <w:rPr>
                <w:color w:val="auto"/>
                <w:sz w:val="22"/>
                <w:szCs w:val="28"/>
              </w:rPr>
            </w:pPr>
            <w:r>
              <w:rPr>
                <w:rFonts w:hint="eastAsia" w:ascii="宋体" w:hAnsi="宋体" w:cs="宋体"/>
                <w:color w:val="auto"/>
                <w:sz w:val="22"/>
                <w:szCs w:val="22"/>
                <w:highlight w:val="none"/>
              </w:rPr>
              <w:t>本</w:t>
            </w:r>
            <w:r>
              <w:rPr>
                <w:rFonts w:hint="eastAsia" w:ascii="宋体" w:hAnsi="宋体" w:eastAsia="宋体" w:cs="宋体"/>
                <w:color w:val="auto"/>
                <w:sz w:val="22"/>
                <w:szCs w:val="22"/>
                <w:highlight w:val="none"/>
                <w:lang w:eastAsia="zh-CN"/>
              </w:rPr>
              <w:t>项目</w:t>
            </w:r>
            <w:r>
              <w:rPr>
                <w:rFonts w:hint="eastAsia" w:ascii="宋体" w:hAnsi="宋体" w:cs="宋体"/>
                <w:color w:val="auto"/>
                <w:sz w:val="22"/>
                <w:szCs w:val="22"/>
                <w:highlight w:val="none"/>
                <w:lang w:val="en-US" w:eastAsia="zh-CN"/>
              </w:rPr>
              <w:t>服务内容</w:t>
            </w:r>
            <w:r>
              <w:rPr>
                <w:rFonts w:hint="eastAsia" w:ascii="宋体" w:hAnsi="宋体" w:cs="宋体"/>
                <w:color w:val="auto"/>
                <w:sz w:val="22"/>
                <w:szCs w:val="22"/>
                <w:highlight w:val="none"/>
              </w:rPr>
              <w:t>所涉及的货物不接受进口产品（即通过中国海关报关验放进入中国境内且产自关境外</w:t>
            </w:r>
            <w:r>
              <w:rPr>
                <w:rFonts w:hint="eastAsia" w:ascii="宋体" w:hAnsi="宋体" w:cs="宋体"/>
                <w:color w:val="auto"/>
                <w:sz w:val="22"/>
                <w:szCs w:val="22"/>
              </w:rPr>
              <w:t>的产品）参与</w:t>
            </w:r>
            <w:r>
              <w:rPr>
                <w:rFonts w:hint="eastAsia" w:ascii="宋体" w:hAnsi="宋体" w:cs="宋体"/>
                <w:color w:val="auto"/>
                <w:sz w:val="22"/>
                <w:szCs w:val="22"/>
                <w:lang w:eastAsia="zh-CN"/>
              </w:rPr>
              <w:t>竞标</w:t>
            </w:r>
            <w:r>
              <w:rPr>
                <w:rFonts w:hint="eastAsia" w:ascii="宋体" w:hAnsi="宋体" w:cs="宋体"/>
                <w:color w:val="auto"/>
                <w:sz w:val="22"/>
                <w:szCs w:val="22"/>
              </w:rPr>
              <w:t>，</w:t>
            </w:r>
            <w:r>
              <w:rPr>
                <w:rFonts w:hint="eastAsia" w:ascii="宋体" w:hAnsi="宋体" w:cs="宋体"/>
                <w:b/>
                <w:color w:val="auto"/>
                <w:sz w:val="22"/>
                <w:szCs w:val="22"/>
              </w:rPr>
              <w:t>如有进口产品参与</w:t>
            </w:r>
            <w:r>
              <w:rPr>
                <w:rFonts w:hint="eastAsia" w:ascii="宋体" w:hAnsi="宋体" w:cs="宋体"/>
                <w:b/>
                <w:color w:val="auto"/>
                <w:sz w:val="22"/>
                <w:szCs w:val="22"/>
                <w:lang w:eastAsia="zh-CN"/>
              </w:rPr>
              <w:t>竞标</w:t>
            </w:r>
            <w:r>
              <w:rPr>
                <w:rFonts w:hint="eastAsia" w:ascii="宋体" w:hAnsi="宋体" w:cs="宋体"/>
                <w:b/>
                <w:color w:val="auto"/>
                <w:sz w:val="22"/>
                <w:szCs w:val="22"/>
              </w:rPr>
              <w:t>的作无效</w:t>
            </w:r>
            <w:r>
              <w:rPr>
                <w:rFonts w:hint="eastAsia" w:ascii="宋体" w:hAnsi="宋体" w:cs="宋体"/>
                <w:b/>
                <w:color w:val="auto"/>
                <w:sz w:val="22"/>
                <w:szCs w:val="22"/>
                <w:lang w:eastAsia="zh-CN"/>
              </w:rPr>
              <w:t>响应</w:t>
            </w:r>
            <w:r>
              <w:rPr>
                <w:rFonts w:hint="eastAsia" w:ascii="宋体" w:hAnsi="宋体" w:cs="宋体"/>
                <w:b/>
                <w:color w:val="auto"/>
                <w:sz w:val="22"/>
                <w:szCs w:val="22"/>
              </w:rPr>
              <w:t>处理</w:t>
            </w:r>
            <w:r>
              <w:rPr>
                <w:rFonts w:hint="eastAsia" w:ascii="宋体" w:hAnsi="宋体" w:cs="宋体"/>
                <w:color w:val="auto"/>
                <w:sz w:val="22"/>
                <w:szCs w:val="22"/>
              </w:rPr>
              <w:t>。</w:t>
            </w:r>
          </w:p>
          <w:p w14:paraId="0278F874">
            <w:pPr>
              <w:tabs>
                <w:tab w:val="left" w:pos="180"/>
                <w:tab w:val="left" w:pos="1620"/>
              </w:tabs>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lang w:val="en-US" w:eastAsia="zh-CN"/>
              </w:rPr>
              <w:t>二、根据</w:t>
            </w:r>
            <w:r>
              <w:rPr>
                <w:rFonts w:hint="eastAsia" w:ascii="宋体" w:hAnsi="宋体" w:eastAsia="宋体" w:cs="宋体"/>
                <w:color w:val="auto"/>
                <w:sz w:val="22"/>
                <w:szCs w:val="22"/>
                <w:highlight w:val="none"/>
                <w:lang w:val="en-US" w:eastAsia="zh-CN"/>
              </w:rPr>
              <w:t>《国务院办公厅关于在政府采购中实施本国产品标准及相关政策的通知》（国办发</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号）</w:t>
            </w:r>
            <w:r>
              <w:rPr>
                <w:rFonts w:hint="eastAsia" w:ascii="宋体" w:hAnsi="宋体" w:cs="宋体"/>
                <w:color w:val="auto"/>
                <w:sz w:val="22"/>
                <w:szCs w:val="22"/>
              </w:rPr>
              <w:t>的规定</w:t>
            </w:r>
            <w:r>
              <w:rPr>
                <w:rFonts w:hint="eastAsia" w:ascii="宋体" w:hAnsi="宋体" w:cs="宋体"/>
                <w:color w:val="auto"/>
                <w:sz w:val="22"/>
                <w:szCs w:val="22"/>
                <w:lang w:eastAsia="zh-CN"/>
              </w:rPr>
              <w:t>，</w:t>
            </w:r>
            <w:r>
              <w:rPr>
                <w:rFonts w:hint="eastAsia" w:ascii="宋体" w:hAnsi="宋体" w:eastAsia="宋体" w:cs="宋体"/>
                <w:i w:val="0"/>
                <w:iCs w:val="0"/>
                <w:caps w:val="0"/>
                <w:color w:val="auto"/>
                <w:spacing w:val="0"/>
                <w:sz w:val="22"/>
                <w:szCs w:val="22"/>
                <w:shd w:val="clear" w:color="auto" w:fill="FFFFFF"/>
              </w:rPr>
              <w:t>政府采购活动中既有本国产品又有非本国产品参与竞争的，依法对</w:t>
            </w:r>
            <w:r>
              <w:rPr>
                <w:rFonts w:hint="eastAsia" w:ascii="宋体" w:hAnsi="宋体" w:cs="宋体"/>
                <w:i w:val="0"/>
                <w:iCs w:val="0"/>
                <w:caps w:val="0"/>
                <w:color w:val="auto"/>
                <w:spacing w:val="0"/>
                <w:sz w:val="22"/>
                <w:szCs w:val="22"/>
                <w:shd w:val="clear" w:color="auto" w:fill="FFFFFF"/>
                <w:lang w:val="en-US" w:eastAsia="zh-CN"/>
              </w:rPr>
              <w:t>符合政策要求的</w:t>
            </w:r>
            <w:r>
              <w:rPr>
                <w:rFonts w:hint="eastAsia" w:ascii="宋体" w:hAnsi="宋体" w:eastAsia="宋体" w:cs="宋体"/>
                <w:i w:val="0"/>
                <w:iCs w:val="0"/>
                <w:caps w:val="0"/>
                <w:color w:val="auto"/>
                <w:spacing w:val="0"/>
                <w:sz w:val="22"/>
                <w:szCs w:val="22"/>
                <w:shd w:val="clear" w:color="auto" w:fill="FFFFFF"/>
              </w:rPr>
              <w:t>本国产品给予价格评审优惠</w:t>
            </w:r>
            <w:r>
              <w:rPr>
                <w:rFonts w:hint="eastAsia" w:ascii="宋体" w:hAnsi="宋体" w:cs="宋体"/>
                <w:i w:val="0"/>
                <w:iCs w:val="0"/>
                <w:caps w:val="0"/>
                <w:color w:val="auto"/>
                <w:spacing w:val="0"/>
                <w:sz w:val="22"/>
                <w:szCs w:val="22"/>
                <w:shd w:val="clear" w:color="auto" w:fill="FFFFFF"/>
                <w:lang w:eastAsia="zh-CN"/>
              </w:rPr>
              <w:t>，</w:t>
            </w:r>
            <w:r>
              <w:rPr>
                <w:rFonts w:hint="eastAsia" w:ascii="宋体" w:hAnsi="宋体" w:cs="宋体"/>
                <w:b/>
                <w:bCs/>
                <w:color w:val="auto"/>
                <w:sz w:val="22"/>
                <w:szCs w:val="22"/>
              </w:rPr>
              <w:t xml:space="preserve">具体详见“第四章 </w:t>
            </w:r>
            <w:r>
              <w:rPr>
                <w:rFonts w:hint="eastAsia" w:ascii="宋体" w:hAnsi="宋体" w:cs="宋体"/>
                <w:b/>
                <w:bCs/>
                <w:color w:val="auto"/>
                <w:sz w:val="22"/>
                <w:szCs w:val="22"/>
                <w:lang w:eastAsia="zh-CN"/>
              </w:rPr>
              <w:t>评审方法和评审标准</w:t>
            </w:r>
            <w:r>
              <w:rPr>
                <w:rFonts w:hint="eastAsia" w:ascii="宋体" w:hAnsi="宋体" w:cs="宋体"/>
                <w:b/>
                <w:bCs/>
                <w:color w:val="auto"/>
                <w:sz w:val="22"/>
                <w:szCs w:val="22"/>
              </w:rPr>
              <w:t>”</w:t>
            </w:r>
            <w:r>
              <w:rPr>
                <w:rFonts w:hint="eastAsia" w:ascii="宋体" w:hAnsi="宋体" w:cs="宋体"/>
                <w:color w:val="auto"/>
                <w:sz w:val="22"/>
                <w:szCs w:val="22"/>
                <w:lang w:eastAsia="zh-CN"/>
              </w:rPr>
              <w:t>。</w:t>
            </w:r>
            <w:r>
              <w:rPr>
                <w:rFonts w:hint="eastAsia" w:ascii="宋体" w:hAnsi="宋体" w:eastAsia="宋体" w:cs="宋体"/>
                <w:i w:val="0"/>
                <w:iCs w:val="0"/>
                <w:caps w:val="0"/>
                <w:color w:val="auto"/>
                <w:spacing w:val="0"/>
                <w:sz w:val="22"/>
                <w:szCs w:val="22"/>
                <w:highlight w:val="none"/>
                <w:shd w:val="clear" w:color="auto" w:fill="auto"/>
              </w:rPr>
              <w:t>产品在中国境内生产的组件成本，按照《中国境内生产的组件成本核算基本规则》（见附件</w:t>
            </w:r>
            <w:r>
              <w:rPr>
                <w:rFonts w:hint="eastAsia" w:ascii="宋体" w:hAnsi="宋体" w:eastAsia="宋体" w:cs="宋体"/>
                <w:i w:val="0"/>
                <w:iCs w:val="0"/>
                <w:caps w:val="0"/>
                <w:color w:val="auto"/>
                <w:spacing w:val="0"/>
                <w:sz w:val="22"/>
                <w:szCs w:val="22"/>
                <w:highlight w:val="none"/>
                <w:shd w:val="clear" w:color="auto" w:fill="auto"/>
                <w:lang w:val="en-US" w:eastAsia="zh-CN"/>
              </w:rPr>
              <w:t>3</w:t>
            </w:r>
            <w:r>
              <w:rPr>
                <w:rFonts w:hint="eastAsia" w:ascii="宋体" w:hAnsi="宋体" w:eastAsia="宋体" w:cs="宋体"/>
                <w:i w:val="0"/>
                <w:iCs w:val="0"/>
                <w:caps w:val="0"/>
                <w:color w:val="auto"/>
                <w:spacing w:val="0"/>
                <w:sz w:val="22"/>
                <w:szCs w:val="22"/>
                <w:highlight w:val="none"/>
                <w:shd w:val="clear" w:color="auto" w:fill="auto"/>
              </w:rPr>
              <w:t>）计算。</w:t>
            </w:r>
          </w:p>
          <w:p w14:paraId="42BAF530">
            <w:pPr>
              <w:tabs>
                <w:tab w:val="left" w:pos="180"/>
                <w:tab w:val="left" w:pos="1620"/>
              </w:tabs>
              <w:spacing w:line="360" w:lineRule="auto"/>
              <w:ind w:firstLine="442" w:firstLineChars="200"/>
              <w:rPr>
                <w:rFonts w:hint="eastAsia" w:ascii="宋体" w:hAnsi="宋体" w:eastAsia="宋体" w:cs="宋体"/>
                <w:b w:val="0"/>
                <w:bCs/>
                <w:i w:val="0"/>
                <w:iCs w:val="0"/>
                <w:color w:val="auto"/>
                <w:sz w:val="22"/>
                <w:szCs w:val="22"/>
                <w:highlight w:val="none"/>
                <w:lang w:eastAsia="zh-CN"/>
              </w:rPr>
            </w:pPr>
            <w:r>
              <w:rPr>
                <w:rFonts w:hint="eastAsia" w:ascii="宋体" w:hAnsi="宋体" w:eastAsia="宋体" w:cs="宋体"/>
                <w:b/>
                <w:color w:val="auto"/>
                <w:sz w:val="22"/>
                <w:szCs w:val="22"/>
                <w:highlight w:val="none"/>
                <w:lang w:val="en-US" w:eastAsia="zh-CN"/>
              </w:rPr>
              <w:t>三</w:t>
            </w:r>
            <w:r>
              <w:rPr>
                <w:rFonts w:hint="eastAsia" w:ascii="宋体" w:hAnsi="宋体" w:eastAsia="宋体" w:cs="宋体"/>
                <w:b/>
                <w:color w:val="auto"/>
                <w:sz w:val="22"/>
                <w:szCs w:val="22"/>
                <w:highlight w:val="none"/>
              </w:rPr>
              <w:t>、与</w:t>
            </w:r>
            <w:r>
              <w:rPr>
                <w:rFonts w:hint="eastAsia" w:ascii="宋体" w:hAnsi="宋体" w:eastAsia="宋体" w:cs="宋体"/>
                <w:b/>
                <w:color w:val="auto"/>
                <w:sz w:val="22"/>
                <w:szCs w:val="22"/>
                <w:highlight w:val="none"/>
                <w:lang w:eastAsia="zh-CN"/>
              </w:rPr>
              <w:t>本项目</w:t>
            </w:r>
            <w:r>
              <w:rPr>
                <w:rFonts w:hint="eastAsia" w:ascii="宋体" w:hAnsi="宋体" w:eastAsia="宋体" w:cs="宋体"/>
                <w:b/>
                <w:color w:val="auto"/>
                <w:sz w:val="22"/>
                <w:szCs w:val="22"/>
                <w:highlight w:val="none"/>
              </w:rPr>
              <w:t>有关的设计图纸、技术规范、文件等附件资料及其获取方式</w:t>
            </w:r>
          </w:p>
          <w:p w14:paraId="7AF58A39">
            <w:pPr>
              <w:tabs>
                <w:tab w:val="left" w:pos="180"/>
                <w:tab w:val="left" w:pos="1620"/>
              </w:tabs>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highlight w:val="none"/>
              </w:rPr>
              <w:t>文件或者资料名称：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无</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u w:val="single"/>
              </w:rPr>
              <w:t xml:space="preserve">                         </w:t>
            </w:r>
          </w:p>
          <w:p w14:paraId="7BAA3A9B">
            <w:pPr>
              <w:ind w:firstLine="440" w:firstLineChars="200"/>
              <w:rPr>
                <w:rFonts w:hint="eastAsia" w:ascii="宋体" w:hAnsi="宋体" w:eastAsia="宋体" w:cs="宋体"/>
                <w:color w:val="auto"/>
                <w:sz w:val="24"/>
                <w:szCs w:val="24"/>
              </w:rPr>
            </w:pPr>
            <w:r>
              <w:rPr>
                <w:rFonts w:hint="eastAsia" w:ascii="宋体" w:hAnsi="宋体" w:eastAsia="宋体" w:cs="宋体"/>
                <w:color w:val="auto"/>
                <w:sz w:val="22"/>
                <w:szCs w:val="22"/>
              </w:rPr>
              <w:t>公布渠道或者获取方式：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无</w:t>
            </w:r>
            <w:r>
              <w:rPr>
                <w:rFonts w:hint="eastAsia" w:ascii="宋体" w:hAnsi="宋体" w:eastAsia="宋体" w:cs="宋体"/>
                <w:color w:val="auto"/>
                <w:sz w:val="22"/>
                <w:szCs w:val="22"/>
                <w:u w:val="single"/>
              </w:rPr>
              <w:t xml:space="preserve">                       </w:t>
            </w:r>
          </w:p>
        </w:tc>
      </w:tr>
    </w:tbl>
    <w:p w14:paraId="15E1C19A">
      <w:pPr>
        <w:spacing w:line="360" w:lineRule="auto"/>
        <w:ind w:left="119"/>
        <w:rPr>
          <w:rFonts w:hint="eastAsia" w:ascii="Arial Unicode MS" w:hAnsi="Arial Unicode MS" w:eastAsia="Arial Unicode MS" w:cs="Arial Unicode MS"/>
          <w:color w:val="auto"/>
          <w:sz w:val="32"/>
          <w:szCs w:val="32"/>
        </w:rPr>
      </w:pPr>
    </w:p>
    <w:p w14:paraId="0D0BF97F">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92A3D"/>
    <w:multiLevelType w:val="multilevel"/>
    <w:tmpl w:val="10D92A3D"/>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pStyle w:val="7"/>
      <w:suff w:val="space"/>
      <w:lvlText w:val="%1.%2.%3.%4.%5"/>
      <w:lvlJc w:val="left"/>
      <w:pPr>
        <w:ind w:left="0" w:firstLine="0"/>
      </w:pPr>
      <w:rPr>
        <w:rFonts w:hint="eastAsia"/>
      </w:rPr>
    </w:lvl>
    <w:lvl w:ilvl="5" w:tentative="0">
      <w:start w:val="1"/>
      <w:numFmt w:val="decimal"/>
      <w:pStyle w:val="8"/>
      <w:suff w:val="space"/>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1080"/>
    <w:rsid w:val="05B97831"/>
    <w:rsid w:val="0B7E4DF0"/>
    <w:rsid w:val="1C4C6724"/>
    <w:rsid w:val="288C1EC7"/>
    <w:rsid w:val="35A054A5"/>
    <w:rsid w:val="383D0C57"/>
    <w:rsid w:val="67296979"/>
    <w:rsid w:val="69686B2D"/>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240" w:lineRule="auto"/>
      <w:ind w:leftChars="0"/>
      <w:outlineLvl w:val="0"/>
    </w:pPr>
    <w:rPr>
      <w:rFonts w:ascii="Times New Roman" w:hAnsi="Times New Roman" w:eastAsia="仿宋" w:cs="Times New Roman"/>
      <w:b/>
      <w:kern w:val="44"/>
      <w:sz w:val="32"/>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Chars="0"/>
      <w:outlineLvl w:val="1"/>
    </w:pPr>
    <w:rPr>
      <w:rFonts w:ascii="Arial" w:hAnsi="Arial" w:eastAsia="黑体"/>
      <w:b/>
      <w:sz w:val="32"/>
    </w:rPr>
  </w:style>
  <w:style w:type="paragraph" w:styleId="4">
    <w:name w:val="heading 3"/>
    <w:basedOn w:val="1"/>
    <w:next w:val="1"/>
    <w:semiHidden/>
    <w:unhideWhenUsed/>
    <w:qFormat/>
    <w:uiPriority w:val="0"/>
    <w:pPr>
      <w:keepNext/>
      <w:keepLines/>
      <w:pageBreakBefore/>
      <w:numPr>
        <w:ilvl w:val="2"/>
        <w:numId w:val="1"/>
      </w:numPr>
      <w:spacing w:before="260" w:beforeLines="0" w:beforeAutospacing="0" w:after="260" w:afterLines="0" w:afterAutospacing="0" w:line="413" w:lineRule="auto"/>
      <w:outlineLvl w:val="2"/>
    </w:pPr>
    <w:rPr>
      <w:rFonts w:ascii="Times New Roman" w:hAnsi="Times New Roman" w:eastAsia="宋体" w:cs="Times New Roman"/>
      <w:b/>
      <w:sz w:val="32"/>
    </w:rPr>
  </w:style>
  <w:style w:type="paragraph" w:styleId="5">
    <w:name w:val="heading 4"/>
    <w:basedOn w:val="1"/>
    <w:next w:val="6"/>
    <w:semiHidden/>
    <w:unhideWhenUsed/>
    <w:qFormat/>
    <w:uiPriority w:val="0"/>
    <w:pPr>
      <w:keepNext/>
      <w:keepLines/>
      <w:numPr>
        <w:ilvl w:val="3"/>
        <w:numId w:val="1"/>
      </w:numPr>
      <w:spacing w:before="280" w:beforeLines="0" w:beforeAutospacing="0" w:after="290" w:afterLines="0" w:afterAutospacing="0" w:line="372" w:lineRule="auto"/>
      <w:ind w:left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Chars="0"/>
      <w:outlineLvl w:val="5"/>
    </w:pPr>
    <w:rPr>
      <w:rFonts w:ascii="Arial" w:hAnsi="Arial" w:eastAsia="黑体"/>
      <w:b/>
      <w:sz w:val="24"/>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6">
    <w:name w:val="标准正文"/>
    <w:qFormat/>
    <w:uiPriority w:val="0"/>
    <w:pPr>
      <w:widowControl w:val="0"/>
      <w:spacing w:line="360" w:lineRule="auto"/>
      <w:ind w:firstLine="480" w:firstLineChars="200"/>
      <w:jc w:val="both"/>
    </w:pPr>
    <w:rPr>
      <w:rFonts w:ascii="宋体" w:hAnsi="宋体" w:eastAsia="宋体" w:cs="Times New Roman"/>
      <w:kern w:val="2"/>
      <w:sz w:val="24"/>
      <w:szCs w:val="20"/>
      <w:lang w:val="en-US" w:eastAsia="zh-CN" w:bidi="ar-SA"/>
    </w:rPr>
  </w:style>
  <w:style w:type="paragraph" w:styleId="9">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character" w:styleId="12">
    <w:name w:val="Hyperlink"/>
    <w:unhideWhenUsed/>
    <w:qFormat/>
    <w:uiPriority w:val="99"/>
    <w:rPr>
      <w:color w:val="0000FF"/>
      <w:u w:val="single"/>
    </w:rPr>
  </w:style>
  <w:style w:type="character" w:styleId="13">
    <w:name w:val="annotation reference"/>
    <w:qFormat/>
    <w:uiPriority w:val="99"/>
    <w:rPr>
      <w:sz w:val="21"/>
      <w:szCs w:val="21"/>
    </w:rPr>
  </w:style>
  <w:style w:type="paragraph" w:customStyle="1" w:styleId="14">
    <w:name w:val="投标正文"/>
    <w:basedOn w:val="1"/>
    <w:qFormat/>
    <w:uiPriority w:val="0"/>
    <w:pPr>
      <w:spacing w:line="360" w:lineRule="auto"/>
      <w:ind w:firstLine="480" w:firstLineChars="200"/>
      <w:contextualSpacing/>
    </w:pPr>
    <w:rPr>
      <w:rFonts w:hint="eastAsia" w:ascii="宋体" w:hAnsi="宋体" w:eastAsia="仿宋"/>
      <w:color w:val="auto"/>
      <w:sz w:val="24"/>
    </w:rPr>
  </w:style>
  <w:style w:type="paragraph" w:styleId="15">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6791</Words>
  <Characters>7030</Characters>
  <Lines>0</Lines>
  <Paragraphs>0</Paragraphs>
  <TotalTime>0</TotalTime>
  <ScaleCrop>false</ScaleCrop>
  <LinksUpToDate>false</LinksUpToDate>
  <CharactersWithSpaces>7120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2026-06-18T08:52:23Z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