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6733A08">
      <w:pPr>
        <w:spacing w:before="120" w:beforeLines="50" w:line="360" w:lineRule="auto"/>
        <w:jc w:val="center"/>
        <w:rPr>
          <w:rFonts w:hint="eastAsia"/>
          <w:color w:val="auto"/>
          <w:sz w:val="52"/>
          <w:szCs w:val="52"/>
          <w:highlight w:val="none"/>
        </w:rPr>
      </w:pPr>
    </w:p>
    <w:p w14:paraId="7911303A">
      <w:pPr>
        <w:spacing w:before="120" w:beforeLines="50" w:line="360" w:lineRule="auto"/>
        <w:jc w:val="center"/>
        <w:rPr>
          <w:rFonts w:hint="eastAsia"/>
          <w:color w:val="auto"/>
          <w:sz w:val="52"/>
          <w:szCs w:val="52"/>
          <w:highlight w:val="none"/>
        </w:rPr>
      </w:pPr>
      <w:r>
        <w:rPr>
          <w:rFonts w:hint="eastAsia" w:ascii="宋体" w:hAnsi="宋体" w:cs="宋体"/>
          <w:color w:val="auto"/>
          <w:sz w:val="72"/>
          <w:szCs w:val="72"/>
          <w:highlight w:val="none"/>
          <w14:shadow w14:blurRad="50800" w14:dist="38100" w14:dir="2700000" w14:sx="100000" w14:sy="100000" w14:kx="0" w14:ky="0" w14:algn="tl">
            <w14:srgbClr w14:val="000000">
              <w14:alpha w14:val="60000"/>
            </w14:srgbClr>
          </w14:shadow>
        </w:rPr>
        <w:t>广西科联招标中心有限公司</w:t>
      </w:r>
    </w:p>
    <w:p w14:paraId="1D1FA9BD">
      <w:pPr>
        <w:spacing w:before="120" w:beforeLines="50" w:line="360" w:lineRule="auto"/>
        <w:jc w:val="center"/>
        <w:rPr>
          <w:rFonts w:hint="eastAsia"/>
          <w:color w:val="auto"/>
          <w:sz w:val="36"/>
          <w:szCs w:val="36"/>
          <w:highlight w:val="none"/>
        </w:rPr>
      </w:pPr>
    </w:p>
    <w:p w14:paraId="78C23BEB">
      <w:pPr>
        <w:spacing w:before="120" w:beforeLines="50" w:line="360" w:lineRule="auto"/>
        <w:jc w:val="center"/>
        <w:rPr>
          <w:rFonts w:hint="eastAsia"/>
          <w:color w:val="auto"/>
          <w:sz w:val="36"/>
          <w:szCs w:val="36"/>
          <w:highlight w:val="none"/>
        </w:rPr>
      </w:pPr>
    </w:p>
    <w:p w14:paraId="65AC0607">
      <w:pPr>
        <w:snapToGrid w:val="0"/>
        <w:spacing w:before="120" w:beforeLines="50" w:line="360" w:lineRule="auto"/>
        <w:jc w:val="center"/>
        <w:rPr>
          <w:rFonts w:hint="eastAsia" w:ascii="宋体" w:hAnsi="宋体" w:eastAsia="宋体" w:cs="宋体"/>
          <w:color w:val="auto"/>
          <w:sz w:val="44"/>
          <w:szCs w:val="44"/>
          <w:highlight w:val="none"/>
        </w:rPr>
      </w:pPr>
      <w:r>
        <w:rPr>
          <w:rFonts w:hint="eastAsia" w:ascii="宋体" w:hAnsi="宋体" w:eastAsia="宋体" w:cs="宋体"/>
          <w:color w:val="auto"/>
          <w:sz w:val="72"/>
          <w:szCs w:val="72"/>
          <w:highlight w:val="none"/>
        </w:rPr>
        <w:t>竞争性磋商文件</w:t>
      </w:r>
    </w:p>
    <w:p w14:paraId="23055714">
      <w:pPr>
        <w:spacing w:before="240" w:beforeLines="100" w:after="120" w:afterLines="50"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（全流程电子化评标）</w:t>
      </w:r>
    </w:p>
    <w:p w14:paraId="58287F4C">
      <w:pPr>
        <w:spacing w:line="360" w:lineRule="auto"/>
        <w:rPr>
          <w:rFonts w:hint="eastAsia" w:ascii="宋体" w:hAnsi="宋体" w:eastAsia="宋体" w:cs="宋体"/>
          <w:b/>
          <w:color w:val="auto"/>
          <w:sz w:val="32"/>
          <w:szCs w:val="32"/>
          <w:highlight w:val="none"/>
        </w:rPr>
      </w:pPr>
    </w:p>
    <w:p w14:paraId="2FE3150A">
      <w:pPr>
        <w:spacing w:line="360" w:lineRule="auto"/>
        <w:jc w:val="center"/>
        <w:rPr>
          <w:rFonts w:hint="eastAsia" w:ascii="宋体" w:hAnsi="宋体" w:eastAsia="宋体" w:cs="宋体"/>
          <w:b/>
          <w:color w:val="auto"/>
          <w:sz w:val="32"/>
          <w:szCs w:val="32"/>
          <w:highlight w:val="none"/>
        </w:rPr>
      </w:pPr>
    </w:p>
    <w:p w14:paraId="1E762ADB">
      <w:pPr>
        <w:snapToGrid w:val="0"/>
        <w:spacing w:before="50" w:after="120" w:line="360" w:lineRule="auto"/>
        <w:ind w:firstLine="1684" w:firstLineChars="559"/>
        <w:rPr>
          <w:rFonts w:hint="eastAsia" w:ascii="宋体" w:hAnsi="宋体" w:eastAsia="宋体" w:cs="宋体"/>
          <w:b/>
          <w:bCs/>
          <w:color w:val="auto"/>
          <w:kern w:val="0"/>
          <w:sz w:val="30"/>
          <w:szCs w:val="30"/>
          <w:highlight w:val="none"/>
        </w:rPr>
      </w:pPr>
    </w:p>
    <w:p w14:paraId="58CCF97F">
      <w:pPr>
        <w:snapToGrid w:val="0"/>
        <w:spacing w:before="50" w:after="120" w:line="360" w:lineRule="auto"/>
        <w:ind w:firstLine="1684" w:firstLineChars="559"/>
        <w:rPr>
          <w:rFonts w:hint="eastAsia" w:ascii="宋体" w:hAnsi="宋体" w:eastAsia="宋体" w:cs="宋体"/>
          <w:b/>
          <w:bCs/>
          <w:color w:val="auto"/>
          <w:kern w:val="0"/>
          <w:sz w:val="30"/>
          <w:szCs w:val="30"/>
          <w:highlight w:val="none"/>
        </w:rPr>
      </w:pPr>
      <w:r>
        <w:rPr>
          <w:rFonts w:hint="eastAsia" w:ascii="宋体" w:hAnsi="宋体" w:eastAsia="宋体" w:cs="宋体"/>
          <w:b/>
          <w:bCs/>
          <w:color w:val="auto"/>
          <w:kern w:val="0"/>
          <w:sz w:val="30"/>
          <w:szCs w:val="30"/>
          <w:highlight w:val="none"/>
        </w:rPr>
        <w:t>项目</w:t>
      </w:r>
      <w:r>
        <w:rPr>
          <w:rFonts w:hint="eastAsia" w:ascii="宋体" w:hAnsi="宋体" w:eastAsia="宋体" w:cs="宋体"/>
          <w:b/>
          <w:bCs/>
          <w:color w:val="auto"/>
          <w:w w:val="95"/>
          <w:kern w:val="0"/>
          <w:sz w:val="30"/>
          <w:szCs w:val="30"/>
          <w:highlight w:val="none"/>
        </w:rPr>
        <w:t>名称</w:t>
      </w:r>
      <w:r>
        <w:rPr>
          <w:rFonts w:hint="eastAsia" w:ascii="宋体" w:hAnsi="宋体" w:eastAsia="宋体" w:cs="宋体"/>
          <w:b/>
          <w:bCs/>
          <w:color w:val="auto"/>
          <w:kern w:val="0"/>
          <w:sz w:val="30"/>
          <w:szCs w:val="30"/>
          <w:highlight w:val="none"/>
        </w:rPr>
        <w:t>：2026年纸质图书供应服务采购项目</w:t>
      </w:r>
    </w:p>
    <w:p w14:paraId="32756A3A">
      <w:pPr>
        <w:snapToGrid w:val="0"/>
        <w:spacing w:before="50" w:after="120" w:line="360" w:lineRule="auto"/>
        <w:ind w:firstLine="1684" w:firstLineChars="559"/>
        <w:rPr>
          <w:rFonts w:hint="eastAsia" w:ascii="宋体" w:hAnsi="宋体" w:eastAsia="宋体" w:cs="宋体"/>
          <w:b/>
          <w:bCs/>
          <w:color w:val="auto"/>
          <w:kern w:val="0"/>
          <w:sz w:val="30"/>
          <w:szCs w:val="30"/>
          <w:highlight w:val="none"/>
          <w:lang w:eastAsia="zh-CN"/>
        </w:rPr>
      </w:pPr>
      <w:r>
        <w:rPr>
          <w:rFonts w:hint="eastAsia" w:ascii="宋体" w:hAnsi="宋体" w:eastAsia="宋体" w:cs="宋体"/>
          <w:b/>
          <w:bCs/>
          <w:color w:val="auto"/>
          <w:kern w:val="0"/>
          <w:sz w:val="30"/>
          <w:szCs w:val="30"/>
          <w:highlight w:val="none"/>
        </w:rPr>
        <w:t>项目编号：GXZC2026-C3-001019-GXKL</w:t>
      </w:r>
    </w:p>
    <w:p w14:paraId="5AC15B20">
      <w:pPr>
        <w:snapToGrid w:val="0"/>
        <w:spacing w:before="50" w:after="120" w:line="360" w:lineRule="auto"/>
        <w:ind w:firstLine="1684" w:firstLineChars="559"/>
        <w:rPr>
          <w:rFonts w:hint="eastAsia" w:ascii="宋体" w:hAnsi="宋体" w:eastAsia="宋体" w:cs="宋体"/>
          <w:b/>
          <w:bCs/>
          <w:color w:val="auto"/>
          <w:kern w:val="0"/>
          <w:sz w:val="30"/>
          <w:szCs w:val="30"/>
          <w:highlight w:val="none"/>
        </w:rPr>
      </w:pPr>
    </w:p>
    <w:p w14:paraId="17EC09BA">
      <w:pPr>
        <w:snapToGrid w:val="0"/>
        <w:spacing w:before="50" w:after="120" w:line="360" w:lineRule="auto"/>
        <w:ind w:firstLine="1807" w:firstLineChars="600"/>
        <w:rPr>
          <w:rFonts w:hint="eastAsia" w:ascii="宋体" w:hAnsi="宋体" w:eastAsia="宋体" w:cs="宋体"/>
          <w:b/>
          <w:bCs/>
          <w:color w:val="auto"/>
          <w:kern w:val="0"/>
          <w:sz w:val="30"/>
          <w:szCs w:val="30"/>
          <w:highlight w:val="none"/>
          <w:lang w:eastAsia="zh-CN"/>
        </w:rPr>
      </w:pPr>
      <w:r>
        <w:rPr>
          <w:rFonts w:hint="eastAsia" w:ascii="宋体" w:hAnsi="宋体" w:eastAsia="宋体" w:cs="宋体"/>
          <w:b/>
          <w:bCs/>
          <w:color w:val="auto"/>
          <w:kern w:val="0"/>
          <w:sz w:val="30"/>
          <w:szCs w:val="30"/>
          <w:highlight w:val="none"/>
        </w:rPr>
        <w:t>采购人：广西农业职业技术大学</w:t>
      </w:r>
    </w:p>
    <w:p w14:paraId="0BC88B3C">
      <w:pPr>
        <w:snapToGrid w:val="0"/>
        <w:spacing w:before="50" w:after="120" w:line="360" w:lineRule="auto"/>
        <w:ind w:firstLine="1684" w:firstLineChars="559"/>
        <w:rPr>
          <w:rFonts w:hint="eastAsia" w:ascii="宋体" w:hAnsi="宋体" w:eastAsia="宋体" w:cs="宋体"/>
          <w:b/>
          <w:bCs/>
          <w:color w:val="auto"/>
          <w:kern w:val="0"/>
          <w:sz w:val="30"/>
          <w:szCs w:val="30"/>
          <w:highlight w:val="none"/>
        </w:rPr>
      </w:pPr>
      <w:r>
        <w:rPr>
          <w:rFonts w:hint="eastAsia" w:ascii="宋体" w:hAnsi="宋体" w:eastAsia="宋体" w:cs="宋体"/>
          <w:b/>
          <w:bCs/>
          <w:color w:val="auto"/>
          <w:kern w:val="0"/>
          <w:sz w:val="30"/>
          <w:szCs w:val="30"/>
          <w:highlight w:val="none"/>
        </w:rPr>
        <w:t>采购代理机构：</w:t>
      </w:r>
      <w:bookmarkStart w:id="0" w:name="PO_3000001866_PM031"/>
      <w:r>
        <w:rPr>
          <w:rFonts w:hint="eastAsia" w:ascii="宋体" w:hAnsi="宋体" w:eastAsia="宋体" w:cs="宋体"/>
          <w:b/>
          <w:bCs/>
          <w:color w:val="auto"/>
          <w:kern w:val="0"/>
          <w:sz w:val="30"/>
          <w:szCs w:val="30"/>
          <w:highlight w:val="none"/>
        </w:rPr>
        <w:t>广西科联招标中心有限公司</w:t>
      </w:r>
      <w:bookmarkEnd w:id="0"/>
    </w:p>
    <w:p w14:paraId="72CF56C8">
      <w:pPr>
        <w:snapToGrid w:val="0"/>
        <w:spacing w:before="50" w:after="120" w:line="360" w:lineRule="auto"/>
        <w:jc w:val="center"/>
        <w:rPr>
          <w:rFonts w:hint="eastAsia" w:ascii="宋体" w:hAnsi="宋体" w:eastAsia="宋体" w:cs="宋体"/>
          <w:b/>
          <w:bCs/>
          <w:color w:val="auto"/>
          <w:w w:val="95"/>
          <w:kern w:val="0"/>
          <w:sz w:val="30"/>
          <w:szCs w:val="30"/>
          <w:highlight w:val="none"/>
        </w:rPr>
      </w:pPr>
      <w:r>
        <w:rPr>
          <w:rFonts w:hint="eastAsia" w:ascii="宋体" w:hAnsi="宋体" w:eastAsia="宋体" w:cs="宋体"/>
          <w:b/>
          <w:bCs/>
          <w:color w:val="auto"/>
          <w:w w:val="95"/>
          <w:kern w:val="0"/>
          <w:sz w:val="30"/>
          <w:szCs w:val="30"/>
          <w:highlight w:val="none"/>
          <w:lang w:val="en-US" w:eastAsia="zh-CN"/>
        </w:rPr>
        <w:t xml:space="preserve"> 2026</w:t>
      </w:r>
      <w:r>
        <w:rPr>
          <w:rFonts w:hint="eastAsia" w:ascii="宋体" w:hAnsi="宋体" w:eastAsia="宋体" w:cs="宋体"/>
          <w:b/>
          <w:bCs/>
          <w:color w:val="auto"/>
          <w:w w:val="95"/>
          <w:kern w:val="0"/>
          <w:sz w:val="30"/>
          <w:szCs w:val="30"/>
          <w:highlight w:val="none"/>
        </w:rPr>
        <w:t>年</w:t>
      </w:r>
      <w:r>
        <w:rPr>
          <w:rFonts w:hint="eastAsia" w:ascii="宋体" w:hAnsi="宋体" w:cs="宋体"/>
          <w:b/>
          <w:bCs/>
          <w:color w:val="auto"/>
          <w:w w:val="95"/>
          <w:kern w:val="0"/>
          <w:sz w:val="30"/>
          <w:szCs w:val="30"/>
          <w:highlight w:val="none"/>
          <w:lang w:val="en-US" w:eastAsia="zh-CN"/>
        </w:rPr>
        <w:t>4</w:t>
      </w:r>
      <w:r>
        <w:rPr>
          <w:rFonts w:hint="eastAsia" w:ascii="宋体" w:hAnsi="宋体" w:eastAsia="宋体" w:cs="宋体"/>
          <w:b/>
          <w:bCs/>
          <w:color w:val="auto"/>
          <w:w w:val="95"/>
          <w:kern w:val="0"/>
          <w:sz w:val="30"/>
          <w:szCs w:val="30"/>
          <w:highlight w:val="none"/>
        </w:rPr>
        <w:t>月</w:t>
      </w:r>
      <w:r>
        <w:rPr>
          <w:rFonts w:hint="eastAsia" w:ascii="宋体" w:hAnsi="宋体" w:cs="宋体"/>
          <w:b/>
          <w:bCs/>
          <w:color w:val="auto"/>
          <w:w w:val="95"/>
          <w:kern w:val="0"/>
          <w:sz w:val="30"/>
          <w:szCs w:val="30"/>
          <w:highlight w:val="none"/>
          <w:lang w:val="en-US" w:eastAsia="zh-CN"/>
        </w:rPr>
        <w:t>29</w:t>
      </w:r>
      <w:r>
        <w:rPr>
          <w:rFonts w:hint="eastAsia" w:ascii="宋体" w:hAnsi="宋体" w:eastAsia="宋体" w:cs="宋体"/>
          <w:b/>
          <w:bCs/>
          <w:color w:val="auto"/>
          <w:w w:val="95"/>
          <w:kern w:val="0"/>
          <w:sz w:val="30"/>
          <w:szCs w:val="30"/>
          <w:highlight w:val="none"/>
        </w:rPr>
        <w:t>日</w:t>
      </w:r>
    </w:p>
    <w:p w14:paraId="0DDFD3A3">
      <w:pPr>
        <w:pStyle w:val="11"/>
        <w:ind w:firstLine="803"/>
        <w:jc w:val="center"/>
        <w:rPr>
          <w:rFonts w:hint="eastAsia" w:ascii="宋体" w:hAnsi="宋体" w:eastAsia="宋体" w:cs="宋体"/>
          <w:b/>
          <w:bCs/>
          <w:color w:val="auto"/>
          <w:w w:val="95"/>
          <w:sz w:val="30"/>
          <w:szCs w:val="30"/>
          <w:highlight w:val="none"/>
        </w:rPr>
        <w:sectPr>
          <w:headerReference r:id="rId3" w:type="default"/>
          <w:footerReference r:id="rId4" w:type="default"/>
          <w:footerReference r:id="rId5" w:type="even"/>
          <w:pgSz w:w="11911" w:h="16838"/>
          <w:pgMar w:top="1134" w:right="1134" w:bottom="1134" w:left="1134" w:header="720" w:footer="720" w:gutter="0"/>
          <w:pgNumType w:start="1"/>
          <w:cols w:space="720" w:num="1"/>
          <w:titlePg/>
          <w:docGrid w:linePitch="331" w:charSpace="0"/>
        </w:sectPr>
      </w:pPr>
    </w:p>
    <w:p w14:paraId="68CCEB64">
      <w:pPr>
        <w:spacing w:line="360" w:lineRule="auto"/>
        <w:jc w:val="center"/>
        <w:rPr>
          <w:rFonts w:hint="eastAsia"/>
          <w:b/>
          <w:color w:val="auto"/>
          <w:sz w:val="44"/>
          <w:szCs w:val="44"/>
          <w:highlight w:val="none"/>
        </w:rPr>
      </w:pPr>
      <w:r>
        <w:rPr>
          <w:rFonts w:hint="eastAsia"/>
          <w:b/>
          <w:color w:val="auto"/>
          <w:sz w:val="44"/>
          <w:szCs w:val="44"/>
          <w:highlight w:val="none"/>
        </w:rPr>
        <w:t>目   录</w:t>
      </w:r>
    </w:p>
    <w:p w14:paraId="45773E0E">
      <w:pPr>
        <w:spacing w:line="400" w:lineRule="exact"/>
        <w:jc w:val="center"/>
        <w:rPr>
          <w:rFonts w:hint="eastAsia"/>
          <w:b/>
          <w:color w:val="auto"/>
          <w:sz w:val="44"/>
          <w:szCs w:val="44"/>
          <w:highlight w:val="none"/>
        </w:rPr>
      </w:pPr>
    </w:p>
    <w:p w14:paraId="676D61E4">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b/>
          <w:color w:val="auto"/>
          <w:sz w:val="24"/>
          <w:szCs w:val="24"/>
          <w:highlight w:val="none"/>
        </w:rPr>
        <w:fldChar w:fldCharType="begin"/>
      </w:r>
      <w:r>
        <w:rPr>
          <w:rFonts w:hint="eastAsia" w:ascii="宋体" w:hAnsi="宋体" w:eastAsia="宋体" w:cs="宋体"/>
          <w:b/>
          <w:color w:val="auto"/>
          <w:sz w:val="24"/>
          <w:szCs w:val="24"/>
          <w:highlight w:val="none"/>
        </w:rPr>
        <w:instrText xml:space="preserve">TOC \o "1-1" \h \u </w:instrText>
      </w:r>
      <w:r>
        <w:rPr>
          <w:rFonts w:hint="eastAsia" w:ascii="宋体" w:hAnsi="宋体" w:eastAsia="宋体" w:cs="宋体"/>
          <w:b/>
          <w:color w:val="auto"/>
          <w:sz w:val="24"/>
          <w:szCs w:val="24"/>
          <w:highlight w:val="none"/>
        </w:rPr>
        <w:fldChar w:fldCharType="separate"/>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_Toc32264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第一章 竞争性磋商公告</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_Toc32264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3</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6D8F800C">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_Toc26836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第二章 采购需求</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_Toc26836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7</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616AFF94">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_Toc2072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第三章 供应商须知</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_Toc2072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32</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61390E66">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_Toc1088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第四章 评审程序、评审方法和评审标准</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_Toc1088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51</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0AF76F4A">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_Toc22302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第五章 响应文件格式</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_Toc22302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67</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6C8C0421">
      <w:pPr>
        <w:pStyle w:val="22"/>
        <w:tabs>
          <w:tab w:val="right" w:leader="dot" w:pos="9643"/>
        </w:tabs>
        <w:spacing w:line="360" w:lineRule="auto"/>
        <w:rPr>
          <w:rFonts w:hint="eastAsia" w:ascii="宋体" w:hAnsi="宋体" w:eastAsia="宋体" w:cs="宋体"/>
          <w:color w:val="auto"/>
          <w:sz w:val="28"/>
          <w:szCs w:val="28"/>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_Toc18676 </w:instrText>
      </w:r>
      <w:r>
        <w:rPr>
          <w:rFonts w:hint="eastAsia" w:ascii="宋体" w:hAnsi="宋体" w:eastAsia="宋体" w:cs="宋体"/>
          <w:color w:val="auto"/>
          <w:sz w:val="28"/>
          <w:szCs w:val="28"/>
          <w:highlight w:val="none"/>
        </w:rPr>
        <w:fldChar w:fldCharType="separate"/>
      </w:r>
      <w:r>
        <w:rPr>
          <w:rFonts w:hint="eastAsia" w:ascii="宋体" w:hAnsi="宋体" w:eastAsia="宋体" w:cs="宋体"/>
          <w:bCs/>
          <w:color w:val="auto"/>
          <w:sz w:val="28"/>
          <w:szCs w:val="28"/>
          <w:highlight w:val="none"/>
        </w:rPr>
        <w:t>第六章 合同文本</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_Toc18676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96</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2758445B">
      <w:pPr>
        <w:pStyle w:val="22"/>
        <w:tabs>
          <w:tab w:val="right" w:leader="dot" w:pos="9643"/>
        </w:tabs>
        <w:spacing w:line="360" w:lineRule="auto"/>
        <w:rPr>
          <w:color w:val="auto"/>
          <w:highlight w:val="none"/>
        </w:rPr>
      </w:pP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HYPERLINK \l _Toc13011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第七章 质疑、投诉材料格式</w:t>
      </w:r>
      <w:r>
        <w:rPr>
          <w:rFonts w:hint="eastAsia" w:ascii="宋体" w:hAnsi="宋体" w:eastAsia="宋体" w:cs="宋体"/>
          <w:color w:val="auto"/>
          <w:sz w:val="28"/>
          <w:szCs w:val="28"/>
          <w:highlight w:val="none"/>
        </w:rPr>
        <w:tab/>
      </w:r>
      <w:r>
        <w:rPr>
          <w:rFonts w:hint="eastAsia" w:ascii="宋体" w:hAnsi="宋体" w:eastAsia="宋体" w:cs="宋体"/>
          <w:color w:val="auto"/>
          <w:sz w:val="28"/>
          <w:szCs w:val="28"/>
          <w:highlight w:val="none"/>
        </w:rPr>
        <w:fldChar w:fldCharType="begin"/>
      </w:r>
      <w:r>
        <w:rPr>
          <w:rFonts w:hint="eastAsia" w:ascii="宋体" w:hAnsi="宋体" w:eastAsia="宋体" w:cs="宋体"/>
          <w:color w:val="auto"/>
          <w:sz w:val="28"/>
          <w:szCs w:val="28"/>
          <w:highlight w:val="none"/>
        </w:rPr>
        <w:instrText xml:space="preserve"> PAGEREF _Toc13011 </w:instrText>
      </w:r>
      <w:r>
        <w:rPr>
          <w:rFonts w:hint="eastAsia" w:ascii="宋体" w:hAnsi="宋体" w:eastAsia="宋体" w:cs="宋体"/>
          <w:color w:val="auto"/>
          <w:sz w:val="28"/>
          <w:szCs w:val="28"/>
          <w:highlight w:val="none"/>
        </w:rPr>
        <w:fldChar w:fldCharType="separate"/>
      </w:r>
      <w:r>
        <w:rPr>
          <w:rFonts w:hint="eastAsia" w:ascii="宋体" w:hAnsi="宋体" w:eastAsia="宋体" w:cs="宋体"/>
          <w:color w:val="auto"/>
          <w:sz w:val="28"/>
          <w:szCs w:val="28"/>
          <w:highlight w:val="none"/>
        </w:rPr>
        <w:t>101</w:t>
      </w:r>
      <w:r>
        <w:rPr>
          <w:rFonts w:hint="eastAsia" w:ascii="宋体" w:hAnsi="宋体" w:eastAsia="宋体" w:cs="宋体"/>
          <w:color w:val="auto"/>
          <w:sz w:val="28"/>
          <w:szCs w:val="28"/>
          <w:highlight w:val="none"/>
        </w:rPr>
        <w:fldChar w:fldCharType="end"/>
      </w:r>
      <w:r>
        <w:rPr>
          <w:rFonts w:hint="eastAsia" w:ascii="宋体" w:hAnsi="宋体" w:eastAsia="宋体" w:cs="宋体"/>
          <w:color w:val="auto"/>
          <w:sz w:val="28"/>
          <w:szCs w:val="28"/>
          <w:highlight w:val="none"/>
        </w:rPr>
        <w:fldChar w:fldCharType="end"/>
      </w:r>
    </w:p>
    <w:p w14:paraId="7F08B823">
      <w:pPr>
        <w:pStyle w:val="24"/>
        <w:spacing w:line="480" w:lineRule="auto"/>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fldChar w:fldCharType="end"/>
      </w:r>
    </w:p>
    <w:p w14:paraId="56AD8842">
      <w:pPr>
        <w:spacing w:line="400" w:lineRule="exact"/>
        <w:jc w:val="left"/>
        <w:rPr>
          <w:rFonts w:hint="eastAsia"/>
          <w:b/>
          <w:color w:val="auto"/>
          <w:sz w:val="32"/>
          <w:szCs w:val="32"/>
          <w:highlight w:val="none"/>
        </w:rPr>
      </w:pPr>
    </w:p>
    <w:p w14:paraId="0C74690A">
      <w:pPr>
        <w:spacing w:line="400" w:lineRule="exact"/>
        <w:jc w:val="center"/>
        <w:rPr>
          <w:rFonts w:hint="eastAsia"/>
          <w:b/>
          <w:color w:val="auto"/>
          <w:sz w:val="32"/>
          <w:szCs w:val="32"/>
          <w:highlight w:val="none"/>
        </w:rPr>
      </w:pPr>
    </w:p>
    <w:p w14:paraId="05C59514">
      <w:pPr>
        <w:spacing w:line="400" w:lineRule="exact"/>
        <w:jc w:val="center"/>
        <w:rPr>
          <w:rFonts w:hint="eastAsia"/>
          <w:b/>
          <w:color w:val="auto"/>
          <w:sz w:val="32"/>
          <w:szCs w:val="32"/>
          <w:highlight w:val="none"/>
        </w:rPr>
      </w:pPr>
    </w:p>
    <w:p w14:paraId="2765D6BF">
      <w:pPr>
        <w:spacing w:line="400" w:lineRule="exact"/>
        <w:jc w:val="center"/>
        <w:rPr>
          <w:rFonts w:hint="eastAsia"/>
          <w:b/>
          <w:color w:val="auto"/>
          <w:sz w:val="32"/>
          <w:szCs w:val="32"/>
          <w:highlight w:val="none"/>
        </w:rPr>
      </w:pPr>
    </w:p>
    <w:p w14:paraId="404607AA">
      <w:pPr>
        <w:spacing w:line="400" w:lineRule="exact"/>
        <w:jc w:val="center"/>
        <w:rPr>
          <w:rFonts w:hint="eastAsia"/>
          <w:b/>
          <w:color w:val="auto"/>
          <w:sz w:val="32"/>
          <w:szCs w:val="32"/>
          <w:highlight w:val="none"/>
        </w:rPr>
      </w:pPr>
    </w:p>
    <w:p w14:paraId="66C9B747">
      <w:pPr>
        <w:spacing w:line="400" w:lineRule="exact"/>
        <w:rPr>
          <w:rFonts w:hint="eastAsia"/>
          <w:b/>
          <w:color w:val="auto"/>
          <w:sz w:val="32"/>
          <w:szCs w:val="32"/>
          <w:highlight w:val="none"/>
        </w:rPr>
        <w:sectPr>
          <w:headerReference r:id="rId7" w:type="first"/>
          <w:footerReference r:id="rId9" w:type="first"/>
          <w:headerReference r:id="rId6" w:type="default"/>
          <w:footerReference r:id="rId8" w:type="default"/>
          <w:pgSz w:w="11911" w:h="16838"/>
          <w:pgMar w:top="1134" w:right="1134" w:bottom="1134" w:left="1134" w:header="720" w:footer="720" w:gutter="0"/>
          <w:pgNumType w:fmt="decimal"/>
          <w:cols w:space="720" w:num="1"/>
          <w:docGrid w:linePitch="312" w:charSpace="0"/>
        </w:sectPr>
      </w:pPr>
    </w:p>
    <w:p w14:paraId="0D3DA5EC">
      <w:pPr>
        <w:pStyle w:val="3"/>
        <w:spacing w:line="400" w:lineRule="exact"/>
        <w:jc w:val="center"/>
        <w:rPr>
          <w:rFonts w:ascii="Calibri" w:hAnsi="Calibri"/>
          <w:color w:val="auto"/>
          <w:highlight w:val="none"/>
        </w:rPr>
      </w:pPr>
      <w:bookmarkStart w:id="1" w:name="_Toc12242"/>
      <w:bookmarkStart w:id="2" w:name="_Toc15624"/>
      <w:bookmarkStart w:id="3" w:name="_Toc27000"/>
      <w:bookmarkStart w:id="4" w:name="_Toc32264"/>
      <w:bookmarkStart w:id="5" w:name="_Toc11989"/>
      <w:bookmarkStart w:id="6" w:name="_Toc80886925"/>
      <w:bookmarkStart w:id="7" w:name="_Toc18838"/>
      <w:bookmarkStart w:id="8" w:name="_Toc11382"/>
      <w:r>
        <w:rPr>
          <w:rFonts w:hint="eastAsia" w:ascii="Calibri" w:hAnsi="Calibri"/>
          <w:color w:val="auto"/>
          <w:highlight w:val="none"/>
        </w:rPr>
        <w:t>第一章 竞争性磋商公告</w:t>
      </w:r>
      <w:bookmarkEnd w:id="1"/>
      <w:bookmarkEnd w:id="2"/>
      <w:bookmarkEnd w:id="3"/>
      <w:bookmarkEnd w:id="4"/>
      <w:bookmarkEnd w:id="5"/>
      <w:bookmarkEnd w:id="6"/>
      <w:bookmarkEnd w:id="7"/>
      <w:bookmarkEnd w:id="8"/>
      <w:bookmarkStart w:id="9" w:name="_Toc44229878"/>
      <w:bookmarkStart w:id="10" w:name="_Toc28359089"/>
      <w:bookmarkStart w:id="11" w:name="_Toc35393798"/>
      <w:bookmarkStart w:id="12" w:name="_Toc28359012"/>
      <w:bookmarkStart w:id="13" w:name="_Toc35393629"/>
      <w:bookmarkStart w:id="14" w:name="_Toc28359004"/>
      <w:bookmarkStart w:id="15" w:name="_Toc35393623"/>
      <w:bookmarkStart w:id="16" w:name="_Toc35393792"/>
      <w:bookmarkStart w:id="17" w:name="_Toc28359081"/>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9"/>
      </w:tblGrid>
      <w:tr w14:paraId="7B055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859" w:type="dxa"/>
            <w:noWrap w:val="0"/>
            <w:vAlign w:val="top"/>
          </w:tcPr>
          <w:p w14:paraId="57988DE8">
            <w:pPr>
              <w:pStyle w:val="11"/>
              <w:rPr>
                <w:rFonts w:hint="eastAsia"/>
                <w:color w:val="auto"/>
                <w:szCs w:val="21"/>
                <w:highlight w:val="none"/>
              </w:rPr>
            </w:pPr>
            <w:r>
              <w:rPr>
                <w:rFonts w:hint="eastAsia"/>
                <w:color w:val="auto"/>
                <w:szCs w:val="21"/>
                <w:highlight w:val="none"/>
              </w:rPr>
              <w:t>项目概况</w:t>
            </w:r>
          </w:p>
          <w:p w14:paraId="36AB7962">
            <w:pPr>
              <w:pStyle w:val="11"/>
              <w:ind w:firstLine="840" w:firstLineChars="400"/>
              <w:rPr>
                <w:rFonts w:hint="eastAsia" w:ascii="黑体" w:hAnsi="黑体" w:eastAsia="黑体" w:cs="宋体"/>
                <w:bCs/>
                <w:color w:val="auto"/>
                <w:sz w:val="24"/>
                <w:highlight w:val="none"/>
              </w:rPr>
            </w:pPr>
            <w:r>
              <w:rPr>
                <w:rFonts w:hint="eastAsia" w:ascii="宋体" w:hAnsi="宋体" w:cs="宋体"/>
                <w:color w:val="auto"/>
                <w:szCs w:val="21"/>
                <w:highlight w:val="none"/>
                <w:u w:val="single"/>
                <w:lang w:eastAsia="zh-CN"/>
              </w:rPr>
              <w:t>2026年纸质图书供应服务</w:t>
            </w:r>
            <w:r>
              <w:rPr>
                <w:rFonts w:hint="eastAsia" w:ascii="宋体" w:hAnsi="宋体"/>
                <w:color w:val="auto"/>
                <w:szCs w:val="21"/>
                <w:highlight w:val="none"/>
                <w:u w:val="single"/>
              </w:rPr>
              <w:t xml:space="preserve"> </w:t>
            </w:r>
            <w:r>
              <w:rPr>
                <w:rFonts w:hint="eastAsia" w:ascii="宋体" w:hAnsi="宋体"/>
                <w:color w:val="auto"/>
                <w:szCs w:val="21"/>
                <w:highlight w:val="none"/>
              </w:rPr>
              <w:t>采购项目</w:t>
            </w:r>
            <w:r>
              <w:rPr>
                <w:rFonts w:hint="eastAsia"/>
                <w:color w:val="auto"/>
                <w:szCs w:val="21"/>
                <w:highlight w:val="none"/>
              </w:rPr>
              <w:t>的潜在供应商应在</w:t>
            </w:r>
            <w:r>
              <w:rPr>
                <w:rFonts w:hint="eastAsia" w:ascii="宋体" w:hAnsi="宋体" w:cs="宋体"/>
                <w:b w:val="0"/>
                <w:bCs w:val="0"/>
                <w:color w:val="auto"/>
                <w:sz w:val="21"/>
                <w:szCs w:val="21"/>
                <w:highlight w:val="none"/>
                <w:lang w:val="en-US" w:eastAsia="zh-CN"/>
              </w:rPr>
              <w:t>广西政府采购云平台（https://www.gcy.zfcg.gxzf.gov.cn/）</w:t>
            </w:r>
            <w:r>
              <w:rPr>
                <w:rFonts w:hint="eastAsia"/>
                <w:color w:val="auto"/>
                <w:szCs w:val="21"/>
                <w:highlight w:val="none"/>
              </w:rPr>
              <w:t>获取</w:t>
            </w:r>
            <w:r>
              <w:rPr>
                <w:rFonts w:hint="eastAsia"/>
                <w:color w:val="auto"/>
                <w:szCs w:val="21"/>
                <w:highlight w:val="none"/>
                <w:lang w:eastAsia="zh-CN"/>
              </w:rPr>
              <w:t>采购</w:t>
            </w:r>
            <w:r>
              <w:rPr>
                <w:rFonts w:hint="eastAsia"/>
                <w:color w:val="auto"/>
                <w:szCs w:val="21"/>
                <w:highlight w:val="none"/>
              </w:rPr>
              <w:t>文件，并于</w:t>
            </w:r>
            <w:r>
              <w:rPr>
                <w:rFonts w:hint="eastAsia"/>
                <w:color w:val="auto"/>
                <w:szCs w:val="21"/>
                <w:highlight w:val="none"/>
                <w:lang w:val="en-US" w:eastAsia="zh-CN"/>
              </w:rPr>
              <w:t>2026</w:t>
            </w:r>
            <w:r>
              <w:rPr>
                <w:rFonts w:hint="eastAsia"/>
                <w:color w:val="auto"/>
                <w:szCs w:val="21"/>
                <w:highlight w:val="none"/>
              </w:rPr>
              <w:t>年</w:t>
            </w:r>
            <w:r>
              <w:rPr>
                <w:rFonts w:hint="eastAsia"/>
                <w:color w:val="auto"/>
                <w:szCs w:val="21"/>
                <w:highlight w:val="none"/>
                <w:lang w:val="en-US" w:eastAsia="zh-CN"/>
              </w:rPr>
              <w:t>5</w:t>
            </w:r>
            <w:r>
              <w:rPr>
                <w:rFonts w:hint="eastAsia"/>
                <w:color w:val="auto"/>
                <w:szCs w:val="21"/>
                <w:highlight w:val="none"/>
              </w:rPr>
              <w:t>月</w:t>
            </w:r>
            <w:r>
              <w:rPr>
                <w:rFonts w:hint="eastAsia"/>
                <w:color w:val="auto"/>
                <w:szCs w:val="21"/>
                <w:highlight w:val="none"/>
                <w:lang w:val="en-US" w:eastAsia="zh-CN"/>
              </w:rPr>
              <w:t>11</w:t>
            </w:r>
            <w:r>
              <w:rPr>
                <w:rFonts w:hint="eastAsia"/>
                <w:color w:val="auto"/>
                <w:szCs w:val="21"/>
                <w:highlight w:val="none"/>
              </w:rPr>
              <w:t>日</w:t>
            </w:r>
            <w:r>
              <w:rPr>
                <w:rFonts w:hint="eastAsia"/>
                <w:color w:val="auto"/>
                <w:szCs w:val="21"/>
                <w:highlight w:val="none"/>
                <w:lang w:val="en-US" w:eastAsia="zh-CN"/>
              </w:rPr>
              <w:t>9</w:t>
            </w:r>
            <w:r>
              <w:rPr>
                <w:rFonts w:hint="eastAsia"/>
                <w:color w:val="auto"/>
                <w:szCs w:val="21"/>
                <w:highlight w:val="none"/>
                <w:lang w:eastAsia="zh-CN"/>
              </w:rPr>
              <w:t>点</w:t>
            </w:r>
            <w:r>
              <w:rPr>
                <w:rFonts w:hint="eastAsia"/>
                <w:color w:val="auto"/>
                <w:szCs w:val="21"/>
                <w:highlight w:val="none"/>
                <w:lang w:val="en-US" w:eastAsia="zh-CN"/>
              </w:rPr>
              <w:t>00分</w:t>
            </w:r>
            <w:r>
              <w:rPr>
                <w:rFonts w:hint="eastAsia"/>
                <w:color w:val="auto"/>
                <w:szCs w:val="21"/>
                <w:highlight w:val="none"/>
              </w:rPr>
              <w:t>（北京时间）前提交响应文件。</w:t>
            </w:r>
          </w:p>
        </w:tc>
      </w:tr>
    </w:tbl>
    <w:p w14:paraId="030EDD32">
      <w:pPr>
        <w:spacing w:line="360" w:lineRule="auto"/>
        <w:ind w:firstLine="480" w:firstLineChars="200"/>
        <w:rPr>
          <w:rFonts w:hint="eastAsia" w:ascii="黑体" w:hAnsi="黑体" w:eastAsia="黑体" w:cs="宋体"/>
          <w:bCs/>
          <w:color w:val="auto"/>
          <w:sz w:val="24"/>
          <w:highlight w:val="none"/>
        </w:rPr>
      </w:pPr>
    </w:p>
    <w:p w14:paraId="6DF6732B">
      <w:pPr>
        <w:spacing w:line="380" w:lineRule="exact"/>
        <w:ind w:firstLine="480" w:firstLineChars="200"/>
        <w:rPr>
          <w:rFonts w:ascii="Calibri" w:hAnsi="Calibri"/>
          <w:color w:val="auto"/>
          <w:highlight w:val="none"/>
        </w:rPr>
      </w:pPr>
      <w:r>
        <w:rPr>
          <w:rFonts w:hint="eastAsia" w:ascii="黑体" w:hAnsi="黑体" w:eastAsia="黑体" w:cs="宋体"/>
          <w:bCs/>
          <w:color w:val="auto"/>
          <w:sz w:val="24"/>
          <w:highlight w:val="none"/>
        </w:rPr>
        <w:t>一、项目基本情况</w:t>
      </w:r>
      <w:bookmarkEnd w:id="9"/>
      <w:bookmarkEnd w:id="10"/>
      <w:bookmarkEnd w:id="11"/>
      <w:bookmarkEnd w:id="12"/>
      <w:bookmarkEnd w:id="13"/>
    </w:p>
    <w:p w14:paraId="6E019EF4">
      <w:pPr>
        <w:spacing w:line="380" w:lineRule="exact"/>
        <w:ind w:firstLine="420" w:firstLineChars="200"/>
        <w:rPr>
          <w:rFonts w:hint="eastAsia" w:eastAsia="宋体"/>
          <w:color w:val="auto"/>
          <w:szCs w:val="21"/>
          <w:highlight w:val="none"/>
          <w:lang w:eastAsia="zh-CN"/>
        </w:rPr>
      </w:pPr>
      <w:r>
        <w:rPr>
          <w:rFonts w:hint="eastAsia"/>
          <w:color w:val="auto"/>
          <w:szCs w:val="21"/>
          <w:highlight w:val="none"/>
        </w:rPr>
        <w:t>项目编号</w:t>
      </w:r>
      <w:r>
        <w:rPr>
          <w:rFonts w:hint="eastAsia"/>
          <w:color w:val="auto"/>
          <w:szCs w:val="21"/>
          <w:highlight w:val="none"/>
          <w:lang w:eastAsia="zh-CN"/>
        </w:rPr>
        <w:t>：</w:t>
      </w:r>
      <w:r>
        <w:rPr>
          <w:rFonts w:hint="eastAsia" w:ascii="宋体" w:hAnsi="宋体"/>
          <w:color w:val="auto"/>
          <w:szCs w:val="21"/>
          <w:highlight w:val="none"/>
        </w:rPr>
        <w:t>GXZC2026-C3-001019-GXKL</w:t>
      </w:r>
    </w:p>
    <w:p w14:paraId="40A44758">
      <w:pPr>
        <w:spacing w:line="380" w:lineRule="exact"/>
        <w:ind w:firstLine="420" w:firstLineChars="200"/>
        <w:rPr>
          <w:rFonts w:hint="eastAsia" w:eastAsia="宋体"/>
          <w:color w:val="auto"/>
          <w:szCs w:val="21"/>
          <w:highlight w:val="none"/>
          <w:u w:val="single"/>
          <w:lang w:eastAsia="zh-CN"/>
        </w:rPr>
      </w:pPr>
      <w:r>
        <w:rPr>
          <w:rFonts w:hint="eastAsia"/>
          <w:color w:val="auto"/>
          <w:szCs w:val="21"/>
          <w:highlight w:val="none"/>
        </w:rPr>
        <w:t>项目名称：</w:t>
      </w:r>
      <w:r>
        <w:rPr>
          <w:rFonts w:hint="eastAsia" w:ascii="宋体" w:hAnsi="宋体" w:cs="宋体"/>
          <w:color w:val="auto"/>
          <w:szCs w:val="21"/>
          <w:highlight w:val="none"/>
          <w:u w:val="single"/>
          <w:lang w:eastAsia="zh-CN"/>
        </w:rPr>
        <w:t>2026年纸质图书供应服务</w:t>
      </w:r>
    </w:p>
    <w:p w14:paraId="5618AFFA">
      <w:pPr>
        <w:spacing w:line="380" w:lineRule="exact"/>
        <w:ind w:firstLine="420" w:firstLineChars="200"/>
        <w:rPr>
          <w:color w:val="auto"/>
          <w:szCs w:val="21"/>
          <w:highlight w:val="none"/>
        </w:rPr>
      </w:pPr>
      <w:r>
        <w:rPr>
          <w:rFonts w:hint="eastAsia"/>
          <w:color w:val="auto"/>
          <w:szCs w:val="21"/>
          <w:highlight w:val="none"/>
        </w:rPr>
        <w:t>采购方式：</w:t>
      </w:r>
      <w:r>
        <w:rPr>
          <w:rFonts w:hint="eastAsia" w:ascii="宋体" w:hAnsi="宋体"/>
          <w:color w:val="auto"/>
          <w:szCs w:val="21"/>
          <w:highlight w:val="none"/>
        </w:rPr>
        <w:t xml:space="preserve">竞争性磋商 </w:t>
      </w:r>
    </w:p>
    <w:p w14:paraId="27C30647">
      <w:pPr>
        <w:spacing w:line="380" w:lineRule="exact"/>
        <w:ind w:firstLine="420" w:firstLineChars="200"/>
        <w:rPr>
          <w:rFonts w:hint="default" w:eastAsia="宋体"/>
          <w:color w:val="auto"/>
          <w:szCs w:val="21"/>
          <w:highlight w:val="none"/>
          <w:lang w:val="en-US" w:eastAsia="zh-CN"/>
        </w:rPr>
      </w:pPr>
      <w:r>
        <w:rPr>
          <w:rFonts w:hint="eastAsia"/>
          <w:color w:val="auto"/>
          <w:szCs w:val="21"/>
          <w:highlight w:val="none"/>
          <w:lang w:val="en-US" w:eastAsia="zh-CN"/>
        </w:rPr>
        <w:t>预算总金额</w:t>
      </w:r>
      <w:r>
        <w:rPr>
          <w:rFonts w:hint="eastAsia" w:ascii="Times New Roman" w:hAnsi="Times New Roman" w:eastAsia="宋体" w:cs="Times New Roman"/>
          <w:i w:val="0"/>
          <w:iCs w:val="0"/>
          <w:caps w:val="0"/>
          <w:color w:val="auto"/>
          <w:spacing w:val="0"/>
          <w:sz w:val="21"/>
          <w:szCs w:val="21"/>
          <w:highlight w:val="none"/>
        </w:rPr>
        <w:t>（元）：</w:t>
      </w:r>
      <w:r>
        <w:rPr>
          <w:rFonts w:hint="eastAsia" w:ascii="Times New Roman" w:hAnsi="Times New Roman" w:eastAsia="宋体" w:cs="Times New Roman"/>
          <w:i w:val="0"/>
          <w:iCs w:val="0"/>
          <w:caps w:val="0"/>
          <w:color w:val="auto"/>
          <w:spacing w:val="0"/>
          <w:sz w:val="21"/>
          <w:szCs w:val="21"/>
          <w:highlight w:val="none"/>
          <w:lang w:val="en-US" w:eastAsia="zh-CN"/>
        </w:rPr>
        <w:t>2896000.00</w:t>
      </w:r>
    </w:p>
    <w:p w14:paraId="1FA4860F">
      <w:pPr>
        <w:spacing w:line="380" w:lineRule="exact"/>
        <w:ind w:firstLine="420" w:firstLineChars="200"/>
        <w:rPr>
          <w:rFonts w:hint="eastAsia" w:eastAsia="宋体"/>
          <w:color w:val="auto"/>
          <w:szCs w:val="21"/>
          <w:highlight w:val="none"/>
          <w:lang w:val="en-US" w:eastAsia="zh-CN"/>
        </w:rPr>
      </w:pPr>
      <w:r>
        <w:rPr>
          <w:rFonts w:hint="eastAsia"/>
          <w:color w:val="auto"/>
          <w:szCs w:val="21"/>
          <w:highlight w:val="none"/>
        </w:rPr>
        <w:t>采购需求：</w:t>
      </w:r>
    </w:p>
    <w:p w14:paraId="043E6B75">
      <w:pPr>
        <w:spacing w:line="380" w:lineRule="exact"/>
        <w:ind w:firstLine="420" w:firstLineChars="200"/>
        <w:rPr>
          <w:rFonts w:hint="eastAsia" w:eastAsia="宋体"/>
          <w:color w:val="auto"/>
          <w:szCs w:val="21"/>
          <w:highlight w:val="none"/>
          <w:lang w:val="en-US" w:eastAsia="zh-CN"/>
        </w:rPr>
      </w:pPr>
    </w:p>
    <w:p w14:paraId="4FB2CD5E">
      <w:pPr>
        <w:spacing w:line="380" w:lineRule="exact"/>
        <w:ind w:firstLine="420" w:firstLineChars="200"/>
        <w:rPr>
          <w:rFonts w:hint="eastAsia"/>
          <w:color w:val="auto"/>
          <w:highlight w:val="none"/>
          <w:lang w:val="en-US" w:eastAsia="zh-CN"/>
        </w:rPr>
      </w:pPr>
      <w:r>
        <w:rPr>
          <w:rFonts w:hint="eastAsia"/>
          <w:color w:val="auto"/>
          <w:highlight w:val="none"/>
          <w:lang w:val="en-US" w:eastAsia="zh-CN"/>
        </w:rPr>
        <w:t>标项一</w:t>
      </w:r>
    </w:p>
    <w:p w14:paraId="7CE0226F">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标项名称</w:t>
      </w:r>
      <w:r>
        <w:rPr>
          <w:rFonts w:hint="eastAsia"/>
          <w:color w:val="auto"/>
          <w:highlight w:val="none"/>
          <w:lang w:val="en-US" w:eastAsia="zh-CN"/>
        </w:rPr>
        <w:t>：A分标：</w:t>
      </w:r>
      <w:r>
        <w:rPr>
          <w:rFonts w:hint="eastAsia"/>
          <w:color w:val="auto"/>
          <w:highlight w:val="none"/>
        </w:rPr>
        <w:t>特价纸质图书供应服务（一）</w:t>
      </w:r>
    </w:p>
    <w:p w14:paraId="70E9FCCE">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数量</w:t>
      </w:r>
      <w:r>
        <w:rPr>
          <w:rFonts w:hint="eastAsia"/>
          <w:color w:val="auto"/>
          <w:highlight w:val="none"/>
          <w:lang w:val="en-US" w:eastAsia="zh-CN"/>
        </w:rPr>
        <w:t>：1</w:t>
      </w:r>
    </w:p>
    <w:p w14:paraId="75487432">
      <w:pPr>
        <w:spacing w:line="380" w:lineRule="exact"/>
        <w:ind w:firstLine="420" w:firstLineChars="200"/>
        <w:rPr>
          <w:rFonts w:hint="default"/>
          <w:color w:val="auto"/>
          <w:highlight w:val="none"/>
          <w:lang w:val="en-US" w:eastAsia="zh-CN"/>
        </w:rPr>
      </w:pPr>
      <w:r>
        <w:rPr>
          <w:rFonts w:hint="default"/>
          <w:color w:val="auto"/>
          <w:highlight w:val="none"/>
          <w:lang w:val="en-US" w:eastAsia="zh-CN"/>
        </w:rPr>
        <w:t>预算金额（元）</w:t>
      </w:r>
      <w:r>
        <w:rPr>
          <w:rFonts w:hint="eastAsia"/>
          <w:color w:val="auto"/>
          <w:highlight w:val="none"/>
          <w:lang w:val="en-US" w:eastAsia="zh-CN"/>
        </w:rPr>
        <w:t>：1155000.00</w:t>
      </w:r>
    </w:p>
    <w:p w14:paraId="2F66493E">
      <w:pPr>
        <w:spacing w:line="380" w:lineRule="exact"/>
        <w:ind w:firstLine="420" w:firstLineChars="200"/>
        <w:rPr>
          <w:rFonts w:hint="default"/>
          <w:color w:val="auto"/>
          <w:highlight w:val="none"/>
          <w:lang w:val="en-US" w:eastAsia="zh-CN"/>
        </w:rPr>
      </w:pPr>
      <w:r>
        <w:rPr>
          <w:rFonts w:hint="default"/>
          <w:color w:val="auto"/>
          <w:highlight w:val="none"/>
          <w:lang w:val="en-US" w:eastAsia="zh-CN"/>
        </w:rPr>
        <w:t>简要规格描述或项目基本概况介绍、用途：</w:t>
      </w:r>
      <w:r>
        <w:rPr>
          <w:rFonts w:hint="eastAsia"/>
          <w:color w:val="auto"/>
          <w:highlight w:val="none"/>
        </w:rPr>
        <w:t>纸质图书</w:t>
      </w:r>
      <w:r>
        <w:rPr>
          <w:rFonts w:hint="eastAsia"/>
          <w:color w:val="auto"/>
          <w:highlight w:val="none"/>
          <w:lang w:eastAsia="zh-CN"/>
        </w:rPr>
        <w:t>采购</w:t>
      </w:r>
      <w:r>
        <w:rPr>
          <w:rFonts w:hint="eastAsia"/>
          <w:color w:val="auto"/>
          <w:highlight w:val="none"/>
        </w:rPr>
        <w:t>供应商1家，采购全国各大出版社出版的纸质图书至少7.7万册，提供采购图书入馆等相关服务，如需进一步了解详细内容，详见竞争性磋商文件。</w:t>
      </w:r>
    </w:p>
    <w:p w14:paraId="691BC055">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最高限价（如有）：</w:t>
      </w:r>
      <w:r>
        <w:rPr>
          <w:rFonts w:hint="eastAsia"/>
          <w:color w:val="auto"/>
          <w:highlight w:val="none"/>
          <w:lang w:val="en-US" w:eastAsia="zh-CN"/>
        </w:rPr>
        <w:t>1155000.00</w:t>
      </w:r>
    </w:p>
    <w:p w14:paraId="7E0AF05F">
      <w:pPr>
        <w:spacing w:line="380" w:lineRule="exact"/>
        <w:ind w:firstLine="420" w:firstLineChars="200"/>
        <w:rPr>
          <w:rFonts w:hint="default"/>
          <w:color w:val="auto"/>
          <w:highlight w:val="none"/>
          <w:lang w:val="en-US" w:eastAsia="zh-CN"/>
        </w:rPr>
      </w:pPr>
      <w:r>
        <w:rPr>
          <w:rFonts w:hint="default"/>
          <w:color w:val="auto"/>
          <w:highlight w:val="none"/>
          <w:lang w:val="en-US" w:eastAsia="zh-CN"/>
        </w:rPr>
        <w:t>合同履</w:t>
      </w:r>
      <w:r>
        <w:rPr>
          <w:rFonts w:hint="eastAsia"/>
          <w:color w:val="auto"/>
          <w:highlight w:val="none"/>
          <w:lang w:val="en-US" w:eastAsia="zh-CN"/>
        </w:rPr>
        <w:t>行</w:t>
      </w:r>
      <w:r>
        <w:rPr>
          <w:rFonts w:hint="default"/>
          <w:color w:val="auto"/>
          <w:highlight w:val="none"/>
          <w:lang w:val="en-US" w:eastAsia="zh-CN"/>
        </w:rPr>
        <w:t>期限：</w:t>
      </w:r>
      <w:r>
        <w:rPr>
          <w:rFonts w:hint="eastAsia"/>
          <w:color w:val="auto"/>
          <w:highlight w:val="none"/>
        </w:rPr>
        <w:t>自签订合同之日起至2027年4月30日止</w:t>
      </w:r>
    </w:p>
    <w:p w14:paraId="376E0095">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本</w:t>
      </w:r>
      <w:r>
        <w:rPr>
          <w:rFonts w:hint="eastAsia"/>
          <w:color w:val="auto"/>
          <w:highlight w:val="none"/>
          <w:lang w:val="en-US" w:eastAsia="zh-CN"/>
        </w:rPr>
        <w:t>标项</w:t>
      </w:r>
      <w:r>
        <w:rPr>
          <w:rFonts w:hint="default"/>
          <w:color w:val="auto"/>
          <w:highlight w:val="none"/>
          <w:lang w:val="en-US" w:eastAsia="zh-CN"/>
        </w:rPr>
        <w:t>（否）接受联合体</w:t>
      </w:r>
      <w:r>
        <w:rPr>
          <w:rFonts w:hint="eastAsia"/>
          <w:color w:val="auto"/>
          <w:highlight w:val="none"/>
          <w:lang w:val="en-US" w:eastAsia="zh-CN"/>
        </w:rPr>
        <w:t>竞标</w:t>
      </w:r>
    </w:p>
    <w:p w14:paraId="4AD11393">
      <w:pPr>
        <w:spacing w:line="380" w:lineRule="exact"/>
        <w:ind w:firstLine="420" w:firstLineChars="200"/>
        <w:rPr>
          <w:rFonts w:hint="eastAsia" w:eastAsia="宋体"/>
          <w:color w:val="auto"/>
          <w:highlight w:val="none"/>
          <w:lang w:val="en-US" w:eastAsia="zh-CN"/>
        </w:rPr>
      </w:pPr>
      <w:r>
        <w:rPr>
          <w:rFonts w:hint="eastAsia" w:ascii="宋体" w:hAnsi="宋体" w:cs="宋体"/>
          <w:color w:val="auto"/>
          <w:szCs w:val="21"/>
          <w:highlight w:val="none"/>
        </w:rPr>
        <w:t>备注：本项目划分为A、B、C三个分标，供应商可就一个或多个标段进行竞标，但同一供应商最终仅允许成为一个分标的成交供应商</w:t>
      </w:r>
      <w:r>
        <w:rPr>
          <w:rFonts w:hint="eastAsia" w:ascii="宋体" w:hAnsi="宋体" w:cs="宋体"/>
          <w:color w:val="auto"/>
          <w:szCs w:val="21"/>
          <w:highlight w:val="none"/>
          <w:lang w:eastAsia="zh-CN"/>
        </w:rPr>
        <w:t>。</w:t>
      </w:r>
    </w:p>
    <w:p w14:paraId="39E202ED">
      <w:pPr>
        <w:spacing w:line="380" w:lineRule="exact"/>
        <w:ind w:firstLine="420" w:firstLineChars="200"/>
        <w:rPr>
          <w:rFonts w:hint="eastAsia"/>
          <w:color w:val="auto"/>
          <w:highlight w:val="none"/>
          <w:lang w:val="en-US" w:eastAsia="zh-CN"/>
        </w:rPr>
      </w:pPr>
    </w:p>
    <w:p w14:paraId="3C294F97">
      <w:pPr>
        <w:spacing w:line="380" w:lineRule="exact"/>
        <w:ind w:firstLine="420" w:firstLineChars="200"/>
        <w:rPr>
          <w:rFonts w:hint="eastAsia"/>
          <w:color w:val="auto"/>
          <w:highlight w:val="none"/>
          <w:lang w:val="en-US" w:eastAsia="zh-CN"/>
        </w:rPr>
      </w:pPr>
      <w:r>
        <w:rPr>
          <w:rFonts w:hint="eastAsia"/>
          <w:color w:val="auto"/>
          <w:highlight w:val="none"/>
          <w:lang w:val="en-US" w:eastAsia="zh-CN"/>
        </w:rPr>
        <w:t>标项二</w:t>
      </w:r>
    </w:p>
    <w:p w14:paraId="00FC77F9">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标项名称</w:t>
      </w:r>
      <w:r>
        <w:rPr>
          <w:rFonts w:hint="eastAsia"/>
          <w:color w:val="auto"/>
          <w:highlight w:val="none"/>
          <w:lang w:val="en-US" w:eastAsia="zh-CN"/>
        </w:rPr>
        <w:t>：B分标：</w:t>
      </w:r>
      <w:r>
        <w:rPr>
          <w:rFonts w:hint="eastAsia"/>
          <w:color w:val="auto"/>
          <w:highlight w:val="none"/>
        </w:rPr>
        <w:t>特价纸质图书供应服务（</w:t>
      </w:r>
      <w:r>
        <w:rPr>
          <w:rFonts w:hint="eastAsia"/>
          <w:color w:val="auto"/>
          <w:highlight w:val="none"/>
          <w:lang w:eastAsia="zh-CN"/>
        </w:rPr>
        <w:t>二</w:t>
      </w:r>
      <w:r>
        <w:rPr>
          <w:rFonts w:hint="eastAsia"/>
          <w:color w:val="auto"/>
          <w:highlight w:val="none"/>
        </w:rPr>
        <w:t>）</w:t>
      </w:r>
    </w:p>
    <w:p w14:paraId="7030B398">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数量</w:t>
      </w:r>
      <w:r>
        <w:rPr>
          <w:rFonts w:hint="eastAsia"/>
          <w:color w:val="auto"/>
          <w:highlight w:val="none"/>
          <w:lang w:val="en-US" w:eastAsia="zh-CN"/>
        </w:rPr>
        <w:t>：1</w:t>
      </w:r>
    </w:p>
    <w:p w14:paraId="7E930C2E">
      <w:pPr>
        <w:spacing w:line="380" w:lineRule="exact"/>
        <w:ind w:firstLine="420" w:firstLineChars="200"/>
        <w:rPr>
          <w:rFonts w:hint="default"/>
          <w:color w:val="auto"/>
          <w:highlight w:val="none"/>
          <w:lang w:val="en-US" w:eastAsia="zh-CN"/>
        </w:rPr>
      </w:pPr>
      <w:r>
        <w:rPr>
          <w:rFonts w:hint="default"/>
          <w:color w:val="auto"/>
          <w:highlight w:val="none"/>
          <w:lang w:val="en-US" w:eastAsia="zh-CN"/>
        </w:rPr>
        <w:t>预算金额（元）</w:t>
      </w:r>
      <w:r>
        <w:rPr>
          <w:rFonts w:hint="eastAsia"/>
          <w:color w:val="auto"/>
          <w:highlight w:val="none"/>
          <w:lang w:val="en-US" w:eastAsia="zh-CN"/>
        </w:rPr>
        <w:t>：1155000.00</w:t>
      </w:r>
    </w:p>
    <w:p w14:paraId="53A5B2A5">
      <w:pPr>
        <w:spacing w:line="380" w:lineRule="exact"/>
        <w:ind w:firstLine="420" w:firstLineChars="200"/>
        <w:rPr>
          <w:rFonts w:hint="default"/>
          <w:color w:val="auto"/>
          <w:highlight w:val="none"/>
          <w:lang w:val="en-US" w:eastAsia="zh-CN"/>
        </w:rPr>
      </w:pPr>
      <w:r>
        <w:rPr>
          <w:rFonts w:hint="default"/>
          <w:color w:val="auto"/>
          <w:highlight w:val="none"/>
          <w:lang w:val="en-US" w:eastAsia="zh-CN"/>
        </w:rPr>
        <w:t>简要规格描述或项目基本概况介绍、用途：</w:t>
      </w:r>
      <w:r>
        <w:rPr>
          <w:rFonts w:hint="eastAsia"/>
          <w:color w:val="auto"/>
          <w:highlight w:val="none"/>
        </w:rPr>
        <w:t>纸质图书</w:t>
      </w:r>
      <w:r>
        <w:rPr>
          <w:rFonts w:hint="eastAsia"/>
          <w:color w:val="auto"/>
          <w:highlight w:val="none"/>
          <w:lang w:eastAsia="zh-CN"/>
        </w:rPr>
        <w:t>采购</w:t>
      </w:r>
      <w:r>
        <w:rPr>
          <w:rFonts w:hint="eastAsia"/>
          <w:color w:val="auto"/>
          <w:highlight w:val="none"/>
        </w:rPr>
        <w:t>供应商1家，采购全国各大出版社出版的纸质图书至少7.7万册，提供采购图书入馆等相关服务，如需进一步了解详细内容，详见竞争性磋商文件。</w:t>
      </w:r>
    </w:p>
    <w:p w14:paraId="22D2E69D">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最高限价（如有）：</w:t>
      </w:r>
      <w:r>
        <w:rPr>
          <w:rFonts w:hint="eastAsia"/>
          <w:color w:val="auto"/>
          <w:highlight w:val="none"/>
          <w:lang w:val="en-US" w:eastAsia="zh-CN"/>
        </w:rPr>
        <w:t>1155000.00</w:t>
      </w:r>
    </w:p>
    <w:p w14:paraId="3538C28E">
      <w:pPr>
        <w:spacing w:line="380" w:lineRule="exact"/>
        <w:ind w:firstLine="420" w:firstLineChars="200"/>
        <w:rPr>
          <w:rFonts w:hint="default"/>
          <w:color w:val="auto"/>
          <w:highlight w:val="none"/>
          <w:lang w:val="en-US" w:eastAsia="zh-CN"/>
        </w:rPr>
      </w:pPr>
      <w:r>
        <w:rPr>
          <w:rFonts w:hint="default"/>
          <w:color w:val="auto"/>
          <w:highlight w:val="none"/>
          <w:lang w:val="en-US" w:eastAsia="zh-CN"/>
        </w:rPr>
        <w:t>合同履</w:t>
      </w:r>
      <w:r>
        <w:rPr>
          <w:rFonts w:hint="eastAsia"/>
          <w:color w:val="auto"/>
          <w:highlight w:val="none"/>
          <w:lang w:val="en-US" w:eastAsia="zh-CN"/>
        </w:rPr>
        <w:t>行</w:t>
      </w:r>
      <w:r>
        <w:rPr>
          <w:rFonts w:hint="default"/>
          <w:color w:val="auto"/>
          <w:highlight w:val="none"/>
          <w:lang w:val="en-US" w:eastAsia="zh-CN"/>
        </w:rPr>
        <w:t>期限：</w:t>
      </w:r>
      <w:r>
        <w:rPr>
          <w:rFonts w:hint="eastAsia"/>
          <w:color w:val="auto"/>
          <w:highlight w:val="none"/>
        </w:rPr>
        <w:t>自签订合同之日起至2027年4月30日止</w:t>
      </w:r>
    </w:p>
    <w:p w14:paraId="138526F6">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本</w:t>
      </w:r>
      <w:r>
        <w:rPr>
          <w:rFonts w:hint="eastAsia"/>
          <w:color w:val="auto"/>
          <w:highlight w:val="none"/>
          <w:lang w:val="en-US" w:eastAsia="zh-CN"/>
        </w:rPr>
        <w:t>标项</w:t>
      </w:r>
      <w:r>
        <w:rPr>
          <w:rFonts w:hint="default"/>
          <w:color w:val="auto"/>
          <w:highlight w:val="none"/>
          <w:lang w:val="en-US" w:eastAsia="zh-CN"/>
        </w:rPr>
        <w:t>（否）接受联合体</w:t>
      </w:r>
      <w:r>
        <w:rPr>
          <w:rFonts w:hint="eastAsia"/>
          <w:color w:val="auto"/>
          <w:highlight w:val="none"/>
          <w:lang w:val="en-US" w:eastAsia="zh-CN"/>
        </w:rPr>
        <w:t>竞标</w:t>
      </w:r>
    </w:p>
    <w:p w14:paraId="4861659C">
      <w:pPr>
        <w:spacing w:line="380" w:lineRule="exact"/>
        <w:ind w:firstLine="420" w:firstLineChars="200"/>
        <w:rPr>
          <w:rFonts w:hint="eastAsia" w:ascii="宋体" w:hAnsi="宋体" w:cs="宋体"/>
          <w:color w:val="auto"/>
          <w:szCs w:val="21"/>
          <w:highlight w:val="none"/>
          <w:lang w:eastAsia="zh-CN"/>
        </w:rPr>
      </w:pPr>
      <w:r>
        <w:rPr>
          <w:rFonts w:hint="eastAsia" w:ascii="宋体" w:hAnsi="宋体" w:cs="宋体"/>
          <w:color w:val="auto"/>
          <w:szCs w:val="21"/>
          <w:highlight w:val="none"/>
        </w:rPr>
        <w:t>备注：本项目划分为A、B、C三个分标，供应商可就一个或多个标段进行竞标，但同一供应商最终仅允许成为一个分标的成交供应商</w:t>
      </w:r>
      <w:r>
        <w:rPr>
          <w:rFonts w:hint="eastAsia" w:ascii="宋体" w:hAnsi="宋体" w:cs="宋体"/>
          <w:color w:val="auto"/>
          <w:szCs w:val="21"/>
          <w:highlight w:val="none"/>
          <w:lang w:eastAsia="zh-CN"/>
        </w:rPr>
        <w:t>。</w:t>
      </w:r>
    </w:p>
    <w:p w14:paraId="69A297E4">
      <w:pPr>
        <w:spacing w:line="380" w:lineRule="exact"/>
        <w:ind w:firstLine="420" w:firstLineChars="200"/>
        <w:rPr>
          <w:rFonts w:hint="eastAsia"/>
          <w:color w:val="auto"/>
          <w:highlight w:val="none"/>
          <w:lang w:val="en-US" w:eastAsia="zh-CN"/>
        </w:rPr>
      </w:pPr>
    </w:p>
    <w:p w14:paraId="1EA6A21F">
      <w:pPr>
        <w:spacing w:line="380" w:lineRule="exact"/>
        <w:ind w:firstLine="420" w:firstLineChars="200"/>
        <w:rPr>
          <w:rFonts w:hint="eastAsia"/>
          <w:color w:val="auto"/>
          <w:highlight w:val="none"/>
          <w:lang w:val="en-US" w:eastAsia="zh-CN"/>
        </w:rPr>
      </w:pPr>
      <w:r>
        <w:rPr>
          <w:rFonts w:hint="eastAsia"/>
          <w:color w:val="auto"/>
          <w:highlight w:val="none"/>
          <w:lang w:val="en-US" w:eastAsia="zh-CN"/>
        </w:rPr>
        <w:t>标项三</w:t>
      </w:r>
    </w:p>
    <w:p w14:paraId="279EEAB0">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标项名称</w:t>
      </w:r>
      <w:r>
        <w:rPr>
          <w:rFonts w:hint="eastAsia"/>
          <w:color w:val="auto"/>
          <w:highlight w:val="none"/>
          <w:lang w:val="en-US" w:eastAsia="zh-CN"/>
        </w:rPr>
        <w:t>：C分标：</w:t>
      </w:r>
      <w:r>
        <w:rPr>
          <w:rFonts w:hint="eastAsia"/>
          <w:color w:val="auto"/>
          <w:highlight w:val="none"/>
        </w:rPr>
        <w:t>正价纸质图书供应服务</w:t>
      </w:r>
    </w:p>
    <w:p w14:paraId="4728C2BE">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数量</w:t>
      </w:r>
      <w:r>
        <w:rPr>
          <w:rFonts w:hint="eastAsia"/>
          <w:color w:val="auto"/>
          <w:highlight w:val="none"/>
          <w:lang w:val="en-US" w:eastAsia="zh-CN"/>
        </w:rPr>
        <w:t>：1</w:t>
      </w:r>
    </w:p>
    <w:p w14:paraId="6D15BCF5">
      <w:pPr>
        <w:spacing w:line="380" w:lineRule="exact"/>
        <w:ind w:firstLine="420" w:firstLineChars="200"/>
        <w:rPr>
          <w:rFonts w:hint="default"/>
          <w:color w:val="auto"/>
          <w:highlight w:val="none"/>
          <w:lang w:val="en-US" w:eastAsia="zh-CN"/>
        </w:rPr>
      </w:pPr>
      <w:r>
        <w:rPr>
          <w:rFonts w:hint="default"/>
          <w:color w:val="auto"/>
          <w:highlight w:val="none"/>
          <w:lang w:val="en-US" w:eastAsia="zh-CN"/>
        </w:rPr>
        <w:t>预算金额（元）</w:t>
      </w:r>
      <w:r>
        <w:rPr>
          <w:rFonts w:hint="eastAsia"/>
          <w:color w:val="auto"/>
          <w:highlight w:val="none"/>
          <w:lang w:val="en-US" w:eastAsia="zh-CN"/>
        </w:rPr>
        <w:t>：586000.00</w:t>
      </w:r>
    </w:p>
    <w:p w14:paraId="135482D7">
      <w:pPr>
        <w:spacing w:line="380" w:lineRule="exact"/>
        <w:ind w:firstLine="420" w:firstLineChars="200"/>
        <w:rPr>
          <w:rFonts w:hint="default"/>
          <w:color w:val="auto"/>
          <w:highlight w:val="none"/>
          <w:lang w:val="en-US" w:eastAsia="zh-CN"/>
        </w:rPr>
      </w:pPr>
      <w:r>
        <w:rPr>
          <w:rFonts w:hint="default"/>
          <w:color w:val="auto"/>
          <w:highlight w:val="none"/>
          <w:lang w:val="en-US" w:eastAsia="zh-CN"/>
        </w:rPr>
        <w:t>简要规格描述或项目基本概况介绍、用途：</w:t>
      </w:r>
      <w:r>
        <w:rPr>
          <w:rFonts w:hint="eastAsia"/>
          <w:color w:val="auto"/>
          <w:highlight w:val="none"/>
        </w:rPr>
        <w:t>纸质图书</w:t>
      </w:r>
      <w:r>
        <w:rPr>
          <w:rFonts w:hint="eastAsia"/>
          <w:color w:val="auto"/>
          <w:highlight w:val="none"/>
          <w:lang w:eastAsia="zh-CN"/>
        </w:rPr>
        <w:t>采购</w:t>
      </w:r>
      <w:r>
        <w:rPr>
          <w:rFonts w:hint="eastAsia"/>
          <w:color w:val="auto"/>
          <w:highlight w:val="none"/>
        </w:rPr>
        <w:t>供应商1家，采购全国各大出版社出版的纸质图书至少1.2044万册，提供采购图书入馆等相关服务，如需进一步了解详细内容，详见竞争性磋商文件。</w:t>
      </w:r>
    </w:p>
    <w:p w14:paraId="65239945">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最高限价（如有）：</w:t>
      </w:r>
      <w:r>
        <w:rPr>
          <w:rFonts w:hint="eastAsia"/>
          <w:color w:val="auto"/>
          <w:highlight w:val="none"/>
          <w:lang w:val="en-US" w:eastAsia="zh-CN"/>
        </w:rPr>
        <w:t>586000.00</w:t>
      </w:r>
    </w:p>
    <w:p w14:paraId="627F7256">
      <w:pPr>
        <w:spacing w:line="380" w:lineRule="exact"/>
        <w:ind w:firstLine="420" w:firstLineChars="200"/>
        <w:rPr>
          <w:rFonts w:hint="default"/>
          <w:color w:val="auto"/>
          <w:highlight w:val="none"/>
          <w:lang w:val="en-US" w:eastAsia="zh-CN"/>
        </w:rPr>
      </w:pPr>
      <w:r>
        <w:rPr>
          <w:rFonts w:hint="default"/>
          <w:color w:val="auto"/>
          <w:highlight w:val="none"/>
          <w:lang w:val="en-US" w:eastAsia="zh-CN"/>
        </w:rPr>
        <w:t>合同履</w:t>
      </w:r>
      <w:r>
        <w:rPr>
          <w:rFonts w:hint="eastAsia"/>
          <w:color w:val="auto"/>
          <w:highlight w:val="none"/>
          <w:lang w:val="en-US" w:eastAsia="zh-CN"/>
        </w:rPr>
        <w:t>行</w:t>
      </w:r>
      <w:r>
        <w:rPr>
          <w:rFonts w:hint="default"/>
          <w:color w:val="auto"/>
          <w:highlight w:val="none"/>
          <w:lang w:val="en-US" w:eastAsia="zh-CN"/>
        </w:rPr>
        <w:t>期限：</w:t>
      </w:r>
      <w:r>
        <w:rPr>
          <w:rFonts w:hint="eastAsia"/>
          <w:color w:val="auto"/>
          <w:highlight w:val="none"/>
        </w:rPr>
        <w:t>自签订合同之日起至2027年4月30日止</w:t>
      </w:r>
    </w:p>
    <w:p w14:paraId="6BDAEA28">
      <w:pPr>
        <w:spacing w:line="380" w:lineRule="exact"/>
        <w:ind w:firstLine="420" w:firstLineChars="200"/>
        <w:rPr>
          <w:rFonts w:hint="default"/>
          <w:color w:val="auto"/>
          <w:highlight w:val="none"/>
          <w:lang w:val="en-US" w:eastAsia="zh-CN"/>
        </w:rPr>
      </w:pPr>
      <w:r>
        <w:rPr>
          <w:rFonts w:hint="default"/>
          <w:color w:val="auto"/>
          <w:highlight w:val="none"/>
          <w:lang w:val="en-US" w:eastAsia="zh-CN"/>
        </w:rPr>
        <w:t>本</w:t>
      </w:r>
      <w:r>
        <w:rPr>
          <w:rFonts w:hint="eastAsia"/>
          <w:color w:val="auto"/>
          <w:highlight w:val="none"/>
          <w:lang w:val="en-US" w:eastAsia="zh-CN"/>
        </w:rPr>
        <w:t>标项</w:t>
      </w:r>
      <w:r>
        <w:rPr>
          <w:rFonts w:hint="default"/>
          <w:color w:val="auto"/>
          <w:highlight w:val="none"/>
          <w:lang w:val="en-US" w:eastAsia="zh-CN"/>
        </w:rPr>
        <w:t>（否）接受联合体</w:t>
      </w:r>
      <w:r>
        <w:rPr>
          <w:rFonts w:hint="eastAsia"/>
          <w:color w:val="auto"/>
          <w:highlight w:val="none"/>
          <w:lang w:val="en-US" w:eastAsia="zh-CN"/>
        </w:rPr>
        <w:t>竞标</w:t>
      </w:r>
    </w:p>
    <w:p w14:paraId="73E213A9">
      <w:pPr>
        <w:spacing w:line="380" w:lineRule="exact"/>
        <w:ind w:firstLine="420" w:firstLineChars="200"/>
        <w:rPr>
          <w:rFonts w:hint="eastAsia" w:eastAsia="宋体"/>
          <w:color w:val="auto"/>
          <w:highlight w:val="none"/>
          <w:lang w:val="en-US" w:eastAsia="zh-CN"/>
        </w:rPr>
      </w:pPr>
      <w:r>
        <w:rPr>
          <w:rFonts w:hint="eastAsia" w:ascii="宋体" w:hAnsi="宋体" w:cs="宋体"/>
          <w:color w:val="auto"/>
          <w:szCs w:val="21"/>
          <w:highlight w:val="none"/>
        </w:rPr>
        <w:t>备注：</w:t>
      </w:r>
      <w:r>
        <w:rPr>
          <w:rFonts w:hint="eastAsia" w:ascii="宋体" w:hAnsi="宋体" w:eastAsia="宋体" w:cs="宋体"/>
          <w:color w:val="auto"/>
          <w:highlight w:val="none"/>
          <w:lang w:val="en-US" w:eastAsia="zh-CN"/>
        </w:rPr>
        <w:t>本项目划分为A、B、C三个分标，供应商</w:t>
      </w:r>
      <w:r>
        <w:rPr>
          <w:rFonts w:hint="eastAsia" w:ascii="宋体" w:hAnsi="宋体" w:eastAsia="宋体" w:cs="宋体"/>
          <w:color w:val="auto"/>
          <w:highlight w:val="none"/>
        </w:rPr>
        <w:t>可就一个或多个标段进行</w:t>
      </w:r>
      <w:r>
        <w:rPr>
          <w:rFonts w:hint="eastAsia" w:ascii="宋体" w:hAnsi="宋体" w:eastAsia="宋体" w:cs="宋体"/>
          <w:color w:val="auto"/>
          <w:highlight w:val="none"/>
          <w:lang w:eastAsia="zh-CN"/>
        </w:rPr>
        <w:t>竞</w:t>
      </w:r>
      <w:r>
        <w:rPr>
          <w:rFonts w:hint="eastAsia" w:ascii="宋体" w:hAnsi="宋体" w:eastAsia="宋体" w:cs="宋体"/>
          <w:color w:val="auto"/>
          <w:highlight w:val="none"/>
        </w:rPr>
        <w:t>标</w:t>
      </w:r>
      <w:r>
        <w:rPr>
          <w:rFonts w:hint="eastAsia" w:ascii="宋体" w:hAnsi="宋体" w:eastAsia="宋体" w:cs="宋体"/>
          <w:color w:val="auto"/>
          <w:highlight w:val="none"/>
          <w:lang w:val="en-US" w:eastAsia="zh-CN"/>
        </w:rPr>
        <w:t>，但同一供应商最终仅允许成为一个分标的成交供应商</w:t>
      </w:r>
      <w:r>
        <w:rPr>
          <w:rFonts w:hint="eastAsia" w:ascii="宋体" w:hAnsi="宋体" w:cs="宋体"/>
          <w:color w:val="auto"/>
          <w:szCs w:val="21"/>
          <w:highlight w:val="none"/>
          <w:lang w:eastAsia="zh-CN"/>
        </w:rPr>
        <w:t>。</w:t>
      </w:r>
    </w:p>
    <w:p w14:paraId="54C6A684">
      <w:pPr>
        <w:spacing w:line="380" w:lineRule="exact"/>
        <w:ind w:firstLine="420" w:firstLineChars="200"/>
        <w:rPr>
          <w:rFonts w:hint="eastAsia"/>
          <w:color w:val="auto"/>
          <w:highlight w:val="none"/>
          <w:lang w:val="en-US" w:eastAsia="zh-CN"/>
        </w:rPr>
      </w:pPr>
    </w:p>
    <w:p w14:paraId="6B3191B9">
      <w:pPr>
        <w:spacing w:line="380" w:lineRule="exact"/>
        <w:ind w:firstLine="482" w:firstLineChars="200"/>
        <w:rPr>
          <w:rFonts w:hint="eastAsia" w:ascii="黑体" w:hAnsi="黑体" w:eastAsia="黑体" w:cs="宋体"/>
          <w:bCs/>
          <w:color w:val="auto"/>
          <w:sz w:val="24"/>
          <w:highlight w:val="none"/>
          <w:lang w:eastAsia="zh-CN"/>
        </w:rPr>
      </w:pPr>
      <w:bookmarkStart w:id="18" w:name="_Toc28359013"/>
      <w:bookmarkStart w:id="19" w:name="_Toc35393799"/>
      <w:bookmarkStart w:id="20" w:name="_Toc35393630"/>
      <w:bookmarkStart w:id="21" w:name="_Toc28359090"/>
      <w:bookmarkStart w:id="22" w:name="_Toc44229879"/>
      <w:r>
        <w:rPr>
          <w:rFonts w:hint="eastAsia" w:ascii="黑体" w:hAnsi="黑体" w:eastAsia="黑体" w:cs="宋体"/>
          <w:b/>
          <w:color w:val="auto"/>
          <w:kern w:val="44"/>
          <w:sz w:val="24"/>
          <w:highlight w:val="none"/>
        </w:rPr>
        <w:t>二、</w:t>
      </w:r>
      <w:r>
        <w:rPr>
          <w:rFonts w:hint="eastAsia" w:ascii="黑体" w:hAnsi="黑体" w:eastAsia="黑体" w:cs="宋体"/>
          <w:b/>
          <w:color w:val="auto"/>
          <w:kern w:val="44"/>
          <w:sz w:val="24"/>
          <w:highlight w:val="none"/>
          <w:lang w:eastAsia="zh-CN"/>
        </w:rPr>
        <w:t>申请人</w:t>
      </w:r>
      <w:r>
        <w:rPr>
          <w:rFonts w:hint="eastAsia" w:ascii="黑体" w:hAnsi="黑体" w:eastAsia="黑体" w:cs="宋体"/>
          <w:b/>
          <w:color w:val="auto"/>
          <w:kern w:val="44"/>
          <w:sz w:val="24"/>
          <w:highlight w:val="none"/>
        </w:rPr>
        <w:t>的资格</w:t>
      </w:r>
      <w:bookmarkEnd w:id="18"/>
      <w:bookmarkEnd w:id="19"/>
      <w:bookmarkEnd w:id="20"/>
      <w:bookmarkEnd w:id="21"/>
      <w:bookmarkEnd w:id="22"/>
      <w:r>
        <w:rPr>
          <w:rFonts w:hint="eastAsia" w:ascii="黑体" w:hAnsi="黑体" w:eastAsia="黑体" w:cs="宋体"/>
          <w:b/>
          <w:color w:val="auto"/>
          <w:kern w:val="44"/>
          <w:sz w:val="24"/>
          <w:highlight w:val="none"/>
          <w:lang w:val="en-US" w:eastAsia="zh-CN"/>
        </w:rPr>
        <w:t>要求</w:t>
      </w:r>
    </w:p>
    <w:p w14:paraId="5621A3E1">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1.满足《中华人民共和国政府采购法》第二十二条规定；</w:t>
      </w:r>
    </w:p>
    <w:p w14:paraId="22DB4482">
      <w:pPr>
        <w:spacing w:line="360" w:lineRule="auto"/>
        <w:ind w:firstLine="420" w:firstLineChars="200"/>
        <w:rPr>
          <w:rFonts w:hint="eastAsia" w:ascii="宋体" w:hAnsi="宋体" w:eastAsia="宋体" w:cs="宋体"/>
          <w:i w:val="0"/>
          <w:iCs w:val="0"/>
          <w:color w:val="auto"/>
          <w:szCs w:val="21"/>
          <w:highlight w:val="none"/>
          <w:u w:val="single"/>
          <w:lang w:eastAsia="zh-CN"/>
        </w:rPr>
      </w:pPr>
      <w:r>
        <w:rPr>
          <w:rFonts w:hint="eastAsia" w:ascii="宋体" w:hAnsi="宋体" w:eastAsia="宋体" w:cs="宋体"/>
          <w:color w:val="auto"/>
          <w:szCs w:val="21"/>
          <w:highlight w:val="none"/>
        </w:rPr>
        <w:t>2.落实政府采购政策需满足的资格要求：</w:t>
      </w:r>
      <w:r>
        <w:rPr>
          <w:rFonts w:hint="eastAsia" w:ascii="宋体" w:hAnsi="宋体" w:eastAsia="宋体" w:cs="宋体"/>
          <w:i w:val="0"/>
          <w:iCs w:val="0"/>
          <w:color w:val="auto"/>
          <w:szCs w:val="21"/>
          <w:highlight w:val="none"/>
          <w:u w:val="single"/>
          <w:lang w:eastAsia="zh-CN"/>
        </w:rPr>
        <w:t>无</w:t>
      </w:r>
      <w:r>
        <w:rPr>
          <w:rFonts w:hint="eastAsia" w:ascii="宋体" w:hAnsi="宋体" w:cs="宋体"/>
          <w:i w:val="0"/>
          <w:iCs w:val="0"/>
          <w:color w:val="auto"/>
          <w:szCs w:val="21"/>
          <w:highlight w:val="none"/>
          <w:u w:val="single"/>
          <w:lang w:eastAsia="zh-CN"/>
        </w:rPr>
        <w:t>；</w:t>
      </w:r>
    </w:p>
    <w:p w14:paraId="18AA6CC0">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3.本项目的特定资格要求：</w:t>
      </w:r>
      <w:r>
        <w:rPr>
          <w:rFonts w:hint="eastAsia" w:ascii="宋体" w:hAnsi="宋体" w:cs="宋体"/>
          <w:color w:val="auto"/>
          <w:szCs w:val="21"/>
          <w:highlight w:val="none"/>
          <w:u w:val="single"/>
        </w:rPr>
        <w:t>分标1</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lang w:val="en-US" w:eastAsia="zh-CN"/>
        </w:rPr>
        <w:t>A分标</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提供有效的《出版物经营许可证》；分标2</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B分标</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提供有效的《出版物经营许可证》；分标3</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C分标</w:t>
      </w:r>
      <w:r>
        <w:rPr>
          <w:rFonts w:hint="eastAsia" w:ascii="宋体" w:hAnsi="宋体" w:cs="宋体"/>
          <w:color w:val="auto"/>
          <w:szCs w:val="21"/>
          <w:highlight w:val="none"/>
          <w:u w:val="single"/>
          <w:lang w:eastAsia="zh-CN"/>
        </w:rPr>
        <w:t>）</w:t>
      </w:r>
      <w:r>
        <w:rPr>
          <w:rFonts w:hint="eastAsia" w:ascii="宋体" w:hAnsi="宋体" w:cs="宋体"/>
          <w:color w:val="auto"/>
          <w:szCs w:val="21"/>
          <w:highlight w:val="none"/>
          <w:u w:val="single"/>
        </w:rPr>
        <w:t>提供有效的《出版物经营许可证》</w:t>
      </w:r>
    </w:p>
    <w:p w14:paraId="50D31013">
      <w:pPr>
        <w:spacing w:line="380" w:lineRule="exact"/>
        <w:ind w:firstLine="482" w:firstLineChars="200"/>
        <w:rPr>
          <w:rFonts w:ascii="黑体" w:hAnsi="黑体" w:eastAsia="黑体"/>
          <w:b/>
          <w:bCs/>
          <w:color w:val="auto"/>
          <w:sz w:val="24"/>
          <w:highlight w:val="none"/>
        </w:rPr>
      </w:pPr>
      <w:r>
        <w:rPr>
          <w:rFonts w:hint="eastAsia" w:ascii="黑体" w:hAnsi="黑体" w:eastAsia="黑体"/>
          <w:b/>
          <w:bCs/>
          <w:color w:val="auto"/>
          <w:sz w:val="24"/>
          <w:highlight w:val="none"/>
        </w:rPr>
        <w:t>三、获取</w:t>
      </w:r>
      <w:r>
        <w:rPr>
          <w:rFonts w:hint="eastAsia" w:ascii="黑体" w:hAnsi="黑体" w:eastAsia="黑体"/>
          <w:b/>
          <w:bCs/>
          <w:color w:val="auto"/>
          <w:sz w:val="24"/>
          <w:highlight w:val="none"/>
          <w:lang w:eastAsia="zh-CN"/>
        </w:rPr>
        <w:t>采购</w:t>
      </w:r>
      <w:r>
        <w:rPr>
          <w:rFonts w:hint="eastAsia" w:ascii="黑体" w:hAnsi="黑体" w:eastAsia="黑体"/>
          <w:b/>
          <w:bCs/>
          <w:color w:val="auto"/>
          <w:sz w:val="24"/>
          <w:highlight w:val="none"/>
        </w:rPr>
        <w:t>文件</w:t>
      </w:r>
      <w:bookmarkEnd w:id="14"/>
      <w:bookmarkEnd w:id="15"/>
      <w:bookmarkEnd w:id="16"/>
      <w:bookmarkEnd w:id="17"/>
    </w:p>
    <w:p w14:paraId="797DEC83">
      <w:pPr>
        <w:spacing w:line="380" w:lineRule="exact"/>
        <w:ind w:firstLine="420" w:firstLineChars="200"/>
        <w:rPr>
          <w:rFonts w:hint="eastAsia" w:ascii="宋体" w:hAnsi="宋体" w:eastAsia="宋体" w:cs="宋体"/>
          <w:color w:val="auto"/>
          <w:szCs w:val="21"/>
          <w:highlight w:val="none"/>
        </w:rPr>
      </w:pPr>
      <w:bookmarkStart w:id="23" w:name="_Toc35393624"/>
      <w:bookmarkStart w:id="24" w:name="_Toc28359082"/>
      <w:bookmarkStart w:id="25" w:name="_Toc28359005"/>
      <w:bookmarkStart w:id="26" w:name="_Toc35393793"/>
      <w:r>
        <w:rPr>
          <w:rFonts w:hint="eastAsia" w:ascii="宋体" w:hAnsi="宋体" w:eastAsia="宋体" w:cs="宋体"/>
          <w:color w:val="auto"/>
          <w:szCs w:val="21"/>
          <w:highlight w:val="none"/>
        </w:rPr>
        <w:t>时间：</w:t>
      </w:r>
      <w:r>
        <w:rPr>
          <w:rFonts w:hint="eastAsia" w:ascii="宋体" w:hAnsi="宋体" w:eastAsia="宋体" w:cs="宋体"/>
          <w:bCs/>
          <w:color w:val="auto"/>
          <w:kern w:val="0"/>
          <w:szCs w:val="21"/>
          <w:highlight w:val="none"/>
          <w:u w:val="single"/>
          <w:lang w:val="en-US" w:eastAsia="zh-CN"/>
        </w:rPr>
        <w:t>2026</w:t>
      </w:r>
      <w:r>
        <w:rPr>
          <w:rFonts w:hint="eastAsia" w:ascii="宋体" w:hAnsi="宋体" w:eastAsia="宋体" w:cs="宋体"/>
          <w:bCs/>
          <w:color w:val="auto"/>
          <w:kern w:val="0"/>
          <w:szCs w:val="21"/>
          <w:highlight w:val="none"/>
          <w:u w:val="single"/>
        </w:rPr>
        <w:t>年</w:t>
      </w:r>
      <w:r>
        <w:rPr>
          <w:rFonts w:hint="eastAsia" w:ascii="宋体" w:hAnsi="宋体" w:cs="宋体"/>
          <w:bCs/>
          <w:color w:val="auto"/>
          <w:kern w:val="0"/>
          <w:szCs w:val="21"/>
          <w:highlight w:val="none"/>
          <w:u w:val="single"/>
          <w:lang w:val="en-US" w:eastAsia="zh-CN"/>
        </w:rPr>
        <w:t>4</w:t>
      </w:r>
      <w:r>
        <w:rPr>
          <w:rFonts w:hint="eastAsia" w:ascii="宋体" w:hAnsi="宋体" w:eastAsia="宋体" w:cs="宋体"/>
          <w:bCs/>
          <w:color w:val="auto"/>
          <w:kern w:val="0"/>
          <w:szCs w:val="21"/>
          <w:highlight w:val="none"/>
          <w:u w:val="single"/>
        </w:rPr>
        <w:t>月</w:t>
      </w:r>
      <w:r>
        <w:rPr>
          <w:rFonts w:hint="eastAsia" w:ascii="宋体" w:hAnsi="宋体" w:cs="宋体"/>
          <w:bCs/>
          <w:color w:val="auto"/>
          <w:kern w:val="0"/>
          <w:szCs w:val="21"/>
          <w:highlight w:val="none"/>
          <w:u w:val="single"/>
          <w:lang w:val="en-US" w:eastAsia="zh-CN"/>
        </w:rPr>
        <w:t>29</w:t>
      </w:r>
      <w:r>
        <w:rPr>
          <w:rFonts w:hint="eastAsia" w:ascii="宋体" w:hAnsi="宋体" w:eastAsia="宋体" w:cs="宋体"/>
          <w:bCs/>
          <w:color w:val="auto"/>
          <w:kern w:val="0"/>
          <w:szCs w:val="21"/>
          <w:highlight w:val="none"/>
          <w:u w:val="single"/>
        </w:rPr>
        <w:t>日</w:t>
      </w:r>
      <w:r>
        <w:rPr>
          <w:rFonts w:hint="eastAsia" w:ascii="宋体" w:hAnsi="宋体" w:eastAsia="宋体" w:cs="宋体"/>
          <w:bCs/>
          <w:color w:val="auto"/>
          <w:kern w:val="0"/>
          <w:szCs w:val="21"/>
          <w:highlight w:val="none"/>
        </w:rPr>
        <w:t>至</w:t>
      </w:r>
      <w:r>
        <w:rPr>
          <w:rFonts w:hint="eastAsia" w:ascii="宋体" w:hAnsi="宋体" w:eastAsia="宋体" w:cs="宋体"/>
          <w:bCs/>
          <w:color w:val="auto"/>
          <w:kern w:val="0"/>
          <w:szCs w:val="21"/>
          <w:highlight w:val="none"/>
          <w:u w:val="single"/>
          <w:lang w:val="en-US" w:eastAsia="zh-CN"/>
        </w:rPr>
        <w:t>2026</w:t>
      </w:r>
      <w:r>
        <w:rPr>
          <w:rFonts w:hint="eastAsia" w:ascii="宋体" w:hAnsi="宋体" w:eastAsia="宋体" w:cs="宋体"/>
          <w:bCs/>
          <w:color w:val="auto"/>
          <w:kern w:val="0"/>
          <w:szCs w:val="21"/>
          <w:highlight w:val="none"/>
          <w:u w:val="single"/>
        </w:rPr>
        <w:t>年</w:t>
      </w:r>
      <w:r>
        <w:rPr>
          <w:rFonts w:hint="eastAsia" w:ascii="宋体" w:hAnsi="宋体" w:cs="宋体"/>
          <w:bCs/>
          <w:color w:val="auto"/>
          <w:kern w:val="0"/>
          <w:szCs w:val="21"/>
          <w:highlight w:val="none"/>
          <w:u w:val="single"/>
          <w:lang w:val="en-US" w:eastAsia="zh-CN"/>
        </w:rPr>
        <w:t>5</w:t>
      </w:r>
      <w:r>
        <w:rPr>
          <w:rFonts w:hint="eastAsia" w:ascii="宋体" w:hAnsi="宋体" w:eastAsia="宋体" w:cs="宋体"/>
          <w:bCs/>
          <w:color w:val="auto"/>
          <w:kern w:val="0"/>
          <w:szCs w:val="21"/>
          <w:highlight w:val="none"/>
          <w:u w:val="single"/>
        </w:rPr>
        <w:t>月</w:t>
      </w:r>
      <w:r>
        <w:rPr>
          <w:rFonts w:hint="eastAsia" w:ascii="宋体" w:hAnsi="宋体" w:cs="宋体"/>
          <w:bCs/>
          <w:color w:val="auto"/>
          <w:kern w:val="0"/>
          <w:szCs w:val="21"/>
          <w:highlight w:val="none"/>
          <w:u w:val="single"/>
          <w:lang w:val="en-US" w:eastAsia="zh-CN"/>
        </w:rPr>
        <w:t>9</w:t>
      </w:r>
      <w:r>
        <w:rPr>
          <w:rFonts w:hint="eastAsia" w:ascii="宋体" w:hAnsi="宋体" w:eastAsia="宋体" w:cs="宋体"/>
          <w:bCs/>
          <w:color w:val="auto"/>
          <w:kern w:val="0"/>
          <w:szCs w:val="21"/>
          <w:highlight w:val="none"/>
          <w:u w:val="single"/>
        </w:rPr>
        <w:t>日</w:t>
      </w:r>
      <w:r>
        <w:rPr>
          <w:rFonts w:hint="eastAsia" w:ascii="宋体" w:hAnsi="宋体" w:eastAsia="宋体" w:cs="宋体"/>
          <w:bCs/>
          <w:color w:val="auto"/>
          <w:kern w:val="0"/>
          <w:szCs w:val="21"/>
          <w:highlight w:val="none"/>
        </w:rPr>
        <w:t>，</w:t>
      </w:r>
      <w:r>
        <w:rPr>
          <w:rFonts w:hint="eastAsia" w:ascii="宋体"/>
          <w:color w:val="auto"/>
          <w:szCs w:val="21"/>
          <w:highlight w:val="none"/>
        </w:rPr>
        <w:t>每天上午00：00至11：59，下午12：00至23：59（北京时间，法定节假日除外）</w:t>
      </w:r>
      <w:r>
        <w:rPr>
          <w:rFonts w:hint="eastAsia" w:ascii="宋体" w:hAnsi="宋体" w:eastAsia="宋体" w:cs="宋体"/>
          <w:color w:val="auto"/>
          <w:szCs w:val="21"/>
          <w:highlight w:val="none"/>
        </w:rPr>
        <w:t>。</w:t>
      </w:r>
    </w:p>
    <w:p w14:paraId="36C2EFDA">
      <w:pPr>
        <w:pStyle w:val="11"/>
        <w:ind w:firstLine="420" w:firstLineChars="200"/>
        <w:rPr>
          <w:rFonts w:hint="eastAsia" w:ascii="宋体" w:hAnsi="宋体" w:eastAsia="宋体" w:cs="宋体"/>
          <w:color w:val="auto"/>
          <w:szCs w:val="21"/>
          <w:highlight w:val="none"/>
          <w:lang w:val="en-US" w:eastAsia="zh-CN"/>
        </w:rPr>
      </w:pPr>
      <w:r>
        <w:rPr>
          <w:rFonts w:hint="eastAsia" w:ascii="宋体" w:hAnsi="宋体" w:eastAsia="宋体" w:cs="宋体"/>
          <w:bCs/>
          <w:color w:val="auto"/>
          <w:kern w:val="0"/>
          <w:szCs w:val="21"/>
          <w:highlight w:val="none"/>
        </w:rPr>
        <w:t>地点：</w:t>
      </w:r>
      <w:r>
        <w:rPr>
          <w:rFonts w:hint="eastAsia" w:ascii="宋体" w:hAnsi="宋体" w:eastAsia="宋体" w:cs="宋体"/>
          <w:color w:val="auto"/>
          <w:szCs w:val="21"/>
          <w:highlight w:val="none"/>
          <w:lang w:val="en-US" w:eastAsia="zh-CN"/>
        </w:rPr>
        <w:t xml:space="preserve"> </w:t>
      </w:r>
      <w:r>
        <w:rPr>
          <w:rFonts w:hint="eastAsia" w:ascii="宋体" w:hAnsi="宋体" w:cs="宋体"/>
          <w:b w:val="0"/>
          <w:bCs w:val="0"/>
          <w:color w:val="auto"/>
          <w:sz w:val="21"/>
          <w:szCs w:val="21"/>
          <w:highlight w:val="none"/>
          <w:lang w:val="en-US" w:eastAsia="zh-CN"/>
        </w:rPr>
        <w:t>广西政府采购云平台（https://www.gcy.zfcg.gxzf.gov.cn/）</w:t>
      </w:r>
    </w:p>
    <w:p w14:paraId="2969B1DB">
      <w:pPr>
        <w:pStyle w:val="11"/>
        <w:spacing w:line="240" w:lineRule="auto"/>
        <w:rPr>
          <w:rFonts w:hint="eastAsia" w:ascii="宋体" w:hAnsi="宋体" w:eastAsia="宋体" w:cs="宋体"/>
          <w:b/>
          <w:bCs/>
          <w:color w:val="auto"/>
          <w:sz w:val="24"/>
          <w:highlight w:val="none"/>
          <w:lang w:eastAsia="zh-CN"/>
        </w:rPr>
      </w:pPr>
      <w:r>
        <w:rPr>
          <w:rFonts w:hint="eastAsia" w:ascii="宋体" w:hAnsi="宋体" w:eastAsia="宋体" w:cs="宋体"/>
          <w:color w:val="auto"/>
          <w:szCs w:val="21"/>
          <w:highlight w:val="none"/>
          <w:lang w:eastAsia="zh-CN"/>
        </w:rPr>
        <w:t>　　</w:t>
      </w:r>
      <w:r>
        <w:rPr>
          <w:rFonts w:hint="eastAsia" w:ascii="宋体" w:hAnsi="宋体" w:eastAsia="宋体" w:cs="宋体"/>
          <w:color w:val="auto"/>
          <w:szCs w:val="21"/>
          <w:highlight w:val="none"/>
        </w:rPr>
        <w:t>方式</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网上下载。本项目不发放纸质采购文件，</w:t>
      </w:r>
      <w:r>
        <w:rPr>
          <w:rFonts w:hint="eastAsia" w:ascii="宋体" w:hAnsi="宋体" w:eastAsia="宋体" w:cs="宋体"/>
          <w:color w:val="auto"/>
          <w:szCs w:val="21"/>
          <w:highlight w:val="none"/>
          <w:lang w:eastAsia="zh-CN"/>
        </w:rPr>
        <w:t>潜在</w:t>
      </w:r>
      <w:r>
        <w:rPr>
          <w:rFonts w:hint="eastAsia" w:ascii="宋体" w:hAnsi="宋体" w:eastAsia="宋体" w:cs="宋体"/>
          <w:color w:val="auto"/>
          <w:szCs w:val="21"/>
          <w:highlight w:val="none"/>
        </w:rPr>
        <w:t>供应商可自行在</w:t>
      </w:r>
      <w:r>
        <w:rPr>
          <w:rFonts w:hint="eastAsia" w:ascii="宋体" w:hAnsi="宋体" w:cs="宋体"/>
          <w:b w:val="0"/>
          <w:bCs w:val="0"/>
          <w:color w:val="auto"/>
          <w:sz w:val="21"/>
          <w:szCs w:val="21"/>
          <w:highlight w:val="none"/>
          <w:lang w:val="en-US" w:eastAsia="zh-CN"/>
        </w:rPr>
        <w:t>广西政府采购云平台（https://www.gcy.zfcg.gxzf.gov.cn/）</w:t>
      </w:r>
      <w:r>
        <w:rPr>
          <w:rFonts w:hint="eastAsia" w:ascii="宋体" w:hAnsi="宋体" w:eastAsia="宋体" w:cs="宋体"/>
          <w:color w:val="auto"/>
          <w:szCs w:val="21"/>
          <w:highlight w:val="none"/>
        </w:rPr>
        <w:t>下载采购文件（操作路径：登录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rPr>
        <w:t>-项目采购-获取采购文件-找到本项目-点击“申请获取采购文件”），电子响应文件制作需要基于</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rPr>
        <w:t>获取的采购文件编制。</w:t>
      </w:r>
    </w:p>
    <w:p w14:paraId="7C217468">
      <w:pPr>
        <w:snapToGrid w:val="0"/>
        <w:spacing w:line="380" w:lineRule="exact"/>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售价：</w:t>
      </w:r>
      <w:r>
        <w:rPr>
          <w:rFonts w:hint="eastAsia" w:ascii="宋体" w:hAnsi="宋体" w:eastAsia="宋体" w:cs="宋体"/>
          <w:color w:val="auto"/>
          <w:szCs w:val="21"/>
          <w:highlight w:val="none"/>
          <w:lang w:eastAsia="zh-CN"/>
        </w:rPr>
        <w:t>人民币</w:t>
      </w:r>
      <w:r>
        <w:rPr>
          <w:rFonts w:hint="eastAsia" w:ascii="宋体" w:hAnsi="宋体" w:eastAsia="宋体" w:cs="宋体"/>
          <w:color w:val="auto"/>
          <w:szCs w:val="21"/>
          <w:highlight w:val="none"/>
        </w:rPr>
        <w:t>0元。</w:t>
      </w:r>
    </w:p>
    <w:p w14:paraId="0FA7C12E">
      <w:pPr>
        <w:spacing w:line="380" w:lineRule="exact"/>
        <w:ind w:firstLine="482" w:firstLineChars="200"/>
        <w:rPr>
          <w:rFonts w:ascii="黑体" w:hAnsi="黑体" w:eastAsia="黑体"/>
          <w:b/>
          <w:bCs/>
          <w:color w:val="auto"/>
          <w:sz w:val="24"/>
          <w:highlight w:val="none"/>
        </w:rPr>
      </w:pPr>
      <w:r>
        <w:rPr>
          <w:rFonts w:hint="eastAsia" w:ascii="黑体" w:hAnsi="黑体" w:eastAsia="黑体"/>
          <w:b/>
          <w:bCs/>
          <w:color w:val="auto"/>
          <w:sz w:val="24"/>
          <w:highlight w:val="none"/>
        </w:rPr>
        <w:t>四、</w:t>
      </w:r>
      <w:bookmarkEnd w:id="23"/>
      <w:bookmarkEnd w:id="24"/>
      <w:bookmarkEnd w:id="25"/>
      <w:bookmarkEnd w:id="26"/>
      <w:r>
        <w:rPr>
          <w:rFonts w:hint="eastAsia" w:ascii="黑体" w:hAnsi="黑体" w:eastAsia="黑体"/>
          <w:b/>
          <w:bCs/>
          <w:color w:val="auto"/>
          <w:sz w:val="24"/>
          <w:highlight w:val="none"/>
        </w:rPr>
        <w:t>响应文件提交</w:t>
      </w:r>
    </w:p>
    <w:p w14:paraId="142ED4D7">
      <w:pPr>
        <w:spacing w:line="380" w:lineRule="exact"/>
        <w:ind w:firstLine="420" w:firstLineChars="200"/>
        <w:rPr>
          <w:rFonts w:hint="eastAsia" w:ascii="宋体" w:hAnsi="宋体" w:eastAsia="宋体" w:cs="宋体"/>
          <w:i/>
          <w:iCs/>
          <w:color w:val="auto"/>
          <w:szCs w:val="21"/>
          <w:highlight w:val="none"/>
          <w:u w:val="single"/>
          <w:lang w:eastAsia="zh-CN"/>
        </w:rPr>
      </w:pPr>
      <w:r>
        <w:rPr>
          <w:rFonts w:hint="eastAsia" w:ascii="宋体" w:hAnsi="宋体" w:eastAsia="宋体" w:cs="宋体"/>
          <w:color w:val="auto"/>
          <w:szCs w:val="21"/>
          <w:highlight w:val="none"/>
        </w:rPr>
        <w:t>1、首次响应文件提交截止时间</w:t>
      </w:r>
      <w:r>
        <w:rPr>
          <w:rFonts w:hint="eastAsia" w:ascii="宋体" w:hAnsi="宋体" w:eastAsia="宋体" w:cs="宋体"/>
          <w:bCs/>
          <w:color w:val="auto"/>
          <w:szCs w:val="21"/>
          <w:highlight w:val="none"/>
        </w:rPr>
        <w:t>：</w:t>
      </w:r>
      <w:bookmarkStart w:id="27" w:name="PO_3000001868_PM015"/>
      <w:r>
        <w:rPr>
          <w:rFonts w:hint="eastAsia" w:ascii="宋体" w:hAnsi="宋体" w:eastAsia="宋体" w:cs="宋体"/>
          <w:bCs/>
          <w:color w:val="auto"/>
          <w:szCs w:val="21"/>
          <w:highlight w:val="none"/>
          <w:u w:val="single"/>
          <w:lang w:val="en-US" w:eastAsia="zh-CN"/>
        </w:rPr>
        <w:t>2026</w:t>
      </w:r>
      <w:r>
        <w:rPr>
          <w:rFonts w:hint="eastAsia" w:ascii="宋体" w:hAnsi="宋体" w:eastAsia="宋体" w:cs="宋体"/>
          <w:bCs/>
          <w:color w:val="auto"/>
          <w:szCs w:val="21"/>
          <w:highlight w:val="none"/>
          <w:u w:val="single"/>
        </w:rPr>
        <w:t>年</w:t>
      </w:r>
      <w:r>
        <w:rPr>
          <w:rFonts w:hint="eastAsia" w:ascii="宋体" w:hAnsi="宋体" w:cs="宋体"/>
          <w:bCs/>
          <w:color w:val="auto"/>
          <w:szCs w:val="21"/>
          <w:highlight w:val="none"/>
          <w:u w:val="single"/>
          <w:lang w:val="en-US" w:eastAsia="zh-CN"/>
        </w:rPr>
        <w:t>5</w:t>
      </w:r>
      <w:r>
        <w:rPr>
          <w:rFonts w:hint="eastAsia" w:ascii="宋体" w:hAnsi="宋体" w:eastAsia="宋体" w:cs="宋体"/>
          <w:bCs/>
          <w:color w:val="auto"/>
          <w:szCs w:val="21"/>
          <w:highlight w:val="none"/>
          <w:u w:val="single"/>
        </w:rPr>
        <w:t>月</w:t>
      </w:r>
      <w:r>
        <w:rPr>
          <w:rFonts w:hint="eastAsia" w:ascii="宋体" w:hAnsi="宋体" w:cs="宋体"/>
          <w:bCs/>
          <w:color w:val="auto"/>
          <w:szCs w:val="21"/>
          <w:highlight w:val="none"/>
          <w:u w:val="single"/>
          <w:lang w:val="en-US" w:eastAsia="zh-CN"/>
        </w:rPr>
        <w:t>11</w:t>
      </w:r>
      <w:r>
        <w:rPr>
          <w:rFonts w:hint="eastAsia" w:ascii="宋体" w:hAnsi="宋体" w:eastAsia="宋体" w:cs="宋体"/>
          <w:bCs/>
          <w:color w:val="auto"/>
          <w:szCs w:val="21"/>
          <w:highlight w:val="none"/>
          <w:u w:val="single"/>
          <w:lang w:val="en-US" w:eastAsia="zh-CN"/>
        </w:rPr>
        <w:t xml:space="preserve"> </w:t>
      </w:r>
      <w:r>
        <w:rPr>
          <w:rFonts w:hint="eastAsia" w:ascii="宋体" w:hAnsi="宋体" w:eastAsia="宋体" w:cs="宋体"/>
          <w:bCs/>
          <w:color w:val="auto"/>
          <w:szCs w:val="21"/>
          <w:highlight w:val="none"/>
          <w:u w:val="single"/>
        </w:rPr>
        <w:t>日</w:t>
      </w:r>
      <w:r>
        <w:rPr>
          <w:rFonts w:hint="eastAsia" w:ascii="宋体" w:hAnsi="宋体" w:cs="宋体"/>
          <w:bCs/>
          <w:color w:val="auto"/>
          <w:szCs w:val="21"/>
          <w:highlight w:val="none"/>
          <w:u w:val="single"/>
          <w:lang w:val="en-US" w:eastAsia="zh-CN"/>
        </w:rPr>
        <w:t>0</w:t>
      </w:r>
      <w:bookmarkEnd w:id="27"/>
      <w:r>
        <w:rPr>
          <w:rFonts w:hint="eastAsia" w:ascii="宋体" w:hAnsi="宋体" w:cs="宋体"/>
          <w:bCs/>
          <w:color w:val="auto"/>
          <w:szCs w:val="21"/>
          <w:highlight w:val="none"/>
          <w:u w:val="single"/>
          <w:lang w:val="en-US" w:eastAsia="zh-CN"/>
        </w:rPr>
        <w:t>9</w:t>
      </w:r>
      <w:r>
        <w:rPr>
          <w:rFonts w:hint="eastAsia" w:ascii="宋体" w:hAnsi="宋体" w:eastAsia="宋体" w:cs="宋体"/>
          <w:bCs/>
          <w:color w:val="auto"/>
          <w:szCs w:val="21"/>
          <w:highlight w:val="none"/>
          <w:u w:val="single"/>
          <w:lang w:val="en-US" w:eastAsia="zh-CN"/>
        </w:rPr>
        <w:t xml:space="preserve"> 点</w:t>
      </w:r>
      <w:r>
        <w:rPr>
          <w:rFonts w:hint="eastAsia" w:ascii="宋体" w:hAnsi="宋体" w:cs="宋体"/>
          <w:bCs/>
          <w:color w:val="auto"/>
          <w:szCs w:val="21"/>
          <w:highlight w:val="none"/>
          <w:u w:val="single"/>
          <w:lang w:val="en-US" w:eastAsia="zh-CN"/>
        </w:rPr>
        <w:t>00</w:t>
      </w:r>
      <w:r>
        <w:rPr>
          <w:rFonts w:hint="eastAsia" w:ascii="宋体" w:hAnsi="宋体" w:eastAsia="宋体" w:cs="宋体"/>
          <w:bCs/>
          <w:color w:val="auto"/>
          <w:szCs w:val="21"/>
          <w:highlight w:val="none"/>
          <w:u w:val="single"/>
          <w:lang w:val="en-US" w:eastAsia="zh-CN"/>
        </w:rPr>
        <w:t>分</w:t>
      </w:r>
      <w:r>
        <w:rPr>
          <w:rFonts w:hint="eastAsia" w:ascii="宋体" w:hAnsi="宋体" w:eastAsia="宋体" w:cs="宋体"/>
          <w:bCs/>
          <w:color w:val="auto"/>
          <w:szCs w:val="21"/>
          <w:highlight w:val="none"/>
        </w:rPr>
        <w:t>（北京时间）</w:t>
      </w:r>
    </w:p>
    <w:p w14:paraId="2C0A8798">
      <w:pPr>
        <w:spacing w:line="380" w:lineRule="exact"/>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2、首次响应文件提交地点：广西政府采购云平台（https://www.gcy.zfcg.gxzf.gov.cn）</w:t>
      </w:r>
    </w:p>
    <w:p w14:paraId="7577734E">
      <w:pPr>
        <w:spacing w:line="380" w:lineRule="exact"/>
        <w:ind w:firstLine="482" w:firstLineChars="200"/>
        <w:rPr>
          <w:rFonts w:ascii="黑体" w:hAnsi="黑体" w:eastAsia="黑体"/>
          <w:b/>
          <w:bCs/>
          <w:color w:val="auto"/>
          <w:sz w:val="24"/>
          <w:highlight w:val="none"/>
        </w:rPr>
      </w:pPr>
      <w:r>
        <w:rPr>
          <w:rFonts w:hint="eastAsia" w:ascii="黑体" w:hAnsi="黑体" w:eastAsia="黑体"/>
          <w:b/>
          <w:bCs/>
          <w:color w:val="auto"/>
          <w:sz w:val="24"/>
          <w:highlight w:val="none"/>
        </w:rPr>
        <w:t>五、开启（首次响应文件开启时间）</w:t>
      </w:r>
    </w:p>
    <w:p w14:paraId="3C3ADDAE">
      <w:pPr>
        <w:spacing w:line="380" w:lineRule="exact"/>
        <w:ind w:firstLine="420" w:firstLineChars="200"/>
        <w:rPr>
          <w:bCs/>
          <w:color w:val="auto"/>
          <w:szCs w:val="21"/>
          <w:highlight w:val="none"/>
          <w:u w:val="single"/>
        </w:rPr>
      </w:pPr>
      <w:r>
        <w:rPr>
          <w:rFonts w:hint="eastAsia"/>
          <w:color w:val="auto"/>
          <w:szCs w:val="21"/>
          <w:highlight w:val="none"/>
        </w:rPr>
        <w:t>时间：</w:t>
      </w:r>
      <w:bookmarkStart w:id="28" w:name="PO_3000001868_PM015_1"/>
      <w:r>
        <w:rPr>
          <w:rFonts w:hint="eastAsia"/>
          <w:color w:val="auto"/>
          <w:szCs w:val="21"/>
          <w:highlight w:val="none"/>
          <w:u w:val="single"/>
          <w:lang w:val="en-US" w:eastAsia="zh-CN"/>
        </w:rPr>
        <w:t>2026</w:t>
      </w:r>
      <w:r>
        <w:rPr>
          <w:rFonts w:hint="eastAsia"/>
          <w:color w:val="auto"/>
          <w:szCs w:val="21"/>
          <w:highlight w:val="none"/>
          <w:u w:val="single"/>
        </w:rPr>
        <w:t>年</w:t>
      </w:r>
      <w:r>
        <w:rPr>
          <w:rFonts w:hint="eastAsia"/>
          <w:color w:val="auto"/>
          <w:szCs w:val="21"/>
          <w:highlight w:val="none"/>
          <w:u w:val="single"/>
          <w:lang w:val="en-US" w:eastAsia="zh-CN"/>
        </w:rPr>
        <w:t>5</w:t>
      </w:r>
      <w:r>
        <w:rPr>
          <w:rFonts w:hint="eastAsia"/>
          <w:color w:val="auto"/>
          <w:szCs w:val="21"/>
          <w:highlight w:val="none"/>
          <w:u w:val="single"/>
        </w:rPr>
        <w:t>月</w:t>
      </w:r>
      <w:r>
        <w:rPr>
          <w:rFonts w:hint="eastAsia"/>
          <w:color w:val="auto"/>
          <w:szCs w:val="21"/>
          <w:highlight w:val="none"/>
          <w:u w:val="single"/>
          <w:lang w:val="en-US" w:eastAsia="zh-CN"/>
        </w:rPr>
        <w:t>11</w:t>
      </w:r>
      <w:r>
        <w:rPr>
          <w:rFonts w:hint="eastAsia"/>
          <w:color w:val="auto"/>
          <w:szCs w:val="21"/>
          <w:highlight w:val="none"/>
          <w:u w:val="single"/>
        </w:rPr>
        <w:t>日</w:t>
      </w:r>
      <w:r>
        <w:rPr>
          <w:rFonts w:hint="eastAsia"/>
          <w:color w:val="auto"/>
          <w:szCs w:val="21"/>
          <w:highlight w:val="none"/>
          <w:u w:val="single"/>
          <w:lang w:val="en-US" w:eastAsia="zh-CN"/>
        </w:rPr>
        <w:t>0</w:t>
      </w:r>
      <w:bookmarkEnd w:id="28"/>
      <w:r>
        <w:rPr>
          <w:rFonts w:hint="eastAsia"/>
          <w:color w:val="auto"/>
          <w:szCs w:val="21"/>
          <w:highlight w:val="none"/>
          <w:u w:val="single"/>
          <w:lang w:val="en-US" w:eastAsia="zh-CN"/>
        </w:rPr>
        <w:t>9</w:t>
      </w:r>
      <w:r>
        <w:rPr>
          <w:rFonts w:hint="eastAsia"/>
          <w:color w:val="auto"/>
          <w:szCs w:val="21"/>
          <w:highlight w:val="none"/>
          <w:u w:val="single"/>
          <w:lang w:eastAsia="zh-CN"/>
        </w:rPr>
        <w:t>点</w:t>
      </w:r>
      <w:r>
        <w:rPr>
          <w:rFonts w:hint="eastAsia"/>
          <w:color w:val="auto"/>
          <w:szCs w:val="21"/>
          <w:highlight w:val="none"/>
          <w:u w:val="single"/>
          <w:lang w:val="en-US" w:eastAsia="zh-CN"/>
        </w:rPr>
        <w:t>00</w:t>
      </w:r>
      <w:r>
        <w:rPr>
          <w:rFonts w:hint="eastAsia"/>
          <w:color w:val="auto"/>
          <w:szCs w:val="21"/>
          <w:highlight w:val="none"/>
          <w:u w:val="single"/>
          <w:lang w:eastAsia="zh-CN"/>
        </w:rPr>
        <w:t>分</w:t>
      </w:r>
      <w:r>
        <w:rPr>
          <w:rFonts w:hint="eastAsia"/>
          <w:bCs/>
          <w:color w:val="auto"/>
          <w:szCs w:val="21"/>
          <w:highlight w:val="none"/>
        </w:rPr>
        <w:t>（北京时间）</w:t>
      </w:r>
      <w:r>
        <w:rPr>
          <w:rFonts w:hint="eastAsia"/>
          <w:color w:val="auto"/>
          <w:szCs w:val="21"/>
          <w:highlight w:val="none"/>
        </w:rPr>
        <w:t>后</w:t>
      </w:r>
    </w:p>
    <w:p w14:paraId="5E525E68">
      <w:pPr>
        <w:spacing w:line="380" w:lineRule="exact"/>
        <w:ind w:firstLine="420" w:firstLineChars="200"/>
        <w:rPr>
          <w:rFonts w:hint="eastAsia" w:eastAsia="宋体"/>
          <w:bCs/>
          <w:color w:val="auto"/>
          <w:szCs w:val="21"/>
          <w:highlight w:val="none"/>
          <w:u w:val="single"/>
          <w:lang w:eastAsia="zh-CN"/>
        </w:rPr>
      </w:pPr>
      <w:r>
        <w:rPr>
          <w:rFonts w:hint="eastAsia"/>
          <w:color w:val="auto"/>
          <w:szCs w:val="21"/>
          <w:highlight w:val="none"/>
        </w:rPr>
        <w:t>地点：</w:t>
      </w:r>
      <w:r>
        <w:rPr>
          <w:rFonts w:hint="eastAsia" w:ascii="宋体" w:hAnsi="宋体" w:eastAsia="宋体" w:cs="宋体"/>
          <w:i w:val="0"/>
          <w:iCs w:val="0"/>
          <w:caps w:val="0"/>
          <w:color w:val="auto"/>
          <w:spacing w:val="0"/>
          <w:sz w:val="21"/>
          <w:szCs w:val="21"/>
          <w:highlight w:val="none"/>
        </w:rPr>
        <w:t>广西政府采购云平台（https://www.gcy.zfcg.gxzf.gov.cn）</w:t>
      </w:r>
    </w:p>
    <w:p w14:paraId="5AC0003A">
      <w:pPr>
        <w:spacing w:line="380" w:lineRule="exact"/>
        <w:ind w:firstLine="482" w:firstLineChars="200"/>
        <w:rPr>
          <w:rFonts w:ascii="黑体" w:hAnsi="黑体" w:eastAsia="黑体"/>
          <w:b/>
          <w:bCs/>
          <w:color w:val="auto"/>
          <w:sz w:val="24"/>
          <w:highlight w:val="none"/>
        </w:rPr>
      </w:pPr>
      <w:bookmarkStart w:id="29" w:name="_Toc28359084"/>
      <w:bookmarkStart w:id="30" w:name="_Toc28359007"/>
      <w:bookmarkStart w:id="31" w:name="_Toc35393794"/>
      <w:bookmarkStart w:id="32" w:name="_Toc35393625"/>
      <w:r>
        <w:rPr>
          <w:rFonts w:hint="eastAsia" w:ascii="黑体" w:hAnsi="黑体" w:eastAsia="黑体"/>
          <w:b/>
          <w:bCs/>
          <w:color w:val="auto"/>
          <w:sz w:val="24"/>
          <w:highlight w:val="none"/>
        </w:rPr>
        <w:t>六、公告期限</w:t>
      </w:r>
      <w:bookmarkEnd w:id="29"/>
      <w:bookmarkEnd w:id="30"/>
      <w:bookmarkEnd w:id="31"/>
      <w:bookmarkEnd w:id="32"/>
    </w:p>
    <w:p w14:paraId="05C5C219">
      <w:pPr>
        <w:spacing w:line="380" w:lineRule="exact"/>
        <w:ind w:firstLine="420" w:firstLineChars="200"/>
        <w:rPr>
          <w:rFonts w:cs="宋体"/>
          <w:color w:val="auto"/>
          <w:kern w:val="0"/>
          <w:szCs w:val="21"/>
          <w:highlight w:val="none"/>
        </w:rPr>
      </w:pPr>
      <w:r>
        <w:rPr>
          <w:rFonts w:hint="eastAsia" w:cs="宋体"/>
          <w:color w:val="auto"/>
          <w:kern w:val="0"/>
          <w:szCs w:val="21"/>
          <w:highlight w:val="none"/>
        </w:rPr>
        <w:t>自本公告发布之日起</w:t>
      </w:r>
      <w:r>
        <w:rPr>
          <w:rFonts w:hint="eastAsia" w:cs="宋体"/>
          <w:color w:val="auto"/>
          <w:kern w:val="0"/>
          <w:szCs w:val="21"/>
          <w:highlight w:val="none"/>
          <w:lang w:val="en-US" w:eastAsia="zh-CN"/>
        </w:rPr>
        <w:t>5</w:t>
      </w:r>
      <w:r>
        <w:rPr>
          <w:rFonts w:hint="eastAsia" w:cs="宋体"/>
          <w:color w:val="auto"/>
          <w:kern w:val="0"/>
          <w:szCs w:val="21"/>
          <w:highlight w:val="none"/>
        </w:rPr>
        <w:t>个工作日。</w:t>
      </w:r>
    </w:p>
    <w:p w14:paraId="529D1B49">
      <w:pPr>
        <w:spacing w:line="380" w:lineRule="exact"/>
        <w:ind w:firstLine="482" w:firstLineChars="200"/>
        <w:rPr>
          <w:rFonts w:ascii="黑体" w:hAnsi="黑体" w:eastAsia="黑体"/>
          <w:b/>
          <w:bCs/>
          <w:color w:val="auto"/>
          <w:sz w:val="24"/>
          <w:highlight w:val="none"/>
        </w:rPr>
      </w:pPr>
      <w:bookmarkStart w:id="33" w:name="_Toc35393795"/>
      <w:bookmarkStart w:id="34" w:name="_Toc35393626"/>
      <w:r>
        <w:rPr>
          <w:rFonts w:hint="eastAsia" w:ascii="黑体" w:hAnsi="黑体" w:eastAsia="黑体"/>
          <w:b/>
          <w:bCs/>
          <w:color w:val="auto"/>
          <w:sz w:val="24"/>
          <w:highlight w:val="none"/>
        </w:rPr>
        <w:t>七、其他补充事宜</w:t>
      </w:r>
      <w:bookmarkEnd w:id="33"/>
      <w:bookmarkEnd w:id="34"/>
    </w:p>
    <w:p w14:paraId="4356ADBC">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1.磋商保证金：</w:t>
      </w:r>
    </w:p>
    <w:p w14:paraId="0552DB42">
      <w:pPr>
        <w:spacing w:line="380" w:lineRule="exact"/>
        <w:ind w:firstLine="422" w:firstLineChars="200"/>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磋商保证金</w:t>
      </w:r>
      <w:r>
        <w:rPr>
          <w:rFonts w:hint="eastAsia" w:ascii="宋体" w:hAnsi="宋体" w:eastAsia="宋体" w:cs="宋体"/>
          <w:b/>
          <w:bCs/>
          <w:color w:val="auto"/>
          <w:szCs w:val="21"/>
          <w:highlight w:val="none"/>
          <w:lang w:val="en-US" w:eastAsia="zh-CN"/>
        </w:rPr>
        <w:t>。</w:t>
      </w:r>
    </w:p>
    <w:p w14:paraId="71F14120">
      <w:pPr>
        <w:spacing w:line="380" w:lineRule="exact"/>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磋商保证金，</w:t>
      </w:r>
      <w:r>
        <w:rPr>
          <w:rFonts w:hint="eastAsia" w:ascii="宋体" w:hAnsi="宋体" w:eastAsia="宋体" w:cs="宋体"/>
          <w:b/>
          <w:bCs/>
          <w:color w:val="auto"/>
          <w:szCs w:val="21"/>
          <w:highlight w:val="none"/>
        </w:rPr>
        <w:t>相关要求：</w:t>
      </w:r>
    </w:p>
    <w:p w14:paraId="55AAEDDD">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u w:val="single"/>
          <w:lang w:val="en-US" w:eastAsia="zh-CN"/>
        </w:rPr>
        <w:t xml:space="preserve">A </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分标</w:t>
      </w:r>
      <w:r>
        <w:rPr>
          <w:rFonts w:hint="eastAsia" w:ascii="宋体" w:hAnsi="宋体" w:eastAsia="宋体" w:cs="宋体"/>
          <w:color w:val="auto"/>
          <w:kern w:val="0"/>
          <w:szCs w:val="21"/>
          <w:highlight w:val="none"/>
          <w:lang w:eastAsia="zh-CN"/>
        </w:rPr>
        <w:t>的</w:t>
      </w:r>
      <w:r>
        <w:rPr>
          <w:rFonts w:hint="eastAsia" w:ascii="宋体" w:hAnsi="宋体" w:eastAsia="宋体" w:cs="宋体"/>
          <w:color w:val="auto"/>
          <w:kern w:val="0"/>
          <w:szCs w:val="21"/>
          <w:highlight w:val="none"/>
        </w:rPr>
        <w:t>磋商保证金</w:t>
      </w:r>
      <w:r>
        <w:rPr>
          <w:rFonts w:hint="eastAsia" w:ascii="宋体" w:hAnsi="宋体" w:eastAsia="宋体" w:cs="宋体"/>
          <w:color w:val="auto"/>
          <w:kern w:val="0"/>
          <w:szCs w:val="21"/>
          <w:highlight w:val="none"/>
          <w:lang w:eastAsia="zh-CN"/>
        </w:rPr>
        <w:t>金额：</w:t>
      </w:r>
      <w:r>
        <w:rPr>
          <w:rFonts w:hint="eastAsia" w:ascii="宋体" w:hAnsi="宋体" w:eastAsia="宋体" w:cs="宋体"/>
          <w:color w:val="auto"/>
          <w:szCs w:val="21"/>
          <w:highlight w:val="none"/>
          <w:lang w:eastAsia="zh-CN"/>
        </w:rPr>
        <w:t>（大写）</w:t>
      </w:r>
      <w:r>
        <w:rPr>
          <w:rFonts w:hint="eastAsia" w:ascii="宋体" w:hAnsi="宋体" w:eastAsia="宋体" w:cs="宋体"/>
          <w:color w:val="auto"/>
          <w:szCs w:val="21"/>
          <w:highlight w:val="none"/>
          <w:u w:val="single"/>
          <w:lang w:eastAsia="zh-CN"/>
        </w:rPr>
        <w:t>人民币壹万壹仟元整（小写）</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u w:val="single"/>
          <w:lang w:val="en-US" w:eastAsia="zh-CN"/>
        </w:rPr>
        <w:t xml:space="preserve">11000.00 </w:t>
      </w:r>
      <w:r>
        <w:rPr>
          <w:rFonts w:hint="eastAsia" w:ascii="宋体" w:hAnsi="宋体" w:eastAsia="宋体" w:cs="宋体"/>
          <w:color w:val="auto"/>
          <w:kern w:val="0"/>
          <w:szCs w:val="21"/>
          <w:highlight w:val="none"/>
        </w:rPr>
        <w:t>。</w:t>
      </w:r>
    </w:p>
    <w:p w14:paraId="071CE0FA">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u w:val="single"/>
          <w:lang w:val="en-US" w:eastAsia="zh-CN"/>
        </w:rPr>
        <w:t xml:space="preserve">B </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分标</w:t>
      </w:r>
      <w:r>
        <w:rPr>
          <w:rFonts w:hint="eastAsia" w:ascii="宋体" w:hAnsi="宋体" w:eastAsia="宋体" w:cs="宋体"/>
          <w:color w:val="auto"/>
          <w:kern w:val="0"/>
          <w:szCs w:val="21"/>
          <w:highlight w:val="none"/>
          <w:lang w:eastAsia="zh-CN"/>
        </w:rPr>
        <w:t>的</w:t>
      </w:r>
      <w:r>
        <w:rPr>
          <w:rFonts w:hint="eastAsia" w:ascii="宋体" w:hAnsi="宋体" w:eastAsia="宋体" w:cs="宋体"/>
          <w:color w:val="auto"/>
          <w:kern w:val="0"/>
          <w:szCs w:val="21"/>
          <w:highlight w:val="none"/>
        </w:rPr>
        <w:t>磋商保证金</w:t>
      </w:r>
      <w:r>
        <w:rPr>
          <w:rFonts w:hint="eastAsia" w:ascii="宋体" w:hAnsi="宋体" w:eastAsia="宋体" w:cs="宋体"/>
          <w:color w:val="auto"/>
          <w:kern w:val="0"/>
          <w:szCs w:val="21"/>
          <w:highlight w:val="none"/>
          <w:lang w:eastAsia="zh-CN"/>
        </w:rPr>
        <w:t>金额：</w:t>
      </w:r>
      <w:r>
        <w:rPr>
          <w:rFonts w:hint="eastAsia" w:ascii="宋体" w:hAnsi="宋体" w:eastAsia="宋体" w:cs="宋体"/>
          <w:color w:val="auto"/>
          <w:szCs w:val="21"/>
          <w:highlight w:val="none"/>
          <w:lang w:eastAsia="zh-CN"/>
        </w:rPr>
        <w:t>（大写）</w:t>
      </w:r>
      <w:r>
        <w:rPr>
          <w:rFonts w:hint="eastAsia" w:ascii="宋体" w:hAnsi="宋体" w:eastAsia="宋体" w:cs="宋体"/>
          <w:color w:val="auto"/>
          <w:szCs w:val="21"/>
          <w:highlight w:val="none"/>
          <w:u w:val="single"/>
          <w:lang w:eastAsia="zh-CN"/>
        </w:rPr>
        <w:t>人民币壹万壹仟元整（小写）</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u w:val="single"/>
          <w:lang w:val="en-US" w:eastAsia="zh-CN"/>
        </w:rPr>
        <w:t xml:space="preserve">11000.00 </w:t>
      </w:r>
      <w:r>
        <w:rPr>
          <w:rFonts w:hint="eastAsia" w:ascii="宋体" w:hAnsi="宋体" w:eastAsia="宋体" w:cs="宋体"/>
          <w:color w:val="auto"/>
          <w:kern w:val="0"/>
          <w:szCs w:val="21"/>
          <w:highlight w:val="none"/>
        </w:rPr>
        <w:t>。</w:t>
      </w:r>
    </w:p>
    <w:p w14:paraId="50A6830B">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u w:val="single"/>
          <w:lang w:val="en-US" w:eastAsia="zh-CN"/>
        </w:rPr>
        <w:t xml:space="preserve">C </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分标</w:t>
      </w:r>
      <w:r>
        <w:rPr>
          <w:rFonts w:hint="eastAsia" w:ascii="宋体" w:hAnsi="宋体" w:eastAsia="宋体" w:cs="宋体"/>
          <w:color w:val="auto"/>
          <w:kern w:val="0"/>
          <w:szCs w:val="21"/>
          <w:highlight w:val="none"/>
          <w:lang w:eastAsia="zh-CN"/>
        </w:rPr>
        <w:t>的</w:t>
      </w:r>
      <w:r>
        <w:rPr>
          <w:rFonts w:hint="eastAsia" w:ascii="宋体" w:hAnsi="宋体" w:eastAsia="宋体" w:cs="宋体"/>
          <w:color w:val="auto"/>
          <w:kern w:val="0"/>
          <w:szCs w:val="21"/>
          <w:highlight w:val="none"/>
        </w:rPr>
        <w:t>磋商保证金</w:t>
      </w:r>
      <w:r>
        <w:rPr>
          <w:rFonts w:hint="eastAsia" w:ascii="宋体" w:hAnsi="宋体" w:eastAsia="宋体" w:cs="宋体"/>
          <w:color w:val="auto"/>
          <w:kern w:val="0"/>
          <w:szCs w:val="21"/>
          <w:highlight w:val="none"/>
          <w:lang w:eastAsia="zh-CN"/>
        </w:rPr>
        <w:t>金额：</w:t>
      </w:r>
      <w:r>
        <w:rPr>
          <w:rFonts w:hint="eastAsia" w:ascii="宋体" w:hAnsi="宋体" w:eastAsia="宋体" w:cs="宋体"/>
          <w:color w:val="auto"/>
          <w:szCs w:val="21"/>
          <w:highlight w:val="none"/>
          <w:lang w:eastAsia="zh-CN"/>
        </w:rPr>
        <w:t>（大写）</w:t>
      </w:r>
      <w:r>
        <w:rPr>
          <w:rFonts w:hint="eastAsia" w:ascii="宋体" w:hAnsi="宋体" w:eastAsia="宋体" w:cs="宋体"/>
          <w:color w:val="auto"/>
          <w:szCs w:val="21"/>
          <w:highlight w:val="none"/>
          <w:u w:val="single"/>
          <w:lang w:eastAsia="zh-CN"/>
        </w:rPr>
        <w:t>人民币伍仟捌佰元整（小写）</w:t>
      </w:r>
      <w:r>
        <w:rPr>
          <w:rFonts w:hint="eastAsia" w:ascii="宋体" w:hAnsi="宋体" w:eastAsia="宋体" w:cs="宋体"/>
          <w:color w:val="auto"/>
          <w:sz w:val="21"/>
          <w:szCs w:val="21"/>
          <w:highlight w:val="none"/>
          <w:lang w:val="en-US" w:eastAsia="zh-CN"/>
        </w:rPr>
        <w:t>¥</w:t>
      </w:r>
      <w:r>
        <w:rPr>
          <w:rFonts w:hint="eastAsia" w:ascii="宋体" w:hAnsi="宋体" w:eastAsia="宋体" w:cs="宋体"/>
          <w:color w:val="auto"/>
          <w:sz w:val="21"/>
          <w:szCs w:val="21"/>
          <w:highlight w:val="none"/>
          <w:u w:val="single"/>
          <w:lang w:val="en-US" w:eastAsia="zh-CN"/>
        </w:rPr>
        <w:t xml:space="preserve">5800.00 </w:t>
      </w:r>
      <w:r>
        <w:rPr>
          <w:rFonts w:hint="eastAsia" w:ascii="宋体" w:hAnsi="宋体" w:eastAsia="宋体" w:cs="宋体"/>
          <w:color w:val="auto"/>
          <w:kern w:val="0"/>
          <w:szCs w:val="21"/>
          <w:highlight w:val="none"/>
        </w:rPr>
        <w:t>。</w:t>
      </w:r>
    </w:p>
    <w:p w14:paraId="11C2F89E">
      <w:pPr>
        <w:spacing w:line="380" w:lineRule="exact"/>
        <w:ind w:firstLine="420" w:firstLineChars="200"/>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磋商保证金的</w:t>
      </w:r>
      <w:r>
        <w:rPr>
          <w:rFonts w:hint="eastAsia" w:ascii="宋体" w:hAnsi="宋体" w:eastAsia="宋体" w:cs="宋体"/>
          <w:color w:val="auto"/>
          <w:szCs w:val="21"/>
          <w:highlight w:val="none"/>
          <w:lang w:eastAsia="zh-CN"/>
        </w:rPr>
        <w:t>缴</w:t>
      </w:r>
      <w:r>
        <w:rPr>
          <w:rFonts w:hint="eastAsia" w:ascii="宋体" w:hAnsi="宋体" w:eastAsia="宋体" w:cs="宋体"/>
          <w:color w:val="auto"/>
          <w:kern w:val="0"/>
          <w:szCs w:val="21"/>
          <w:highlight w:val="none"/>
        </w:rPr>
        <w:t>纳方式：银行转账、支票、汇票、本票或者金融机构、担保机构出具的保函</w:t>
      </w:r>
      <w:r>
        <w:rPr>
          <w:rFonts w:hint="eastAsia" w:ascii="宋体" w:hAnsi="宋体" w:eastAsia="宋体" w:cs="宋体"/>
          <w:color w:val="auto"/>
          <w:kern w:val="0"/>
          <w:szCs w:val="21"/>
          <w:highlight w:val="none"/>
          <w:lang w:eastAsia="zh-CN"/>
        </w:rPr>
        <w:t>等非现金形式提交</w:t>
      </w:r>
      <w:r>
        <w:rPr>
          <w:rFonts w:hint="eastAsia" w:ascii="宋体" w:hAnsi="宋体" w:eastAsia="宋体" w:cs="宋体"/>
          <w:color w:val="auto"/>
          <w:kern w:val="0"/>
          <w:szCs w:val="21"/>
          <w:highlight w:val="none"/>
        </w:rPr>
        <w:t>。采用银行转账方式的，在首次响应文件提交截止时间前交至采购代理机构指定账户并且到账；</w:t>
      </w:r>
      <w:r>
        <w:rPr>
          <w:rFonts w:hint="eastAsia" w:ascii="宋体" w:hAnsi="宋体" w:eastAsia="宋体" w:cs="宋体"/>
          <w:color w:val="auto"/>
          <w:kern w:val="0"/>
          <w:szCs w:val="21"/>
          <w:highlight w:val="none"/>
          <w:lang w:eastAsia="zh-CN"/>
        </w:rPr>
        <w:t>缴纳</w:t>
      </w:r>
      <w:r>
        <w:rPr>
          <w:rFonts w:hint="eastAsia" w:ascii="宋体" w:hAnsi="宋体" w:eastAsia="宋体" w:cs="宋体"/>
          <w:color w:val="auto"/>
          <w:kern w:val="0"/>
          <w:szCs w:val="21"/>
          <w:highlight w:val="none"/>
        </w:rPr>
        <w:t>磋商保证金指定账户的</w:t>
      </w:r>
      <w:r>
        <w:rPr>
          <w:rFonts w:hint="eastAsia" w:ascii="宋体" w:hAnsi="宋体" w:eastAsia="宋体" w:cs="宋体"/>
          <w:color w:val="auto"/>
          <w:kern w:val="0"/>
          <w:szCs w:val="21"/>
          <w:highlight w:val="none"/>
          <w:lang w:eastAsia="zh-CN"/>
        </w:rPr>
        <w:t>信息：</w:t>
      </w:r>
    </w:p>
    <w:p w14:paraId="72479F2B">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开户银行：</w:t>
      </w:r>
      <w:r>
        <w:rPr>
          <w:rFonts w:hint="eastAsia" w:ascii="宋体" w:hAnsi="宋体" w:eastAsia="宋体" w:cs="宋体"/>
          <w:color w:val="auto"/>
          <w:kern w:val="0"/>
          <w:szCs w:val="21"/>
          <w:highlight w:val="none"/>
          <w:u w:val="single"/>
        </w:rPr>
        <w:t>招商银行南宁市金浦路支行</w:t>
      </w:r>
    </w:p>
    <w:p w14:paraId="10DF8FDC">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开户名称：</w:t>
      </w:r>
      <w:r>
        <w:rPr>
          <w:rFonts w:hint="eastAsia" w:ascii="宋体" w:hAnsi="宋体" w:eastAsia="宋体" w:cs="宋体"/>
          <w:color w:val="auto"/>
          <w:kern w:val="0"/>
          <w:szCs w:val="21"/>
          <w:highlight w:val="none"/>
          <w:u w:val="single"/>
        </w:rPr>
        <w:t>广西科联招标中心有限公司</w:t>
      </w:r>
    </w:p>
    <w:p w14:paraId="644D37FB">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银行账号：</w:t>
      </w:r>
      <w:r>
        <w:rPr>
          <w:rFonts w:hint="eastAsia" w:ascii="宋体" w:hAnsi="宋体" w:eastAsia="宋体" w:cs="宋体"/>
          <w:color w:val="auto"/>
          <w:kern w:val="0"/>
          <w:szCs w:val="21"/>
          <w:highlight w:val="none"/>
          <w:lang w:eastAsia="zh-CN"/>
        </w:rPr>
        <w:t>A</w:t>
      </w:r>
      <w:r>
        <w:rPr>
          <w:rFonts w:hint="eastAsia" w:ascii="宋体" w:hAnsi="宋体" w:eastAsia="宋体" w:cs="宋体"/>
          <w:color w:val="auto"/>
          <w:kern w:val="0"/>
          <w:szCs w:val="21"/>
          <w:highlight w:val="none"/>
        </w:rPr>
        <w:t>分标：7719011969103330000000207；</w:t>
      </w:r>
    </w:p>
    <w:p w14:paraId="581F9D56">
      <w:pPr>
        <w:spacing w:line="380" w:lineRule="exact"/>
        <w:ind w:firstLine="1470" w:firstLineChars="700"/>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lang w:eastAsia="zh-CN"/>
        </w:rPr>
        <w:t>B</w:t>
      </w:r>
      <w:r>
        <w:rPr>
          <w:rFonts w:hint="eastAsia" w:ascii="宋体" w:hAnsi="宋体" w:eastAsia="宋体" w:cs="宋体"/>
          <w:color w:val="auto"/>
          <w:kern w:val="0"/>
          <w:szCs w:val="21"/>
          <w:highlight w:val="none"/>
        </w:rPr>
        <w:t>分标：7719011969103330000000208</w:t>
      </w:r>
      <w:r>
        <w:rPr>
          <w:rFonts w:hint="eastAsia" w:ascii="宋体" w:hAnsi="宋体" w:eastAsia="宋体" w:cs="宋体"/>
          <w:color w:val="auto"/>
          <w:kern w:val="0"/>
          <w:szCs w:val="21"/>
          <w:highlight w:val="none"/>
          <w:lang w:eastAsia="zh-CN"/>
        </w:rPr>
        <w:t>；</w:t>
      </w:r>
    </w:p>
    <w:p w14:paraId="0B6ED4B4">
      <w:pPr>
        <w:spacing w:line="380" w:lineRule="exact"/>
        <w:ind w:firstLine="1470" w:firstLineChars="7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C</w:t>
      </w:r>
      <w:r>
        <w:rPr>
          <w:rFonts w:hint="eastAsia" w:ascii="宋体" w:hAnsi="宋体" w:eastAsia="宋体" w:cs="宋体"/>
          <w:color w:val="auto"/>
          <w:kern w:val="0"/>
          <w:szCs w:val="21"/>
          <w:highlight w:val="none"/>
        </w:rPr>
        <w:t>分标：7719011969103330000000209</w:t>
      </w:r>
      <w:r>
        <w:rPr>
          <w:rFonts w:hint="eastAsia" w:ascii="宋体" w:hAnsi="宋体" w:eastAsia="宋体" w:cs="宋体"/>
          <w:color w:val="auto"/>
          <w:kern w:val="0"/>
          <w:szCs w:val="21"/>
          <w:highlight w:val="none"/>
          <w:lang w:eastAsia="zh-CN"/>
        </w:rPr>
        <w:t>。</w:t>
      </w:r>
    </w:p>
    <w:p w14:paraId="17FFA976">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采用支票、汇票、本票或者保函等方式的，</w:t>
      </w:r>
      <w:r>
        <w:rPr>
          <w:rFonts w:hint="eastAsia" w:ascii="宋体" w:hAnsi="宋体" w:eastAsia="宋体" w:cs="宋体"/>
          <w:color w:val="auto"/>
          <w:szCs w:val="21"/>
          <w:highlight w:val="none"/>
        </w:rPr>
        <w:t>供应商必须</w:t>
      </w:r>
      <w:r>
        <w:rPr>
          <w:rFonts w:hint="eastAsia" w:ascii="宋体" w:hAnsi="宋体" w:eastAsia="宋体" w:cs="宋体"/>
          <w:color w:val="auto"/>
          <w:szCs w:val="21"/>
          <w:highlight w:val="none"/>
          <w:lang w:eastAsia="zh-CN"/>
        </w:rPr>
        <w:t>在</w:t>
      </w:r>
      <w:r>
        <w:rPr>
          <w:rFonts w:hint="eastAsia" w:ascii="宋体" w:hAnsi="宋体" w:eastAsia="宋体" w:cs="宋体"/>
          <w:color w:val="auto"/>
          <w:kern w:val="0"/>
          <w:szCs w:val="21"/>
          <w:highlight w:val="none"/>
        </w:rPr>
        <w:t>首次响应文件提交截止时间前</w:t>
      </w:r>
      <w:r>
        <w:rPr>
          <w:rFonts w:hint="eastAsia" w:ascii="宋体" w:hAnsi="宋体" w:eastAsia="宋体" w:cs="宋体"/>
          <w:color w:val="auto"/>
          <w:szCs w:val="21"/>
          <w:highlight w:val="none"/>
        </w:rPr>
        <w:t>将支票、汇票、本票或者金融</w:t>
      </w:r>
      <w:r>
        <w:rPr>
          <w:rFonts w:hint="eastAsia" w:ascii="宋体" w:hAnsi="宋体" w:eastAsia="宋体" w:cs="宋体"/>
          <w:color w:val="auto"/>
          <w:szCs w:val="21"/>
          <w:highlight w:val="none"/>
          <w:lang w:eastAsia="zh-CN"/>
        </w:rPr>
        <w:t>机构</w:t>
      </w:r>
      <w:r>
        <w:rPr>
          <w:rFonts w:hint="eastAsia" w:ascii="宋体" w:hAnsi="宋体" w:eastAsia="宋体" w:cs="宋体"/>
          <w:color w:val="auto"/>
          <w:szCs w:val="21"/>
          <w:highlight w:val="none"/>
        </w:rPr>
        <w:t>、担保机构出具的保函</w:t>
      </w:r>
      <w:r>
        <w:rPr>
          <w:rFonts w:hint="eastAsia" w:ascii="宋体" w:hAnsi="宋体" w:cs="宋体"/>
          <w:color w:val="auto"/>
          <w:szCs w:val="21"/>
          <w:highlight w:val="none"/>
          <w:lang w:eastAsia="zh-CN"/>
        </w:rPr>
        <w:t>（</w:t>
      </w:r>
      <w:r>
        <w:rPr>
          <w:rFonts w:hint="eastAsia" w:ascii="宋体" w:hAnsi="宋体" w:cs="宋体"/>
          <w:color w:val="auto"/>
          <w:kern w:val="0"/>
          <w:szCs w:val="21"/>
          <w:highlight w:val="none"/>
          <w:lang w:val="en-US" w:eastAsia="zh-CN"/>
        </w:rPr>
        <w:t>电子保函除外</w:t>
      </w:r>
      <w:r>
        <w:rPr>
          <w:rFonts w:hint="eastAsia" w:ascii="宋体" w:hAnsi="宋体" w:cs="宋体"/>
          <w:color w:val="auto"/>
          <w:szCs w:val="21"/>
          <w:highlight w:val="none"/>
          <w:lang w:eastAsia="zh-CN"/>
        </w:rPr>
        <w:t>）</w:t>
      </w:r>
      <w:r>
        <w:rPr>
          <w:rFonts w:hint="eastAsia" w:ascii="宋体" w:hAnsi="宋体" w:eastAsia="宋体" w:cs="宋体"/>
          <w:color w:val="auto"/>
          <w:szCs w:val="21"/>
          <w:highlight w:val="none"/>
          <w:lang w:eastAsia="zh-CN"/>
        </w:rPr>
        <w:t>等</w:t>
      </w:r>
      <w:r>
        <w:rPr>
          <w:rFonts w:hint="eastAsia" w:ascii="宋体" w:hAnsi="宋体" w:eastAsia="宋体" w:cs="宋体"/>
          <w:color w:val="auto"/>
          <w:szCs w:val="21"/>
          <w:highlight w:val="none"/>
        </w:rPr>
        <w:t>原件提交给采购代理机构</w:t>
      </w:r>
      <w:r>
        <w:rPr>
          <w:rFonts w:hint="eastAsia" w:ascii="宋体" w:hAnsi="宋体" w:eastAsia="宋体" w:cs="宋体"/>
          <w:color w:val="auto"/>
          <w:kern w:val="0"/>
          <w:szCs w:val="21"/>
          <w:highlight w:val="none"/>
        </w:rPr>
        <w:t>。</w:t>
      </w:r>
      <w:r>
        <w:rPr>
          <w:rFonts w:hint="eastAsia" w:ascii="宋体" w:hAnsi="宋体" w:eastAsia="宋体" w:cs="宋体"/>
          <w:b/>
          <w:bCs/>
          <w:color w:val="auto"/>
          <w:kern w:val="0"/>
          <w:szCs w:val="21"/>
          <w:highlight w:val="none"/>
        </w:rPr>
        <w:t>否则视为无效磋商保证金。</w:t>
      </w:r>
    </w:p>
    <w:p w14:paraId="67BBAA0E">
      <w:pPr>
        <w:spacing w:line="380" w:lineRule="exact"/>
        <w:ind w:firstLine="420" w:firstLineChars="200"/>
        <w:rPr>
          <w:rFonts w:hint="eastAsia" w:ascii="宋体" w:hAnsi="宋体" w:eastAsia="宋体" w:cs="宋体"/>
          <w:color w:val="auto"/>
          <w:kern w:val="0"/>
          <w:szCs w:val="21"/>
          <w:highlight w:val="none"/>
        </w:rPr>
      </w:pPr>
      <w:bookmarkStart w:id="35" w:name="_Hlk37429585"/>
      <w:r>
        <w:rPr>
          <w:rFonts w:hint="eastAsia" w:ascii="宋体" w:hAnsi="宋体" w:eastAsia="宋体" w:cs="宋体"/>
          <w:color w:val="auto"/>
          <w:kern w:val="0"/>
          <w:szCs w:val="21"/>
          <w:highlight w:val="none"/>
          <w:lang w:val="en-US" w:eastAsia="zh-CN"/>
        </w:rPr>
        <w:t>2</w:t>
      </w:r>
      <w:r>
        <w:rPr>
          <w:rFonts w:hint="eastAsia" w:ascii="宋体" w:hAnsi="宋体" w:eastAsia="宋体" w:cs="宋体"/>
          <w:color w:val="auto"/>
          <w:kern w:val="0"/>
          <w:szCs w:val="21"/>
          <w:highlight w:val="none"/>
        </w:rPr>
        <w:t>.</w:t>
      </w:r>
      <w:bookmarkStart w:id="36" w:name="_Hlk37429595"/>
      <w:r>
        <w:rPr>
          <w:rFonts w:hint="eastAsia" w:ascii="宋体" w:hAnsi="宋体" w:eastAsia="宋体" w:cs="宋体"/>
          <w:color w:val="auto"/>
          <w:kern w:val="0"/>
          <w:szCs w:val="21"/>
          <w:highlight w:val="none"/>
        </w:rPr>
        <w:t>网上查询地址</w:t>
      </w:r>
    </w:p>
    <w:bookmarkEnd w:id="35"/>
    <w:bookmarkEnd w:id="36"/>
    <w:p w14:paraId="438DF3C8">
      <w:pPr>
        <w:spacing w:line="380" w:lineRule="exact"/>
        <w:ind w:firstLine="420" w:firstLineChars="200"/>
        <w:rPr>
          <w:rFonts w:hint="eastAsia" w:ascii="宋体" w:hAnsi="宋体" w:eastAsia="宋体" w:cs="宋体"/>
          <w:color w:val="auto"/>
          <w:kern w:val="0"/>
          <w:szCs w:val="21"/>
          <w:highlight w:val="none"/>
        </w:rPr>
      </w:pPr>
      <w:bookmarkStart w:id="37" w:name="_Hlk37429674"/>
      <w:r>
        <w:rPr>
          <w:rFonts w:hint="eastAsia" w:ascii="宋体" w:hAnsi="宋体" w:eastAsia="宋体" w:cs="宋体"/>
          <w:color w:val="auto"/>
          <w:kern w:val="0"/>
          <w:szCs w:val="21"/>
          <w:highlight w:val="none"/>
        </w:rPr>
        <w:t>http://www.ccgp.gov.cn/（中国政府采购网）、</w:t>
      </w:r>
      <w:r>
        <w:rPr>
          <w:rFonts w:hint="eastAsia" w:ascii="宋体" w:hAnsi="宋体" w:eastAsia="宋体" w:cs="宋体"/>
          <w:i w:val="0"/>
          <w:caps w:val="0"/>
          <w:color w:val="auto"/>
          <w:spacing w:val="0"/>
          <w:sz w:val="21"/>
          <w:szCs w:val="21"/>
          <w:highlight w:val="none"/>
        </w:rPr>
        <w:t>http://zfcg.gxzf.gov.cn/</w:t>
      </w:r>
      <w:r>
        <w:rPr>
          <w:rFonts w:hint="eastAsia" w:ascii="宋体" w:hAnsi="宋体" w:cs="宋体"/>
          <w:color w:val="auto"/>
          <w:kern w:val="0"/>
          <w:szCs w:val="21"/>
          <w:highlight w:val="none"/>
        </w:rPr>
        <w:t xml:space="preserve"> </w:t>
      </w:r>
      <w:r>
        <w:rPr>
          <w:rFonts w:hint="eastAsia" w:ascii="宋体" w:hAnsi="宋体" w:eastAsia="宋体" w:cs="宋体"/>
          <w:color w:val="auto"/>
          <w:kern w:val="0"/>
          <w:szCs w:val="21"/>
          <w:highlight w:val="none"/>
        </w:rPr>
        <w:t xml:space="preserve"> (广西政府采购网)。</w:t>
      </w:r>
    </w:p>
    <w:p w14:paraId="6EA57B5B">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3</w:t>
      </w:r>
      <w:r>
        <w:rPr>
          <w:rFonts w:hint="eastAsia" w:ascii="宋体" w:hAnsi="宋体" w:eastAsia="宋体" w:cs="宋体"/>
          <w:color w:val="auto"/>
          <w:szCs w:val="21"/>
          <w:highlight w:val="none"/>
        </w:rPr>
        <w:t xml:space="preserve">. </w:t>
      </w:r>
      <w:r>
        <w:rPr>
          <w:rFonts w:hint="eastAsia" w:ascii="宋体" w:hAnsi="宋体" w:eastAsia="宋体" w:cs="宋体"/>
          <w:color w:val="auto"/>
          <w:kern w:val="0"/>
          <w:szCs w:val="21"/>
          <w:highlight w:val="none"/>
        </w:rPr>
        <w:t>本项目需要落实的政府采购政策</w:t>
      </w:r>
    </w:p>
    <w:p w14:paraId="217711A2">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（1）政府采购促进中小企业发展。</w:t>
      </w:r>
    </w:p>
    <w:p w14:paraId="3F859438">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（2）政府采购支持采用本国产品的政策。</w:t>
      </w:r>
    </w:p>
    <w:p w14:paraId="734E6240">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（3）强制采购节能产品；优先采购节能产品、环境标志产品。</w:t>
      </w:r>
    </w:p>
    <w:p w14:paraId="50E1FEAE">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（4）政府采购促进残疾人就业政策。</w:t>
      </w:r>
    </w:p>
    <w:p w14:paraId="01DADB30">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（5）政府采购支持监狱企业发展。</w:t>
      </w:r>
      <w:bookmarkEnd w:id="37"/>
    </w:p>
    <w:p w14:paraId="187E02F6">
      <w:pPr>
        <w:pStyle w:val="20"/>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（6）在政府采购中实施本国产品标准及相关政策</w:t>
      </w:r>
      <w:r>
        <w:rPr>
          <w:rFonts w:hint="eastAsia" w:ascii="宋体" w:hAnsi="宋体" w:eastAsia="宋体" w:cs="宋体"/>
          <w:color w:val="auto"/>
          <w:sz w:val="21"/>
          <w:szCs w:val="21"/>
          <w:highlight w:val="none"/>
          <w:lang w:eastAsia="zh-CN"/>
        </w:rPr>
        <w:t>。</w:t>
      </w:r>
    </w:p>
    <w:p w14:paraId="155C3890">
      <w:pPr>
        <w:snapToGrid w:val="0"/>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rPr>
        <w:t>.</w:t>
      </w:r>
      <w:r>
        <w:rPr>
          <w:rFonts w:hint="eastAsia" w:ascii="宋体" w:hAnsi="宋体" w:eastAsia="宋体" w:cs="宋体"/>
          <w:color w:val="auto"/>
          <w:szCs w:val="21"/>
          <w:highlight w:val="none"/>
        </w:rPr>
        <w:t>单位负责人为同一人或者存在直接控股、管理关系的不同供应商，不得参加同一合同项下的政府采购活动。为本项目提供过整体设计、规范编制或者项目管理、监理、检测等服务的供应商，不得再参加本项目上述服务以外的其他采购活动。</w:t>
      </w:r>
    </w:p>
    <w:p w14:paraId="5B7F36B7">
      <w:pPr>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.对在“信用中国”网站(www.creditchina.gov.cn) 、中国政府采购网(www.ccgp.gov.cn)被列入失信被执行人、</w:t>
      </w:r>
      <w:r>
        <w:rPr>
          <w:rFonts w:hint="eastAsia" w:ascii="宋体" w:hAnsi="宋体" w:eastAsia="宋体" w:cs="宋体"/>
          <w:color w:val="auto"/>
          <w:szCs w:val="21"/>
          <w:highlight w:val="none"/>
          <w:lang w:eastAsia="zh-CN"/>
        </w:rPr>
        <w:t>重大税收违法失信主体</w:t>
      </w:r>
      <w:r>
        <w:rPr>
          <w:rFonts w:hint="eastAsia" w:ascii="宋体" w:hAnsi="宋体" w:eastAsia="宋体" w:cs="宋体"/>
          <w:color w:val="auto"/>
          <w:szCs w:val="21"/>
          <w:highlight w:val="none"/>
        </w:rPr>
        <w:t>、政府采购严重违法失信行为记录名单及其他不符合《中华人民共和国政府采购法》第二十二条规定条件的供应商，不得参与政府采购活动。</w:t>
      </w:r>
    </w:p>
    <w:p w14:paraId="32BA43B9">
      <w:pPr>
        <w:spacing w:line="380" w:lineRule="exact"/>
        <w:ind w:firstLine="422" w:firstLineChars="200"/>
        <w:rPr>
          <w:rFonts w:hint="eastAsia" w:ascii="宋体" w:hAnsi="宋体" w:eastAsia="宋体" w:cs="宋体"/>
          <w:color w:val="auto"/>
          <w:kern w:val="0"/>
          <w:szCs w:val="21"/>
          <w:highlight w:val="none"/>
          <w:lang w:val="en-US" w:eastAsia="zh-CN"/>
        </w:rPr>
      </w:pPr>
      <w:r>
        <w:rPr>
          <w:rFonts w:hint="eastAsia" w:ascii="宋体" w:hAnsi="宋体" w:eastAsia="宋体" w:cs="宋体"/>
          <w:b/>
          <w:bCs/>
          <w:color w:val="auto"/>
          <w:kern w:val="0"/>
          <w:szCs w:val="21"/>
          <w:highlight w:val="none"/>
          <w:lang w:val="en-US" w:eastAsia="zh-CN"/>
        </w:rPr>
        <w:t>6.</w:t>
      </w:r>
      <w:r>
        <w:rPr>
          <w:rFonts w:hint="eastAsia" w:ascii="宋体" w:hAnsi="宋体" w:eastAsia="宋体" w:cs="宋体"/>
          <w:b/>
          <w:bCs/>
          <w:color w:val="auto"/>
          <w:szCs w:val="21"/>
          <w:highlight w:val="none"/>
        </w:rPr>
        <w:t>在线</w:t>
      </w:r>
      <w:r>
        <w:rPr>
          <w:rFonts w:hint="eastAsia" w:ascii="宋体" w:hAnsi="宋体" w:eastAsia="宋体" w:cs="宋体"/>
          <w:b/>
          <w:bCs/>
          <w:color w:val="auto"/>
          <w:szCs w:val="21"/>
          <w:highlight w:val="none"/>
          <w:lang w:eastAsia="zh-CN"/>
        </w:rPr>
        <w:t>竞</w:t>
      </w:r>
      <w:r>
        <w:rPr>
          <w:rFonts w:hint="eastAsia" w:ascii="宋体" w:hAnsi="宋体" w:eastAsia="宋体" w:cs="宋体"/>
          <w:b/>
          <w:bCs/>
          <w:color w:val="auto"/>
          <w:szCs w:val="21"/>
          <w:highlight w:val="none"/>
        </w:rPr>
        <w:t>标</w:t>
      </w:r>
      <w:r>
        <w:rPr>
          <w:rFonts w:hint="eastAsia" w:ascii="宋体" w:hAnsi="宋体" w:eastAsia="宋体" w:cs="宋体"/>
          <w:b/>
          <w:bCs/>
          <w:color w:val="auto"/>
          <w:szCs w:val="21"/>
          <w:highlight w:val="none"/>
          <w:lang w:eastAsia="zh-CN"/>
        </w:rPr>
        <w:t>的有关</w:t>
      </w:r>
      <w:r>
        <w:rPr>
          <w:rFonts w:hint="eastAsia" w:ascii="宋体" w:hAnsi="宋体" w:eastAsia="宋体" w:cs="宋体"/>
          <w:b/>
          <w:bCs/>
          <w:color w:val="auto"/>
          <w:szCs w:val="21"/>
          <w:highlight w:val="none"/>
        </w:rPr>
        <w:t>说明</w:t>
      </w:r>
      <w:r>
        <w:rPr>
          <w:rFonts w:hint="eastAsia" w:ascii="宋体" w:hAnsi="宋体" w:eastAsia="宋体" w:cs="宋体"/>
          <w:b/>
          <w:bCs/>
          <w:color w:val="auto"/>
          <w:kern w:val="0"/>
          <w:szCs w:val="21"/>
          <w:highlight w:val="none"/>
          <w:lang w:eastAsia="zh-CN"/>
        </w:rPr>
        <w:t>：</w:t>
      </w:r>
    </w:p>
    <w:p w14:paraId="5A72B9F6">
      <w:pPr>
        <w:widowControl/>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（1）响应文件提交方式：本项目为全流程电子化项目，通过</w:t>
      </w:r>
      <w:r>
        <w:rPr>
          <w:rFonts w:hint="eastAsia" w:ascii="宋体" w:hAnsi="宋体" w:cs="宋体"/>
          <w:b w:val="0"/>
          <w:bCs w:val="0"/>
          <w:color w:val="auto"/>
          <w:sz w:val="21"/>
          <w:szCs w:val="21"/>
          <w:highlight w:val="none"/>
          <w:lang w:val="en-US" w:eastAsia="zh-CN"/>
        </w:rPr>
        <w:t>广西政府采购云平台（https://www.gcy.zfcg.gxzf.gov.cn/）</w:t>
      </w:r>
      <w:r>
        <w:rPr>
          <w:rFonts w:hint="eastAsia" w:ascii="宋体" w:hAnsi="宋体" w:eastAsia="宋体" w:cs="宋体"/>
          <w:color w:val="auto"/>
          <w:szCs w:val="21"/>
          <w:highlight w:val="none"/>
        </w:rPr>
        <w:t>实行在线电子响应，供应商应先安装</w:t>
      </w:r>
      <w:r>
        <w:rPr>
          <w:rFonts w:hint="eastAsia" w:ascii="宋体" w:hAnsi="宋体" w:cs="宋体"/>
          <w:b w:val="0"/>
          <w:bCs w:val="0"/>
          <w:color w:val="auto"/>
          <w:sz w:val="21"/>
          <w:szCs w:val="21"/>
          <w:highlight w:val="none"/>
          <w:lang w:val="en-US" w:eastAsia="zh-CN"/>
        </w:rPr>
        <w:t>广西政府采购云平台新版客户端</w:t>
      </w:r>
      <w:r>
        <w:rPr>
          <w:rFonts w:hint="eastAsia" w:ascii="宋体" w:hAnsi="宋体" w:cs="宋体"/>
          <w:color w:val="auto"/>
          <w:szCs w:val="21"/>
          <w:highlight w:val="none"/>
        </w:rPr>
        <w:t>（新版</w:t>
      </w:r>
      <w:r>
        <w:rPr>
          <w:rFonts w:hint="eastAsia" w:ascii="宋体" w:hAnsi="宋体" w:eastAsia="宋体" w:cs="宋体"/>
          <w:i w:val="0"/>
          <w:caps w:val="0"/>
          <w:color w:val="auto"/>
          <w:spacing w:val="0"/>
          <w:sz w:val="21"/>
          <w:szCs w:val="21"/>
          <w:highlight w:val="none"/>
        </w:rPr>
        <w:t>客户端下载路径：广西政府采购网（访问地址http://zfcg.gxzf.gov.cn/）—办事服务—下载专区</w:t>
      </w:r>
      <w:r>
        <w:rPr>
          <w:rFonts w:hint="eastAsia" w:ascii="宋体" w:hAnsi="宋体" w:cs="宋体"/>
          <w:color w:val="auto"/>
          <w:szCs w:val="21"/>
          <w:highlight w:val="none"/>
        </w:rPr>
        <w:t>）</w:t>
      </w:r>
      <w:r>
        <w:rPr>
          <w:rFonts w:hint="eastAsia" w:ascii="宋体" w:hAnsi="宋体" w:eastAsia="宋体" w:cs="宋体"/>
          <w:color w:val="auto"/>
          <w:szCs w:val="21"/>
          <w:highlight w:val="none"/>
        </w:rPr>
        <w:t>，并按照本项目采购文件和</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rPr>
        <w:t>的要求编制、加密后在</w:t>
      </w:r>
      <w:r>
        <w:rPr>
          <w:rFonts w:hint="eastAsia" w:ascii="宋体" w:hAnsi="宋体" w:eastAsia="宋体" w:cs="宋体"/>
          <w:color w:val="auto"/>
          <w:szCs w:val="21"/>
          <w:highlight w:val="none"/>
          <w:lang w:eastAsia="zh-CN"/>
        </w:rPr>
        <w:t>响应文件提交</w:t>
      </w:r>
      <w:r>
        <w:rPr>
          <w:rFonts w:hint="eastAsia" w:ascii="宋体" w:hAnsi="宋体" w:eastAsia="宋体" w:cs="宋体"/>
          <w:color w:val="auto"/>
          <w:szCs w:val="21"/>
          <w:highlight w:val="none"/>
        </w:rPr>
        <w:t>截止时间前通过网络上传至</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供应商在</w:t>
      </w:r>
      <w:r>
        <w:rPr>
          <w:rFonts w:hint="eastAsia" w:ascii="宋体" w:hAnsi="宋体" w:eastAsia="宋体" w:cs="宋体"/>
          <w:b/>
          <w:bCs w:val="0"/>
          <w:color w:val="auto"/>
          <w:sz w:val="21"/>
          <w:szCs w:val="21"/>
          <w:highlight w:val="none"/>
          <w:lang w:val="en-US" w:eastAsia="zh-CN"/>
        </w:rPr>
        <w:t>广西政府采购云平台</w:t>
      </w:r>
      <w:r>
        <w:rPr>
          <w:rFonts w:hint="eastAsia" w:ascii="宋体" w:hAnsi="宋体" w:eastAsia="宋体" w:cs="宋体"/>
          <w:b/>
          <w:color w:val="auto"/>
          <w:szCs w:val="21"/>
          <w:highlight w:val="none"/>
        </w:rPr>
        <w:t>提交电子版响应文件时，请填写参加远程开标活动经办人联系方式</w:t>
      </w:r>
      <w:r>
        <w:rPr>
          <w:rFonts w:hint="eastAsia" w:ascii="宋体" w:hAnsi="宋体" w:eastAsia="宋体" w:cs="宋体"/>
          <w:color w:val="auto"/>
          <w:szCs w:val="21"/>
          <w:highlight w:val="none"/>
        </w:rPr>
        <w:t>。</w:t>
      </w:r>
    </w:p>
    <w:p w14:paraId="59307E42">
      <w:pPr>
        <w:widowControl/>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（2）未进行网上注册并办理数字证书（CA认证）的供应商将无法参与本项目政府采购活动，潜在供应商应当在</w:t>
      </w:r>
      <w:r>
        <w:rPr>
          <w:rFonts w:hint="eastAsia" w:ascii="宋体" w:hAnsi="宋体" w:eastAsia="宋体" w:cs="宋体"/>
          <w:color w:val="auto"/>
          <w:szCs w:val="21"/>
          <w:highlight w:val="none"/>
          <w:lang w:eastAsia="zh-CN"/>
        </w:rPr>
        <w:t>首次响应文件提交</w:t>
      </w:r>
      <w:r>
        <w:rPr>
          <w:rFonts w:hint="eastAsia" w:ascii="宋体" w:hAnsi="宋体" w:eastAsia="宋体" w:cs="宋体"/>
          <w:color w:val="auto"/>
          <w:szCs w:val="21"/>
          <w:highlight w:val="none"/>
        </w:rPr>
        <w:t>截止时间前，完成电子交易平台上的CA数字证书办理及响应文件的提交。（3）为确保网上操作合法、有效和安全，请供应商确保在电子响应过程中能够对相关数据电文进行加密和使用电子签章，妥善保管CA数字证书并使用有效的CA数字证书参与整个采购活动。</w:t>
      </w:r>
    </w:p>
    <w:p w14:paraId="426252DE">
      <w:pPr>
        <w:spacing w:line="380" w:lineRule="exact"/>
        <w:ind w:firstLine="422" w:firstLineChars="200"/>
        <w:rPr>
          <w:rFonts w:hint="eastAsia" w:ascii="宋体" w:hAnsi="宋体" w:eastAsia="宋体" w:cs="宋体"/>
          <w:b/>
          <w:bCs w:val="0"/>
          <w:color w:val="auto"/>
          <w:szCs w:val="21"/>
          <w:highlight w:val="none"/>
          <w:u w:val="single"/>
        </w:rPr>
      </w:pPr>
      <w:r>
        <w:rPr>
          <w:rFonts w:hint="eastAsia" w:ascii="宋体" w:hAnsi="宋体" w:eastAsia="宋体" w:cs="宋体"/>
          <w:b/>
          <w:bCs w:val="0"/>
          <w:color w:val="auto"/>
          <w:szCs w:val="21"/>
          <w:highlight w:val="none"/>
          <w:u w:val="single"/>
        </w:rPr>
        <w:t>注：供应商应当在首次响应文件提交截止时间前完成电子响应文件的上传、</w:t>
      </w:r>
      <w:r>
        <w:rPr>
          <w:rFonts w:hint="eastAsia" w:ascii="宋体" w:hAnsi="宋体" w:eastAsia="宋体" w:cs="宋体"/>
          <w:b/>
          <w:bCs w:val="0"/>
          <w:color w:val="auto"/>
          <w:szCs w:val="21"/>
          <w:highlight w:val="none"/>
          <w:u w:val="single"/>
          <w:lang w:eastAsia="zh-CN"/>
        </w:rPr>
        <w:t>提交</w:t>
      </w:r>
      <w:r>
        <w:rPr>
          <w:rFonts w:hint="eastAsia" w:ascii="宋体" w:hAnsi="宋体" w:eastAsia="宋体" w:cs="宋体"/>
          <w:b/>
          <w:bCs w:val="0"/>
          <w:color w:val="auto"/>
          <w:szCs w:val="21"/>
          <w:highlight w:val="none"/>
          <w:u w:val="single"/>
        </w:rPr>
        <w:t>，响应文件提交截止时间前可以补充、修改或者撤回响应文件。补充或者修改响应文件的，应当先行撤回原文件，补充、修改后重新上传、</w:t>
      </w:r>
      <w:r>
        <w:rPr>
          <w:rFonts w:hint="eastAsia" w:ascii="宋体" w:hAnsi="宋体" w:eastAsia="宋体" w:cs="宋体"/>
          <w:b/>
          <w:bCs w:val="0"/>
          <w:color w:val="auto"/>
          <w:szCs w:val="21"/>
          <w:highlight w:val="none"/>
          <w:u w:val="single"/>
          <w:lang w:eastAsia="zh-CN"/>
        </w:rPr>
        <w:t>提交</w:t>
      </w:r>
      <w:r>
        <w:rPr>
          <w:rFonts w:hint="eastAsia" w:ascii="宋体" w:hAnsi="宋体" w:eastAsia="宋体" w:cs="宋体"/>
          <w:b/>
          <w:bCs w:val="0"/>
          <w:color w:val="auto"/>
          <w:szCs w:val="21"/>
          <w:highlight w:val="none"/>
          <w:u w:val="single"/>
        </w:rPr>
        <w:t>。</w:t>
      </w:r>
      <w:r>
        <w:rPr>
          <w:rFonts w:hint="eastAsia" w:ascii="宋体" w:hAnsi="宋体" w:eastAsia="宋体" w:cs="宋体"/>
          <w:b/>
          <w:color w:val="auto"/>
          <w:szCs w:val="21"/>
          <w:highlight w:val="none"/>
          <w:lang w:eastAsia="zh-CN"/>
        </w:rPr>
        <w:t>响应文件提交</w:t>
      </w:r>
      <w:r>
        <w:rPr>
          <w:rFonts w:hint="eastAsia" w:ascii="宋体" w:hAnsi="宋体" w:eastAsia="宋体" w:cs="宋体"/>
          <w:b/>
          <w:bCs w:val="0"/>
          <w:color w:val="auto"/>
          <w:szCs w:val="21"/>
          <w:highlight w:val="none"/>
          <w:u w:val="single"/>
        </w:rPr>
        <w:t>截止时间前未完成上传、</w:t>
      </w:r>
      <w:r>
        <w:rPr>
          <w:rFonts w:hint="eastAsia" w:ascii="宋体" w:hAnsi="宋体" w:eastAsia="宋体" w:cs="宋体"/>
          <w:b/>
          <w:bCs w:val="0"/>
          <w:color w:val="auto"/>
          <w:szCs w:val="21"/>
          <w:highlight w:val="none"/>
          <w:u w:val="single"/>
          <w:lang w:eastAsia="zh-CN"/>
        </w:rPr>
        <w:t>提交</w:t>
      </w:r>
      <w:r>
        <w:rPr>
          <w:rFonts w:hint="eastAsia" w:ascii="宋体" w:hAnsi="宋体" w:eastAsia="宋体" w:cs="宋体"/>
          <w:b/>
          <w:bCs w:val="0"/>
          <w:color w:val="auto"/>
          <w:szCs w:val="21"/>
          <w:highlight w:val="none"/>
          <w:u w:val="single"/>
        </w:rPr>
        <w:t>的，视为撤回响应文件。响应文件提交截止时间以后上传</w:t>
      </w:r>
      <w:r>
        <w:rPr>
          <w:rFonts w:hint="eastAsia" w:ascii="宋体" w:hAnsi="宋体" w:eastAsia="宋体" w:cs="宋体"/>
          <w:b/>
          <w:bCs w:val="0"/>
          <w:color w:val="auto"/>
          <w:szCs w:val="21"/>
          <w:highlight w:val="none"/>
          <w:u w:val="single"/>
          <w:lang w:eastAsia="zh-CN"/>
        </w:rPr>
        <w:t>提交</w:t>
      </w:r>
      <w:r>
        <w:rPr>
          <w:rFonts w:hint="eastAsia" w:ascii="宋体" w:hAnsi="宋体" w:eastAsia="宋体" w:cs="宋体"/>
          <w:b/>
          <w:bCs w:val="0"/>
          <w:color w:val="auto"/>
          <w:szCs w:val="21"/>
          <w:highlight w:val="none"/>
          <w:u w:val="single"/>
        </w:rPr>
        <w:t>的响应文件，</w:t>
      </w:r>
      <w:r>
        <w:rPr>
          <w:rFonts w:hint="eastAsia" w:ascii="宋体" w:hAnsi="宋体" w:eastAsia="宋体" w:cs="宋体"/>
          <w:b/>
          <w:bCs w:val="0"/>
          <w:color w:val="auto"/>
          <w:sz w:val="21"/>
          <w:szCs w:val="21"/>
          <w:highlight w:val="none"/>
          <w:u w:val="single"/>
          <w:lang w:val="en-US" w:eastAsia="zh-CN"/>
        </w:rPr>
        <w:t>广西政府采购云平台</w:t>
      </w:r>
      <w:r>
        <w:rPr>
          <w:rFonts w:hint="eastAsia" w:ascii="宋体" w:hAnsi="宋体" w:eastAsia="宋体" w:cs="宋体"/>
          <w:b/>
          <w:bCs w:val="0"/>
          <w:color w:val="auto"/>
          <w:szCs w:val="21"/>
          <w:highlight w:val="none"/>
          <w:u w:val="single"/>
        </w:rPr>
        <w:t>将予以拒收。</w:t>
      </w:r>
    </w:p>
    <w:p w14:paraId="3FF07806">
      <w:pPr>
        <w:snapToGrid w:val="0"/>
        <w:spacing w:line="380" w:lineRule="exact"/>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CA证书在线解密：首次响应文件开启时，需要供应商携带制作响应文件时用来加密的有效数字证书（CA认证）登录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kern w:val="0"/>
          <w:szCs w:val="21"/>
          <w:highlight w:val="none"/>
        </w:rPr>
        <w:t>电子开标大厅现场按规定时间对加密的响应文件进行解密。</w:t>
      </w:r>
    </w:p>
    <w:p w14:paraId="26016169">
      <w:pPr>
        <w:spacing w:line="380" w:lineRule="exact"/>
        <w:ind w:firstLine="420" w:firstLineChars="200"/>
        <w:rPr>
          <w:rFonts w:hint="eastAsia" w:ascii="宋体" w:hAnsi="宋体" w:eastAsia="宋体" w:cs="宋体"/>
          <w:color w:val="auto"/>
          <w:highlight w:val="none"/>
          <w:lang w:val="en-US" w:eastAsia="zh-CN"/>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供应商需要在具备有摄像头及语音功能且互联网网络状况良好的电脑登录</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kern w:val="0"/>
          <w:szCs w:val="21"/>
          <w:highlight w:val="none"/>
        </w:rPr>
        <w:t>远程开标大厅参与本次磋商，否则后果自负。</w:t>
      </w:r>
    </w:p>
    <w:p w14:paraId="0F819C91">
      <w:pPr>
        <w:pStyle w:val="11"/>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7</w:t>
      </w:r>
      <w:r>
        <w:rPr>
          <w:rFonts w:hint="eastAsia" w:ascii="宋体" w:hAnsi="宋体" w:eastAsia="宋体" w:cs="宋体"/>
          <w:color w:val="auto"/>
          <w:kern w:val="0"/>
          <w:szCs w:val="21"/>
          <w:highlight w:val="none"/>
        </w:rPr>
        <w:t>. 若对项目采购电子交易系统操作有疑问，可登录</w:t>
      </w:r>
      <w:r>
        <w:rPr>
          <w:rFonts w:hint="eastAsia" w:ascii="宋体" w:hAnsi="宋体" w:cs="宋体"/>
          <w:b w:val="0"/>
          <w:bCs w:val="0"/>
          <w:color w:val="auto"/>
          <w:sz w:val="21"/>
          <w:szCs w:val="21"/>
          <w:highlight w:val="none"/>
          <w:lang w:val="en-US" w:eastAsia="zh-CN"/>
        </w:rPr>
        <w:t>广西政府采购云平台（https://www.gcy.zfcg.gxzf.gov.cn/）</w:t>
      </w:r>
      <w:r>
        <w:rPr>
          <w:rFonts w:hint="eastAsia" w:ascii="宋体" w:hAnsi="宋体" w:eastAsia="宋体" w:cs="宋体"/>
          <w:color w:val="auto"/>
          <w:kern w:val="0"/>
          <w:szCs w:val="21"/>
          <w:highlight w:val="none"/>
        </w:rPr>
        <w:t>，点击右侧咨询小采，获取采小蜜智能服务管家帮助，或拨打</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kern w:val="0"/>
          <w:szCs w:val="21"/>
          <w:highlight w:val="none"/>
        </w:rPr>
        <w:t>服务热线</w:t>
      </w:r>
      <w:r>
        <w:rPr>
          <w:rFonts w:hint="eastAsia" w:ascii="宋体" w:hAnsi="宋体" w:eastAsia="宋体" w:cs="宋体"/>
          <w:color w:val="auto"/>
          <w:kern w:val="0"/>
          <w:szCs w:val="21"/>
          <w:highlight w:val="none"/>
          <w:lang w:val="en-US" w:eastAsia="zh-CN"/>
        </w:rPr>
        <w:t>95763</w:t>
      </w:r>
      <w:r>
        <w:rPr>
          <w:rFonts w:hint="eastAsia" w:ascii="宋体" w:hAnsi="宋体" w:eastAsia="宋体" w:cs="宋体"/>
          <w:color w:val="auto"/>
          <w:kern w:val="0"/>
          <w:szCs w:val="21"/>
          <w:highlight w:val="none"/>
        </w:rPr>
        <w:t xml:space="preserve">获取热线服务帮助。 </w:t>
      </w:r>
    </w:p>
    <w:p w14:paraId="40B74D1B">
      <w:pPr>
        <w:snapToGrid w:val="0"/>
        <w:spacing w:line="380" w:lineRule="exact"/>
        <w:ind w:firstLine="420" w:firstLineChars="200"/>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8.</w:t>
      </w:r>
      <w:r>
        <w:rPr>
          <w:rFonts w:hint="eastAsia" w:ascii="宋体" w:hAnsi="宋体" w:eastAsia="宋体" w:cs="宋体"/>
          <w:color w:val="auto"/>
          <w:sz w:val="21"/>
          <w:szCs w:val="21"/>
          <w:highlight w:val="none"/>
          <w:lang w:val="en-US" w:eastAsia="zh-CN"/>
        </w:rPr>
        <w:t>银行、保险、石油石化、电力、电信等有行业特殊情况的，法人的分支机构经法人授权后可以分支机构的身份参加政府采购。如供应商为分支机构的，必须在</w:t>
      </w:r>
      <w:r>
        <w:rPr>
          <w:rFonts w:hint="eastAsia" w:ascii="宋体" w:hAnsi="宋体" w:eastAsia="宋体" w:cs="宋体"/>
          <w:color w:val="auto"/>
          <w:kern w:val="2"/>
          <w:sz w:val="21"/>
          <w:szCs w:val="21"/>
          <w:highlight w:val="none"/>
          <w:lang w:val="en-US" w:eastAsia="zh-CN"/>
        </w:rPr>
        <w:t>响应文件</w:t>
      </w:r>
      <w:r>
        <w:rPr>
          <w:rFonts w:hint="eastAsia" w:ascii="宋体" w:hAnsi="宋体" w:eastAsia="宋体" w:cs="宋体"/>
          <w:color w:val="auto"/>
          <w:sz w:val="21"/>
          <w:szCs w:val="21"/>
          <w:highlight w:val="none"/>
          <w:lang w:val="en-US" w:eastAsia="zh-CN"/>
        </w:rPr>
        <w:t>中同时提供经法人授权供应商以分支机构名义参加</w:t>
      </w:r>
      <w:r>
        <w:rPr>
          <w:rFonts w:hint="eastAsia" w:ascii="宋体" w:hAnsi="宋体" w:eastAsia="宋体" w:cs="宋体"/>
          <w:color w:val="auto"/>
          <w:kern w:val="2"/>
          <w:sz w:val="21"/>
          <w:szCs w:val="21"/>
          <w:highlight w:val="none"/>
          <w:lang w:val="en-US" w:eastAsia="zh-CN"/>
        </w:rPr>
        <w:t>竞标</w:t>
      </w:r>
      <w:r>
        <w:rPr>
          <w:rFonts w:hint="eastAsia" w:ascii="宋体" w:hAnsi="宋体" w:eastAsia="宋体" w:cs="宋体"/>
          <w:color w:val="auto"/>
          <w:sz w:val="21"/>
          <w:szCs w:val="21"/>
          <w:highlight w:val="none"/>
          <w:lang w:val="en-US" w:eastAsia="zh-CN"/>
        </w:rPr>
        <w:t>的授权委托书、法人营业执照及分支机构营业执照的复印件</w:t>
      </w:r>
      <w:r>
        <w:rPr>
          <w:rFonts w:hint="eastAsia" w:ascii="宋体" w:hAnsi="宋体" w:eastAsia="宋体" w:cs="宋体"/>
          <w:color w:val="auto"/>
          <w:kern w:val="2"/>
          <w:sz w:val="21"/>
          <w:szCs w:val="21"/>
          <w:highlight w:val="none"/>
          <w:lang w:val="en-US" w:eastAsia="zh-CN"/>
        </w:rPr>
        <w:t>。</w:t>
      </w:r>
    </w:p>
    <w:p w14:paraId="50C94EA6">
      <w:pPr>
        <w:pStyle w:val="11"/>
        <w:ind w:firstLine="420" w:firstLineChars="200"/>
        <w:rPr>
          <w:rFonts w:hint="eastAsia" w:ascii="宋体" w:hAnsi="宋体" w:eastAsia="宋体" w:cs="宋体"/>
          <w:color w:val="auto"/>
          <w:kern w:val="0"/>
          <w:szCs w:val="21"/>
          <w:highlight w:val="none"/>
        </w:rPr>
      </w:pPr>
    </w:p>
    <w:p w14:paraId="4104398F">
      <w:pPr>
        <w:spacing w:line="380" w:lineRule="exact"/>
        <w:ind w:firstLine="482" w:firstLineChars="200"/>
        <w:rPr>
          <w:rFonts w:hint="eastAsia" w:ascii="黑体" w:hAnsi="黑体" w:eastAsia="黑体" w:cs="宋体"/>
          <w:bCs/>
          <w:color w:val="auto"/>
          <w:sz w:val="24"/>
          <w:highlight w:val="none"/>
          <w:lang w:eastAsia="zh-CN"/>
        </w:rPr>
      </w:pPr>
      <w:r>
        <w:rPr>
          <w:rFonts w:hint="eastAsia" w:ascii="黑体" w:hAnsi="黑体" w:eastAsia="黑体" w:cs="宋体"/>
          <w:b/>
          <w:color w:val="auto"/>
          <w:kern w:val="44"/>
          <w:sz w:val="24"/>
          <w:highlight w:val="none"/>
        </w:rPr>
        <w:t>八、凡对本次采购提出询问，请按</w:t>
      </w:r>
      <w:r>
        <w:rPr>
          <w:rFonts w:ascii="黑体" w:hAnsi="黑体" w:eastAsia="黑体" w:cs="宋体"/>
          <w:b/>
          <w:color w:val="auto"/>
          <w:kern w:val="44"/>
          <w:sz w:val="24"/>
          <w:highlight w:val="none"/>
        </w:rPr>
        <w:t>以下方式</w:t>
      </w:r>
      <w:r>
        <w:rPr>
          <w:rFonts w:hint="eastAsia" w:ascii="黑体" w:hAnsi="黑体" w:eastAsia="黑体" w:cs="宋体"/>
          <w:b/>
          <w:color w:val="auto"/>
          <w:kern w:val="44"/>
          <w:sz w:val="24"/>
          <w:highlight w:val="none"/>
        </w:rPr>
        <w:t>联系</w:t>
      </w:r>
      <w:r>
        <w:rPr>
          <w:rFonts w:hint="eastAsia" w:ascii="黑体" w:hAnsi="黑体" w:eastAsia="黑体" w:cs="宋体"/>
          <w:b/>
          <w:color w:val="auto"/>
          <w:kern w:val="44"/>
          <w:sz w:val="24"/>
          <w:highlight w:val="none"/>
          <w:lang w:eastAsia="zh-CN"/>
        </w:rPr>
        <w:t>。</w:t>
      </w:r>
    </w:p>
    <w:p w14:paraId="0E79645C">
      <w:pPr>
        <w:spacing w:line="38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1.采购人信息</w:t>
      </w:r>
    </w:p>
    <w:p w14:paraId="0A6EE1DE">
      <w:pPr>
        <w:spacing w:line="380" w:lineRule="exact"/>
        <w:ind w:left="0" w:leftChars="0" w:firstLine="630" w:firstLineChars="300"/>
        <w:jc w:val="left"/>
        <w:rPr>
          <w:rFonts w:hint="eastAsia" w:ascii="宋体" w:hAnsi="宋体" w:eastAsia="宋体" w:cs="宋体"/>
          <w:color w:val="auto"/>
          <w:szCs w:val="21"/>
          <w:highlight w:val="none"/>
          <w:u w:val="none"/>
          <w:lang w:val="en-US" w:eastAsia="zh-CN"/>
        </w:rPr>
      </w:pPr>
      <w:r>
        <w:rPr>
          <w:rFonts w:hint="eastAsia" w:ascii="宋体" w:hAnsi="宋体" w:eastAsia="宋体" w:cs="宋体"/>
          <w:color w:val="auto"/>
          <w:szCs w:val="21"/>
          <w:highlight w:val="none"/>
          <w:u w:val="none"/>
        </w:rPr>
        <w:t xml:space="preserve">名 </w:t>
      </w:r>
      <w:r>
        <w:rPr>
          <w:rFonts w:hint="eastAsia" w:ascii="宋体" w:hAnsi="宋体" w:eastAsia="宋体" w:cs="宋体"/>
          <w:color w:val="auto"/>
          <w:szCs w:val="21"/>
          <w:highlight w:val="none"/>
          <w:u w:val="none"/>
          <w:lang w:val="en-US" w:eastAsia="zh-CN"/>
        </w:rPr>
        <w:t xml:space="preserve"> </w:t>
      </w:r>
      <w:r>
        <w:rPr>
          <w:rFonts w:hint="eastAsia" w:ascii="宋体" w:hAnsi="宋体" w:eastAsia="宋体" w:cs="宋体"/>
          <w:color w:val="auto"/>
          <w:szCs w:val="21"/>
          <w:highlight w:val="none"/>
          <w:u w:val="none"/>
        </w:rPr>
        <w:t>称：</w:t>
      </w:r>
      <w:r>
        <w:rPr>
          <w:rFonts w:hint="eastAsia" w:ascii="宋体" w:hAnsi="宋体" w:eastAsia="宋体" w:cs="宋体"/>
          <w:color w:val="auto"/>
          <w:kern w:val="0"/>
          <w:szCs w:val="21"/>
          <w:highlight w:val="none"/>
          <w:u w:val="none"/>
          <w:lang w:eastAsia="zh-CN"/>
        </w:rPr>
        <w:t>广西农业职业技术大学</w:t>
      </w:r>
    </w:p>
    <w:p w14:paraId="1471958F">
      <w:pPr>
        <w:spacing w:line="380" w:lineRule="exact"/>
        <w:ind w:left="0" w:leftChars="0" w:firstLine="630" w:firstLineChars="300"/>
        <w:jc w:val="left"/>
        <w:rPr>
          <w:rFonts w:hint="eastAsia" w:ascii="宋体" w:hAnsi="宋体" w:eastAsia="宋体" w:cs="宋体"/>
          <w:color w:val="auto"/>
          <w:szCs w:val="21"/>
          <w:highlight w:val="none"/>
          <w:u w:val="none"/>
          <w:lang w:val="en-US" w:eastAsia="zh-CN"/>
        </w:rPr>
      </w:pPr>
      <w:r>
        <w:rPr>
          <w:rFonts w:hint="eastAsia" w:ascii="宋体" w:hAnsi="宋体" w:eastAsia="宋体" w:cs="宋体"/>
          <w:color w:val="auto"/>
          <w:szCs w:val="21"/>
          <w:highlight w:val="none"/>
          <w:u w:val="none"/>
        </w:rPr>
        <w:t>地</w:t>
      </w:r>
      <w:r>
        <w:rPr>
          <w:rFonts w:hint="eastAsia" w:ascii="宋体" w:hAnsi="宋体" w:eastAsia="宋体" w:cs="宋体"/>
          <w:color w:val="auto"/>
          <w:szCs w:val="21"/>
          <w:highlight w:val="none"/>
          <w:u w:val="none"/>
          <w:lang w:val="en-US" w:eastAsia="zh-CN"/>
        </w:rPr>
        <w:t xml:space="preserve">  </w:t>
      </w:r>
      <w:r>
        <w:rPr>
          <w:rFonts w:hint="eastAsia" w:ascii="宋体" w:hAnsi="宋体" w:eastAsia="宋体" w:cs="宋体"/>
          <w:color w:val="auto"/>
          <w:szCs w:val="21"/>
          <w:highlight w:val="none"/>
          <w:u w:val="none"/>
        </w:rPr>
        <w:t>址：</w:t>
      </w:r>
      <w:r>
        <w:rPr>
          <w:rFonts w:hint="eastAsia" w:ascii="宋体" w:hAnsi="宋体" w:cs="宋体"/>
          <w:color w:val="auto"/>
          <w:szCs w:val="21"/>
          <w:highlight w:val="none"/>
          <w:u w:val="none"/>
          <w:lang w:eastAsia="zh-CN"/>
        </w:rPr>
        <w:t>广西</w:t>
      </w:r>
      <w:r>
        <w:rPr>
          <w:rFonts w:hint="eastAsia" w:ascii="宋体" w:hAnsi="宋体" w:eastAsia="宋体" w:cs="宋体"/>
          <w:color w:val="auto"/>
          <w:kern w:val="0"/>
          <w:szCs w:val="21"/>
          <w:highlight w:val="none"/>
          <w:u w:val="none"/>
          <w:lang w:eastAsia="zh-CN"/>
        </w:rPr>
        <w:t>南宁市西乡塘区大学东路176号</w:t>
      </w:r>
    </w:p>
    <w:p w14:paraId="66832108">
      <w:pPr>
        <w:spacing w:line="380" w:lineRule="exact"/>
        <w:ind w:left="0" w:leftChars="0" w:firstLine="630" w:firstLineChars="300"/>
        <w:jc w:val="left"/>
        <w:rPr>
          <w:rFonts w:hint="eastAsia" w:ascii="宋体" w:hAnsi="宋体" w:eastAsia="宋体" w:cs="宋体"/>
          <w:color w:val="auto"/>
          <w:kern w:val="0"/>
          <w:szCs w:val="21"/>
          <w:highlight w:val="none"/>
          <w:u w:val="none"/>
          <w:lang w:eastAsia="zh-CN"/>
        </w:rPr>
      </w:pPr>
      <w:r>
        <w:rPr>
          <w:rFonts w:hint="eastAsia" w:ascii="宋体" w:hAnsi="宋体" w:eastAsia="宋体" w:cs="宋体"/>
          <w:color w:val="auto"/>
          <w:szCs w:val="21"/>
          <w:highlight w:val="none"/>
          <w:u w:val="none"/>
          <w:lang w:eastAsia="zh-CN"/>
        </w:rPr>
        <w:t>联系人：</w:t>
      </w:r>
      <w:r>
        <w:rPr>
          <w:rFonts w:hint="eastAsia" w:ascii="宋体" w:hAnsi="宋体" w:eastAsia="宋体" w:cs="宋体"/>
          <w:color w:val="auto"/>
          <w:kern w:val="0"/>
          <w:szCs w:val="21"/>
          <w:highlight w:val="none"/>
          <w:u w:val="none"/>
          <w:lang w:eastAsia="zh-CN"/>
        </w:rPr>
        <w:t>韦福丹</w:t>
      </w:r>
    </w:p>
    <w:p w14:paraId="505AB923">
      <w:pPr>
        <w:spacing w:line="380" w:lineRule="exact"/>
        <w:ind w:left="0" w:leftChars="0" w:firstLine="630" w:firstLineChars="300"/>
        <w:jc w:val="left"/>
        <w:rPr>
          <w:rFonts w:hint="eastAsia" w:ascii="宋体" w:hAnsi="宋体" w:eastAsia="宋体" w:cs="宋体"/>
          <w:color w:val="auto"/>
          <w:szCs w:val="21"/>
          <w:highlight w:val="none"/>
          <w:u w:val="none"/>
          <w:lang w:val="en-US" w:eastAsia="zh-CN"/>
        </w:rPr>
      </w:pPr>
      <w:r>
        <w:rPr>
          <w:rFonts w:hint="eastAsia" w:ascii="宋体" w:hAnsi="宋体" w:eastAsia="宋体" w:cs="宋体"/>
          <w:color w:val="auto"/>
          <w:kern w:val="0"/>
          <w:szCs w:val="21"/>
          <w:highlight w:val="none"/>
          <w:u w:val="none"/>
          <w:lang w:eastAsia="zh-CN"/>
        </w:rPr>
        <w:t>联系电话：</w:t>
      </w:r>
      <w:r>
        <w:rPr>
          <w:rFonts w:hint="eastAsia" w:ascii="宋体" w:hAnsi="宋体" w:eastAsia="宋体" w:cs="宋体"/>
          <w:color w:val="auto"/>
          <w:kern w:val="0"/>
          <w:szCs w:val="21"/>
          <w:highlight w:val="none"/>
          <w:u w:val="none"/>
          <w:lang w:val="en-US" w:eastAsia="zh-CN"/>
        </w:rPr>
        <w:t>0771-4714891</w:t>
      </w:r>
    </w:p>
    <w:p w14:paraId="6D821F5D">
      <w:pPr>
        <w:spacing w:line="380" w:lineRule="exact"/>
        <w:ind w:left="0" w:leftChars="0" w:firstLine="420" w:firstLineChars="200"/>
        <w:jc w:val="left"/>
        <w:rPr>
          <w:rFonts w:hint="eastAsia" w:ascii="宋体" w:hAnsi="宋体" w:eastAsia="宋体" w:cs="宋体"/>
          <w:color w:val="auto"/>
          <w:szCs w:val="21"/>
          <w:highlight w:val="none"/>
          <w:u w:val="none"/>
        </w:rPr>
      </w:pPr>
      <w:r>
        <w:rPr>
          <w:rFonts w:hint="eastAsia" w:ascii="宋体" w:hAnsi="宋体" w:eastAsia="宋体" w:cs="宋体"/>
          <w:color w:val="auto"/>
          <w:szCs w:val="21"/>
          <w:highlight w:val="none"/>
          <w:u w:val="none"/>
        </w:rPr>
        <w:t>2.采购代理机构信息</w:t>
      </w:r>
    </w:p>
    <w:p w14:paraId="0E7C4C28">
      <w:pPr>
        <w:spacing w:line="380" w:lineRule="exact"/>
        <w:ind w:firstLine="630" w:firstLineChars="300"/>
        <w:rPr>
          <w:rFonts w:hint="eastAsia" w:ascii="宋体" w:hAnsi="宋体" w:eastAsia="宋体" w:cs="宋体"/>
          <w:color w:val="auto"/>
          <w:szCs w:val="21"/>
          <w:highlight w:val="none"/>
          <w:u w:val="none"/>
          <w:lang w:eastAsia="zh-CN"/>
        </w:rPr>
      </w:pPr>
      <w:r>
        <w:rPr>
          <w:rFonts w:hint="eastAsia" w:ascii="宋体" w:hAnsi="宋体" w:eastAsia="宋体" w:cs="宋体"/>
          <w:color w:val="auto"/>
          <w:szCs w:val="21"/>
          <w:highlight w:val="none"/>
          <w:u w:val="none"/>
        </w:rPr>
        <w:t xml:space="preserve">名 </w:t>
      </w:r>
      <w:r>
        <w:rPr>
          <w:rFonts w:hint="eastAsia" w:ascii="宋体" w:hAnsi="宋体" w:eastAsia="宋体" w:cs="宋体"/>
          <w:color w:val="auto"/>
          <w:szCs w:val="21"/>
          <w:highlight w:val="none"/>
          <w:u w:val="none"/>
          <w:lang w:val="en-US" w:eastAsia="zh-CN"/>
        </w:rPr>
        <w:t xml:space="preserve"> </w:t>
      </w:r>
      <w:r>
        <w:rPr>
          <w:rFonts w:hint="eastAsia" w:ascii="宋体" w:hAnsi="宋体" w:eastAsia="宋体" w:cs="宋体"/>
          <w:color w:val="auto"/>
          <w:szCs w:val="21"/>
          <w:highlight w:val="none"/>
          <w:u w:val="none"/>
        </w:rPr>
        <w:t>称：</w:t>
      </w:r>
      <w:r>
        <w:rPr>
          <w:rFonts w:hint="eastAsia" w:ascii="宋体" w:hAnsi="宋体" w:eastAsia="宋体" w:cs="宋体"/>
          <w:color w:val="auto"/>
          <w:kern w:val="0"/>
          <w:szCs w:val="21"/>
          <w:highlight w:val="none"/>
          <w:u w:val="none"/>
          <w:lang w:eastAsia="zh-CN"/>
        </w:rPr>
        <w:t>广西科联招标中心有限公司</w:t>
      </w:r>
    </w:p>
    <w:p w14:paraId="7B7131A4">
      <w:pPr>
        <w:spacing w:line="380" w:lineRule="exact"/>
        <w:ind w:firstLine="630" w:firstLineChars="300"/>
        <w:rPr>
          <w:rFonts w:hint="eastAsia" w:ascii="宋体" w:hAnsi="宋体" w:eastAsia="宋体" w:cs="宋体"/>
          <w:color w:val="auto"/>
          <w:szCs w:val="21"/>
          <w:highlight w:val="none"/>
          <w:u w:val="none"/>
          <w:lang w:eastAsia="zh-CN"/>
        </w:rPr>
      </w:pPr>
      <w:r>
        <w:rPr>
          <w:rFonts w:hint="eastAsia" w:ascii="宋体" w:hAnsi="宋体" w:eastAsia="宋体" w:cs="宋体"/>
          <w:color w:val="auto"/>
          <w:szCs w:val="21"/>
          <w:highlight w:val="none"/>
          <w:u w:val="none"/>
        </w:rPr>
        <w:t>地　址：</w:t>
      </w:r>
      <w:r>
        <w:rPr>
          <w:rFonts w:hint="eastAsia" w:ascii="宋体" w:hAnsi="宋体" w:eastAsia="宋体" w:cs="宋体"/>
          <w:color w:val="auto"/>
          <w:szCs w:val="21"/>
          <w:highlight w:val="none"/>
          <w:u w:val="none"/>
          <w:lang w:val="en-US" w:eastAsia="zh-CN"/>
        </w:rPr>
        <w:t>广西南宁市</w:t>
      </w:r>
      <w:r>
        <w:rPr>
          <w:rFonts w:hint="eastAsia" w:ascii="宋体" w:hAnsi="宋体" w:eastAsia="宋体" w:cs="宋体"/>
          <w:color w:val="auto"/>
          <w:kern w:val="0"/>
          <w:szCs w:val="21"/>
          <w:highlight w:val="none"/>
          <w:u w:val="none"/>
          <w:lang w:eastAsia="zh-CN"/>
        </w:rPr>
        <w:t>西乡塘区</w:t>
      </w:r>
      <w:r>
        <w:rPr>
          <w:rFonts w:hint="eastAsia" w:ascii="宋体" w:hAnsi="宋体" w:eastAsia="宋体" w:cs="宋体"/>
          <w:color w:val="auto"/>
          <w:szCs w:val="21"/>
          <w:highlight w:val="none"/>
          <w:u w:val="none"/>
          <w:lang w:val="en-US" w:eastAsia="zh-CN"/>
        </w:rPr>
        <w:t>大学东路170号</w:t>
      </w:r>
    </w:p>
    <w:p w14:paraId="66A8F935">
      <w:pPr>
        <w:spacing w:line="380" w:lineRule="exact"/>
        <w:ind w:firstLine="630" w:firstLineChars="300"/>
        <w:rPr>
          <w:rFonts w:hint="eastAsia" w:ascii="宋体" w:hAnsi="宋体" w:eastAsia="宋体" w:cs="宋体"/>
          <w:color w:val="auto"/>
          <w:szCs w:val="21"/>
          <w:highlight w:val="none"/>
          <w:u w:val="none"/>
          <w:lang w:eastAsia="zh-CN"/>
        </w:rPr>
      </w:pPr>
      <w:r>
        <w:rPr>
          <w:rFonts w:hint="eastAsia" w:ascii="宋体" w:hAnsi="宋体" w:eastAsia="宋体" w:cs="宋体"/>
          <w:color w:val="auto"/>
          <w:szCs w:val="21"/>
          <w:highlight w:val="none"/>
          <w:u w:val="none"/>
        </w:rPr>
        <w:t>项目联系人：</w:t>
      </w:r>
      <w:r>
        <w:rPr>
          <w:rFonts w:hint="eastAsia" w:ascii="宋体" w:hAnsi="宋体" w:eastAsia="宋体" w:cs="宋体"/>
          <w:i w:val="0"/>
          <w:iCs w:val="0"/>
          <w:color w:val="auto"/>
          <w:sz w:val="21"/>
          <w:szCs w:val="21"/>
          <w:highlight w:val="none"/>
          <w:u w:val="none"/>
          <w:lang w:eastAsia="zh-CN"/>
        </w:rPr>
        <w:t>莫予志</w:t>
      </w:r>
    </w:p>
    <w:p w14:paraId="1F52C7DD">
      <w:pPr>
        <w:spacing w:line="380" w:lineRule="exact"/>
        <w:ind w:firstLine="630" w:firstLineChars="300"/>
        <w:rPr>
          <w:rFonts w:hint="eastAsia" w:ascii="宋体" w:hAnsi="宋体" w:eastAsia="宋体" w:cs="宋体"/>
          <w:color w:val="auto"/>
          <w:kern w:val="0"/>
          <w:szCs w:val="21"/>
          <w:highlight w:val="none"/>
          <w:u w:val="none"/>
          <w:lang w:val="en-US" w:eastAsia="zh-CN"/>
        </w:rPr>
      </w:pPr>
      <w:r>
        <w:rPr>
          <w:rFonts w:hint="eastAsia" w:ascii="宋体" w:hAnsi="宋体" w:eastAsia="宋体" w:cs="宋体"/>
          <w:color w:val="auto"/>
          <w:szCs w:val="21"/>
          <w:highlight w:val="none"/>
          <w:u w:val="none"/>
          <w:lang w:eastAsia="zh-CN"/>
        </w:rPr>
        <w:t>联系</w:t>
      </w:r>
      <w:r>
        <w:rPr>
          <w:rFonts w:hint="eastAsia" w:ascii="宋体" w:hAnsi="宋体" w:eastAsia="宋体" w:cs="宋体"/>
          <w:color w:val="auto"/>
          <w:szCs w:val="21"/>
          <w:highlight w:val="none"/>
          <w:u w:val="none"/>
        </w:rPr>
        <w:t>电话：</w:t>
      </w:r>
      <w:r>
        <w:rPr>
          <w:rFonts w:hint="eastAsia" w:ascii="宋体" w:hAnsi="宋体" w:eastAsia="宋体" w:cs="宋体"/>
          <w:color w:val="auto"/>
          <w:kern w:val="0"/>
          <w:szCs w:val="21"/>
          <w:highlight w:val="none"/>
          <w:u w:val="none"/>
          <w:lang w:val="en-US" w:eastAsia="zh-CN"/>
        </w:rPr>
        <w:t>0771-2416905</w:t>
      </w:r>
    </w:p>
    <w:p w14:paraId="1E104E59">
      <w:pPr>
        <w:spacing w:line="380" w:lineRule="exact"/>
        <w:ind w:firstLine="630" w:firstLineChars="300"/>
        <w:rPr>
          <w:rFonts w:hint="eastAsia" w:ascii="宋体" w:hAnsi="宋体" w:eastAsia="宋体" w:cs="宋体"/>
          <w:color w:val="auto"/>
          <w:szCs w:val="21"/>
          <w:highlight w:val="none"/>
          <w:u w:val="none"/>
          <w:lang w:val="en-US"/>
        </w:rPr>
      </w:pPr>
    </w:p>
    <w:p w14:paraId="39ECEE59">
      <w:pPr>
        <w:spacing w:line="360" w:lineRule="auto"/>
        <w:ind w:firstLine="420" w:firstLineChars="200"/>
        <w:rPr>
          <w:color w:val="auto"/>
          <w:szCs w:val="21"/>
          <w:highlight w:val="none"/>
        </w:rPr>
      </w:pPr>
    </w:p>
    <w:p w14:paraId="0D529EA8">
      <w:pPr>
        <w:pStyle w:val="11"/>
        <w:spacing w:line="360" w:lineRule="auto"/>
        <w:ind w:firstLine="420" w:firstLineChars="200"/>
        <w:rPr>
          <w:rFonts w:hint="eastAsia"/>
          <w:color w:val="auto"/>
          <w:szCs w:val="21"/>
          <w:highlight w:val="none"/>
        </w:rPr>
        <w:sectPr>
          <w:footerReference r:id="rId10" w:type="default"/>
          <w:pgSz w:w="11911" w:h="16838"/>
          <w:pgMar w:top="1134" w:right="1134" w:bottom="1134" w:left="1134" w:header="720" w:footer="720" w:gutter="0"/>
          <w:pgNumType w:fmt="decimal"/>
          <w:cols w:space="720" w:num="1"/>
        </w:sectPr>
      </w:pPr>
    </w:p>
    <w:p w14:paraId="54FA2C9B">
      <w:pPr>
        <w:spacing w:line="360" w:lineRule="auto"/>
        <w:ind w:firstLine="0" w:firstLineChars="0"/>
        <w:jc w:val="right"/>
        <w:rPr>
          <w:color w:val="auto"/>
          <w:sz w:val="32"/>
          <w:szCs w:val="32"/>
          <w:highlight w:val="none"/>
        </w:rPr>
      </w:pPr>
    </w:p>
    <w:p w14:paraId="610F31BC">
      <w:pPr>
        <w:pStyle w:val="3"/>
        <w:spacing w:after="0" w:line="360" w:lineRule="auto"/>
        <w:jc w:val="center"/>
        <w:rPr>
          <w:rFonts w:hint="eastAsia" w:ascii="Cambria" w:hAnsi="Cambria"/>
          <w:bCs w:val="0"/>
          <w:color w:val="auto"/>
          <w:sz w:val="32"/>
          <w:szCs w:val="32"/>
          <w:highlight w:val="none"/>
        </w:rPr>
      </w:pPr>
      <w:bookmarkStart w:id="38" w:name="_Toc11093"/>
      <w:bookmarkStart w:id="39" w:name="_Toc25520"/>
      <w:bookmarkStart w:id="40" w:name="_Toc80886926"/>
      <w:bookmarkStart w:id="41" w:name="_Toc26836"/>
      <w:bookmarkStart w:id="42" w:name="_Toc9127"/>
      <w:bookmarkStart w:id="43" w:name="_Toc22325"/>
      <w:bookmarkStart w:id="44" w:name="_Toc7184"/>
      <w:bookmarkStart w:id="45" w:name="_Toc22760"/>
      <w:r>
        <w:rPr>
          <w:rFonts w:hint="eastAsia" w:ascii="Cambria" w:hAnsi="Cambria"/>
          <w:bCs w:val="0"/>
          <w:color w:val="auto"/>
          <w:sz w:val="32"/>
          <w:szCs w:val="32"/>
          <w:highlight w:val="none"/>
        </w:rPr>
        <w:t>第二章 采购需求</w:t>
      </w:r>
      <w:bookmarkEnd w:id="38"/>
      <w:bookmarkEnd w:id="39"/>
      <w:bookmarkEnd w:id="40"/>
      <w:bookmarkEnd w:id="41"/>
      <w:bookmarkEnd w:id="42"/>
      <w:bookmarkEnd w:id="43"/>
      <w:bookmarkEnd w:id="44"/>
    </w:p>
    <w:bookmarkEnd w:id="45"/>
    <w:p w14:paraId="40E4F152">
      <w:pPr>
        <w:ind w:firstLine="1059" w:firstLineChars="331"/>
        <w:jc w:val="center"/>
        <w:rPr>
          <w:rFonts w:hint="eastAsia"/>
          <w:i/>
          <w:iCs/>
          <w:color w:val="auto"/>
          <w:sz w:val="32"/>
          <w:szCs w:val="32"/>
          <w:highlight w:val="none"/>
          <w:lang w:eastAsia="zh-CN"/>
        </w:rPr>
      </w:pPr>
    </w:p>
    <w:p w14:paraId="072FD554">
      <w:pPr>
        <w:spacing w:line="420" w:lineRule="exact"/>
        <w:jc w:val="left"/>
        <w:rPr>
          <w:rFonts w:hint="eastAsia" w:cs="宋体"/>
          <w:color w:val="auto"/>
          <w:szCs w:val="21"/>
          <w:highlight w:val="none"/>
        </w:rPr>
      </w:pPr>
      <w:r>
        <w:rPr>
          <w:rFonts w:hint="eastAsia" w:cs="宋体"/>
          <w:color w:val="auto"/>
          <w:szCs w:val="21"/>
          <w:highlight w:val="none"/>
        </w:rPr>
        <w:t>说明：</w:t>
      </w:r>
    </w:p>
    <w:p w14:paraId="7DC3288C">
      <w:pPr>
        <w:spacing w:line="42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highlight w:val="none"/>
        </w:rPr>
        <w:t>1. 为落实政府采购政策需满足的要求：</w:t>
      </w:r>
    </w:p>
    <w:p w14:paraId="04DF75FF">
      <w:pPr>
        <w:spacing w:line="42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（1）本竞争性磋商文件所称中小企业必须符合《政府采购促进中小企业发展管理办法》（财库〔2020〕46号）的规定。</w:t>
      </w:r>
    </w:p>
    <w:p w14:paraId="1CC7F052">
      <w:pPr>
        <w:spacing w:line="42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（2）服务项目中包含货物的，根据《财政部 发展改革委 生态环境部 市场监管总局关于调整优化节能产品、环境标志产品政府采购执行机制的通知》（财库〔2019〕9号）和《关于印发节能产品政府采购品目清单的通知》（财库〔2019〕19号）的规定，采购需求中的产品属于节能产品政府采购品目清单内标注“★”的</w:t>
      </w:r>
      <w:r>
        <w:rPr>
          <w:rFonts w:hint="eastAsia" w:ascii="宋体" w:hAnsi="宋体" w:cs="宋体"/>
          <w:color w:val="auto"/>
          <w:szCs w:val="21"/>
          <w:highlight w:val="none"/>
          <w:lang w:eastAsia="zh-CN"/>
        </w:rPr>
        <w:t>（</w:t>
      </w:r>
      <w:r>
        <w:rPr>
          <w:rFonts w:hint="eastAsia" w:ascii="宋体" w:hAnsi="宋体" w:eastAsia="宋体" w:cs="宋体"/>
          <w:color w:val="auto"/>
          <w:szCs w:val="21"/>
          <w:highlight w:val="none"/>
        </w:rPr>
        <w:t>详见本章</w:t>
      </w:r>
      <w:r>
        <w:rPr>
          <w:rFonts w:hint="eastAsia" w:ascii="宋体" w:hAnsi="宋体" w:eastAsia="宋体" w:cs="宋体"/>
          <w:color w:val="auto"/>
          <w:szCs w:val="21"/>
          <w:highlight w:val="none"/>
          <w:lang w:eastAsia="zh-CN"/>
        </w:rPr>
        <w:t>附件</w:t>
      </w:r>
      <w:r>
        <w:rPr>
          <w:rFonts w:hint="eastAsia" w:ascii="宋体" w:hAnsi="宋体" w:eastAsia="宋体" w:cs="宋体"/>
          <w:color w:val="auto"/>
          <w:szCs w:val="21"/>
          <w:highlight w:val="none"/>
          <w:lang w:val="en-US" w:eastAsia="zh-CN"/>
        </w:rPr>
        <w:t>1</w:t>
      </w:r>
      <w:r>
        <w:rPr>
          <w:rFonts w:hint="eastAsia" w:ascii="宋体" w:hAnsi="宋体" w:cs="宋体"/>
          <w:color w:val="auto"/>
          <w:szCs w:val="21"/>
          <w:highlight w:val="none"/>
          <w:lang w:eastAsia="zh-CN"/>
        </w:rPr>
        <w:t>）</w:t>
      </w:r>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供应商必须在响应文件中提供所竞标产品有效期内的节能产品认证证书复印件（加盖供应商公章），否则响应文件</w:t>
      </w:r>
      <w:r>
        <w:rPr>
          <w:rFonts w:hint="eastAsia" w:ascii="宋体" w:hAnsi="宋体" w:eastAsia="宋体" w:cs="宋体"/>
          <w:b/>
          <w:bCs/>
          <w:color w:val="auto"/>
          <w:szCs w:val="21"/>
          <w:highlight w:val="none"/>
          <w:lang w:eastAsia="zh-CN"/>
        </w:rPr>
        <w:t>按无效</w:t>
      </w:r>
      <w:r>
        <w:rPr>
          <w:rFonts w:hint="eastAsia" w:ascii="宋体" w:hAnsi="宋体" w:eastAsia="宋体" w:cs="宋体"/>
          <w:b/>
          <w:bCs/>
          <w:color w:val="auto"/>
          <w:szCs w:val="21"/>
          <w:highlight w:val="none"/>
        </w:rPr>
        <w:t>处理</w:t>
      </w:r>
      <w:r>
        <w:rPr>
          <w:rFonts w:hint="eastAsia" w:ascii="宋体" w:hAnsi="宋体" w:eastAsia="宋体" w:cs="宋体"/>
          <w:color w:val="auto"/>
          <w:szCs w:val="21"/>
          <w:highlight w:val="none"/>
        </w:rPr>
        <w:t xml:space="preserve">。如本项目包含的配套货物属于品目清单内非标注“★”的产品时，应优先采购，具体详见“第四章 </w:t>
      </w:r>
      <w:r>
        <w:rPr>
          <w:rStyle w:val="36"/>
          <w:rFonts w:hint="eastAsia" w:ascii="宋体" w:hAnsi="宋体" w:eastAsia="宋体" w:cs="宋体"/>
          <w:color w:val="auto"/>
          <w:highlight w:val="none"/>
        </w:rPr>
        <w:t>评审程序、评审方法和评审标准</w:t>
      </w:r>
      <w:r>
        <w:rPr>
          <w:rFonts w:hint="eastAsia" w:ascii="宋体" w:hAnsi="宋体" w:eastAsia="宋体" w:cs="宋体"/>
          <w:color w:val="auto"/>
          <w:szCs w:val="21"/>
          <w:highlight w:val="none"/>
        </w:rPr>
        <w:t>”。</w:t>
      </w:r>
    </w:p>
    <w:p w14:paraId="7F75ECDF">
      <w:pPr>
        <w:spacing w:line="420" w:lineRule="exact"/>
        <w:ind w:firstLine="420" w:firstLineChars="200"/>
        <w:jc w:val="left"/>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2.</w:t>
      </w:r>
      <w:r>
        <w:rPr>
          <w:rFonts w:hint="eastAsia" w:ascii="宋体" w:hAnsi="宋体" w:eastAsia="宋体" w:cs="宋体"/>
          <w:b w:val="0"/>
          <w:bCs w:val="0"/>
          <w:color w:val="auto"/>
          <w:sz w:val="21"/>
          <w:szCs w:val="21"/>
          <w:highlight w:val="none"/>
          <w:lang w:val="en-US"/>
        </w:rPr>
        <w:t>采购需求中带“▲”的条款</w:t>
      </w:r>
      <w:r>
        <w:rPr>
          <w:rFonts w:hint="eastAsia" w:ascii="宋体" w:hAnsi="宋体" w:eastAsia="宋体" w:cs="宋体"/>
          <w:b w:val="0"/>
          <w:bCs w:val="0"/>
          <w:color w:val="auto"/>
          <w:sz w:val="21"/>
          <w:szCs w:val="21"/>
          <w:highlight w:val="none"/>
          <w:lang w:val="en-US" w:eastAsia="zh-CN"/>
        </w:rPr>
        <w:t>为实质性条款，若不满足，作</w:t>
      </w:r>
      <w:r>
        <w:rPr>
          <w:rFonts w:hint="eastAsia" w:ascii="宋体" w:hAnsi="宋体" w:eastAsia="宋体" w:cs="宋体"/>
          <w:b w:val="0"/>
          <w:bCs w:val="0"/>
          <w:color w:val="auto"/>
          <w:sz w:val="21"/>
          <w:szCs w:val="21"/>
          <w:highlight w:val="none"/>
          <w:lang w:val="en-US"/>
        </w:rPr>
        <w:t>无效响应处理。</w:t>
      </w:r>
    </w:p>
    <w:p w14:paraId="1DC6AD44">
      <w:pPr>
        <w:spacing w:line="420" w:lineRule="exact"/>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rPr>
        <w:t>3</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本</w:t>
      </w:r>
      <w:r>
        <w:rPr>
          <w:rFonts w:hint="eastAsia" w:ascii="宋体" w:hAnsi="宋体" w:eastAsia="宋体" w:cs="宋体"/>
          <w:color w:val="auto"/>
          <w:szCs w:val="21"/>
          <w:highlight w:val="none"/>
        </w:rPr>
        <w:t>服务项目中伴随货物的，采购需求中出现的品牌、型号或者</w:t>
      </w:r>
      <w:r>
        <w:rPr>
          <w:rFonts w:hint="eastAsia" w:ascii="宋体" w:hAnsi="宋体" w:eastAsia="宋体" w:cs="宋体"/>
          <w:color w:val="auto"/>
          <w:szCs w:val="21"/>
          <w:highlight w:val="none"/>
          <w:lang w:eastAsia="zh-CN"/>
        </w:rPr>
        <w:t>制造商</w:t>
      </w:r>
      <w:r>
        <w:rPr>
          <w:rFonts w:hint="eastAsia" w:ascii="宋体" w:hAnsi="宋体" w:eastAsia="宋体" w:cs="宋体"/>
          <w:color w:val="auto"/>
          <w:szCs w:val="21"/>
          <w:highlight w:val="none"/>
        </w:rPr>
        <w:t>仅起参考作用，不属于指定品牌、型号或者</w:t>
      </w:r>
      <w:r>
        <w:rPr>
          <w:rFonts w:hint="eastAsia" w:ascii="宋体" w:hAnsi="宋体" w:eastAsia="宋体" w:cs="宋体"/>
          <w:color w:val="auto"/>
          <w:szCs w:val="21"/>
          <w:highlight w:val="none"/>
          <w:lang w:eastAsia="zh-CN"/>
        </w:rPr>
        <w:t>制造商</w:t>
      </w:r>
      <w:r>
        <w:rPr>
          <w:rFonts w:hint="eastAsia" w:ascii="宋体" w:hAnsi="宋体" w:eastAsia="宋体" w:cs="宋体"/>
          <w:color w:val="auto"/>
          <w:szCs w:val="21"/>
          <w:highlight w:val="none"/>
        </w:rPr>
        <w:t>的情形。</w:t>
      </w:r>
      <w:r>
        <w:rPr>
          <w:rFonts w:hint="eastAsia" w:ascii="宋体" w:hAnsi="宋体" w:eastAsia="宋体" w:cs="宋体"/>
          <w:color w:val="auto"/>
          <w:szCs w:val="21"/>
          <w:highlight w:val="none"/>
          <w:lang w:eastAsia="zh-CN"/>
        </w:rPr>
        <w:t>供应商</w:t>
      </w:r>
      <w:r>
        <w:rPr>
          <w:rFonts w:hint="eastAsia" w:ascii="宋体" w:hAnsi="宋体" w:eastAsia="宋体" w:cs="宋体"/>
          <w:color w:val="auto"/>
          <w:szCs w:val="21"/>
          <w:highlight w:val="none"/>
        </w:rPr>
        <w:t>可参照或者选用其他相当的品牌、型号或者</w:t>
      </w:r>
      <w:r>
        <w:rPr>
          <w:rFonts w:hint="eastAsia" w:ascii="宋体" w:hAnsi="宋体" w:eastAsia="宋体" w:cs="宋体"/>
          <w:color w:val="auto"/>
          <w:szCs w:val="21"/>
          <w:highlight w:val="none"/>
          <w:lang w:eastAsia="zh-CN"/>
        </w:rPr>
        <w:t>制造商</w:t>
      </w:r>
      <w:r>
        <w:rPr>
          <w:rFonts w:hint="eastAsia" w:ascii="宋体" w:hAnsi="宋体" w:eastAsia="宋体" w:cs="宋体"/>
          <w:color w:val="auto"/>
          <w:szCs w:val="21"/>
          <w:highlight w:val="none"/>
        </w:rPr>
        <w:t>替代，但选用的</w:t>
      </w:r>
      <w:r>
        <w:rPr>
          <w:rFonts w:hint="eastAsia" w:ascii="宋体" w:hAnsi="宋体" w:eastAsia="宋体" w:cs="宋体"/>
          <w:color w:val="auto"/>
          <w:szCs w:val="21"/>
          <w:highlight w:val="none"/>
          <w:lang w:eastAsia="zh-CN"/>
        </w:rPr>
        <w:t>竞标</w:t>
      </w:r>
      <w:r>
        <w:rPr>
          <w:rFonts w:hint="eastAsia" w:ascii="宋体" w:hAnsi="宋体" w:eastAsia="宋体" w:cs="宋体"/>
          <w:color w:val="auto"/>
          <w:szCs w:val="21"/>
          <w:highlight w:val="none"/>
        </w:rPr>
        <w:t>产品</w:t>
      </w:r>
      <w:r>
        <w:rPr>
          <w:rFonts w:hint="eastAsia" w:ascii="宋体" w:hAnsi="宋体" w:eastAsia="宋体" w:cs="宋体"/>
          <w:color w:val="auto"/>
          <w:szCs w:val="21"/>
          <w:highlight w:val="none"/>
          <w:lang w:eastAsia="zh-CN"/>
        </w:rPr>
        <w:t>技术</w:t>
      </w:r>
      <w:r>
        <w:rPr>
          <w:rFonts w:hint="eastAsia" w:ascii="宋体" w:hAnsi="宋体" w:eastAsia="宋体" w:cs="宋体"/>
          <w:color w:val="auto"/>
          <w:szCs w:val="21"/>
          <w:highlight w:val="none"/>
        </w:rPr>
        <w:t>参数</w:t>
      </w:r>
      <w:r>
        <w:rPr>
          <w:rFonts w:hint="eastAsia" w:ascii="宋体" w:hAnsi="宋体" w:eastAsia="宋体" w:cs="宋体"/>
          <w:color w:val="auto"/>
          <w:szCs w:val="21"/>
          <w:highlight w:val="none"/>
          <w:lang w:eastAsia="zh-CN"/>
        </w:rPr>
        <w:t>及配置</w:t>
      </w:r>
      <w:r>
        <w:rPr>
          <w:rFonts w:hint="eastAsia" w:ascii="宋体" w:hAnsi="宋体" w:eastAsia="宋体" w:cs="宋体"/>
          <w:color w:val="auto"/>
          <w:szCs w:val="21"/>
          <w:highlight w:val="none"/>
        </w:rPr>
        <w:t>必须满足</w:t>
      </w:r>
      <w:r>
        <w:rPr>
          <w:rFonts w:hint="eastAsia" w:ascii="宋体" w:hAnsi="宋体" w:eastAsia="宋体" w:cs="宋体"/>
          <w:color w:val="auto"/>
          <w:szCs w:val="21"/>
          <w:highlight w:val="none"/>
          <w:lang w:eastAsia="zh-CN"/>
        </w:rPr>
        <w:t>采购</w:t>
      </w:r>
      <w:r>
        <w:rPr>
          <w:rFonts w:hint="eastAsia" w:ascii="宋体" w:hAnsi="宋体" w:eastAsia="宋体" w:cs="宋体"/>
          <w:color w:val="auto"/>
          <w:szCs w:val="21"/>
          <w:highlight w:val="none"/>
        </w:rPr>
        <w:t>要求。</w:t>
      </w:r>
    </w:p>
    <w:p w14:paraId="2F75F857">
      <w:pPr>
        <w:spacing w:line="420" w:lineRule="exact"/>
        <w:ind w:firstLine="420" w:firstLineChars="200"/>
        <w:jc w:val="left"/>
        <w:rPr>
          <w:rFonts w:hint="eastAsia" w:ascii="宋体" w:hAnsi="宋体" w:cs="宋体"/>
          <w:color w:val="auto"/>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供应商</w:t>
      </w:r>
      <w:r>
        <w:rPr>
          <w:rFonts w:hint="eastAsia" w:ascii="宋体" w:hAnsi="宋体" w:eastAsia="宋体" w:cs="宋体"/>
          <w:color w:val="auto"/>
          <w:szCs w:val="21"/>
          <w:highlight w:val="none"/>
        </w:rPr>
        <w:t>必须对</w:t>
      </w:r>
      <w:r>
        <w:rPr>
          <w:rFonts w:hint="eastAsia" w:ascii="宋体" w:hAnsi="宋体" w:eastAsia="宋体" w:cs="宋体"/>
          <w:color w:val="auto"/>
          <w:szCs w:val="21"/>
          <w:highlight w:val="none"/>
          <w:lang w:eastAsia="zh-CN"/>
        </w:rPr>
        <w:t>响应文件</w:t>
      </w:r>
      <w:r>
        <w:rPr>
          <w:rFonts w:hint="eastAsia" w:ascii="宋体" w:hAnsi="宋体" w:eastAsia="宋体" w:cs="宋体"/>
          <w:color w:val="auto"/>
          <w:szCs w:val="21"/>
          <w:highlight w:val="none"/>
        </w:rPr>
        <w:t>中提供的证明材料和资质文件真实性负责，如出现虚假应标情况，</w:t>
      </w:r>
      <w:r>
        <w:rPr>
          <w:rFonts w:hint="eastAsia" w:ascii="宋体" w:hAnsi="宋体" w:eastAsia="宋体" w:cs="宋体"/>
          <w:color w:val="auto"/>
          <w:szCs w:val="21"/>
          <w:highlight w:val="none"/>
          <w:lang w:val="en-US" w:eastAsia="zh-CN"/>
        </w:rPr>
        <w:t>供应商</w:t>
      </w:r>
      <w:r>
        <w:rPr>
          <w:rFonts w:hint="eastAsia" w:ascii="宋体" w:hAnsi="宋体" w:eastAsia="宋体" w:cs="宋体"/>
          <w:color w:val="auto"/>
          <w:szCs w:val="21"/>
          <w:highlight w:val="none"/>
        </w:rPr>
        <w:t>除了应接受有关部门的处罚外，还应依据《中华人民共</w:t>
      </w:r>
      <w:r>
        <w:rPr>
          <w:rFonts w:hint="eastAsia" w:ascii="宋体" w:hAnsi="宋体" w:cs="宋体"/>
          <w:color w:val="auto"/>
          <w:szCs w:val="21"/>
          <w:highlight w:val="none"/>
        </w:rPr>
        <w:t>和国民法典》的相关条款来</w:t>
      </w:r>
      <w:r>
        <w:rPr>
          <w:rFonts w:hint="eastAsia" w:ascii="宋体" w:hAnsi="宋体" w:cs="宋体"/>
          <w:color w:val="auto"/>
          <w:szCs w:val="21"/>
          <w:highlight w:val="none"/>
          <w:lang w:eastAsia="zh-CN"/>
        </w:rPr>
        <w:t>进行</w:t>
      </w:r>
      <w:r>
        <w:rPr>
          <w:rFonts w:hint="eastAsia" w:ascii="宋体" w:hAnsi="宋体" w:cs="宋体"/>
          <w:color w:val="auto"/>
          <w:szCs w:val="21"/>
          <w:highlight w:val="none"/>
        </w:rPr>
        <w:t>赔偿。</w:t>
      </w:r>
    </w:p>
    <w:p w14:paraId="0740E099">
      <w:pPr>
        <w:pStyle w:val="11"/>
        <w:spacing w:line="420" w:lineRule="exact"/>
        <w:ind w:firstLine="420" w:firstLineChars="200"/>
        <w:rPr>
          <w:rFonts w:hint="eastAsia" w:ascii="宋体" w:hAnsi="宋体" w:eastAsia="宋体" w:cs="宋体"/>
          <w:color w:val="auto"/>
          <w:highlight w:val="none"/>
        </w:rPr>
      </w:pPr>
      <w:r>
        <w:rPr>
          <w:rFonts w:hint="eastAsia" w:ascii="宋体" w:hAnsi="宋体" w:cs="宋体"/>
          <w:color w:val="auto"/>
          <w:highlight w:val="none"/>
          <w:lang w:val="en-US" w:eastAsia="zh-CN"/>
        </w:rPr>
        <w:t>5</w:t>
      </w:r>
      <w:r>
        <w:rPr>
          <w:rFonts w:hint="eastAsia" w:ascii="宋体" w:hAnsi="宋体" w:cs="宋体"/>
          <w:color w:val="auto"/>
          <w:highlight w:val="none"/>
        </w:rPr>
        <w:t>.</w:t>
      </w:r>
      <w:r>
        <w:rPr>
          <w:rFonts w:hint="eastAsia" w:ascii="宋体" w:hAnsi="宋体" w:eastAsia="宋体" w:cs="宋体"/>
          <w:color w:val="auto"/>
          <w:szCs w:val="21"/>
          <w:highlight w:val="none"/>
          <w:lang w:val="en-US" w:eastAsia="zh-CN"/>
        </w:rPr>
        <w:t>供应商</w:t>
      </w:r>
      <w:r>
        <w:rPr>
          <w:rFonts w:hint="eastAsia" w:ascii="宋体" w:hAnsi="宋体" w:cs="宋体"/>
          <w:color w:val="auto"/>
          <w:highlight w:val="none"/>
        </w:rPr>
        <w:t>应对</w:t>
      </w:r>
      <w:r>
        <w:rPr>
          <w:rFonts w:hint="eastAsia" w:ascii="宋体" w:hAnsi="宋体" w:cs="宋体"/>
          <w:color w:val="auto"/>
          <w:highlight w:val="none"/>
          <w:lang w:eastAsia="zh-CN"/>
        </w:rPr>
        <w:t>竞标</w:t>
      </w:r>
      <w:r>
        <w:rPr>
          <w:rFonts w:hint="eastAsia" w:ascii="宋体" w:hAnsi="宋体" w:cs="宋体"/>
          <w:color w:val="auto"/>
          <w:highlight w:val="none"/>
        </w:rPr>
        <w:t>内容所涉及的专利承担法律责任，并负责保护</w:t>
      </w:r>
      <w:r>
        <w:rPr>
          <w:rFonts w:hint="eastAsia" w:ascii="宋体" w:hAnsi="宋体" w:cs="宋体"/>
          <w:color w:val="auto"/>
          <w:highlight w:val="none"/>
          <w:lang w:eastAsia="zh-CN"/>
        </w:rPr>
        <w:t>采购人</w:t>
      </w:r>
      <w:r>
        <w:rPr>
          <w:rFonts w:hint="eastAsia" w:ascii="宋体" w:hAnsi="宋体" w:cs="宋体"/>
          <w:color w:val="auto"/>
          <w:highlight w:val="none"/>
        </w:rPr>
        <w:t>的利益不受任何损害。一切由于文字、商标、技术和软件专利授权引起的法律裁决、诉讼和赔偿费用均由</w:t>
      </w:r>
      <w:r>
        <w:rPr>
          <w:rFonts w:hint="eastAsia" w:ascii="宋体" w:hAnsi="宋体" w:cs="宋体"/>
          <w:color w:val="auto"/>
          <w:highlight w:val="none"/>
          <w:lang w:val="en-US" w:eastAsia="zh-CN"/>
        </w:rPr>
        <w:t>成交</w:t>
      </w:r>
      <w:r>
        <w:rPr>
          <w:rFonts w:hint="eastAsia" w:ascii="宋体" w:hAnsi="宋体" w:eastAsia="宋体" w:cs="宋体"/>
          <w:color w:val="auto"/>
          <w:szCs w:val="21"/>
          <w:highlight w:val="none"/>
          <w:lang w:val="en-US" w:eastAsia="zh-CN"/>
        </w:rPr>
        <w:t>供应商</w:t>
      </w:r>
      <w:r>
        <w:rPr>
          <w:rFonts w:hint="eastAsia" w:ascii="宋体" w:hAnsi="宋体" w:cs="宋体"/>
          <w:color w:val="auto"/>
          <w:highlight w:val="none"/>
        </w:rPr>
        <w:t>负责。</w:t>
      </w:r>
    </w:p>
    <w:p w14:paraId="0E6D0304">
      <w:pPr>
        <w:tabs>
          <w:tab w:val="left" w:pos="180"/>
          <w:tab w:val="left" w:pos="1620"/>
        </w:tabs>
        <w:spacing w:line="420" w:lineRule="exact"/>
        <w:ind w:firstLine="422" w:firstLineChars="200"/>
        <w:rPr>
          <w:rFonts w:hint="eastAsia" w:ascii="宋体" w:hAnsi="宋体" w:eastAsia="宋体" w:cs="宋体"/>
          <w:b/>
          <w:bCs/>
          <w:color w:val="auto"/>
          <w:highlight w:val="none"/>
        </w:rPr>
      </w:pPr>
      <w:r>
        <w:rPr>
          <w:rFonts w:hint="eastAsia" w:ascii="宋体" w:hAnsi="宋体" w:eastAsia="宋体" w:cs="宋体"/>
          <w:b/>
          <w:bCs/>
          <w:color w:val="auto"/>
          <w:highlight w:val="none"/>
          <w:lang w:val="en-US" w:eastAsia="zh-CN"/>
        </w:rPr>
        <w:t>6.</w:t>
      </w:r>
      <w:r>
        <w:rPr>
          <w:rFonts w:hint="eastAsia" w:ascii="宋体" w:hAnsi="宋体" w:eastAsia="宋体" w:cs="宋体"/>
          <w:b/>
          <w:bCs/>
          <w:color w:val="auto"/>
          <w:highlight w:val="none"/>
        </w:rPr>
        <w:t>本项目分为A分标、B分标、C分标三个分标，供应商可以参与任意一个或多个分标的竞标，但最多只能成为其中一个分标的成交供应商，</w:t>
      </w:r>
      <w:r>
        <w:rPr>
          <w:rFonts w:hint="eastAsia" w:ascii="宋体" w:hAnsi="宋体" w:eastAsia="宋体" w:cs="宋体"/>
          <w:b/>
          <w:bCs/>
          <w:color w:val="auto"/>
          <w:highlight w:val="none"/>
          <w:lang w:eastAsia="zh-CN"/>
        </w:rPr>
        <w:t>推荐成交候选供应商</w:t>
      </w:r>
      <w:r>
        <w:rPr>
          <w:rFonts w:hint="eastAsia" w:ascii="宋体" w:hAnsi="宋体" w:eastAsia="宋体" w:cs="宋体"/>
          <w:b/>
          <w:bCs/>
          <w:color w:val="auto"/>
          <w:highlight w:val="none"/>
        </w:rPr>
        <w:t>原则如下：</w:t>
      </w:r>
    </w:p>
    <w:p w14:paraId="6280EDAB">
      <w:pPr>
        <w:tabs>
          <w:tab w:val="left" w:pos="180"/>
          <w:tab w:val="left" w:pos="1620"/>
        </w:tabs>
        <w:spacing w:line="420" w:lineRule="exact"/>
        <w:ind w:firstLine="422" w:firstLineChars="200"/>
        <w:rPr>
          <w:rFonts w:hint="eastAsia" w:ascii="宋体" w:hAnsi="宋体" w:eastAsia="宋体" w:cs="宋体"/>
          <w:b/>
          <w:bCs/>
          <w:color w:val="auto"/>
          <w:highlight w:val="none"/>
        </w:rPr>
      </w:pPr>
      <w:r>
        <w:rPr>
          <w:rFonts w:hint="eastAsia" w:ascii="宋体" w:hAnsi="宋体" w:eastAsia="宋体" w:cs="宋体"/>
          <w:b/>
          <w:bCs/>
          <w:color w:val="auto"/>
          <w:highlight w:val="none"/>
        </w:rPr>
        <w:t>（1）本项目评审顺序为A分标→B分标→C分标，若某供应商同时在两个或以上分标综合得分排名第一时，则按A分标→B分标→C分标的先后顺序推荐</w:t>
      </w:r>
      <w:r>
        <w:rPr>
          <w:rFonts w:hint="eastAsia" w:ascii="宋体" w:hAnsi="宋体" w:eastAsia="宋体" w:cs="宋体"/>
          <w:b/>
          <w:bCs/>
          <w:color w:val="auto"/>
          <w:highlight w:val="none"/>
          <w:lang w:eastAsia="zh-CN"/>
        </w:rPr>
        <w:t>为第一</w:t>
      </w:r>
      <w:r>
        <w:rPr>
          <w:rFonts w:hint="eastAsia" w:ascii="宋体" w:hAnsi="宋体" w:eastAsia="宋体" w:cs="宋体"/>
          <w:b/>
          <w:bCs/>
          <w:color w:val="auto"/>
          <w:highlight w:val="none"/>
        </w:rPr>
        <w:t>成交候选供应商。该供应商一旦被推荐为某一分标的第一成交候选供应商，则</w:t>
      </w:r>
      <w:r>
        <w:rPr>
          <w:rFonts w:hint="eastAsia" w:ascii="宋体" w:hAnsi="宋体" w:eastAsia="宋体" w:cs="宋体"/>
          <w:b/>
          <w:bCs/>
          <w:color w:val="auto"/>
          <w:highlight w:val="none"/>
          <w:lang w:eastAsia="zh-CN"/>
        </w:rPr>
        <w:t>该供应商</w:t>
      </w:r>
      <w:r>
        <w:rPr>
          <w:rFonts w:hint="eastAsia" w:ascii="宋体" w:hAnsi="宋体" w:eastAsia="宋体" w:cs="宋体"/>
          <w:b/>
          <w:bCs/>
          <w:color w:val="auto"/>
          <w:highlight w:val="none"/>
        </w:rPr>
        <w:t>在其他分标将被</w:t>
      </w:r>
      <w:r>
        <w:rPr>
          <w:rFonts w:hint="eastAsia" w:ascii="宋体" w:hAnsi="宋体" w:eastAsia="宋体" w:cs="宋体"/>
          <w:b/>
          <w:bCs/>
          <w:color w:val="auto"/>
          <w:highlight w:val="none"/>
          <w:lang w:eastAsia="zh-CN"/>
        </w:rPr>
        <w:t>列为</w:t>
      </w:r>
      <w:r>
        <w:rPr>
          <w:rFonts w:hint="eastAsia" w:ascii="宋体" w:hAnsi="宋体" w:eastAsia="宋体" w:cs="宋体"/>
          <w:b/>
          <w:bCs/>
          <w:color w:val="auto"/>
          <w:highlight w:val="none"/>
        </w:rPr>
        <w:t>供应商</w:t>
      </w:r>
      <w:r>
        <w:rPr>
          <w:rFonts w:hint="eastAsia" w:ascii="宋体" w:hAnsi="宋体" w:eastAsia="宋体" w:cs="宋体"/>
          <w:b/>
          <w:bCs/>
          <w:color w:val="auto"/>
          <w:highlight w:val="none"/>
          <w:lang w:eastAsia="zh-CN"/>
        </w:rPr>
        <w:t>排名末位</w:t>
      </w:r>
      <w:r>
        <w:rPr>
          <w:rFonts w:hint="eastAsia" w:ascii="宋体" w:hAnsi="宋体" w:eastAsia="宋体" w:cs="宋体"/>
          <w:b/>
          <w:bCs/>
          <w:color w:val="auto"/>
          <w:highlight w:val="none"/>
        </w:rPr>
        <w:t>，相应分标的其他供应商排名依次自动上升一位。</w:t>
      </w:r>
    </w:p>
    <w:p w14:paraId="37CE9F92">
      <w:pPr>
        <w:tabs>
          <w:tab w:val="left" w:pos="180"/>
          <w:tab w:val="left" w:pos="1620"/>
        </w:tabs>
        <w:spacing w:line="420" w:lineRule="exact"/>
        <w:ind w:firstLine="422" w:firstLineChars="200"/>
        <w:rPr>
          <w:rFonts w:hint="eastAsia" w:ascii="宋体" w:hAnsi="宋体" w:eastAsia="宋体" w:cs="宋体"/>
          <w:b/>
          <w:bCs/>
          <w:color w:val="auto"/>
          <w:highlight w:val="none"/>
        </w:rPr>
      </w:pPr>
      <w:r>
        <w:rPr>
          <w:rFonts w:hint="eastAsia" w:ascii="宋体" w:hAnsi="宋体" w:eastAsia="宋体" w:cs="宋体"/>
          <w:b/>
          <w:bCs/>
          <w:color w:val="auto"/>
          <w:highlight w:val="none"/>
        </w:rPr>
        <w:t>（2）因前述第（1）款的原因导致某供应商在两个或以上分标被推荐为第一成交候选供应商的，则按前述第（1）款规定的原则重新推荐相应分标成交候选供应商。</w:t>
      </w:r>
    </w:p>
    <w:p w14:paraId="7C249B91">
      <w:pPr>
        <w:tabs>
          <w:tab w:val="left" w:pos="180"/>
          <w:tab w:val="left" w:pos="1620"/>
        </w:tabs>
        <w:spacing w:line="420" w:lineRule="exact"/>
        <w:ind w:firstLine="422" w:firstLineChars="200"/>
        <w:rPr>
          <w:rFonts w:hint="default" w:ascii="宋体" w:hAnsi="宋体" w:eastAsia="宋体" w:cs="宋体"/>
          <w:b/>
          <w:bCs/>
          <w:color w:val="auto"/>
          <w:highlight w:val="none"/>
          <w:lang w:val="en-US" w:eastAsia="zh-CN"/>
        </w:rPr>
      </w:pPr>
      <w:r>
        <w:rPr>
          <w:rFonts w:hint="eastAsia" w:ascii="宋体" w:hAnsi="宋体" w:eastAsia="宋体" w:cs="宋体"/>
          <w:b/>
          <w:bCs/>
          <w:color w:val="auto"/>
          <w:highlight w:val="none"/>
        </w:rPr>
        <w:t>（3）按上述（1）→（2）的先后顺序类推，直至所有分标成交候选</w:t>
      </w:r>
      <w:r>
        <w:rPr>
          <w:rFonts w:hint="eastAsia" w:ascii="宋体" w:hAnsi="宋体" w:eastAsia="宋体" w:cs="宋体"/>
          <w:b/>
          <w:bCs/>
          <w:color w:val="auto"/>
          <w:highlight w:val="none"/>
          <w:lang w:eastAsia="zh-CN"/>
        </w:rPr>
        <w:t>供应商</w:t>
      </w:r>
      <w:r>
        <w:rPr>
          <w:rFonts w:hint="eastAsia" w:ascii="宋体" w:hAnsi="宋体" w:eastAsia="宋体" w:cs="宋体"/>
          <w:b/>
          <w:bCs/>
          <w:color w:val="auto"/>
          <w:highlight w:val="none"/>
        </w:rPr>
        <w:t>推荐顺序确定为止。</w:t>
      </w:r>
    </w:p>
    <w:p w14:paraId="27312E83">
      <w:pPr>
        <w:tabs>
          <w:tab w:val="left" w:pos="180"/>
          <w:tab w:val="left" w:pos="1620"/>
        </w:tabs>
        <w:spacing w:line="420" w:lineRule="exact"/>
        <w:ind w:firstLine="420" w:firstLineChars="200"/>
        <w:rPr>
          <w:rFonts w:hint="eastAsia" w:ascii="宋体" w:hAnsi="宋体" w:eastAsia="宋体" w:cs="宋体"/>
          <w:b/>
          <w:bCs/>
          <w:color w:val="auto"/>
          <w:highlight w:val="none"/>
          <w:u w:val="single"/>
          <w:lang w:val="en-US" w:eastAsia="zh-CN"/>
        </w:rPr>
      </w:pPr>
      <w:r>
        <w:rPr>
          <w:rFonts w:hint="eastAsia" w:ascii="宋体" w:hAnsi="宋体" w:eastAsia="宋体" w:cs="宋体"/>
          <w:color w:val="auto"/>
          <w:highlight w:val="none"/>
          <w:lang w:val="en-US" w:eastAsia="zh-CN"/>
        </w:rPr>
        <w:t>7.采购标的对应的中小企业划分标准所属行业</w:t>
      </w:r>
      <w:r>
        <w:rPr>
          <w:rFonts w:hint="eastAsia" w:ascii="宋体" w:hAnsi="宋体" w:cs="宋体"/>
          <w:color w:val="auto"/>
          <w:highlight w:val="none"/>
          <w:lang w:val="en-US" w:eastAsia="zh-CN"/>
        </w:rPr>
        <w:t>名称</w:t>
      </w:r>
      <w:r>
        <w:rPr>
          <w:rFonts w:hint="eastAsia" w:ascii="宋体" w:hAnsi="宋体" w:eastAsia="宋体" w:cs="宋体"/>
          <w:color w:val="auto"/>
          <w:highlight w:val="none"/>
          <w:lang w:val="en-US" w:eastAsia="zh-CN"/>
        </w:rPr>
        <w:t>：</w:t>
      </w:r>
      <w:r>
        <w:rPr>
          <w:rFonts w:hint="eastAsia" w:ascii="宋体" w:hAnsi="宋体" w:eastAsia="宋体" w:cs="宋体"/>
          <w:color w:val="auto"/>
          <w:highlight w:val="none"/>
          <w:u w:val="none"/>
          <w:lang w:val="en-US" w:eastAsia="zh-CN"/>
        </w:rPr>
        <w:t>A、B、C分标均为</w:t>
      </w:r>
      <w:r>
        <w:rPr>
          <w:rFonts w:hint="eastAsia" w:ascii="宋体" w:hAnsi="宋体" w:eastAsia="宋体" w:cs="宋体"/>
          <w:b/>
          <w:bCs/>
          <w:color w:val="auto"/>
          <w:highlight w:val="none"/>
          <w:u w:val="single"/>
          <w:lang w:val="en-US" w:eastAsia="zh-CN"/>
        </w:rPr>
        <w:t>批发业。</w:t>
      </w:r>
    </w:p>
    <w:p w14:paraId="258E500D">
      <w:pPr>
        <w:pStyle w:val="13"/>
        <w:rPr>
          <w:rFonts w:hint="eastAsia" w:ascii="宋体" w:hAnsi="宋体" w:eastAsia="宋体" w:cs="宋体"/>
          <w:b/>
          <w:bCs/>
          <w:color w:val="auto"/>
          <w:highlight w:val="none"/>
          <w:u w:val="single"/>
          <w:lang w:val="en-US" w:eastAsia="zh-CN"/>
        </w:rPr>
      </w:pPr>
    </w:p>
    <w:p w14:paraId="127F2F47">
      <w:pPr>
        <w:pStyle w:val="13"/>
        <w:rPr>
          <w:rFonts w:hint="default" w:ascii="宋体" w:hAnsi="宋体" w:eastAsia="宋体" w:cs="宋体"/>
          <w:b/>
          <w:bCs/>
          <w:color w:val="auto"/>
          <w:highlight w:val="none"/>
          <w:u w:val="single"/>
          <w:lang w:val="en-US" w:eastAsia="zh-CN"/>
        </w:rPr>
      </w:pPr>
    </w:p>
    <w:p w14:paraId="18F2BCCA">
      <w:pPr>
        <w:tabs>
          <w:tab w:val="left" w:pos="180"/>
          <w:tab w:val="left" w:pos="1620"/>
        </w:tabs>
        <w:spacing w:line="360" w:lineRule="auto"/>
        <w:ind w:firstLine="0" w:firstLineChars="0"/>
        <w:rPr>
          <w:rFonts w:hint="eastAsia" w:cs="宋体"/>
          <w:b/>
          <w:bCs/>
          <w:color w:val="auto"/>
          <w:sz w:val="24"/>
          <w:highlight w:val="none"/>
        </w:rPr>
      </w:pPr>
    </w:p>
    <w:tbl>
      <w:tblPr>
        <w:tblStyle w:val="28"/>
        <w:tblW w:w="10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230"/>
        <w:gridCol w:w="885"/>
        <w:gridCol w:w="7567"/>
      </w:tblGrid>
      <w:tr w14:paraId="02452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vAlign w:val="center"/>
          </w:tcPr>
          <w:p w14:paraId="2DA043D9">
            <w:pPr>
              <w:spacing w:line="320" w:lineRule="exact"/>
              <w:jc w:val="left"/>
              <w:rPr>
                <w:rFonts w:hint="eastAsia" w:ascii="宋体" w:hAnsi="宋体" w:eastAsia="宋体" w:cs="宋体"/>
                <w:color w:val="auto"/>
                <w:sz w:val="32"/>
                <w:szCs w:val="32"/>
                <w:highlight w:val="none"/>
              </w:rPr>
            </w:pPr>
            <w:r>
              <w:rPr>
                <w:rFonts w:hint="eastAsia" w:ascii="宋体" w:hAnsi="宋体" w:eastAsia="宋体" w:cs="宋体"/>
                <w:b/>
                <w:bCs/>
                <w:color w:val="auto"/>
                <w:sz w:val="21"/>
                <w:szCs w:val="21"/>
                <w:highlight w:val="none"/>
                <w:lang w:val="en-US" w:eastAsia="zh-CN"/>
              </w:rPr>
              <w:t>A</w:t>
            </w:r>
            <w:r>
              <w:rPr>
                <w:rFonts w:hint="eastAsia" w:ascii="宋体" w:hAnsi="宋体" w:eastAsia="宋体" w:cs="宋体"/>
                <w:b/>
                <w:bCs/>
                <w:color w:val="auto"/>
                <w:sz w:val="21"/>
                <w:szCs w:val="21"/>
                <w:highlight w:val="none"/>
                <w:lang w:eastAsia="zh-CN"/>
              </w:rPr>
              <w:t>分标：</w:t>
            </w:r>
            <w:r>
              <w:rPr>
                <w:rFonts w:hint="eastAsia" w:ascii="宋体" w:hAnsi="宋体" w:eastAsia="宋体" w:cs="宋体"/>
                <w:b/>
                <w:bCs/>
                <w:color w:val="auto"/>
                <w:kern w:val="0"/>
                <w:highlight w:val="none"/>
                <w:lang w:val="en-US" w:bidi="zh-CN"/>
              </w:rPr>
              <w:t>特价</w:t>
            </w:r>
            <w:r>
              <w:rPr>
                <w:rFonts w:hint="eastAsia" w:ascii="宋体" w:hAnsi="宋体" w:eastAsia="宋体" w:cs="宋体"/>
                <w:b/>
                <w:bCs/>
                <w:color w:val="auto"/>
                <w:kern w:val="0"/>
                <w:highlight w:val="none"/>
                <w:lang w:bidi="zh-CN"/>
              </w:rPr>
              <w:t>纸质图书供应服务</w:t>
            </w:r>
            <w:r>
              <w:rPr>
                <w:rFonts w:hint="eastAsia" w:ascii="宋体" w:hAnsi="宋体" w:eastAsia="宋体" w:cs="宋体"/>
                <w:b/>
                <w:bCs/>
                <w:color w:val="auto"/>
                <w:highlight w:val="none"/>
                <w:lang w:eastAsia="zh-CN"/>
              </w:rPr>
              <w:t>（一）</w:t>
            </w:r>
          </w:p>
        </w:tc>
      </w:tr>
      <w:tr w14:paraId="6EAFA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tcBorders>
              <w:top w:val="single" w:color="auto" w:sz="4" w:space="0"/>
            </w:tcBorders>
            <w:noWrap w:val="0"/>
            <w:vAlign w:val="center"/>
          </w:tcPr>
          <w:p w14:paraId="17F1A7BB">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230" w:type="dxa"/>
            <w:tcBorders>
              <w:top w:val="single" w:color="auto" w:sz="4" w:space="0"/>
            </w:tcBorders>
            <w:noWrap w:val="0"/>
            <w:vAlign w:val="center"/>
          </w:tcPr>
          <w:p w14:paraId="46E5A531">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885" w:type="dxa"/>
            <w:tcBorders>
              <w:top w:val="single" w:color="auto" w:sz="4" w:space="0"/>
            </w:tcBorders>
            <w:noWrap w:val="0"/>
            <w:vAlign w:val="center"/>
          </w:tcPr>
          <w:p w14:paraId="55A22B8B">
            <w:pPr>
              <w:spacing w:line="320" w:lineRule="exact"/>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数量</w:t>
            </w:r>
          </w:p>
          <w:p w14:paraId="7AAAB04A">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 w:val="21"/>
                <w:szCs w:val="21"/>
                <w:highlight w:val="none"/>
                <w:lang w:eastAsia="zh-CN"/>
              </w:rPr>
              <w:t>及</w:t>
            </w:r>
            <w:r>
              <w:rPr>
                <w:rFonts w:hint="eastAsia" w:ascii="宋体" w:hAnsi="宋体" w:eastAsia="宋体" w:cs="宋体"/>
                <w:b/>
                <w:bCs/>
                <w:color w:val="auto"/>
                <w:sz w:val="21"/>
                <w:szCs w:val="21"/>
                <w:highlight w:val="none"/>
              </w:rPr>
              <w:t>单位</w:t>
            </w:r>
          </w:p>
        </w:tc>
        <w:tc>
          <w:tcPr>
            <w:tcW w:w="7567" w:type="dxa"/>
            <w:tcBorders>
              <w:top w:val="single" w:color="auto" w:sz="4" w:space="0"/>
            </w:tcBorders>
            <w:noWrap w:val="0"/>
            <w:vAlign w:val="center"/>
          </w:tcPr>
          <w:p w14:paraId="1FF1CE60">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w:t>
            </w:r>
            <w:r>
              <w:rPr>
                <w:rFonts w:hint="eastAsia" w:ascii="宋体" w:hAnsi="宋体" w:eastAsia="宋体" w:cs="宋体"/>
                <w:b/>
                <w:bCs/>
                <w:color w:val="auto"/>
                <w:szCs w:val="21"/>
                <w:highlight w:val="none"/>
                <w:lang w:eastAsia="zh-CN"/>
              </w:rPr>
              <w:t>要求</w:t>
            </w:r>
          </w:p>
        </w:tc>
      </w:tr>
      <w:tr w14:paraId="59419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423" w:type="dxa"/>
            <w:noWrap w:val="0"/>
            <w:vAlign w:val="center"/>
          </w:tcPr>
          <w:p w14:paraId="5BA91792">
            <w:pPr>
              <w:spacing w:line="320" w:lineRule="exact"/>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w:t>
            </w:r>
          </w:p>
        </w:tc>
        <w:tc>
          <w:tcPr>
            <w:tcW w:w="1230" w:type="dxa"/>
            <w:noWrap w:val="0"/>
            <w:vAlign w:val="center"/>
          </w:tcPr>
          <w:p w14:paraId="737ED677">
            <w:pPr>
              <w:spacing w:line="320" w:lineRule="exact"/>
              <w:jc w:val="left"/>
              <w:rPr>
                <w:rFonts w:hint="eastAsia" w:ascii="宋体" w:hAnsi="宋体" w:eastAsia="宋体" w:cs="宋体"/>
                <w:color w:val="auto"/>
                <w:szCs w:val="21"/>
                <w:highlight w:val="none"/>
              </w:rPr>
            </w:pPr>
            <w:r>
              <w:rPr>
                <w:rFonts w:hint="eastAsia" w:ascii="宋体" w:hAnsi="宋体" w:eastAsia="宋体" w:cs="宋体"/>
                <w:color w:val="auto"/>
                <w:kern w:val="0"/>
                <w:highlight w:val="none"/>
                <w:lang w:val="en-US" w:bidi="zh-CN"/>
              </w:rPr>
              <w:t>特价</w:t>
            </w:r>
            <w:r>
              <w:rPr>
                <w:rFonts w:hint="eastAsia" w:ascii="宋体" w:hAnsi="宋体" w:eastAsia="宋体" w:cs="宋体"/>
                <w:color w:val="auto"/>
                <w:kern w:val="0"/>
                <w:highlight w:val="none"/>
                <w:lang w:bidi="zh-CN"/>
              </w:rPr>
              <w:t>纸质图书供应服务</w:t>
            </w:r>
            <w:r>
              <w:rPr>
                <w:rFonts w:hint="eastAsia" w:ascii="宋体" w:hAnsi="宋体" w:eastAsia="宋体" w:cs="宋体"/>
                <w:color w:val="auto"/>
                <w:highlight w:val="none"/>
                <w:lang w:eastAsia="zh-CN"/>
              </w:rPr>
              <w:t>（一）</w:t>
            </w:r>
          </w:p>
        </w:tc>
        <w:tc>
          <w:tcPr>
            <w:tcW w:w="885" w:type="dxa"/>
            <w:noWrap w:val="0"/>
            <w:vAlign w:val="center"/>
          </w:tcPr>
          <w:p w14:paraId="7E84EE66">
            <w:pPr>
              <w:spacing w:line="320" w:lineRule="exact"/>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1项</w:t>
            </w:r>
          </w:p>
        </w:tc>
        <w:tc>
          <w:tcPr>
            <w:tcW w:w="7567" w:type="dxa"/>
            <w:noWrap w:val="0"/>
            <w:vAlign w:val="center"/>
          </w:tcPr>
          <w:p w14:paraId="61D94E86">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一、服务期限：自签订合同之日起至2027年4月30日止。</w:t>
            </w:r>
          </w:p>
          <w:p w14:paraId="5A78F2DF">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二、</w:t>
            </w:r>
            <w:r>
              <w:rPr>
                <w:rFonts w:hint="eastAsia"/>
                <w:color w:val="auto"/>
                <w:highlight w:val="none"/>
                <w:lang w:val="en-US" w:eastAsia="zh-CN"/>
              </w:rPr>
              <w:t>本项目按</w:t>
            </w:r>
            <w:r>
              <w:rPr>
                <w:rFonts w:hint="default"/>
                <w:color w:val="auto"/>
                <w:highlight w:val="none"/>
                <w:lang w:val="en-US" w:eastAsia="zh-CN"/>
              </w:rPr>
              <w:t>折扣率报价</w:t>
            </w:r>
            <w:r>
              <w:rPr>
                <w:rFonts w:hint="eastAsia"/>
                <w:color w:val="auto"/>
                <w:highlight w:val="none"/>
                <w:lang w:val="en-US" w:eastAsia="zh-CN"/>
              </w:rPr>
              <w:t>和结算，详见商务要求</w:t>
            </w:r>
            <w:r>
              <w:rPr>
                <w:rFonts w:hint="default"/>
                <w:color w:val="auto"/>
                <w:highlight w:val="none"/>
                <w:lang w:val="en-US" w:eastAsia="zh-CN"/>
              </w:rPr>
              <w:t>。</w:t>
            </w:r>
          </w:p>
          <w:p w14:paraId="41413BCC">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三、图书册数及要求：</w:t>
            </w:r>
          </w:p>
          <w:p w14:paraId="0856F41D">
            <w:pPr>
              <w:rPr>
                <w:rFonts w:hint="default" w:eastAsia="宋体"/>
                <w:color w:val="auto"/>
                <w:highlight w:val="none"/>
                <w:lang w:val="en-US" w:eastAsia="zh-CN"/>
              </w:rPr>
            </w:pPr>
            <w:r>
              <w:rPr>
                <w:rFonts w:hint="default"/>
                <w:color w:val="auto"/>
                <w:highlight w:val="none"/>
                <w:lang w:val="en-US" w:eastAsia="zh-CN"/>
              </w:rPr>
              <w:t>（一）图书必须包含现代农业技术、设施园艺、作物生产与品质改良、智慧农业技术、园艺技术、植物保护与检疫技术、作物生产与经营管理、现代畜牧、动物医学、畜牧兽医、工程造价、园林景观工程、建筑工程、环境艺术设计、园林工程技术、园林技术、建筑室内设计、电气工程及自动化、智能控制技术、智能制造工程技术、机电设备技术、机电一体化技术、汽车检测与维修技术、新能源汽车技术、食品工程技术、药品质量管理、中药制药、食品智能加工技术、药学、中草药栽培与加工技术、烹饪工艺与营养、电子信息工程技术、网络工程技术、数字媒体技术、人工智能工程技术、水产养殖技术、建筑工程技术、食品质量与安全、现代通信技术、计算机网络技术、软件技术、应用电子技术等专业图书</w:t>
            </w:r>
            <w:r>
              <w:rPr>
                <w:rFonts w:hint="eastAsia"/>
                <w:color w:val="auto"/>
                <w:highlight w:val="none"/>
                <w:lang w:val="en-US" w:eastAsia="zh-CN"/>
              </w:rPr>
              <w:t>。</w:t>
            </w:r>
          </w:p>
          <w:p w14:paraId="18A19A2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b/>
                <w:bCs/>
                <w:color w:val="auto"/>
                <w:highlight w:val="none"/>
                <w:lang w:val="en-US" w:eastAsia="zh-CN"/>
              </w:rPr>
              <w:t>成交供应商提供的图书须包含采购人指定的（附件</w:t>
            </w:r>
            <w:r>
              <w:rPr>
                <w:rFonts w:hint="eastAsia"/>
                <w:b/>
                <w:bCs/>
                <w:color w:val="auto"/>
                <w:highlight w:val="none"/>
                <w:lang w:val="en-US" w:eastAsia="zh-CN"/>
              </w:rPr>
              <w:t>A</w:t>
            </w:r>
            <w:r>
              <w:rPr>
                <w:rFonts w:hint="default"/>
                <w:b/>
                <w:bCs/>
                <w:color w:val="auto"/>
                <w:highlight w:val="none"/>
                <w:lang w:val="en-US" w:eastAsia="zh-CN"/>
              </w:rPr>
              <w:t>）《A分标特价纸质图书必选书目清单》所列图书，且该清单到书率</w:t>
            </w:r>
            <w:r>
              <w:rPr>
                <w:rFonts w:hint="eastAsia"/>
                <w:b/>
                <w:bCs/>
                <w:color w:val="auto"/>
                <w:highlight w:val="none"/>
                <w:lang w:val="en-US" w:eastAsia="zh-CN"/>
              </w:rPr>
              <w:t>≥</w:t>
            </w:r>
            <w:r>
              <w:rPr>
                <w:rFonts w:hint="default"/>
                <w:b/>
                <w:bCs/>
                <w:color w:val="auto"/>
                <w:highlight w:val="none"/>
                <w:lang w:val="en-US" w:eastAsia="zh-CN"/>
              </w:rPr>
              <w:t>95%；本清单图书采购不限制出版社及出版时间。</w:t>
            </w:r>
            <w:r>
              <w:rPr>
                <w:rFonts w:hint="default"/>
                <w:color w:val="auto"/>
                <w:highlight w:val="none"/>
                <w:lang w:val="en-US" w:eastAsia="zh-CN"/>
              </w:rPr>
              <w:t>采购人确认后的订单，成交供应商</w:t>
            </w:r>
            <w:r>
              <w:rPr>
                <w:rFonts w:hint="eastAsia"/>
                <w:color w:val="auto"/>
                <w:highlight w:val="none"/>
                <w:lang w:val="en-US" w:eastAsia="zh-CN"/>
              </w:rPr>
              <w:t>承诺</w:t>
            </w:r>
            <w:r>
              <w:rPr>
                <w:rFonts w:hint="default"/>
                <w:color w:val="auto"/>
                <w:highlight w:val="none"/>
                <w:lang w:val="en-US" w:eastAsia="zh-CN"/>
              </w:rPr>
              <w:t>不得自行搭配与调整，如发现与上述书目清单不符，成交供应商应无条件接受采购人退货，无论图书是否经过前期加工，并承担由此产生的一切后果。</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p>
          <w:p w14:paraId="0FCE9C33">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color w:val="auto"/>
                <w:highlight w:val="none"/>
              </w:rPr>
            </w:pPr>
            <w:r>
              <w:rPr>
                <w:rFonts w:hint="default"/>
                <w:color w:val="auto"/>
                <w:highlight w:val="none"/>
                <w:lang w:val="en-US" w:eastAsia="zh-CN"/>
              </w:rPr>
              <w:t>（二）</w:t>
            </w:r>
            <w:r>
              <w:rPr>
                <w:rFonts w:hint="eastAsia"/>
                <w:color w:val="auto"/>
                <w:highlight w:val="none"/>
                <w:lang w:val="en-US" w:eastAsia="zh-CN"/>
              </w:rPr>
              <w:t>本项目采购的特价纸质图书，须为2016年（含）以来由正规出版社出版或印刷的图书。《</w:t>
            </w:r>
            <w:r>
              <w:rPr>
                <w:rFonts w:hint="eastAsia"/>
                <w:color w:val="auto"/>
                <w:highlight w:val="none"/>
              </w:rPr>
              <w:t>A分标特价纸质图书必选书目清单</w:t>
            </w:r>
            <w:r>
              <w:rPr>
                <w:rFonts w:hint="eastAsia"/>
                <w:color w:val="auto"/>
                <w:highlight w:val="none"/>
                <w:lang w:val="en-US" w:eastAsia="zh-CN"/>
              </w:rPr>
              <w:t>》（附件A）所列图书不受上述出版时间和出版社限制。</w:t>
            </w:r>
          </w:p>
          <w:p w14:paraId="5DB3A7DB">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（三）</w:t>
            </w:r>
            <w:r>
              <w:rPr>
                <w:rFonts w:hint="eastAsia"/>
                <w:color w:val="auto"/>
                <w:highlight w:val="none"/>
                <w:lang w:val="en-US" w:eastAsia="zh-CN"/>
              </w:rPr>
              <w:t>本次采购该分标的采购</w:t>
            </w:r>
            <w:r>
              <w:rPr>
                <w:rFonts w:hint="default"/>
                <w:color w:val="auto"/>
                <w:highlight w:val="none"/>
                <w:lang w:val="en-US" w:eastAsia="zh-CN"/>
              </w:rPr>
              <w:t>图书总册数不少于7.7万册。</w:t>
            </w:r>
          </w:p>
          <w:p w14:paraId="5C7B63E2">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（四）图书的出版社是国家新闻出版署批准成立的合法出版社。</w:t>
            </w:r>
          </w:p>
          <w:p w14:paraId="6C7F5D4B">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（五）每册图书正文不少于100页</w:t>
            </w:r>
            <w:r>
              <w:rPr>
                <w:rFonts w:hint="eastAsia"/>
                <w:color w:val="auto"/>
                <w:highlight w:val="none"/>
                <w:lang w:val="en-US" w:eastAsia="zh-CN"/>
              </w:rPr>
              <w:t>，</w:t>
            </w:r>
            <w:r>
              <w:rPr>
                <w:rFonts w:hint="eastAsia"/>
                <w:color w:val="auto"/>
                <w:highlight w:val="none"/>
              </w:rPr>
              <w:t>但经采购人确认认可的图书，可不受上述页数限制</w:t>
            </w:r>
            <w:r>
              <w:rPr>
                <w:rFonts w:hint="eastAsia"/>
                <w:color w:val="auto"/>
                <w:highlight w:val="none"/>
                <w:lang w:eastAsia="zh-CN"/>
              </w:rPr>
              <w:t>。</w:t>
            </w:r>
          </w:p>
          <w:p w14:paraId="26BB5C3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四、版权与标准：成交供应商应严格执行图书及出版物相关的国际标准或国家标准、行业标准、地方标准及规范。成交供应商必须从国家新闻出版署批准成立的合法出版社购买图书，提供的图书（包括但不限于订单图书、书展用图书、到实体店选购的图书）必须是国家正式出版物，必须是符合国家质量标准要求的全新、未使用过的合格正版图书，必须具有国家新闻出版署批准的国际标准书号（ISBN号），必须没有知识产权、版权纠纷。图书的印刷质量主要执行中华人民共和国国标GB/T34053.3-2017、《图书质量管理规定》《出版管理条例》《印刷业管理条例》。每册图书均要有版权页，且图书在版编目（CIP）数据要与国家新闻出版署官方网站中的出版物信息查询的图书在版编目（CIP）数据一致。若采购人在验收时发现有与国家新闻出版署的官方网站中的出版物信息查询的图书在版编目（CIP）数据不相符的图书，有污损、图文不清、缺页、倒页、缺附件等质量不合格的图书，以及与订单不符的图书，无论加工与否，一律予以退回，由此造成的损失及费用全部由成交供应商承担。此外，若出现与其他第三方的版权纠纷，采购人有权要求终止合同，一切后果由成交供应商负责。</w:t>
            </w:r>
          </w:p>
          <w:p w14:paraId="2C502A89">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五、成交供应商供应的图书（包括但不限于订单图书、书展用图书、到实体店选购的图书）符合国家法律法规和相关政策、社会主义核心价值观等要求，不得含有下列内容：</w:t>
            </w:r>
          </w:p>
          <w:p w14:paraId="091C628B">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（一）反对宪法确定的基本原则的；</w:t>
            </w:r>
          </w:p>
          <w:p w14:paraId="226890DC">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（二）违背党的路线方针政策，污蔑、丑化党和国家领导人、英模人物，戏说党史、国史、军史的；</w:t>
            </w:r>
          </w:p>
          <w:p w14:paraId="5EF9D35C">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（三）危害国家统一、主权和领土完整的；</w:t>
            </w:r>
          </w:p>
          <w:p w14:paraId="0AEFDF35">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（四）泄露国家秘密、危害国家安全或者损害国家荣誉和利益的，具有反华、辱华、丑华内容的；</w:t>
            </w:r>
          </w:p>
          <w:p w14:paraId="1B1966C5">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（五）存在违反民族政策的内容，煽动民族仇恨、民族歧视，破坏民族团结，或者侵害、不尊重民族风俗、习惯的；</w:t>
            </w:r>
          </w:p>
          <w:p w14:paraId="709D8883">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（六）存在违反宗教政策的内容，宣扬宗教教理、教义、教规、邪教、迷信的；</w:t>
            </w:r>
          </w:p>
          <w:p w14:paraId="1DCA24E4">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（七）宣扬个人主义、新自由主义、历史虚无主义等错误观点，存在崇洋媚外思想倾向的；</w:t>
            </w:r>
          </w:p>
          <w:p w14:paraId="6C5BD836">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（八）存在科学性错误的；</w:t>
            </w:r>
          </w:p>
          <w:p w14:paraId="6F1E8373">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（九）扰乱社会秩序，破坏社会稳定的；</w:t>
            </w:r>
          </w:p>
          <w:p w14:paraId="381ACE64">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（十）存在低俗媚俗庸俗等不良倾向，格调低下、思想不健康，宣扬超自然力、神秘主义和鬼神迷信，存在淫秽、色情、暴力、邪教、赌博、毒品、引诱自杀、教唆犯罪等价值导向问题的；</w:t>
            </w:r>
          </w:p>
          <w:p w14:paraId="09A415E6">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（十一）存在违规植入商业广告或变相商业广告及不当链接的；</w:t>
            </w:r>
          </w:p>
          <w:p w14:paraId="48FD9E36">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（十二）侮辱或者诽谤他人，侵害他人合法权益的；</w:t>
            </w:r>
          </w:p>
          <w:p w14:paraId="5D1520E4">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（十三）其他有违公序良俗、道德标准等，危害社会公德或者民族优秀文化传统的，造成社会不良影响的；</w:t>
            </w:r>
          </w:p>
          <w:p w14:paraId="6DD5BEAB">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（十四）有法律、行政法规和国家规定禁止的其他内容的。一经发现上述情况，采购人有权终止合同，并由成交供应商承担相应一切责任。</w:t>
            </w:r>
          </w:p>
          <w:p w14:paraId="1F5CECCE">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六、本项目服务期内，采购人按批次订购图书，并按实际验收合格图书的实洋价进行结算。合同的最终结算金额按实际验收合格数量乘以实洋价进行计算。</w:t>
            </w:r>
          </w:p>
          <w:p w14:paraId="08C7179F">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eastAsia="zh-CN"/>
              </w:rPr>
              <w:t>▲</w:t>
            </w:r>
            <w:r>
              <w:rPr>
                <w:rFonts w:hint="eastAsia"/>
                <w:color w:val="auto"/>
                <w:highlight w:val="none"/>
                <w:lang w:val="en-US" w:eastAsia="zh-CN"/>
              </w:rPr>
              <w:t>七、</w:t>
            </w:r>
            <w:r>
              <w:rPr>
                <w:rFonts w:hint="default"/>
                <w:color w:val="auto"/>
                <w:highlight w:val="none"/>
                <w:lang w:val="en-US" w:eastAsia="zh-CN"/>
              </w:rPr>
              <w:t>服务要求：</w:t>
            </w:r>
          </w:p>
          <w:p w14:paraId="31095AA4">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1.图书（</w:t>
            </w:r>
            <w:r>
              <w:rPr>
                <w:rFonts w:hint="eastAsia"/>
                <w:color w:val="auto"/>
                <w:highlight w:val="none"/>
                <w:lang w:val="en-US" w:eastAsia="zh-CN"/>
              </w:rPr>
              <w:t>包含但不限于</w:t>
            </w:r>
            <w:r>
              <w:rPr>
                <w:rFonts w:hint="default"/>
                <w:color w:val="auto"/>
                <w:highlight w:val="none"/>
                <w:lang w:val="en-US" w:eastAsia="zh-CN"/>
              </w:rPr>
              <w:t>含订单图书、书展图书、实体店选购图书）须确保为正版授权出版物，严禁提供盗版、盗印等违规图书。若经查实供应图书存在盗版、盗印等侵权违规情形，一切社会影响及法律责任均由成交供应商独立承担；采购人有权单方面解除合同，成交供应商还需全额赔偿由此给采购人造成的全部经济损失，并承担相应法律责任。</w:t>
            </w:r>
          </w:p>
          <w:p w14:paraId="144C9E62">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.成交供应商须按采购人下达的图书订单（含品种、数量）及时供货，图书到馆后以采购人现用的Interlib3.5 图书馆管理系统验收结果为准。如有必要，采购人可依据国家有关规定及相关规范组成验收小组开展验收工作；采购人有权委托第三方机构进行履约验收，由此产生的履约验收费用由成交供应商承担。</w:t>
            </w:r>
          </w:p>
          <w:p w14:paraId="37BF637F">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3.</w:t>
            </w:r>
            <w:r>
              <w:rPr>
                <w:rFonts w:hint="default"/>
                <w:b/>
                <w:bCs/>
                <w:color w:val="auto"/>
                <w:highlight w:val="none"/>
                <w:lang w:val="en-US" w:eastAsia="zh-CN"/>
              </w:rPr>
              <w:t>自订单发送之日起</w:t>
            </w:r>
            <w:r>
              <w:rPr>
                <w:rFonts w:hint="eastAsia"/>
                <w:b/>
                <w:bCs/>
                <w:color w:val="auto"/>
                <w:highlight w:val="none"/>
                <w:lang w:val="en-US" w:eastAsia="zh-CN"/>
              </w:rPr>
              <w:t>30</w:t>
            </w:r>
            <w:r>
              <w:rPr>
                <w:rFonts w:hint="default"/>
                <w:b/>
                <w:bCs/>
                <w:color w:val="auto"/>
                <w:highlight w:val="none"/>
                <w:lang w:val="en-US" w:eastAsia="zh-CN"/>
              </w:rPr>
              <w:t>个</w:t>
            </w:r>
            <w:r>
              <w:rPr>
                <w:rFonts w:hint="eastAsia"/>
                <w:b/>
                <w:bCs/>
                <w:color w:val="auto"/>
                <w:highlight w:val="none"/>
                <w:lang w:val="en-US" w:eastAsia="zh-CN"/>
              </w:rPr>
              <w:t>日历日</w:t>
            </w:r>
            <w:r>
              <w:rPr>
                <w:rFonts w:hint="default"/>
                <w:b/>
                <w:bCs/>
                <w:color w:val="auto"/>
                <w:highlight w:val="none"/>
                <w:lang w:val="en-US" w:eastAsia="zh-CN"/>
              </w:rPr>
              <w:t>内，每笔订单的到书率须</w:t>
            </w:r>
            <w:r>
              <w:rPr>
                <w:rFonts w:hint="eastAsia"/>
                <w:b/>
                <w:bCs/>
                <w:color w:val="auto"/>
                <w:highlight w:val="none"/>
                <w:lang w:val="en-US" w:eastAsia="zh-CN"/>
              </w:rPr>
              <w:t>≥</w:t>
            </w:r>
            <w:r>
              <w:rPr>
                <w:rFonts w:hint="default"/>
                <w:b/>
                <w:bCs/>
                <w:color w:val="auto"/>
                <w:highlight w:val="none"/>
                <w:lang w:val="en-US" w:eastAsia="zh-CN"/>
              </w:rPr>
              <w:t>90%</w:t>
            </w:r>
            <w:r>
              <w:rPr>
                <w:rFonts w:hint="eastAsia"/>
                <w:b/>
                <w:bCs/>
                <w:color w:val="auto"/>
                <w:highlight w:val="none"/>
                <w:lang w:val="en-US" w:eastAsia="zh-CN"/>
              </w:rPr>
              <w:t>，</w:t>
            </w:r>
            <w:r>
              <w:rPr>
                <w:rFonts w:ascii="Times New Roman" w:hAnsi="Times New Roman" w:eastAsia="宋体" w:cs="Times New Roman"/>
                <w:b/>
                <w:bCs/>
                <w:i w:val="0"/>
                <w:iCs w:val="0"/>
                <w:caps w:val="0"/>
                <w:color w:val="auto"/>
                <w:spacing w:val="0"/>
                <w:sz w:val="21"/>
                <w:szCs w:val="24"/>
                <w:highlight w:val="none"/>
                <w:shd w:val="clear" w:color="auto" w:fill="auto"/>
              </w:rPr>
              <w:t>采购需求附件</w:t>
            </w:r>
            <w:r>
              <w:rPr>
                <w:rFonts w:hint="eastAsia" w:cs="Times New Roman"/>
                <w:b/>
                <w:bCs/>
                <w:i w:val="0"/>
                <w:iCs w:val="0"/>
                <w:caps w:val="0"/>
                <w:color w:val="auto"/>
                <w:spacing w:val="0"/>
                <w:sz w:val="21"/>
                <w:szCs w:val="24"/>
                <w:highlight w:val="none"/>
                <w:shd w:val="clear" w:color="auto" w:fill="auto"/>
                <w:lang w:val="en-US" w:eastAsia="zh-CN"/>
              </w:rPr>
              <w:t>A</w:t>
            </w:r>
            <w:r>
              <w:rPr>
                <w:rFonts w:ascii="Times New Roman" w:hAnsi="Times New Roman" w:eastAsia="宋体" w:cs="Times New Roman"/>
                <w:b/>
                <w:bCs/>
                <w:i w:val="0"/>
                <w:iCs w:val="0"/>
                <w:caps w:val="0"/>
                <w:color w:val="auto"/>
                <w:spacing w:val="0"/>
                <w:sz w:val="21"/>
                <w:szCs w:val="24"/>
                <w:highlight w:val="none"/>
                <w:shd w:val="clear" w:color="auto" w:fill="auto"/>
              </w:rPr>
              <w:t>《A分标特价纸质图书必选书目清单》的到书率按</w:t>
            </w:r>
            <w:r>
              <w:rPr>
                <w:rFonts w:hint="eastAsia" w:cs="Times New Roman"/>
                <w:b/>
                <w:bCs/>
                <w:i w:val="0"/>
                <w:iCs w:val="0"/>
                <w:caps w:val="0"/>
                <w:color w:val="auto"/>
                <w:spacing w:val="0"/>
                <w:sz w:val="21"/>
                <w:szCs w:val="24"/>
                <w:highlight w:val="none"/>
                <w:shd w:val="clear" w:color="auto" w:fill="auto"/>
                <w:lang w:eastAsia="zh-CN"/>
              </w:rPr>
              <w:t>≥</w:t>
            </w:r>
            <w:r>
              <w:rPr>
                <w:rFonts w:ascii="Times New Roman" w:hAnsi="Times New Roman" w:eastAsia="宋体" w:cs="Times New Roman"/>
                <w:b/>
                <w:bCs/>
                <w:i w:val="0"/>
                <w:iCs w:val="0"/>
                <w:caps w:val="0"/>
                <w:color w:val="auto"/>
                <w:spacing w:val="0"/>
                <w:sz w:val="21"/>
                <w:szCs w:val="24"/>
                <w:highlight w:val="none"/>
                <w:shd w:val="clear" w:color="auto" w:fill="auto"/>
              </w:rPr>
              <w:t>95%</w:t>
            </w:r>
            <w:r>
              <w:rPr>
                <w:rFonts w:hint="eastAsia"/>
                <w:b/>
                <w:bCs/>
                <w:color w:val="auto"/>
                <w:highlight w:val="none"/>
                <w:lang w:val="en-US" w:eastAsia="zh-CN"/>
              </w:rPr>
              <w:t>要求执行</w:t>
            </w:r>
            <w:r>
              <w:rPr>
                <w:rFonts w:hint="default"/>
                <w:color w:val="auto"/>
                <w:highlight w:val="none"/>
                <w:lang w:val="en-US" w:eastAsia="zh-CN"/>
              </w:rPr>
              <w:t>；若存在无法供货的情形，成交供应商应提供出版社出具的正式无法供货证明材料</w:t>
            </w:r>
            <w:r>
              <w:rPr>
                <w:rFonts w:hint="eastAsia"/>
                <w:color w:val="auto"/>
                <w:highlight w:val="none"/>
                <w:lang w:val="en-US" w:eastAsia="zh-CN"/>
              </w:rPr>
              <w:t>，</w:t>
            </w:r>
            <w:r>
              <w:rPr>
                <w:rFonts w:hint="eastAsia"/>
                <w:b/>
                <w:bCs/>
                <w:color w:val="auto"/>
                <w:highlight w:val="none"/>
              </w:rPr>
              <w:t>成交供应商出具出版社无法正式供货的证明的图书不纳入到书率的统计范围</w:t>
            </w:r>
            <w:r>
              <w:rPr>
                <w:rFonts w:hint="default"/>
                <w:color w:val="auto"/>
                <w:highlight w:val="none"/>
                <w:lang w:val="en-US" w:eastAsia="zh-CN"/>
              </w:rPr>
              <w:t>。若每笔订单到书率未达标，采购人有权单方面解除合同。订单到书率以Interlib3.</w:t>
            </w:r>
            <w:r>
              <w:rPr>
                <w:rFonts w:hint="eastAsia"/>
                <w:color w:val="auto"/>
                <w:highlight w:val="none"/>
                <w:lang w:val="en-US" w:eastAsia="zh-CN"/>
              </w:rPr>
              <w:t>5</w:t>
            </w:r>
            <w:r>
              <w:rPr>
                <w:rFonts w:hint="default"/>
                <w:color w:val="auto"/>
                <w:highlight w:val="none"/>
                <w:lang w:val="en-US" w:eastAsia="zh-CN"/>
              </w:rPr>
              <w:t>图书馆管理系统统计数据为依据，成交供应商需对未按期到货的图书承担相应违约责任</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r>
              <w:rPr>
                <w:rFonts w:hint="default"/>
                <w:color w:val="auto"/>
                <w:highlight w:val="none"/>
                <w:lang w:val="en-US" w:eastAsia="zh-CN"/>
              </w:rPr>
              <w:t>。</w:t>
            </w:r>
          </w:p>
          <w:p w14:paraId="5F20C500">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4</w:t>
            </w:r>
            <w:r>
              <w:rPr>
                <w:rFonts w:hint="default"/>
                <w:color w:val="auto"/>
                <w:highlight w:val="none"/>
                <w:lang w:val="en-US" w:eastAsia="zh-CN"/>
              </w:rPr>
              <w:t>.成交供应商负责新购图书的搬运与上架，并提供馆内旧图书的下架、搬运及打包服务（仅限学校西校区范围内）。打包须使用打包机和防潮纸，并由供应商自行提供所需材料及设备。</w:t>
            </w:r>
          </w:p>
          <w:p w14:paraId="12FCBDD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5</w:t>
            </w:r>
            <w:r>
              <w:rPr>
                <w:rFonts w:hint="default"/>
                <w:color w:val="auto"/>
                <w:highlight w:val="none"/>
                <w:lang w:val="en-US" w:eastAsia="zh-CN"/>
              </w:rPr>
              <w:t>.</w:t>
            </w:r>
            <w:r>
              <w:rPr>
                <w:rFonts w:hint="eastAsia"/>
                <w:color w:val="auto"/>
                <w:highlight w:val="none"/>
                <w:lang w:val="en-US" w:eastAsia="zh-CN"/>
              </w:rPr>
              <w:t>成交</w:t>
            </w:r>
            <w:r>
              <w:rPr>
                <w:rFonts w:hint="default"/>
                <w:color w:val="auto"/>
                <w:highlight w:val="none"/>
                <w:lang w:val="en-US" w:eastAsia="zh-CN"/>
              </w:rPr>
              <w:t>供应商提供图书为未经使用的全新正版的合格图书，整体外观和装订平整、牢固，无脱胶、无缺页、无页码倒装；图书的版权页和国际标准书号整洁、清晰，纸质好，无损坏、无撕页，字体、图片印刷清晰，无明显透印、重影。</w:t>
            </w:r>
          </w:p>
          <w:p w14:paraId="0127254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6</w:t>
            </w:r>
            <w:r>
              <w:rPr>
                <w:rFonts w:hint="default"/>
                <w:color w:val="auto"/>
                <w:highlight w:val="none"/>
                <w:lang w:val="en-US" w:eastAsia="zh-CN"/>
              </w:rPr>
              <w:t>.</w:t>
            </w:r>
            <w:r>
              <w:rPr>
                <w:rFonts w:hint="eastAsia"/>
                <w:color w:val="auto"/>
                <w:highlight w:val="none"/>
                <w:lang w:val="en-US" w:eastAsia="zh-CN"/>
              </w:rPr>
              <w:t>成交</w:t>
            </w:r>
            <w:r>
              <w:rPr>
                <w:rFonts w:hint="default"/>
                <w:color w:val="auto"/>
                <w:highlight w:val="none"/>
                <w:lang w:val="en-US" w:eastAsia="zh-CN"/>
              </w:rPr>
              <w:t>供应商应严格依照采购人采购书目供货，按照采购品目、种类及订单数量配送图书。如图书出现</w:t>
            </w:r>
            <w:r>
              <w:rPr>
                <w:rFonts w:hint="eastAsia"/>
                <w:color w:val="auto"/>
                <w:highlight w:val="none"/>
                <w:lang w:val="en-US" w:eastAsia="zh-CN"/>
              </w:rPr>
              <w:t>与馆藏重复、</w:t>
            </w:r>
            <w:r>
              <w:rPr>
                <w:rFonts w:hint="default"/>
                <w:color w:val="auto"/>
                <w:highlight w:val="none"/>
                <w:lang w:val="en-US" w:eastAsia="zh-CN"/>
              </w:rPr>
              <w:t>质量（包含污损、图文不清、缺页、倒页、缺附件等不合格情况）、内容（包括重书、空白页＞5页的书）、通过扫描图书封底ISBN条码读取出的号与图书在版编目（CIP）数据中ISBN号不符等问题，应予无条件退换；不符合采购人订单要求的图书，无论图书是否加工，</w:t>
            </w:r>
            <w:r>
              <w:rPr>
                <w:rFonts w:hint="eastAsia"/>
                <w:color w:val="auto"/>
                <w:highlight w:val="none"/>
                <w:lang w:val="en-US" w:eastAsia="zh-CN"/>
              </w:rPr>
              <w:t>成交</w:t>
            </w:r>
            <w:r>
              <w:rPr>
                <w:rFonts w:hint="default"/>
                <w:color w:val="auto"/>
                <w:highlight w:val="none"/>
                <w:lang w:val="en-US" w:eastAsia="zh-CN"/>
              </w:rPr>
              <w:t>供应商应无条件接受采购人退货，并承担由此产生的一切后果。</w:t>
            </w:r>
          </w:p>
          <w:p w14:paraId="5133BA45">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7</w:t>
            </w:r>
            <w:r>
              <w:rPr>
                <w:rFonts w:hint="default"/>
                <w:color w:val="auto"/>
                <w:highlight w:val="none"/>
                <w:lang w:val="en-US" w:eastAsia="zh-CN"/>
              </w:rPr>
              <w:t>.图书到货后由采购人进行初步验收，包括对图书品种、数量、出版社、质量等进行逐册验收，若发现与采购人的采购需求不符，采购人有权拒绝签收，并要求供应商重新更换。更换以及退还图书手续一般应在5个工作日之内办理清楚，最长不得超过</w:t>
            </w:r>
            <w:r>
              <w:rPr>
                <w:rFonts w:hint="eastAsia"/>
                <w:color w:val="auto"/>
                <w:highlight w:val="none"/>
                <w:lang w:val="en-US" w:eastAsia="zh-CN"/>
              </w:rPr>
              <w:t>30</w:t>
            </w:r>
            <w:r>
              <w:rPr>
                <w:rFonts w:hint="default"/>
                <w:color w:val="auto"/>
                <w:highlight w:val="none"/>
                <w:lang w:val="en-US" w:eastAsia="zh-CN"/>
              </w:rPr>
              <w:t>个</w:t>
            </w:r>
            <w:r>
              <w:rPr>
                <w:rFonts w:hint="eastAsia"/>
                <w:color w:val="auto"/>
                <w:highlight w:val="none"/>
                <w:lang w:val="en-US" w:eastAsia="zh-CN"/>
              </w:rPr>
              <w:t>日历</w:t>
            </w:r>
            <w:r>
              <w:rPr>
                <w:rFonts w:hint="default"/>
                <w:color w:val="auto"/>
                <w:highlight w:val="none"/>
                <w:lang w:val="en-US" w:eastAsia="zh-CN"/>
              </w:rPr>
              <w:t>日。</w:t>
            </w:r>
          </w:p>
          <w:p w14:paraId="22783A18">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8</w:t>
            </w:r>
            <w:r>
              <w:rPr>
                <w:rFonts w:hint="default"/>
                <w:color w:val="auto"/>
                <w:highlight w:val="none"/>
                <w:lang w:val="en-US" w:eastAsia="zh-CN"/>
              </w:rPr>
              <w:t>.</w:t>
            </w:r>
            <w:r>
              <w:rPr>
                <w:rFonts w:hint="eastAsia"/>
                <w:color w:val="auto"/>
                <w:highlight w:val="none"/>
                <w:lang w:val="en-US" w:eastAsia="zh-CN"/>
              </w:rPr>
              <w:t>供应商要求：</w:t>
            </w:r>
          </w:p>
          <w:p w14:paraId="0C4B668E">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rPr>
              <w:t>供应商应具备提供本项目所需专业图书的供应能力，能够覆盖</w:t>
            </w:r>
            <w:r>
              <w:rPr>
                <w:rFonts w:hint="eastAsia"/>
                <w:color w:val="auto"/>
                <w:highlight w:val="none"/>
                <w:lang w:eastAsia="zh-CN"/>
              </w:rPr>
              <w:t>采购需求</w:t>
            </w:r>
            <w:r>
              <w:rPr>
                <w:rFonts w:hint="eastAsia"/>
                <w:color w:val="auto"/>
                <w:highlight w:val="none"/>
              </w:rPr>
              <w:t>中列明的全部专业类别，确保馆藏建设的完整性</w:t>
            </w:r>
            <w:r>
              <w:rPr>
                <w:rFonts w:hint="eastAsia"/>
                <w:color w:val="auto"/>
                <w:highlight w:val="none"/>
                <w:lang w:eastAsia="zh-CN"/>
              </w:rPr>
              <w:t>。</w:t>
            </w:r>
            <w:r>
              <w:rPr>
                <w:rFonts w:hint="eastAsia"/>
                <w:color w:val="auto"/>
                <w:highlight w:val="none"/>
              </w:rPr>
              <w:t>供应商应与国家新闻出版署批准的合法出版社（含</w:t>
            </w:r>
            <w:r>
              <w:rPr>
                <w:rFonts w:hint="eastAsia"/>
                <w:color w:val="auto"/>
                <w:highlight w:val="none"/>
                <w:lang w:eastAsia="zh-CN"/>
              </w:rPr>
              <w:t>采购需求中列出的</w:t>
            </w:r>
            <w:r>
              <w:rPr>
                <w:rFonts w:hint="eastAsia"/>
                <w:color w:val="auto"/>
                <w:highlight w:val="none"/>
              </w:rPr>
              <w:t>出版社）建立稳定合作关系，具备获取所需图书资源的渠道优势，能够满足采购人分批次、多品种的采购需求</w:t>
            </w:r>
            <w:r>
              <w:rPr>
                <w:rFonts w:hint="eastAsia"/>
                <w:color w:val="auto"/>
                <w:highlight w:val="none"/>
                <w:lang w:eastAsia="zh-CN"/>
              </w:rPr>
              <w:t>。</w:t>
            </w:r>
          </w:p>
          <w:p w14:paraId="42D9F1DD">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.编目数据、加工及分类上架要求：</w:t>
            </w:r>
          </w:p>
          <w:p w14:paraId="0FFC882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.1成交供应商为到馆图书提供CNMARC数据，数据要与到馆图书一一对应。编目数据要求符合国图格式或CALIS格式，具体要求及细则以采购人要求为准。</w:t>
            </w:r>
          </w:p>
          <w:p w14:paraId="4EE2AB2F">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2编目数据分类标引要严格按《中国图书馆分类法》（第五版）执行；主题标引严格按照《中图分类主题词表》（Web版优先）执行。MARC数据著录要求详尽，相应字段有则必备，能够完全反映图书信息。分类标引和主题标引准确，</w:t>
            </w:r>
            <w:r>
              <w:rPr>
                <w:rFonts w:hint="default"/>
                <w:b/>
                <w:bCs/>
                <w:color w:val="auto"/>
                <w:highlight w:val="none"/>
                <w:lang w:val="en-US" w:eastAsia="zh-CN"/>
              </w:rPr>
              <w:t>差错率不能高于1%</w:t>
            </w:r>
            <w:r>
              <w:rPr>
                <w:rFonts w:hint="default"/>
                <w:color w:val="auto"/>
                <w:highlight w:val="none"/>
                <w:lang w:val="en-US" w:eastAsia="zh-CN"/>
              </w:rPr>
              <w:t>。</w:t>
            </w:r>
          </w:p>
          <w:p w14:paraId="2479C712">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3加工及分类上架要求：提供图书（含随书光盘等附件）全套加工服务和加工所用材料，包括提供盖馆藏章、贴磁条、贴条形码、数据编目、打印及粘贴书标等，并且要达到采购人质量要求，保证加工后图书可直接上架流通。纯粹的光盘（非图书配套光盘），需通过电话、QQ或微信经</w:t>
            </w:r>
            <w:r>
              <w:rPr>
                <w:rFonts w:hint="eastAsia"/>
                <w:color w:val="auto"/>
                <w:highlight w:val="none"/>
                <w:lang w:val="en-US" w:eastAsia="zh-CN"/>
              </w:rPr>
              <w:t>采购人图书馆</w:t>
            </w:r>
            <w:r>
              <w:rPr>
                <w:rFonts w:hint="default"/>
                <w:color w:val="auto"/>
                <w:highlight w:val="none"/>
                <w:lang w:val="en-US" w:eastAsia="zh-CN"/>
              </w:rPr>
              <w:t>采访人员重新核实后才能加工。所有图书加工工作必须按采购人图书馆具体要求完成，全部加工及耗材的费用，包括编目数据费用、条形码、磁条和不干胶书标加工费和材料费均由供应商承担，图书加工细则以采购人要求为准。成交供应商按采购人要求提供MARC和EXCEL两种格式的新书征订目录，采访书目数据内容翔实、准确，格式完整，主要包含</w:t>
            </w:r>
            <w:r>
              <w:rPr>
                <w:rFonts w:hint="eastAsia"/>
                <w:color w:val="auto"/>
                <w:highlight w:val="none"/>
                <w:lang w:val="en-US" w:eastAsia="zh-CN"/>
              </w:rPr>
              <w:t>：</w:t>
            </w:r>
            <w:r>
              <w:rPr>
                <w:rFonts w:hint="default"/>
                <w:color w:val="auto"/>
                <w:highlight w:val="none"/>
                <w:lang w:val="en-US" w:eastAsia="zh-CN"/>
              </w:rPr>
              <w:t>题名、作者、ISBN号、出版社、出版时间、码洋、分类号、页码、装帧、开本、摘要、丛书名、适应读者范围等信息。翻译的</w:t>
            </w:r>
            <w:r>
              <w:rPr>
                <w:rFonts w:hint="eastAsia"/>
                <w:color w:val="auto"/>
                <w:highlight w:val="none"/>
                <w:lang w:val="en-US" w:eastAsia="zh-CN"/>
              </w:rPr>
              <w:t>授权</w:t>
            </w:r>
            <w:r>
              <w:rPr>
                <w:rFonts w:hint="default"/>
                <w:color w:val="auto"/>
                <w:highlight w:val="none"/>
                <w:lang w:val="en-US" w:eastAsia="zh-CN"/>
              </w:rPr>
              <w:t>版图书除包括著者中文译名外，还应提供著者英文姓名；对于译著需详细提供译者名及原著版次。大套丛编中单种图书中有单独ISBN号的要分别列出单种图书信息，大套图书在必要时提供子（细）目供参考。所有数据都能在采购人现有的图书馆集成管理系统无障碍使用。</w:t>
            </w:r>
          </w:p>
          <w:p w14:paraId="607BA873">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本项目不采购以下图书资料：</w:t>
            </w:r>
          </w:p>
          <w:p w14:paraId="5D282341">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11.1</w:t>
            </w:r>
            <w:r>
              <w:rPr>
                <w:rFonts w:hint="default"/>
                <w:color w:val="auto"/>
                <w:highlight w:val="none"/>
                <w:lang w:val="en-US" w:eastAsia="zh-CN"/>
              </w:rPr>
              <w:t>出版物类型：袋装书、挂图、线装书、经折装、散页书、盒装书；</w:t>
            </w:r>
          </w:p>
          <w:p w14:paraId="0B57F09F">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11.2</w:t>
            </w:r>
            <w:r>
              <w:rPr>
                <w:rFonts w:hint="default"/>
                <w:color w:val="auto"/>
                <w:highlight w:val="none"/>
                <w:lang w:val="en-US" w:eastAsia="zh-CN"/>
              </w:rPr>
              <w:t>开本规格：小</w:t>
            </w:r>
            <w:r>
              <w:rPr>
                <w:rFonts w:hint="eastAsia"/>
                <w:color w:val="auto"/>
                <w:highlight w:val="none"/>
                <w:lang w:val="en-US" w:eastAsia="zh-CN"/>
              </w:rPr>
              <w:t>于64开</w:t>
            </w:r>
            <w:r>
              <w:rPr>
                <w:rFonts w:hint="default"/>
                <w:color w:val="auto"/>
                <w:highlight w:val="none"/>
                <w:lang w:val="en-US" w:eastAsia="zh-CN"/>
              </w:rPr>
              <w:t>的图书；</w:t>
            </w:r>
          </w:p>
          <w:p w14:paraId="3D7AEF0F">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11.3</w:t>
            </w:r>
            <w:r>
              <w:rPr>
                <w:rFonts w:hint="default"/>
                <w:color w:val="auto"/>
                <w:highlight w:val="none"/>
                <w:lang w:val="en-US" w:eastAsia="zh-CN"/>
              </w:rPr>
              <w:t>载体形式：磁带、VCD、DVD 及其他非纸本载体的出版物；</w:t>
            </w:r>
          </w:p>
          <w:p w14:paraId="77F5B560">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11.4</w:t>
            </w:r>
            <w:r>
              <w:rPr>
                <w:rFonts w:hint="default"/>
                <w:color w:val="auto"/>
                <w:highlight w:val="none"/>
                <w:lang w:val="en-US" w:eastAsia="zh-CN"/>
              </w:rPr>
              <w:t>内容类别：</w:t>
            </w:r>
            <w:r>
              <w:rPr>
                <w:rFonts w:hint="eastAsia"/>
                <w:color w:val="auto"/>
                <w:highlight w:val="none"/>
                <w:lang w:val="en-US" w:eastAsia="zh-CN"/>
              </w:rPr>
              <w:t>婴幼儿、</w:t>
            </w:r>
            <w:r>
              <w:rPr>
                <w:rFonts w:hint="default"/>
                <w:color w:val="auto"/>
                <w:highlight w:val="none"/>
                <w:lang w:val="en-US" w:eastAsia="zh-CN"/>
              </w:rPr>
              <w:t>中小学、中职</w:t>
            </w:r>
            <w:r>
              <w:rPr>
                <w:rFonts w:hint="eastAsia"/>
                <w:color w:val="auto"/>
                <w:highlight w:val="none"/>
                <w:lang w:val="en-US" w:eastAsia="zh-CN"/>
              </w:rPr>
              <w:t>阶段的</w:t>
            </w:r>
            <w:r>
              <w:rPr>
                <w:rFonts w:hint="default"/>
                <w:color w:val="auto"/>
                <w:highlight w:val="none"/>
                <w:lang w:val="en-US" w:eastAsia="zh-CN"/>
              </w:rPr>
              <w:t>教材</w:t>
            </w:r>
            <w:r>
              <w:rPr>
                <w:rFonts w:hint="eastAsia"/>
                <w:color w:val="auto"/>
                <w:highlight w:val="none"/>
                <w:lang w:val="en-US" w:eastAsia="zh-CN"/>
              </w:rPr>
              <w:t>、</w:t>
            </w:r>
            <w:r>
              <w:rPr>
                <w:rFonts w:hint="default"/>
                <w:color w:val="auto"/>
                <w:highlight w:val="none"/>
                <w:lang w:val="en-US" w:eastAsia="zh-CN"/>
              </w:rPr>
              <w:t>教辅</w:t>
            </w:r>
            <w:r>
              <w:rPr>
                <w:rFonts w:hint="eastAsia"/>
                <w:color w:val="auto"/>
                <w:highlight w:val="none"/>
                <w:lang w:val="en-US" w:eastAsia="zh-CN"/>
              </w:rPr>
              <w:t>及相关科普读物；</w:t>
            </w:r>
          </w:p>
          <w:p w14:paraId="3F2CCDCD">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11.5</w:t>
            </w:r>
            <w:r>
              <w:rPr>
                <w:rFonts w:hint="default"/>
                <w:color w:val="auto"/>
                <w:highlight w:val="none"/>
                <w:lang w:val="en-US" w:eastAsia="zh-CN"/>
              </w:rPr>
              <w:t>分类限定：</w:t>
            </w:r>
            <w:r>
              <w:rPr>
                <w:rFonts w:hint="eastAsia"/>
                <w:color w:val="auto"/>
                <w:highlight w:val="none"/>
                <w:lang w:val="en-US" w:eastAsia="zh-CN"/>
              </w:rPr>
              <w:t>《中国图书馆分类法》（简称“中图法”）</w:t>
            </w:r>
            <w:r>
              <w:rPr>
                <w:rFonts w:hint="default"/>
                <w:color w:val="auto"/>
                <w:highlight w:val="none"/>
                <w:lang w:val="en-US" w:eastAsia="zh-CN"/>
              </w:rPr>
              <w:t>B9 类（宗教类）相关图书（包括但不限于宗教教义、传教宣传、宗教仪式相关等各类图书）。</w:t>
            </w:r>
          </w:p>
          <w:p w14:paraId="6A2C7932">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12.</w:t>
            </w:r>
            <w:r>
              <w:rPr>
                <w:rFonts w:hint="default"/>
                <w:color w:val="auto"/>
                <w:highlight w:val="none"/>
                <w:lang w:val="en-US" w:eastAsia="zh-CN"/>
              </w:rPr>
              <w:t>成交供应商能严守意识形态阵地；不得因为供货折扣原因屏蔽任何图书品种，并积极联系出版社获得合作包销图书品种信息；提供的书目信息不得重复。</w:t>
            </w:r>
          </w:p>
          <w:p w14:paraId="60513EDD">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13.</w:t>
            </w:r>
            <w:r>
              <w:rPr>
                <w:rFonts w:hint="default"/>
                <w:color w:val="auto"/>
                <w:highlight w:val="none"/>
                <w:lang w:val="en-US" w:eastAsia="zh-CN"/>
              </w:rPr>
              <w:t>采购图书结束后一个月之内，成交供应商为图书馆提供馆藏分析报告</w:t>
            </w:r>
            <w:r>
              <w:rPr>
                <w:rFonts w:hint="eastAsia"/>
                <w:color w:val="auto"/>
                <w:highlight w:val="none"/>
                <w:lang w:val="en-US" w:eastAsia="zh-CN"/>
              </w:rPr>
              <w:t>，报告需包含但不限于采购图书的学科分布、品种结构、码洋 / 实洋统计、核心出版社占比等内容，数据应真实准确</w:t>
            </w:r>
            <w:r>
              <w:rPr>
                <w:rFonts w:hint="default"/>
                <w:color w:val="auto"/>
                <w:highlight w:val="none"/>
                <w:lang w:val="en-US" w:eastAsia="zh-CN"/>
              </w:rPr>
              <w:t>。成交供应商不得以任何名义对外泄露采购人的数据。</w:t>
            </w:r>
          </w:p>
          <w:p w14:paraId="47A840AE">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14.</w:t>
            </w:r>
            <w:r>
              <w:rPr>
                <w:rFonts w:hint="default"/>
                <w:color w:val="auto"/>
                <w:highlight w:val="none"/>
                <w:lang w:val="en-US" w:eastAsia="zh-CN"/>
              </w:rPr>
              <w:t>图书包装要达到防潮、防霉、防止其他损坏的标准，同时按采购人</w:t>
            </w:r>
            <w:r>
              <w:rPr>
                <w:rFonts w:hint="eastAsia"/>
                <w:color w:val="auto"/>
                <w:highlight w:val="none"/>
                <w:lang w:val="en-US" w:eastAsia="zh-CN"/>
              </w:rPr>
              <w:t>要求</w:t>
            </w:r>
            <w:r>
              <w:rPr>
                <w:rFonts w:hint="default"/>
                <w:color w:val="auto"/>
                <w:highlight w:val="none"/>
                <w:lang w:val="en-US" w:eastAsia="zh-CN"/>
              </w:rPr>
              <w:t>分类包装，送达采购人指定场所，按顺序排列，按采购人工作要求，配合进行图书验收。凡是没有验收入库的图书，均由成交供应商全权负责图书的保管问题</w:t>
            </w:r>
            <w:r>
              <w:rPr>
                <w:rFonts w:hint="eastAsia"/>
                <w:color w:val="auto"/>
                <w:highlight w:val="none"/>
                <w:lang w:val="en-US" w:eastAsia="zh-CN"/>
              </w:rPr>
              <w:t>，</w:t>
            </w:r>
            <w:r>
              <w:rPr>
                <w:rFonts w:ascii="Times New Roman" w:hAnsi="Times New Roman" w:eastAsia="宋体" w:cs="Times New Roman"/>
                <w:i w:val="0"/>
                <w:iCs w:val="0"/>
                <w:caps w:val="0"/>
                <w:color w:val="auto"/>
                <w:spacing w:val="0"/>
                <w:sz w:val="21"/>
                <w:szCs w:val="24"/>
                <w:highlight w:val="none"/>
                <w:shd w:val="clear" w:color="auto" w:fill="auto"/>
              </w:rPr>
              <w:t>期间发生的图书丢失、损坏、污损等一切风险及损失均由成交供应商承担，采购人不承担任何责任。</w:t>
            </w:r>
          </w:p>
          <w:p w14:paraId="2679DCCC">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15.</w:t>
            </w:r>
            <w:r>
              <w:rPr>
                <w:rFonts w:hint="default"/>
                <w:color w:val="auto"/>
                <w:highlight w:val="none"/>
                <w:lang w:val="en-US" w:eastAsia="zh-CN"/>
              </w:rPr>
              <w:t>成交供应商能组织或协助采购人参加全国性</w:t>
            </w:r>
            <w:r>
              <w:rPr>
                <w:rFonts w:hint="eastAsia"/>
                <w:color w:val="auto"/>
                <w:highlight w:val="none"/>
                <w:lang w:val="en-US" w:eastAsia="zh-CN"/>
              </w:rPr>
              <w:t>或</w:t>
            </w:r>
            <w:r>
              <w:rPr>
                <w:rFonts w:hint="default"/>
                <w:color w:val="auto"/>
                <w:highlight w:val="none"/>
                <w:lang w:val="en-US" w:eastAsia="zh-CN"/>
              </w:rPr>
              <w:t>地方性图书展销活动，现采时应提供必要的数据查重设备、技术服务和专业的发行服务人员协助，并能及时汇总提供采选数量、金额等信息。</w:t>
            </w:r>
          </w:p>
          <w:p w14:paraId="4390D423">
            <w:pPr>
              <w:keepNext/>
              <w:keepLines w:val="0"/>
              <w:pageBreakBefore w:val="0"/>
              <w:widowControl/>
              <w:numPr>
                <w:ilvl w:val="0"/>
                <w:numId w:val="0"/>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default" w:ascii="宋体" w:hAnsi="宋体" w:eastAsia="宋体" w:cs="宋体"/>
                <w:color w:val="auto"/>
                <w:sz w:val="21"/>
                <w:szCs w:val="21"/>
                <w:highlight w:val="none"/>
                <w:lang w:val="en-US" w:eastAsia="zh-CN"/>
              </w:rPr>
            </w:pPr>
            <w:r>
              <w:rPr>
                <w:rFonts w:hint="eastAsia"/>
                <w:color w:val="auto"/>
                <w:highlight w:val="none"/>
                <w:lang w:val="en-US" w:eastAsia="zh-CN"/>
              </w:rPr>
              <w:t>16.成交供应商需提供一套随书光盘数据库，</w:t>
            </w:r>
            <w:r>
              <w:rPr>
                <w:rFonts w:hint="eastAsia"/>
                <w:color w:val="auto"/>
                <w:highlight w:val="none"/>
              </w:rPr>
              <w:t>支持与 Interlib3.5 图书馆管理系统对接，实现光盘资源检索</w:t>
            </w:r>
            <w:r>
              <w:rPr>
                <w:rFonts w:hint="eastAsia"/>
                <w:color w:val="auto"/>
                <w:highlight w:val="none"/>
                <w:lang w:eastAsia="zh-CN"/>
              </w:rPr>
              <w:t>、借阅关联功能，</w:t>
            </w:r>
            <w:r>
              <w:rPr>
                <w:rFonts w:hint="eastAsia"/>
                <w:color w:val="auto"/>
                <w:highlight w:val="none"/>
                <w:lang w:val="en-US" w:eastAsia="zh-CN"/>
              </w:rPr>
              <w:t>服务使用期限为1年。</w:t>
            </w:r>
            <w:r>
              <w:rPr>
                <w:rFonts w:hint="eastAsia"/>
                <w:b/>
                <w:bCs/>
                <w:color w:val="auto"/>
                <w:highlight w:val="none"/>
                <w:lang w:val="en-US" w:eastAsia="zh-CN"/>
              </w:rPr>
              <w:t>供应商应在响应文件中出具相应书面承诺</w:t>
            </w:r>
            <w:r>
              <w:rPr>
                <w:rFonts w:hint="eastAsia"/>
                <w:color w:val="auto"/>
                <w:highlight w:val="none"/>
                <w:lang w:val="en-US" w:eastAsia="zh-CN"/>
              </w:rPr>
              <w:t>。</w:t>
            </w:r>
          </w:p>
          <w:p w14:paraId="6BAE2C8D">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17.图书打包要求：同一种图书应集中包在同一包内，每批图书都应配有图书总明细单两份，一份由采购人签收，另一份分开装进每一包书中以方便核对。每份明细单应含有打包单号，图书题名、种册数，码洋、实洋；总明细单还要有总图书种册数，总码洋、总实洋。</w:t>
            </w:r>
            <w:r>
              <w:rPr>
                <w:rFonts w:hint="eastAsia"/>
                <w:color w:val="auto"/>
                <w:highlight w:val="none"/>
              </w:rPr>
              <w:t>每个包裹外包装需标注清晰的打包单号、批次号、图书类别及 “防潮、易碎、轻放” 等警示标识</w:t>
            </w:r>
            <w:r>
              <w:rPr>
                <w:rFonts w:hint="eastAsia"/>
                <w:color w:val="auto"/>
                <w:highlight w:val="none"/>
                <w:lang w:val="en-US" w:eastAsia="zh-CN"/>
              </w:rPr>
              <w:t>。</w:t>
            </w:r>
          </w:p>
          <w:p w14:paraId="39F59433">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18</w:t>
            </w:r>
            <w:r>
              <w:rPr>
                <w:rFonts w:hint="default"/>
                <w:color w:val="auto"/>
                <w:highlight w:val="none"/>
                <w:lang w:val="en-US" w:eastAsia="zh-CN"/>
              </w:rPr>
              <w:t>.成交供应商须于每季度（寒暑假除外）提供现场书展服务。每次书展展出图书品种不得少于200种，且所有参展图书均须为无塑封版本。</w:t>
            </w:r>
          </w:p>
          <w:p w14:paraId="05B768AB">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采购方式要求：</w:t>
            </w:r>
            <w:r>
              <w:rPr>
                <w:rFonts w:hint="default"/>
                <w:color w:val="auto"/>
                <w:highlight w:val="none"/>
              </w:rPr>
              <w:t>成交供应商需提供外采服务，若因疫情、自然灾害等不可抗力因素无法开展现场外采，可改为网上采书服务；必要时由采购人指定合法合规的采购场所，成交供应商需派遣专业人员协助，高效、优质完成图书采购任务，相关协助费用已包含在成交折扣率中，采购人不额外支付</w:t>
            </w:r>
            <w:r>
              <w:rPr>
                <w:rFonts w:hint="default"/>
                <w:color w:val="auto"/>
                <w:highlight w:val="none"/>
                <w:lang w:val="en-US" w:eastAsia="zh-CN"/>
              </w:rPr>
              <w:t>。</w:t>
            </w:r>
          </w:p>
          <w:p w14:paraId="0AE3C9E7">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19</w:t>
            </w:r>
            <w:r>
              <w:rPr>
                <w:rFonts w:hint="default"/>
                <w:color w:val="auto"/>
                <w:highlight w:val="none"/>
                <w:lang w:val="en-US" w:eastAsia="zh-CN"/>
              </w:rPr>
              <w:t>.成交供应商应协助采购人开展年度阅读推广活动，在收到采购人协助请求后3个工作日内响应，确保阅读推广活动顺利开展。</w:t>
            </w:r>
            <w:r>
              <w:rPr>
                <w:rFonts w:ascii="Times New Roman" w:hAnsi="Times New Roman" w:eastAsia="宋体" w:cs="Times New Roman"/>
                <w:i w:val="0"/>
                <w:iCs w:val="0"/>
                <w:caps w:val="0"/>
                <w:color w:val="auto"/>
                <w:spacing w:val="0"/>
                <w:sz w:val="21"/>
                <w:szCs w:val="24"/>
                <w:highlight w:val="none"/>
                <w:shd w:val="clear" w:color="auto" w:fill="auto"/>
              </w:rPr>
              <w:t>协助过程中产生的自身人员、物资等成本由成交供应商承担。</w:t>
            </w:r>
          </w:p>
          <w:p w14:paraId="44552688">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ascii="Segoe UI Emoji" w:hAnsi="Segoe UI Emoji" w:eastAsia="Segoe UI Emoji" w:cs="Segoe UI Emoji"/>
                <w:i w:val="0"/>
                <w:iCs w:val="0"/>
                <w:caps w:val="0"/>
                <w:color w:val="auto"/>
                <w:spacing w:val="0"/>
                <w:sz w:val="16"/>
                <w:szCs w:val="16"/>
                <w:highlight w:val="none"/>
                <w:shd w:val="clear" w:color="auto" w:fill="EFF0F1"/>
              </w:rPr>
            </w:pPr>
            <w:r>
              <w:rPr>
                <w:rFonts w:hint="eastAsia"/>
                <w:color w:val="auto"/>
                <w:highlight w:val="none"/>
                <w:lang w:val="en-US" w:eastAsia="zh-CN"/>
              </w:rPr>
              <w:t>20.成交</w:t>
            </w:r>
            <w:r>
              <w:rPr>
                <w:rFonts w:hint="default"/>
                <w:color w:val="auto"/>
                <w:highlight w:val="none"/>
                <w:lang w:val="en-US" w:eastAsia="zh-CN"/>
              </w:rPr>
              <w:t>供应商应严格落实安全生产责任制，本项目在实施过程中，其工作人员的人身意外由成交供应商自行负责，与采购人无关。</w:t>
            </w:r>
            <w:r>
              <w:rPr>
                <w:rFonts w:ascii="Times New Roman" w:hAnsi="Times New Roman" w:eastAsia="宋体" w:cs="Times New Roman"/>
                <w:i w:val="0"/>
                <w:iCs w:val="0"/>
                <w:caps w:val="0"/>
                <w:color w:val="auto"/>
                <w:spacing w:val="0"/>
                <w:sz w:val="21"/>
                <w:szCs w:val="24"/>
                <w:highlight w:val="none"/>
                <w:shd w:val="clear" w:color="auto" w:fill="auto"/>
              </w:rPr>
              <w:t>若因成交供应商安全管理不善造成采购人或第三方损失的，由成交供应商承担全部赔偿责任。</w:t>
            </w:r>
          </w:p>
          <w:p w14:paraId="4C99E6B3">
            <w:pPr>
              <w:keepNext/>
              <w:widowControl/>
              <w:numPr>
                <w:ilvl w:val="0"/>
                <w:numId w:val="0"/>
              </w:numPr>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21.发生</w:t>
            </w:r>
            <w:r>
              <w:rPr>
                <w:rFonts w:hint="default"/>
                <w:color w:val="auto"/>
                <w:highlight w:val="none"/>
                <w:lang w:val="en-US" w:eastAsia="zh-CN"/>
              </w:rPr>
              <w:t>采购人急需</w:t>
            </w:r>
            <w:r>
              <w:rPr>
                <w:rFonts w:hint="eastAsia"/>
                <w:color w:val="auto"/>
                <w:highlight w:val="none"/>
                <w:lang w:val="en-US" w:eastAsia="zh-CN"/>
              </w:rPr>
              <w:t>图</w:t>
            </w:r>
            <w:r>
              <w:rPr>
                <w:rFonts w:hint="default"/>
                <w:color w:val="auto"/>
                <w:highlight w:val="none"/>
                <w:lang w:val="en-US" w:eastAsia="zh-CN"/>
              </w:rPr>
              <w:t>书的</w:t>
            </w:r>
            <w:r>
              <w:rPr>
                <w:rFonts w:hint="eastAsia"/>
                <w:color w:val="auto"/>
                <w:highlight w:val="none"/>
                <w:lang w:val="en-US" w:eastAsia="zh-CN"/>
              </w:rPr>
              <w:t>情况时，</w:t>
            </w:r>
            <w:r>
              <w:rPr>
                <w:rFonts w:hint="eastAsia" w:ascii="宋体" w:hAnsi="宋体" w:eastAsia="宋体" w:cs="宋体"/>
                <w:i w:val="0"/>
                <w:iCs w:val="0"/>
                <w:caps w:val="0"/>
                <w:color w:val="auto"/>
                <w:spacing w:val="0"/>
                <w:sz w:val="21"/>
                <w:szCs w:val="21"/>
                <w:highlight w:val="none"/>
                <w:shd w:val="clear" w:color="auto" w:fill="EFF0F1"/>
              </w:rPr>
              <w:t>采购人通过书面或电子方式（QQ、微信等）下达加急订单，</w:t>
            </w:r>
            <w:r>
              <w:rPr>
                <w:rFonts w:hint="default"/>
                <w:color w:val="auto"/>
                <w:highlight w:val="none"/>
                <w:lang w:val="en-US" w:eastAsia="zh-CN"/>
              </w:rPr>
              <w:t>成交供应商在7天内送达采购人指定地点。</w:t>
            </w:r>
            <w:r>
              <w:rPr>
                <w:rFonts w:ascii="Times New Roman" w:hAnsi="Times New Roman" w:eastAsia="宋体" w:cs="Times New Roman"/>
                <w:i w:val="0"/>
                <w:iCs w:val="0"/>
                <w:caps w:val="0"/>
                <w:color w:val="auto"/>
                <w:spacing w:val="0"/>
                <w:sz w:val="21"/>
                <w:szCs w:val="24"/>
                <w:highlight w:val="none"/>
                <w:shd w:val="clear" w:color="auto" w:fill="auto"/>
              </w:rPr>
              <w:t>加急配送产生的快递费、运输费等所有费用均由成交供应商承担，不得向采购人额外收取。</w:t>
            </w:r>
          </w:p>
          <w:p w14:paraId="0600691D">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22.为满足采购人馆藏建设的多样性与完整性需求，本项目采购部分图书不受出版社资质等级、成立时间及图书出版年限限制，成交供应商应根据采购人订单要求，足额供应符合本合同约定标准的正版图书。</w:t>
            </w:r>
          </w:p>
          <w:p w14:paraId="374D5EDF">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23</w:t>
            </w:r>
            <w:r>
              <w:rPr>
                <w:rFonts w:hint="default"/>
                <w:color w:val="auto"/>
                <w:highlight w:val="none"/>
                <w:lang w:val="en-US" w:eastAsia="zh-CN"/>
              </w:rPr>
              <w:t>.成交供应商提供书目要以核心出版社书目为主，征得</w:t>
            </w:r>
            <w:r>
              <w:rPr>
                <w:rFonts w:hint="eastAsia"/>
                <w:color w:val="auto"/>
                <w:highlight w:val="none"/>
                <w:lang w:val="en-US" w:eastAsia="zh-CN"/>
              </w:rPr>
              <w:t>采购人</w:t>
            </w:r>
            <w:r>
              <w:rPr>
                <w:rFonts w:hint="default"/>
                <w:color w:val="auto"/>
                <w:highlight w:val="none"/>
                <w:lang w:val="en-US" w:eastAsia="zh-CN"/>
              </w:rPr>
              <w:t>图书馆同意后，方可提供其他出版社的书目。</w:t>
            </w:r>
          </w:p>
          <w:p w14:paraId="7BC10D14">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核心出版社名录：</w:t>
            </w:r>
          </w:p>
          <w:p w14:paraId="500D6B3A">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default"/>
                <w:color w:val="auto"/>
                <w:highlight w:val="none"/>
                <w:lang w:val="en-US" w:eastAsia="zh-CN"/>
              </w:rPr>
              <w:t>中国农业出版社、中国农业大学出版社、中国农业科学技术出版社、中国林业出版社、中国环境出版社（与中国环境出版集团合并）、社会科学文献出版社、人民出版社、中国社会科学出版社、中国经济出版社、经济管理出版社、中央文献出版社、民族出版社、中共党史出版社、中国方正出版社、中共中央党校出版社、南京大学出版社、北京十月文艺出版社、江苏凤凰出版社、广西师范大学出版社、上海三联书店、中国法制出版社、人民法院出版社、福建教育出版社、上海教育出版社、中国铁道出版社、北京理工大学出版社、地质出版社、气象出版社、测绘出版社、海洋出版社、中国地质大学出版社、国防工业出版社、航空工业出版社、西北工业大学出版社、应急管理出版社、冶金工业出版社、西安电子科技大学出版社、中国水利水电出版社、江苏凤凰科学技术出版社、上海交通大学出版社、中国石化出版社、华中科技大学出版社、中国医药科技出版社、中医古籍出版社、中国协和医科大学出版社、同济大学出版社、东南大学出版社、北京航空航天大学出版社、人民日报出版社、中国建材工业出版社、中国标准出版社、广西科学技术出版社、广西人民出版社、广西民族出版社、安徽人民出版社、北京出版社、长春出版社、重庆出版集团、党建读物出版社、法律出版社、湖南人民出版社、江苏人民出版社、江西人民出版社、解放军出版社、经济科学出版社</w:t>
            </w:r>
            <w:r>
              <w:rPr>
                <w:rFonts w:hint="eastAsia"/>
                <w:color w:val="auto"/>
                <w:highlight w:val="none"/>
                <w:lang w:val="en-US" w:eastAsia="zh-CN"/>
              </w:rPr>
              <w:t>、</w:t>
            </w:r>
            <w:r>
              <w:rPr>
                <w:rFonts w:hint="default"/>
                <w:color w:val="auto"/>
                <w:highlight w:val="none"/>
                <w:lang w:val="en-US" w:eastAsia="zh-CN"/>
              </w:rPr>
              <w:t>青岛出版社、山东人民出版社、商务印书馆、上海人民出版社、外文出版社、学习出版社、知识产权出版社、中国财政经济出版社、中国大百科全书出版社、中国金融出版社、中国劳动社会保障出版社、中国民主法制出版社、中国青年出版社、中国社会出版社、中国时代经济出版社、中信出版社、中央编译出版社、中国人民大学出版社、电子工业出版社、湖南科学技术出版社、化学工业出版社、机械工业出版社、江苏科学技术出版社、科学出版社、人民交通出版社、人民军医出版社、人民卫生出版社、人民邮电出版社、上海科学技术出版社、中国电力出版社、中国纺织出版社、中国建筑工业出版社、中国轻工业出版社、中国人口出版社、中国中医药出版社、北京大学出版社、北京大学医学出版社、北京师范大学出版社、北京语言大学出版社、重庆大学出版社、东北财经大学出版社、复旦大学出版社、湖南师范大学出版社、华东师范大学出版社、清华大学出版社、上海外语教育出版社、外语教学与研究出版社、西安交通大学出版社、西南师范大学出版社、厦门大学出版社、浙江大学出版社、中国矿业大学出版社、中国政法大学出版社、中南大学出版社、高等教育出版社、广东教育出版社、江苏教育出版社、人民教育出版社、浙江教育出版社、教育科学出版社、国家图书馆出版社、黄山书社、岳麓书社、中华书局、上海古籍出版社、浙江古籍出版社、长江文艺出版社、湖南文艺出版社、人民文学出版社、人民音乐出版社、上海文艺出版社、上海译文出版社、译林出版社、浙江文艺出版社、作家出版社、春风文艺出版社、花城出版社、漓江出版社、荣宝斋出版社、人民美术出版社、广西教育出版社、广西美术出版社、安徽教育出版社、安徽科学技术出版社、安徽美术出版社、安徽文艺出版社、巴蜀书社、百花文艺出版社、百花洲文艺出版社、北方文艺出版社、北京古籍出版社、北京科学技术出版社、北京联合出版公司、北京美术摄影出版社、崇文书局、大连出版社、当代世界出版社、当代中国出版社、东方出版社、东方出版中心、敦煌文艺出版社、方志出版社、凤凰出版社、福建科学技术出版社、福建美术出版社、福建人民出版社、甘肃教育出版社、甘肃科学技术出版社、甘肃人民出版社、甘肃人民美术出版社、甘肃文化出版社、格致出版社、古吴轩出版社、故宫出版社、广东高等教育出版社、广东经济出版社、广东科技出版社、广东旅游出版社、广陵书社、广州出版社、贵州教育出版社、贵州科技出版社、贵州人民出版社、国际文化出版公司、国家行政管理出版社、国家行政学院出版社、哈尔滨出版社、哈尔滨地图出版社、杭州出版社、河北教育出版社、河北科学技术出版社、河北美术出版社、河北人民出版社、河南科学技术出版社、河南美术出版社、河南文艺出版社、黑龙江教育出版社、黑龙江科学技术出版社、黑龙江人民出版社、红旗出版社、湖北教育出版社、湖北科学技术出版社、湖北美术出版社、湖南教育出版社、湖南美术出版社、花山文艺出版社、华龄出版社、华文出版社、华夏出版社、华乐出版社、华语教学出版社、黄河水利出版社、济南出版社、江苏凤凰教育出版社、江苏凤凰美术出版社、江苏凤凰文艺出版社、江苏美术出版社、江苏文艺出版社、江西教育出版社、江西科学技术出版社、江西美术出版社、教育科学出版社、金城出版社、金盾出版社、经济日报出版社、科学技术文献出版社、科学普及出版社、立信会计出版社、辽海出版社、辽宁科学技术出版社、辽宁美术出版社、辽宁民族出版社、辽宁人民出版社、岭南美术出版社、龙门书局、旅游教育出版社、民主与建设出版社、南方日报出版社、南海出版公司、南京出版社、内蒙古人民出版社、宁波出版社、宁夏人民出版社、齐鲁书社、企业管理出版社、青海人民出版社有限责任公司、群言出版社、群众出版社、人民体育出版社、三晋出版社、三秦出版社、山东画报出版社、山东教育出版社、山东科学技术出版社、山东美术出版社、山东文艺出版社、山东友谊出版社、山西教育出版社、山西经济出版社、山西科学技术出版社、山西人民出版社、陕西科学技术出版社、陕西旅游出版社、陕西人民出版社、上海辞书出版社、上海科技教育出版社、上海科学技术文献出版社、上海科学普及出版社、上海书店出版社、上海书画出版社、上海文化出版社、上海音乐出版社、上海远东出版社、沈阳出版社、生活书店出版有限公司、时代文艺出版社、时事出版社、世界图书出版公司、世界知识出版社、深圳出版社、四川辞书出版社、四川科学技术出版社、四川美术出版社、四川民族出版社、四川文艺出版社、天津出版传媒集团、天津古籍出版社、天津科技翻译出版有限公司、天津科学技术出版社、天津人民出版社、天津人民美术出版社、天津社会科学院出版社、武汉出版社、西安出版社、西安地图出版社、西藏人民出版社、西泠印社出版社、西苑出版社、现代出版社、现代教育出版社、线装书局、新疆人民出版社、新疆生产建设兵团出版社、新世界出版社、新星出版社、学林出版社、学苑出版社、研究出版社、语文出版社、远方出版社、云南教育出版社、云南科技出版社、云南美术出版社、长江出版社、浙江人民美术出版社、浙江摄影出版社、中国财富出版社、中国藏学出版社、中国城市出版社、中国大地出版社、中国地图出版社、中国发展出版社、中国妇女出版社、中国工人出版社、中国工商出版社、中国广播影视出版社、中国国际广播出版社、中国国际文化出版社、中国海关出版社有限公司、中国华侨出版社、中国画报出版社、中国计划出版社、中国科学技术出版社、中国民航出版社、中国民族摄影艺术出版社、中国民族文化出版社、中国人事出版社、中国三峡出版社、中国商务出版社、中国商业出版社、中国摄影出版社、中国市场出版社、中国书店出版社、中国税务出版社、中国统计出版社、中国文联出版社、中国物资出版社、中国戏剧出版社、中国言实出版社、中国友谊出版公司、中国宇航出版社、中国原子能出版社、中国长安出版社、中华工商联合出版社、中西书局、中译出版社、中原农民出版社、中州古籍出版社、重庆出版社、紫禁城出版社、江苏古籍出版社、山西古籍出版社、北京邮电大学出版社、中国海洋大学出版社、中国传媒大学出版社、上海财经大学出版社、武汉大学出版社、华南理工大学出版社、武汉理工大学出版社、西南财经大学出版社、东北师范大学出版社、哈尔滨工业大学出版社、华东理工大学出版社、中国科学技术大学出版社、江西高校出版社、中国环境科学出版社、浙江人民出版社、人民文艺出版社、国家开放大学出版社、九州出版社、江苏大学出版社、四川大学出版社、天津大学出版社、湘潭大学出版社、新华出版社、中国书籍出版社。</w:t>
            </w:r>
          </w:p>
          <w:p w14:paraId="19BB9D39">
            <w:pPr>
              <w:keepNext/>
              <w:keepLines w:val="0"/>
              <w:pageBreakBefore w:val="0"/>
              <w:widowControl/>
              <w:numPr>
                <w:ilvl w:val="0"/>
                <w:numId w:val="0"/>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成交供应商出现下述情形的</w:t>
            </w:r>
            <w:r>
              <w:rPr>
                <w:rFonts w:hint="eastAsia" w:ascii="宋体" w:hAnsi="宋体" w:eastAsia="宋体" w:cs="宋体"/>
                <w:color w:val="auto"/>
                <w:sz w:val="21"/>
                <w:szCs w:val="21"/>
                <w:highlight w:val="none"/>
                <w:lang w:val="en-US" w:eastAsia="zh-CN"/>
              </w:rPr>
              <w:t>，采购人</w:t>
            </w:r>
            <w:r>
              <w:rPr>
                <w:rFonts w:hint="eastAsia" w:ascii="宋体" w:hAnsi="宋体" w:cs="宋体"/>
                <w:color w:val="auto"/>
                <w:sz w:val="21"/>
                <w:szCs w:val="21"/>
                <w:highlight w:val="none"/>
                <w:lang w:val="en-US" w:eastAsia="zh-CN"/>
              </w:rPr>
              <w:t>有权</w:t>
            </w:r>
            <w:r>
              <w:rPr>
                <w:rFonts w:hint="eastAsia" w:ascii="宋体" w:hAnsi="宋体" w:eastAsia="宋体" w:cs="宋体"/>
                <w:color w:val="auto"/>
                <w:sz w:val="21"/>
                <w:szCs w:val="21"/>
                <w:highlight w:val="none"/>
                <w:lang w:val="en-US" w:eastAsia="zh-CN"/>
              </w:rPr>
              <w:t>单方面解除合同。</w:t>
            </w:r>
          </w:p>
          <w:p w14:paraId="36B627E8">
            <w:pPr>
              <w:keepNext/>
              <w:keepLines w:val="0"/>
              <w:pageBreakBefore w:val="0"/>
              <w:widowControl/>
              <w:numPr>
                <w:ilvl w:val="0"/>
                <w:numId w:val="0"/>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（1）每</w:t>
            </w:r>
            <w:r>
              <w:rPr>
                <w:rFonts w:hint="eastAsia" w:ascii="宋体" w:hAnsi="宋体" w:cs="宋体"/>
                <w:color w:val="auto"/>
                <w:sz w:val="21"/>
                <w:szCs w:val="21"/>
                <w:highlight w:val="none"/>
                <w:lang w:val="en-US" w:eastAsia="zh-CN"/>
              </w:rPr>
              <w:t>次</w:t>
            </w:r>
            <w:r>
              <w:rPr>
                <w:rFonts w:hint="eastAsia" w:ascii="宋体" w:hAnsi="宋体" w:eastAsia="宋体" w:cs="宋体"/>
                <w:color w:val="auto"/>
                <w:sz w:val="21"/>
                <w:szCs w:val="21"/>
                <w:highlight w:val="none"/>
                <w:lang w:val="en-US" w:eastAsia="zh-CN"/>
              </w:rPr>
              <w:t>交付验收纸质图书少于图书馆指定册数</w:t>
            </w:r>
            <w:r>
              <w:rPr>
                <w:rFonts w:hint="eastAsia" w:ascii="宋体" w:hAnsi="宋体" w:cs="宋体"/>
                <w:color w:val="auto"/>
                <w:sz w:val="21"/>
                <w:szCs w:val="21"/>
                <w:highlight w:val="none"/>
                <w:lang w:val="en-US" w:eastAsia="zh-CN"/>
              </w:rPr>
              <w:t>，且差额比例超过5%的</w:t>
            </w:r>
            <w:r>
              <w:rPr>
                <w:rFonts w:hint="eastAsia" w:ascii="宋体" w:hAnsi="宋体" w:eastAsia="宋体" w:cs="宋体"/>
                <w:color w:val="auto"/>
                <w:sz w:val="21"/>
                <w:szCs w:val="21"/>
                <w:highlight w:val="none"/>
                <w:lang w:val="en-US" w:eastAsia="zh-CN"/>
              </w:rPr>
              <w:t>；</w:t>
            </w:r>
          </w:p>
          <w:p w14:paraId="665E31EE">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（2）出于效益等因素的考虑而故意隐藏图书出版信息或不提供可获得的图书；</w:t>
            </w:r>
          </w:p>
          <w:p w14:paraId="0DC32055">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（3）加工图书质量不符合</w:t>
            </w:r>
            <w:r>
              <w:rPr>
                <w:rFonts w:hint="eastAsia" w:ascii="宋体" w:hAnsi="宋体" w:eastAsia="宋体" w:cs="宋体"/>
                <w:i w:val="0"/>
                <w:iCs w:val="0"/>
                <w:caps w:val="0"/>
                <w:color w:val="auto"/>
                <w:spacing w:val="0"/>
                <w:sz w:val="21"/>
                <w:szCs w:val="21"/>
                <w:highlight w:val="none"/>
                <w:shd w:val="clear" w:color="auto" w:fill="auto"/>
              </w:rPr>
              <w:t>本项目约定标准，经采购人通知后5个日历日内未整改合格的</w:t>
            </w:r>
            <w:r>
              <w:rPr>
                <w:rFonts w:hint="eastAsia" w:ascii="宋体" w:hAnsi="宋体" w:eastAsia="宋体" w:cs="宋体"/>
                <w:color w:val="auto"/>
                <w:sz w:val="21"/>
                <w:szCs w:val="21"/>
                <w:highlight w:val="none"/>
                <w:lang w:val="en-US" w:eastAsia="zh-CN"/>
              </w:rPr>
              <w:t>；</w:t>
            </w:r>
          </w:p>
          <w:p w14:paraId="565A2C70">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cs="宋体"/>
                <w:i w:val="0"/>
                <w:iCs w:val="0"/>
                <w:caps w:val="0"/>
                <w:color w:val="auto"/>
                <w:spacing w:val="0"/>
                <w:sz w:val="21"/>
                <w:szCs w:val="21"/>
                <w:highlight w:val="none"/>
                <w:shd w:val="clear" w:color="auto" w:fill="auto"/>
                <w:lang w:eastAsia="zh-CN"/>
              </w:rPr>
            </w:pPr>
            <w:r>
              <w:rPr>
                <w:rFonts w:hint="eastAsia" w:ascii="宋体" w:hAnsi="宋体" w:eastAsia="宋体" w:cs="宋体"/>
                <w:color w:val="auto"/>
                <w:sz w:val="21"/>
                <w:szCs w:val="21"/>
                <w:highlight w:val="none"/>
                <w:lang w:val="en-US" w:eastAsia="zh-CN"/>
              </w:rPr>
              <w:t>（4）提供纸质图书为</w:t>
            </w:r>
            <w:r>
              <w:rPr>
                <w:rFonts w:hint="eastAsia" w:ascii="宋体" w:hAnsi="宋体" w:eastAsia="宋体" w:cs="宋体"/>
                <w:i w:val="0"/>
                <w:iCs w:val="0"/>
                <w:caps w:val="0"/>
                <w:color w:val="auto"/>
                <w:spacing w:val="0"/>
                <w:sz w:val="21"/>
                <w:szCs w:val="21"/>
                <w:highlight w:val="none"/>
                <w:shd w:val="clear" w:color="auto" w:fill="auto"/>
              </w:rPr>
              <w:t>盗版、盗印、非法复制或未经授权发行</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i w:val="0"/>
                <w:iCs w:val="0"/>
                <w:caps w:val="0"/>
                <w:color w:val="auto"/>
                <w:spacing w:val="0"/>
                <w:sz w:val="21"/>
                <w:szCs w:val="21"/>
                <w:highlight w:val="none"/>
                <w:shd w:val="clear" w:color="auto" w:fill="auto"/>
              </w:rPr>
              <w:t>违规图书，经查证属实的</w:t>
            </w:r>
            <w:r>
              <w:rPr>
                <w:rFonts w:hint="eastAsia" w:ascii="宋体" w:hAnsi="宋体" w:cs="宋体"/>
                <w:i w:val="0"/>
                <w:iCs w:val="0"/>
                <w:caps w:val="0"/>
                <w:color w:val="auto"/>
                <w:spacing w:val="0"/>
                <w:sz w:val="21"/>
                <w:szCs w:val="21"/>
                <w:highlight w:val="none"/>
                <w:shd w:val="clear" w:color="auto" w:fill="auto"/>
                <w:lang w:eastAsia="zh-CN"/>
              </w:rPr>
              <w:t>；</w:t>
            </w:r>
          </w:p>
          <w:p w14:paraId="70B43764">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（5）未按采购人要求配送图书，</w:t>
            </w:r>
            <w:r>
              <w:rPr>
                <w:rFonts w:hint="eastAsia" w:ascii="宋体" w:hAnsi="宋体" w:eastAsia="宋体" w:cs="宋体"/>
                <w:i w:val="0"/>
                <w:iCs w:val="0"/>
                <w:caps w:val="0"/>
                <w:color w:val="auto"/>
                <w:spacing w:val="0"/>
                <w:sz w:val="21"/>
                <w:szCs w:val="21"/>
                <w:highlight w:val="none"/>
                <w:shd w:val="clear" w:color="auto" w:fill="auto"/>
              </w:rPr>
              <w:t>存在发错、发漏、混装等情形，且单次订单差错率超过</w:t>
            </w:r>
            <w:r>
              <w:rPr>
                <w:rFonts w:hint="eastAsia" w:ascii="宋体" w:hAnsi="宋体" w:cs="宋体"/>
                <w:i w:val="0"/>
                <w:iCs w:val="0"/>
                <w:caps w:val="0"/>
                <w:color w:val="auto"/>
                <w:spacing w:val="0"/>
                <w:sz w:val="21"/>
                <w:szCs w:val="21"/>
                <w:highlight w:val="none"/>
                <w:shd w:val="clear" w:color="auto" w:fill="auto"/>
                <w:lang w:val="en-US" w:eastAsia="zh-CN"/>
              </w:rPr>
              <w:t>5</w:t>
            </w:r>
            <w:r>
              <w:rPr>
                <w:rFonts w:hint="eastAsia" w:ascii="宋体" w:hAnsi="宋体" w:eastAsia="宋体" w:cs="宋体"/>
                <w:i w:val="0"/>
                <w:iCs w:val="0"/>
                <w:caps w:val="0"/>
                <w:color w:val="auto"/>
                <w:spacing w:val="0"/>
                <w:sz w:val="21"/>
                <w:szCs w:val="21"/>
                <w:highlight w:val="none"/>
                <w:shd w:val="clear" w:color="auto" w:fill="auto"/>
              </w:rPr>
              <w:t>% 或累计出现3次以上（含3次）差错的；</w:t>
            </w:r>
          </w:p>
          <w:p w14:paraId="3B03BA91">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（6）书目中</w:t>
            </w:r>
            <w:r>
              <w:rPr>
                <w:rFonts w:hint="eastAsia" w:ascii="宋体" w:hAnsi="宋体" w:cs="宋体"/>
                <w:color w:val="auto"/>
                <w:sz w:val="21"/>
                <w:szCs w:val="21"/>
                <w:highlight w:val="none"/>
                <w:lang w:val="en-US" w:eastAsia="zh-CN"/>
              </w:rPr>
              <w:t>未</w:t>
            </w:r>
            <w:r>
              <w:rPr>
                <w:rFonts w:hint="eastAsia" w:ascii="宋体" w:hAnsi="宋体" w:eastAsia="宋体" w:cs="宋体"/>
                <w:color w:val="auto"/>
                <w:sz w:val="21"/>
                <w:szCs w:val="21"/>
                <w:highlight w:val="none"/>
                <w:lang w:val="en-US" w:eastAsia="zh-CN"/>
              </w:rPr>
              <w:t>提供书名、书号、内容简介、出版社、出版时间、符合读者人群、价格等图书基本信息</w:t>
            </w:r>
            <w:r>
              <w:rPr>
                <w:rFonts w:hint="eastAsia" w:ascii="宋体" w:hAnsi="宋体" w:cs="宋体"/>
                <w:color w:val="auto"/>
                <w:sz w:val="21"/>
                <w:szCs w:val="21"/>
                <w:highlight w:val="none"/>
                <w:lang w:val="en-US" w:eastAsia="zh-CN"/>
              </w:rPr>
              <w:t>，</w:t>
            </w:r>
            <w:r>
              <w:rPr>
                <w:rFonts w:hint="eastAsia" w:ascii="宋体" w:hAnsi="宋体" w:eastAsia="宋体" w:cs="宋体"/>
                <w:i w:val="0"/>
                <w:iCs w:val="0"/>
                <w:caps w:val="0"/>
                <w:color w:val="auto"/>
                <w:spacing w:val="0"/>
                <w:sz w:val="21"/>
                <w:szCs w:val="21"/>
                <w:highlight w:val="none"/>
                <w:shd w:val="clear" w:color="auto" w:fill="auto"/>
              </w:rPr>
              <w:t>导致采购人无法正常采购的</w:t>
            </w:r>
            <w:r>
              <w:rPr>
                <w:rFonts w:hint="eastAsia" w:ascii="宋体" w:hAnsi="宋体" w:eastAsia="宋体" w:cs="宋体"/>
                <w:color w:val="auto"/>
                <w:sz w:val="21"/>
                <w:szCs w:val="21"/>
                <w:highlight w:val="none"/>
                <w:lang w:val="en-US" w:eastAsia="zh-CN"/>
              </w:rPr>
              <w:t>；</w:t>
            </w:r>
          </w:p>
          <w:p w14:paraId="2A4AD9C8">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i w:val="0"/>
                <w:iCs w:val="0"/>
                <w:caps w:val="0"/>
                <w:color w:val="auto"/>
                <w:spacing w:val="0"/>
                <w:sz w:val="21"/>
                <w:szCs w:val="21"/>
                <w:highlight w:val="none"/>
                <w:shd w:val="clear" w:color="auto" w:fill="auto"/>
              </w:rPr>
            </w:pPr>
            <w:r>
              <w:rPr>
                <w:rFonts w:hint="eastAsia" w:ascii="宋体" w:hAnsi="宋体" w:eastAsia="宋体" w:cs="宋体"/>
                <w:color w:val="auto"/>
                <w:sz w:val="21"/>
                <w:szCs w:val="21"/>
                <w:highlight w:val="none"/>
                <w:lang w:val="en-US" w:eastAsia="zh-CN"/>
              </w:rPr>
              <w:t>（7）未能按照采购人要求粘贴</w:t>
            </w:r>
            <w:r>
              <w:rPr>
                <w:rFonts w:hint="eastAsia" w:ascii="宋体" w:hAnsi="宋体" w:eastAsia="宋体" w:cs="宋体"/>
                <w:i w:val="0"/>
                <w:iCs w:val="0"/>
                <w:caps w:val="0"/>
                <w:color w:val="auto"/>
                <w:spacing w:val="0"/>
                <w:sz w:val="21"/>
                <w:szCs w:val="21"/>
                <w:highlight w:val="none"/>
                <w:shd w:val="clear" w:color="auto" w:fill="auto"/>
              </w:rPr>
              <w:t>打包标识</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color w:val="auto"/>
                <w:sz w:val="21"/>
                <w:szCs w:val="21"/>
                <w:highlight w:val="none"/>
                <w:lang w:val="en-US" w:eastAsia="zh-CN"/>
              </w:rPr>
              <w:t>打包图书的基本信息；</w:t>
            </w:r>
            <w:r>
              <w:rPr>
                <w:rFonts w:hint="eastAsia" w:ascii="宋体" w:hAnsi="宋体" w:eastAsia="宋体" w:cs="宋体"/>
                <w:i w:val="0"/>
                <w:iCs w:val="0"/>
                <w:caps w:val="0"/>
                <w:color w:val="auto"/>
                <w:spacing w:val="0"/>
                <w:sz w:val="21"/>
                <w:szCs w:val="21"/>
                <w:highlight w:val="none"/>
                <w:shd w:val="clear" w:color="auto" w:fill="auto"/>
              </w:rPr>
              <w:t>或打包信息与实物不符，经采购人提醒后仍未整改的；</w:t>
            </w:r>
          </w:p>
          <w:p w14:paraId="572F9578">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r>
              <w:rPr>
                <w:rFonts w:hint="eastAsia" w:ascii="宋体" w:hAnsi="宋体" w:eastAsia="宋体" w:cs="宋体"/>
                <w:i w:val="0"/>
                <w:iCs w:val="0"/>
                <w:caps w:val="0"/>
                <w:color w:val="auto"/>
                <w:spacing w:val="0"/>
                <w:sz w:val="21"/>
                <w:szCs w:val="21"/>
                <w:highlight w:val="none"/>
                <w:shd w:val="clear" w:color="auto" w:fill="auto"/>
              </w:rPr>
              <w:t>无正当理由拒绝履行图书打包义务，或未按要求提供打包材料及设备的</w:t>
            </w:r>
            <w:r>
              <w:rPr>
                <w:rFonts w:hint="eastAsia" w:ascii="宋体" w:hAnsi="宋体" w:eastAsia="宋体" w:cs="宋体"/>
                <w:color w:val="auto"/>
                <w:sz w:val="21"/>
                <w:szCs w:val="21"/>
                <w:highlight w:val="none"/>
                <w:lang w:val="en-US" w:eastAsia="zh-CN"/>
              </w:rPr>
              <w:t>；</w:t>
            </w:r>
          </w:p>
          <w:p w14:paraId="729C1AD1">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r>
              <w:rPr>
                <w:rFonts w:hint="eastAsia" w:ascii="宋体" w:hAnsi="宋体" w:eastAsia="宋体" w:cs="宋体"/>
                <w:i w:val="0"/>
                <w:iCs w:val="0"/>
                <w:caps w:val="0"/>
                <w:color w:val="auto"/>
                <w:spacing w:val="0"/>
                <w:sz w:val="21"/>
                <w:szCs w:val="21"/>
                <w:highlight w:val="none"/>
                <w:shd w:val="clear" w:color="auto" w:fill="auto"/>
              </w:rPr>
              <w:t>无正当理由拒绝履行图书搬运、上架（新购图书）及旧书下架</w:t>
            </w:r>
            <w:r>
              <w:rPr>
                <w:rFonts w:hint="eastAsia" w:ascii="宋体" w:hAnsi="宋体" w:cs="宋体"/>
                <w:color w:val="auto"/>
                <w:sz w:val="21"/>
                <w:szCs w:val="21"/>
                <w:highlight w:val="none"/>
                <w:lang w:val="en-US" w:eastAsia="zh-CN"/>
              </w:rPr>
              <w:t>义务</w:t>
            </w:r>
            <w:r>
              <w:rPr>
                <w:rFonts w:hint="eastAsia" w:ascii="宋体" w:hAnsi="宋体" w:eastAsia="宋体" w:cs="宋体"/>
                <w:color w:val="auto"/>
                <w:sz w:val="21"/>
                <w:szCs w:val="21"/>
                <w:highlight w:val="none"/>
                <w:lang w:val="en-US" w:eastAsia="zh-CN"/>
              </w:rPr>
              <w:t>；</w:t>
            </w:r>
          </w:p>
          <w:p w14:paraId="151C73A4">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（10）自每笔订单发出之日起，</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r>
              <w:rPr>
                <w:rFonts w:hint="eastAsia" w:ascii="宋体" w:hAnsi="宋体" w:cs="宋体"/>
                <w:color w:val="auto"/>
                <w:sz w:val="21"/>
                <w:szCs w:val="21"/>
                <w:highlight w:val="none"/>
                <w:lang w:val="en-US" w:eastAsia="zh-CN"/>
              </w:rPr>
              <w:t>日历</w:t>
            </w:r>
            <w:r>
              <w:rPr>
                <w:rFonts w:hint="eastAsia" w:ascii="宋体" w:hAnsi="宋体" w:eastAsia="宋体" w:cs="宋体"/>
                <w:color w:val="auto"/>
                <w:sz w:val="21"/>
                <w:szCs w:val="21"/>
                <w:highlight w:val="none"/>
                <w:lang w:val="en-US" w:eastAsia="zh-CN"/>
              </w:rPr>
              <w:t>日内该笔订单到书率低于90%</w:t>
            </w:r>
            <w:r>
              <w:rPr>
                <w:rFonts w:hint="eastAsia" w:ascii="宋体" w:hAnsi="宋体" w:eastAsia="宋体" w:cs="宋体"/>
                <w:i w:val="0"/>
                <w:iCs w:val="0"/>
                <w:caps w:val="0"/>
                <w:color w:val="auto"/>
                <w:spacing w:val="0"/>
                <w:sz w:val="21"/>
                <w:szCs w:val="21"/>
                <w:highlight w:val="none"/>
                <w:shd w:val="clear" w:color="auto" w:fill="auto"/>
              </w:rPr>
              <w:t>（</w:t>
            </w:r>
            <w:r>
              <w:rPr>
                <w:rFonts w:hint="default"/>
                <w:b/>
                <w:bCs/>
                <w:color w:val="auto"/>
                <w:highlight w:val="none"/>
                <w:lang w:val="en-US" w:eastAsia="zh-CN"/>
              </w:rPr>
              <w:t>附件</w:t>
            </w:r>
            <w:r>
              <w:rPr>
                <w:rFonts w:hint="eastAsia"/>
                <w:b/>
                <w:bCs/>
                <w:color w:val="auto"/>
                <w:highlight w:val="none"/>
                <w:lang w:val="en-US" w:eastAsia="zh-CN"/>
              </w:rPr>
              <w:t>A</w:t>
            </w:r>
            <w:r>
              <w:rPr>
                <w:rFonts w:hint="default"/>
                <w:b/>
                <w:bCs/>
                <w:color w:val="auto"/>
                <w:highlight w:val="none"/>
                <w:lang w:val="en-US" w:eastAsia="zh-CN"/>
              </w:rPr>
              <w:t>《A分标特价纸质图书必选书目清单》</w:t>
            </w:r>
            <w:r>
              <w:rPr>
                <w:rFonts w:hint="eastAsia" w:ascii="宋体" w:hAnsi="宋体" w:eastAsia="宋体" w:cs="宋体"/>
                <w:b w:val="0"/>
                <w:bCs w:val="0"/>
                <w:color w:val="auto"/>
                <w:highlight w:val="none"/>
                <w:lang w:val="en-US" w:eastAsia="zh-CN"/>
              </w:rPr>
              <w:t>的到书率</w:t>
            </w:r>
            <w:r>
              <w:rPr>
                <w:rFonts w:hint="eastAsia" w:ascii="宋体" w:hAnsi="宋体" w:eastAsia="宋体" w:cs="宋体"/>
                <w:i w:val="0"/>
                <w:iCs w:val="0"/>
                <w:caps w:val="0"/>
                <w:color w:val="auto"/>
                <w:spacing w:val="0"/>
                <w:sz w:val="21"/>
                <w:szCs w:val="21"/>
                <w:highlight w:val="none"/>
                <w:shd w:val="clear" w:color="auto" w:fill="auto"/>
                <w:lang w:eastAsia="zh-CN"/>
              </w:rPr>
              <w:t>低于</w:t>
            </w:r>
            <w:r>
              <w:rPr>
                <w:rFonts w:hint="eastAsia" w:ascii="宋体" w:hAnsi="宋体" w:eastAsia="宋体" w:cs="宋体"/>
                <w:i w:val="0"/>
                <w:iCs w:val="0"/>
                <w:caps w:val="0"/>
                <w:color w:val="auto"/>
                <w:spacing w:val="0"/>
                <w:sz w:val="21"/>
                <w:szCs w:val="21"/>
                <w:highlight w:val="none"/>
                <w:shd w:val="clear" w:color="auto" w:fill="auto"/>
              </w:rPr>
              <w:t>95% ）</w:t>
            </w:r>
            <w:r>
              <w:rPr>
                <w:rFonts w:hint="eastAsia" w:ascii="宋体" w:hAnsi="宋体" w:eastAsia="宋体" w:cs="宋体"/>
                <w:color w:val="auto"/>
                <w:sz w:val="21"/>
                <w:szCs w:val="21"/>
                <w:highlight w:val="none"/>
                <w:lang w:val="en-US" w:eastAsia="zh-CN"/>
              </w:rPr>
              <w:t>，到书率以</w:t>
            </w:r>
            <w:r>
              <w:rPr>
                <w:rFonts w:ascii="宋体" w:hAnsi="宋体" w:eastAsia="宋体" w:cs="宋体"/>
                <w:color w:val="auto"/>
                <w:sz w:val="21"/>
                <w:szCs w:val="21"/>
                <w:highlight w:val="none"/>
              </w:rPr>
              <w:t>Interlib3.5图书馆管理系统</w:t>
            </w:r>
            <w:r>
              <w:rPr>
                <w:rFonts w:hint="eastAsia" w:ascii="宋体" w:hAnsi="宋体" w:eastAsia="宋体" w:cs="宋体"/>
                <w:color w:val="auto"/>
                <w:sz w:val="21"/>
                <w:szCs w:val="21"/>
                <w:highlight w:val="none"/>
                <w:lang w:val="en-US" w:eastAsia="zh-CN"/>
              </w:rPr>
              <w:t>统计数据为准，订单发出时间以qq或者微信等社交软件的聊天记录</w:t>
            </w:r>
            <w:r>
              <w:rPr>
                <w:rFonts w:hint="eastAsia" w:ascii="宋体" w:hAnsi="宋体" w:cs="宋体"/>
                <w:color w:val="auto"/>
                <w:sz w:val="21"/>
                <w:szCs w:val="21"/>
                <w:highlight w:val="none"/>
                <w:lang w:val="en-US" w:eastAsia="zh-CN"/>
              </w:rPr>
              <w:t>或书面订单签收记录</w:t>
            </w:r>
            <w:r>
              <w:rPr>
                <w:rFonts w:hint="eastAsia" w:ascii="宋体" w:hAnsi="宋体" w:eastAsia="宋体" w:cs="宋体"/>
                <w:color w:val="auto"/>
                <w:sz w:val="21"/>
                <w:szCs w:val="21"/>
                <w:highlight w:val="none"/>
                <w:lang w:val="en-US" w:eastAsia="zh-CN"/>
              </w:rPr>
              <w:t>为准；</w:t>
            </w:r>
          </w:p>
          <w:p w14:paraId="7E27080C">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r>
              <w:rPr>
                <w:rFonts w:hint="eastAsia" w:ascii="宋体" w:hAnsi="宋体" w:eastAsia="宋体" w:cs="宋体"/>
                <w:i w:val="0"/>
                <w:iCs w:val="0"/>
                <w:caps w:val="0"/>
                <w:color w:val="auto"/>
                <w:spacing w:val="0"/>
                <w:sz w:val="21"/>
                <w:szCs w:val="21"/>
                <w:highlight w:val="none"/>
                <w:shd w:val="clear" w:color="auto" w:fill="auto"/>
              </w:rPr>
              <w:t>供应的图书</w:t>
            </w:r>
            <w:r>
              <w:rPr>
                <w:rFonts w:hint="eastAsia" w:ascii="宋体" w:hAnsi="宋体" w:cs="宋体"/>
                <w:color w:val="auto"/>
                <w:szCs w:val="21"/>
                <w:highlight w:val="none"/>
                <w:lang w:val="en-US" w:eastAsia="zh-CN"/>
              </w:rPr>
              <w:t>图书出现与馆藏重复、质量（包含污损、图文</w:t>
            </w:r>
            <w:r>
              <w:rPr>
                <w:rFonts w:hint="default"/>
                <w:color w:val="auto"/>
                <w:highlight w:val="none"/>
                <w:lang w:val="en-US" w:eastAsia="zh-CN"/>
              </w:rPr>
              <w:t>不清、缺页、倒页、缺附件等不合格情况）、内容（包括重书、空白页＞5页的书）、通过扫描图书封底ISBN条码读取出的号与图书在版编目（CIP）数据中ISBN号不符等问题，</w:t>
            </w:r>
            <w:r>
              <w:rPr>
                <w:rFonts w:hint="eastAsia" w:ascii="宋体" w:hAnsi="宋体" w:eastAsia="宋体" w:cs="宋体"/>
                <w:i w:val="0"/>
                <w:iCs w:val="0"/>
                <w:caps w:val="0"/>
                <w:color w:val="auto"/>
                <w:spacing w:val="0"/>
                <w:sz w:val="21"/>
                <w:szCs w:val="21"/>
                <w:highlight w:val="none"/>
                <w:shd w:val="clear" w:color="auto" w:fill="auto"/>
              </w:rPr>
              <w:t>拒绝按约定无条件退换货，或逾期未办理退换货手续的</w:t>
            </w:r>
            <w:r>
              <w:rPr>
                <w:rFonts w:hint="eastAsia" w:ascii="宋体" w:hAnsi="宋体" w:eastAsia="宋体" w:cs="宋体"/>
                <w:color w:val="auto"/>
                <w:sz w:val="21"/>
                <w:szCs w:val="21"/>
                <w:highlight w:val="none"/>
                <w:lang w:val="en-US" w:eastAsia="zh-CN"/>
              </w:rPr>
              <w:t>；</w:t>
            </w:r>
          </w:p>
          <w:p w14:paraId="3725C582">
            <w:pPr>
              <w:keepNext/>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val="0"/>
              <w:spacing w:line="340" w:lineRule="exact"/>
              <w:jc w:val="left"/>
              <w:rPr>
                <w:rFonts w:hint="eastAsia" w:ascii="宋体" w:hAnsi="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（12）未经过采购人同意，提供非核心出版社的书目</w:t>
            </w:r>
            <w:r>
              <w:rPr>
                <w:rFonts w:hint="eastAsia" w:ascii="宋体" w:hAnsi="宋体" w:cs="宋体"/>
                <w:color w:val="auto"/>
                <w:sz w:val="21"/>
                <w:szCs w:val="21"/>
                <w:highlight w:val="none"/>
                <w:lang w:val="en-US" w:eastAsia="zh-CN"/>
              </w:rPr>
              <w:t>；</w:t>
            </w:r>
          </w:p>
          <w:p w14:paraId="4BAE41C2">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（13）违反本项目数据保密义务，泄露采购人馆藏数据、采购需求等敏感信息，造成不良影响或损失的；​</w:t>
            </w:r>
          </w:p>
          <w:p w14:paraId="0A90F1CF">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（14）累计2次及以上未按约定提供现场书展服务，或书展展出品种、形式不符合要求且未整改的；​</w:t>
            </w:r>
          </w:p>
          <w:p w14:paraId="328837FB">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（15）加急配送急需图书未在7个日历日内送达，或额外向采购人收取加急配送费用的；​</w:t>
            </w:r>
          </w:p>
          <w:p w14:paraId="533E7F7D">
            <w:pPr>
              <w:spacing w:line="320" w:lineRule="exact"/>
              <w:jc w:val="both"/>
              <w:rPr>
                <w:rFonts w:hint="eastAsia" w:ascii="宋体" w:hAnsi="宋体" w:eastAsia="宋体" w:cs="宋体"/>
                <w:color w:val="auto"/>
                <w:szCs w:val="21"/>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（16）其他严重违反本合同约定的履约义务，经采购人书面催告后仍未纠正的情形。</w:t>
            </w:r>
          </w:p>
        </w:tc>
      </w:tr>
      <w:tr w14:paraId="7742651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0D2F0DE3">
            <w:pPr>
              <w:widowControl/>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▲二、商务要求</w:t>
            </w:r>
          </w:p>
        </w:tc>
      </w:tr>
      <w:tr w14:paraId="17B8564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0B998F1B">
            <w:pPr>
              <w:spacing w:line="380" w:lineRule="exact"/>
              <w:jc w:val="center"/>
              <w:rPr>
                <w:rFonts w:hint="eastAsia" w:ascii="宋体" w:hAnsi="宋体" w:eastAsia="宋体" w:cs="宋体"/>
                <w:b/>
                <w:bCs/>
                <w:snapToGrid/>
                <w:color w:val="auto"/>
                <w:kern w:val="2"/>
                <w:sz w:val="21"/>
                <w:szCs w:val="21"/>
                <w:highlight w:val="none"/>
                <w:lang w:val="en-US" w:eastAsia="zh-CN" w:bidi="ar-SA"/>
              </w:rPr>
            </w:pPr>
            <w:r>
              <w:rPr>
                <w:rFonts w:hint="eastAsia" w:ascii="宋体" w:hAnsi="宋体" w:eastAsia="宋体" w:cs="宋体"/>
                <w:b/>
                <w:bCs/>
                <w:snapToGrid/>
                <w:color w:val="auto"/>
                <w:kern w:val="2"/>
                <w:sz w:val="21"/>
                <w:szCs w:val="21"/>
                <w:highlight w:val="none"/>
                <w:lang w:val="en-US" w:eastAsia="zh-CN" w:bidi="ar-SA"/>
              </w:rPr>
              <w:t>合同签订时间及服务期限</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35934738">
            <w:pPr>
              <w:spacing w:line="300" w:lineRule="exact"/>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自成交通知书发出之日起 25日内</w:t>
            </w:r>
            <w:r>
              <w:rPr>
                <w:rFonts w:hint="eastAsia" w:ascii="宋体" w:hAnsi="宋体" w:eastAsia="宋体" w:cs="宋体"/>
                <w:color w:val="auto"/>
                <w:highlight w:val="none"/>
                <w:lang w:eastAsia="zh-CN"/>
              </w:rPr>
              <w:t>签订合同。</w:t>
            </w:r>
          </w:p>
          <w:p w14:paraId="1D7EB0A5">
            <w:pPr>
              <w:spacing w:line="300" w:lineRule="exact"/>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服务期限：自签订合同之日起至2027年4月30日止</w:t>
            </w:r>
            <w:r>
              <w:rPr>
                <w:rFonts w:hint="eastAsia" w:ascii="宋体" w:hAnsi="宋体" w:eastAsia="宋体" w:cs="宋体"/>
                <w:color w:val="auto"/>
                <w:highlight w:val="none"/>
                <w:lang w:eastAsia="zh-CN"/>
              </w:rPr>
              <w:t>。</w:t>
            </w:r>
          </w:p>
        </w:tc>
      </w:tr>
      <w:tr w14:paraId="37F3B8F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620AB81D">
            <w:p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bCs/>
                <w:snapToGrid/>
                <w:color w:val="auto"/>
                <w:kern w:val="2"/>
                <w:sz w:val="21"/>
                <w:szCs w:val="21"/>
                <w:highlight w:val="none"/>
                <w:lang w:val="en-US" w:bidi="ar-SA"/>
              </w:rPr>
              <w:t>报价要求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5CBBD8F6">
            <w:pPr>
              <w:rPr>
                <w:rFonts w:ascii="宋体" w:hAnsi="宋体" w:cs="宋体"/>
                <w:color w:val="auto"/>
                <w:highlight w:val="none"/>
              </w:rPr>
            </w:pPr>
            <w:r>
              <w:rPr>
                <w:rFonts w:hint="eastAsia" w:ascii="宋体" w:hAnsi="宋体" w:cs="宋体"/>
                <w:color w:val="auto"/>
                <w:highlight w:val="none"/>
              </w:rPr>
              <w:t>报</w:t>
            </w:r>
            <w:r>
              <w:rPr>
                <w:rFonts w:ascii="宋体" w:hAnsi="宋体" w:cs="宋体"/>
                <w:color w:val="auto"/>
                <w:highlight w:val="none"/>
              </w:rPr>
              <w:t>价</w:t>
            </w:r>
            <w:r>
              <w:rPr>
                <w:rFonts w:hint="eastAsia" w:ascii="宋体" w:hAnsi="宋体" w:cs="宋体"/>
                <w:color w:val="auto"/>
                <w:highlight w:val="none"/>
                <w:lang w:eastAsia="zh-CN"/>
              </w:rPr>
              <w:t>包含</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中所有服务</w:t>
            </w:r>
            <w:r>
              <w:rPr>
                <w:rFonts w:hint="eastAsia" w:ascii="宋体" w:hAnsi="宋体" w:cs="宋体"/>
                <w:color w:val="auto"/>
                <w:highlight w:val="none"/>
                <w:lang w:eastAsia="zh-CN"/>
              </w:rPr>
              <w:t>和货物</w:t>
            </w:r>
            <w:r>
              <w:rPr>
                <w:rFonts w:hint="eastAsia" w:ascii="宋体" w:hAnsi="宋体" w:cs="宋体"/>
                <w:color w:val="auto"/>
                <w:highlight w:val="none"/>
              </w:rPr>
              <w:t>的价格</w:t>
            </w:r>
            <w:r>
              <w:rPr>
                <w:rFonts w:hint="eastAsia" w:ascii="宋体" w:hAnsi="宋体" w:cs="宋体"/>
                <w:color w:val="auto"/>
                <w:highlight w:val="none"/>
                <w:lang w:eastAsia="zh-CN"/>
              </w:rPr>
              <w:t>，</w:t>
            </w:r>
            <w:r>
              <w:rPr>
                <w:rFonts w:ascii="宋体" w:hAnsi="宋体" w:cs="宋体"/>
                <w:color w:val="auto"/>
                <w:highlight w:val="none"/>
              </w:rPr>
              <w:t>包括但不限于：</w:t>
            </w:r>
          </w:p>
          <w:p w14:paraId="3CC8CD8F">
            <w:pPr>
              <w:numPr>
                <w:ilvl w:val="0"/>
                <w:numId w:val="0"/>
              </w:numPr>
              <w:rPr>
                <w:rFonts w:hint="eastAsia" w:ascii="宋体" w:hAnsi="宋体" w:eastAsia="宋体" w:cs="宋体"/>
                <w:color w:val="auto"/>
                <w:highlight w:val="none"/>
              </w:rPr>
            </w:pPr>
            <w:r>
              <w:rPr>
                <w:rFonts w:hint="eastAsia" w:ascii="宋体" w:hAnsi="宋体" w:eastAsia="宋体" w:cs="宋体"/>
                <w:color w:val="auto"/>
                <w:kern w:val="2"/>
                <w:sz w:val="21"/>
                <w:szCs w:val="24"/>
                <w:highlight w:val="none"/>
                <w:lang w:val="en-US" w:eastAsia="zh-CN" w:bidi="ar-SA"/>
              </w:rPr>
              <w:t>1</w:t>
            </w:r>
            <w:r>
              <w:rPr>
                <w:rFonts w:hint="eastAsia" w:ascii="宋体" w:hAnsi="宋体" w:eastAsia="宋体" w:cs="宋体"/>
                <w:color w:val="auto"/>
                <w:szCs w:val="24"/>
                <w:highlight w:val="none"/>
              </w:rPr>
              <w:t>.</w:t>
            </w:r>
            <w:r>
              <w:rPr>
                <w:rFonts w:hint="eastAsia" w:ascii="宋体" w:hAnsi="宋体" w:eastAsia="宋体" w:cs="宋体"/>
                <w:color w:val="auto"/>
                <w:highlight w:val="none"/>
                <w:lang w:eastAsia="zh-CN"/>
              </w:rPr>
              <w:t>本项目所有服务及供货</w:t>
            </w:r>
            <w:r>
              <w:rPr>
                <w:rFonts w:hint="eastAsia" w:ascii="宋体" w:hAnsi="宋体" w:eastAsia="宋体" w:cs="宋体"/>
                <w:color w:val="auto"/>
                <w:highlight w:val="none"/>
              </w:rPr>
              <w:t>全流程</w:t>
            </w:r>
            <w:r>
              <w:rPr>
                <w:rFonts w:hint="eastAsia" w:ascii="宋体" w:hAnsi="宋体" w:eastAsia="宋体" w:cs="宋体"/>
                <w:color w:val="auto"/>
                <w:highlight w:val="none"/>
                <w:lang w:eastAsia="zh-CN"/>
              </w:rPr>
              <w:t>的费用，</w:t>
            </w:r>
            <w:r>
              <w:rPr>
                <w:rFonts w:hint="eastAsia" w:ascii="宋体" w:hAnsi="宋体" w:eastAsia="宋体" w:cs="宋体"/>
                <w:color w:val="auto"/>
                <w:highlight w:val="none"/>
              </w:rPr>
              <w:t>包括图书出版码洋、图书加工服务费、</w:t>
            </w:r>
            <w:r>
              <w:rPr>
                <w:rFonts w:hint="eastAsia" w:ascii="宋体" w:hAnsi="宋体" w:eastAsia="宋体" w:cs="宋体"/>
                <w:color w:val="auto"/>
                <w:highlight w:val="none"/>
                <w:lang w:eastAsia="zh-CN"/>
              </w:rPr>
              <w:t>运输</w:t>
            </w:r>
            <w:r>
              <w:rPr>
                <w:rFonts w:hint="eastAsia" w:ascii="宋体" w:hAnsi="宋体" w:eastAsia="宋体" w:cs="宋体"/>
                <w:color w:val="auto"/>
                <w:highlight w:val="none"/>
              </w:rPr>
              <w:t>搬运费、耗材费（含</w:t>
            </w:r>
            <w:r>
              <w:rPr>
                <w:rFonts w:hint="eastAsia" w:ascii="宋体" w:hAnsi="宋体" w:eastAsia="宋体" w:cs="宋体"/>
                <w:color w:val="auto"/>
                <w:highlight w:val="none"/>
                <w:lang w:eastAsia="zh-CN"/>
              </w:rPr>
              <w:t>可充消</w:t>
            </w:r>
            <w:r>
              <w:rPr>
                <w:rFonts w:hint="eastAsia" w:ascii="宋体" w:hAnsi="宋体" w:eastAsia="宋体" w:cs="宋体"/>
                <w:color w:val="auto"/>
                <w:highlight w:val="none"/>
                <w:lang w:val="en-US" w:eastAsia="zh-CN"/>
              </w:rPr>
              <w:t>钴基</w:t>
            </w:r>
            <w:r>
              <w:rPr>
                <w:rFonts w:hint="eastAsia" w:ascii="宋体" w:hAnsi="宋体" w:eastAsia="宋体" w:cs="宋体"/>
                <w:color w:val="auto"/>
                <w:highlight w:val="none"/>
              </w:rPr>
              <w:t>复合磁条、条形码、</w:t>
            </w:r>
            <w:r>
              <w:rPr>
                <w:rFonts w:hint="eastAsia" w:ascii="宋体" w:hAnsi="宋体" w:eastAsia="宋体" w:cs="宋体"/>
                <w:color w:val="auto"/>
                <w:highlight w:val="none"/>
                <w:lang w:val="en-US" w:eastAsia="zh-CN"/>
              </w:rPr>
              <w:t>PVC材质</w:t>
            </w:r>
            <w:r>
              <w:rPr>
                <w:rFonts w:hint="eastAsia" w:ascii="宋体" w:hAnsi="宋体" w:eastAsia="宋体" w:cs="宋体"/>
                <w:color w:val="auto"/>
                <w:highlight w:val="none"/>
              </w:rPr>
              <w:t>书标及保护膜等）、物流配送费、异地现场采购费、</w:t>
            </w:r>
            <w:r>
              <w:rPr>
                <w:rFonts w:ascii="宋体" w:hAnsi="宋体" w:cs="宋体"/>
                <w:color w:val="auto"/>
                <w:highlight w:val="none"/>
              </w:rPr>
              <w:t>调试培训</w:t>
            </w:r>
            <w:r>
              <w:rPr>
                <w:rFonts w:hint="eastAsia" w:ascii="宋体" w:hAnsi="宋体" w:cs="宋体"/>
                <w:color w:val="auto"/>
                <w:highlight w:val="none"/>
                <w:lang w:eastAsia="zh-CN"/>
              </w:rPr>
              <w:t>、技术支持、</w:t>
            </w:r>
            <w:r>
              <w:rPr>
                <w:rFonts w:hint="eastAsia" w:ascii="宋体" w:hAnsi="宋体" w:cs="宋体"/>
                <w:color w:val="auto"/>
                <w:highlight w:val="none"/>
              </w:rPr>
              <w:t>质保期内维护、软件升级</w:t>
            </w:r>
            <w:r>
              <w:rPr>
                <w:rFonts w:hint="eastAsia" w:ascii="宋体" w:hAnsi="宋体" w:cs="宋体"/>
                <w:color w:val="auto"/>
                <w:highlight w:val="none"/>
                <w:lang w:eastAsia="zh-CN"/>
              </w:rPr>
              <w:t>、</w:t>
            </w:r>
            <w:r>
              <w:rPr>
                <w:rFonts w:hint="eastAsia" w:ascii="宋体" w:hAnsi="宋体" w:eastAsia="宋体" w:cs="宋体"/>
                <w:color w:val="auto"/>
                <w:highlight w:val="none"/>
              </w:rPr>
              <w:t>售后服务费、</w:t>
            </w:r>
            <w:r>
              <w:rPr>
                <w:rFonts w:hint="eastAsia" w:ascii="宋体" w:hAnsi="宋体" w:eastAsia="宋体" w:cs="宋体"/>
                <w:color w:val="auto"/>
                <w:highlight w:val="none"/>
                <w:lang w:eastAsia="zh-CN"/>
              </w:rPr>
              <w:t>必要的保险、</w:t>
            </w:r>
            <w:r>
              <w:rPr>
                <w:rFonts w:hint="eastAsia" w:ascii="宋体" w:hAnsi="宋体" w:eastAsia="宋体" w:cs="宋体"/>
                <w:color w:val="auto"/>
                <w:highlight w:val="none"/>
              </w:rPr>
              <w:t>税金及其他</w:t>
            </w:r>
            <w:r>
              <w:rPr>
                <w:rFonts w:hint="eastAsia" w:ascii="宋体" w:hAnsi="宋体" w:eastAsia="宋体" w:cs="宋体"/>
                <w:color w:val="auto"/>
                <w:highlight w:val="none"/>
                <w:lang w:eastAsia="zh-CN"/>
              </w:rPr>
              <w:t>相关</w:t>
            </w:r>
            <w:r>
              <w:rPr>
                <w:rFonts w:hint="eastAsia" w:ascii="宋体" w:hAnsi="宋体" w:eastAsia="宋体" w:cs="宋体"/>
                <w:color w:val="auto"/>
                <w:highlight w:val="none"/>
              </w:rPr>
              <w:t>的费用。</w:t>
            </w:r>
          </w:p>
          <w:p w14:paraId="11F1D68A">
            <w:pPr>
              <w:numPr>
                <w:ilvl w:val="0"/>
                <w:numId w:val="0"/>
              </w:numPr>
              <w:rPr>
                <w:rFonts w:hint="eastAsia"/>
                <w:color w:val="auto"/>
                <w:highlight w:val="none"/>
              </w:rPr>
            </w:pPr>
            <w:r>
              <w:rPr>
                <w:rFonts w:hint="eastAsia" w:ascii="宋体" w:hAnsi="宋体" w:eastAsia="宋体" w:cs="宋体"/>
                <w:b w:val="0"/>
                <w:bCs w:val="0"/>
                <w:color w:val="auto"/>
                <w:highlight w:val="none"/>
                <w:lang w:val="en-US" w:eastAsia="zh-CN"/>
              </w:rPr>
              <w:t>2.</w:t>
            </w:r>
            <w:r>
              <w:rPr>
                <w:rFonts w:hint="eastAsia"/>
                <w:b/>
                <w:bCs/>
                <w:color w:val="auto"/>
                <w:highlight w:val="none"/>
                <w:lang w:val="en-US" w:eastAsia="zh-CN"/>
              </w:rPr>
              <w:t>本项目采用折扣率进行报价，A分标</w:t>
            </w:r>
            <w:r>
              <w:rPr>
                <w:rFonts w:hint="eastAsia"/>
                <w:b/>
                <w:bCs/>
                <w:color w:val="auto"/>
                <w:highlight w:val="none"/>
              </w:rPr>
              <w:t>报价范围：</w:t>
            </w:r>
            <w:r>
              <w:rPr>
                <w:rFonts w:hint="eastAsia"/>
                <w:b/>
                <w:bCs/>
                <w:color w:val="auto"/>
                <w:highlight w:val="none"/>
                <w:lang w:val="en-US" w:eastAsia="zh-CN"/>
              </w:rPr>
              <w:t>20%</w:t>
            </w:r>
            <w:r>
              <w:rPr>
                <w:rFonts w:hint="eastAsia"/>
                <w:b/>
                <w:bCs/>
                <w:color w:val="auto"/>
                <w:highlight w:val="none"/>
                <w:lang w:eastAsia="zh-CN"/>
              </w:rPr>
              <w:t>≤</w:t>
            </w:r>
            <w:r>
              <w:rPr>
                <w:rFonts w:hint="eastAsia"/>
                <w:b/>
                <w:bCs/>
                <w:color w:val="auto"/>
                <w:highlight w:val="none"/>
              </w:rPr>
              <w:t>折扣率</w:t>
            </w:r>
            <w:r>
              <w:rPr>
                <w:rFonts w:hint="eastAsia"/>
                <w:b/>
                <w:bCs/>
                <w:color w:val="auto"/>
                <w:highlight w:val="none"/>
                <w:lang w:val="en-US" w:eastAsia="zh-CN"/>
              </w:rPr>
              <w:t>%</w:t>
            </w:r>
            <w:r>
              <w:rPr>
                <w:rFonts w:hint="eastAsia"/>
                <w:b/>
                <w:bCs/>
                <w:color w:val="auto"/>
                <w:highlight w:val="none"/>
              </w:rPr>
              <w:t>≤100%</w:t>
            </w:r>
            <w:r>
              <w:rPr>
                <w:rFonts w:hint="eastAsia"/>
                <w:b/>
                <w:bCs/>
                <w:color w:val="auto"/>
                <w:highlight w:val="none"/>
                <w:lang w:eastAsia="zh-CN"/>
              </w:rPr>
              <w:t>；</w:t>
            </w:r>
            <w:r>
              <w:rPr>
                <w:rFonts w:hint="eastAsia"/>
                <w:b/>
                <w:bCs/>
                <w:color w:val="auto"/>
                <w:highlight w:val="none"/>
              </w:rPr>
              <w:t>超出报价范围的报价无效</w:t>
            </w:r>
            <w:r>
              <w:rPr>
                <w:rFonts w:hint="eastAsia"/>
                <w:b/>
                <w:bCs/>
                <w:color w:val="auto"/>
                <w:highlight w:val="none"/>
                <w:lang w:eastAsia="zh-CN"/>
              </w:rPr>
              <w:t>。</w:t>
            </w:r>
            <w:r>
              <w:rPr>
                <w:rFonts w:hint="eastAsia"/>
                <w:color w:val="auto"/>
                <w:highlight w:val="none"/>
              </w:rPr>
              <w:t>举例说明折扣率：打七折意思是码洋价乘以0.7后的价格，此时的折扣率表示为70%。</w:t>
            </w:r>
          </w:p>
          <w:p w14:paraId="49AAC760">
            <w:pPr>
              <w:numPr>
                <w:ilvl w:val="0"/>
                <w:numId w:val="0"/>
              </w:numPr>
              <w:spacing w:line="240" w:lineRule="auto"/>
              <w:rPr>
                <w:rFonts w:hint="eastAsia" w:ascii="宋体" w:hAnsi="宋体" w:eastAsia="宋体" w:cs="宋体"/>
                <w:color w:val="auto"/>
                <w:szCs w:val="21"/>
                <w:highlight w:val="none"/>
              </w:rPr>
            </w:pPr>
            <w:r>
              <w:rPr>
                <w:rFonts w:hint="eastAsia" w:ascii="宋体" w:hAnsi="宋体" w:cs="宋体"/>
                <w:color w:val="auto"/>
                <w:highlight w:val="none"/>
                <w:lang w:val="en-US" w:eastAsia="zh-CN"/>
              </w:rPr>
              <w:t>3</w:t>
            </w:r>
            <w:r>
              <w:rPr>
                <w:rFonts w:hint="eastAsia" w:ascii="宋体" w:hAnsi="宋体"/>
                <w:color w:val="auto"/>
                <w:szCs w:val="21"/>
                <w:highlight w:val="none"/>
              </w:rPr>
              <w:t>.</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w:t>
            </w:r>
            <w:r>
              <w:rPr>
                <w:rFonts w:ascii="宋体" w:hAnsi="宋体" w:cs="宋体"/>
                <w:color w:val="auto"/>
                <w:highlight w:val="none"/>
              </w:rPr>
              <w:t>货物</w:t>
            </w:r>
            <w:r>
              <w:rPr>
                <w:rFonts w:hint="eastAsia" w:ascii="宋体" w:hAnsi="宋体" w:cs="宋体"/>
                <w:color w:val="auto"/>
                <w:highlight w:val="none"/>
                <w:lang w:eastAsia="zh-CN"/>
              </w:rPr>
              <w:t>的报价</w:t>
            </w:r>
            <w:r>
              <w:rPr>
                <w:rFonts w:hint="eastAsia" w:ascii="宋体" w:hAnsi="宋体" w:cs="宋体"/>
                <w:color w:val="auto"/>
                <w:highlight w:val="none"/>
              </w:rPr>
              <w:t>为采购人指定地点的现场交付价格</w:t>
            </w:r>
            <w:r>
              <w:rPr>
                <w:rFonts w:hint="eastAsia" w:ascii="宋体" w:hAnsi="宋体" w:cs="宋体"/>
                <w:color w:val="auto"/>
                <w:highlight w:val="none"/>
                <w:lang w:eastAsia="zh-CN"/>
              </w:rPr>
              <w:t>，</w:t>
            </w:r>
            <w:r>
              <w:rPr>
                <w:rFonts w:hint="eastAsia"/>
                <w:color w:val="auto"/>
                <w:highlight w:val="none"/>
              </w:rPr>
              <w:t>合同有效期内所有</w:t>
            </w:r>
            <w:r>
              <w:rPr>
                <w:rFonts w:hint="eastAsia"/>
                <w:color w:val="auto"/>
                <w:highlight w:val="none"/>
                <w:lang w:val="en-US" w:eastAsia="zh-CN"/>
              </w:rPr>
              <w:t>经过验收合格的采购</w:t>
            </w:r>
            <w:r>
              <w:rPr>
                <w:rFonts w:hint="eastAsia"/>
                <w:color w:val="auto"/>
                <w:highlight w:val="none"/>
              </w:rPr>
              <w:t>图书均按实洋价</w:t>
            </w:r>
            <w:r>
              <w:rPr>
                <w:rFonts w:hint="eastAsia"/>
                <w:color w:val="auto"/>
                <w:highlight w:val="none"/>
                <w:lang w:eastAsia="zh-CN"/>
              </w:rPr>
              <w:t>结算</w:t>
            </w:r>
            <w:r>
              <w:rPr>
                <w:rFonts w:hint="eastAsia"/>
                <w:color w:val="auto"/>
                <w:highlight w:val="none"/>
              </w:rPr>
              <w:t>付款，图书出版的标价为码洋价</w:t>
            </w:r>
            <w:r>
              <w:rPr>
                <w:rFonts w:hint="eastAsia"/>
                <w:color w:val="auto"/>
                <w:highlight w:val="none"/>
                <w:lang w:eastAsia="zh-CN"/>
              </w:rPr>
              <w:t>，</w:t>
            </w:r>
            <w:r>
              <w:rPr>
                <w:rFonts w:hint="eastAsia"/>
                <w:color w:val="auto"/>
                <w:highlight w:val="none"/>
              </w:rPr>
              <w:t>实洋价＝码洋价×成交折扣率。</w:t>
            </w:r>
          </w:p>
        </w:tc>
      </w:tr>
      <w:tr w14:paraId="382BB77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02C38C85">
            <w:pPr>
              <w:spacing w:line="240"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质保期</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2AF80885">
            <w:pPr>
              <w:snapToGrid w:val="0"/>
              <w:spacing w:line="240" w:lineRule="auto"/>
              <w:jc w:val="left"/>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1.质保期</w:t>
            </w:r>
            <w:r>
              <w:rPr>
                <w:rFonts w:hint="eastAsia" w:ascii="宋体" w:hAnsi="宋体" w:eastAsia="宋体" w:cs="宋体"/>
                <w:b/>
                <w:bCs/>
                <w:color w:val="auto"/>
                <w:szCs w:val="21"/>
                <w:highlight w:val="none"/>
                <w:u w:val="single"/>
              </w:rPr>
              <w:t xml:space="preserve"> </w:t>
            </w:r>
            <w:r>
              <w:rPr>
                <w:rFonts w:hint="eastAsia" w:ascii="宋体" w:hAnsi="宋体" w:eastAsia="宋体" w:cs="宋体"/>
                <w:b/>
                <w:color w:val="auto"/>
                <w:highlight w:val="none"/>
                <w:u w:val="single"/>
              </w:rPr>
              <w:t>壹</w:t>
            </w:r>
            <w:r>
              <w:rPr>
                <w:rFonts w:hint="eastAsia" w:ascii="宋体" w:hAnsi="宋体" w:eastAsia="宋体" w:cs="宋体"/>
                <w:b/>
                <w:bCs/>
                <w:color w:val="auto"/>
                <w:szCs w:val="21"/>
                <w:highlight w:val="none"/>
                <w:u w:val="single"/>
              </w:rPr>
              <w:t xml:space="preserve"> </w:t>
            </w:r>
            <w:r>
              <w:rPr>
                <w:rFonts w:hint="eastAsia" w:ascii="宋体" w:hAnsi="宋体" w:eastAsia="宋体" w:cs="宋体"/>
                <w:b/>
                <w:bCs/>
                <w:color w:val="auto"/>
                <w:szCs w:val="21"/>
                <w:highlight w:val="none"/>
              </w:rPr>
              <w:t>年。</w:t>
            </w:r>
            <w:r>
              <w:rPr>
                <w:rFonts w:hint="eastAsia" w:ascii="宋体" w:hAnsi="宋体" w:eastAsia="宋体" w:cs="宋体"/>
                <w:color w:val="auto"/>
                <w:szCs w:val="21"/>
                <w:highlight w:val="none"/>
              </w:rPr>
              <w:t>（分项货物服务要求中有特别注明的，按特别注明的执行）</w:t>
            </w:r>
          </w:p>
          <w:p w14:paraId="578A168C">
            <w:pPr>
              <w:spacing w:line="24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2.所有货物服务按国家“三包”有关规定执行“三包”。质保期自交付验收合格之日起计算，质保期内提供上门维修、更换和升级服务；质保期结束后，提供终身维护，并优惠提供相关零配件。</w:t>
            </w:r>
          </w:p>
        </w:tc>
      </w:tr>
      <w:tr w14:paraId="486BBAAA">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5912803A">
            <w:p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产品及售后服务要求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5A075B78">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1.送货至采购人指定地点，完成图书加工。所有</w:t>
            </w:r>
            <w:r>
              <w:rPr>
                <w:rFonts w:hint="eastAsia" w:ascii="宋体" w:hAnsi="宋体" w:cs="Times New Roman"/>
                <w:bCs/>
                <w:color w:val="auto"/>
                <w:szCs w:val="21"/>
                <w:highlight w:val="none"/>
                <w:lang w:val="en-US" w:eastAsia="zh-CN"/>
              </w:rPr>
              <w:t>货物及加工服务</w:t>
            </w:r>
            <w:r>
              <w:rPr>
                <w:rFonts w:hint="eastAsia" w:ascii="宋体" w:hAnsi="宋体" w:eastAsia="宋体" w:cs="Times New Roman"/>
                <w:bCs/>
                <w:color w:val="auto"/>
                <w:szCs w:val="21"/>
                <w:highlight w:val="none"/>
                <w:lang w:val="en-US" w:eastAsia="zh-CN"/>
              </w:rPr>
              <w:t>应符合国家、行业相关标准及规范。所有货物仅接受现场交付，不接受邮递。</w:t>
            </w:r>
          </w:p>
          <w:p w14:paraId="6B805A19">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2.为采购人提供产品操作、维修、日常养护等方面的培训，确保采购方使用人员能独立操作使用，培训人数、时间、地点等由采购人指定。</w:t>
            </w:r>
          </w:p>
          <w:p w14:paraId="10958859">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3.故障响应时间：在使用过程中出现质量问题，成交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在接到采购人通知后1小时</w:t>
            </w:r>
            <w:r>
              <w:rPr>
                <w:rFonts w:hint="eastAsia" w:ascii="宋体" w:hAnsi="宋体" w:cs="Times New Roman"/>
                <w:bCs/>
                <w:color w:val="auto"/>
                <w:szCs w:val="21"/>
                <w:highlight w:val="none"/>
                <w:lang w:val="en-US" w:eastAsia="zh-CN"/>
              </w:rPr>
              <w:t>内</w:t>
            </w:r>
            <w:r>
              <w:rPr>
                <w:rFonts w:hint="eastAsia" w:ascii="宋体" w:hAnsi="宋体" w:eastAsia="宋体" w:cs="Times New Roman"/>
                <w:bCs/>
                <w:color w:val="auto"/>
                <w:szCs w:val="21"/>
                <w:highlight w:val="none"/>
                <w:lang w:val="en-US" w:eastAsia="zh-CN"/>
              </w:rPr>
              <w:t>作出响应；如需到达现场解决的，在4小时内应到达现场。</w:t>
            </w:r>
          </w:p>
          <w:p w14:paraId="2C1112B3">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4.</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须遵守校园出入规定，在供货、安装过程中确保相关人员安全。供货、安装过程中产生的残留物或垃圾，</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需自行清理至校外。</w:t>
            </w:r>
          </w:p>
          <w:p w14:paraId="1EEB1962">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cs="Times New Roman"/>
                <w:bCs/>
                <w:color w:val="auto"/>
                <w:szCs w:val="21"/>
                <w:highlight w:val="none"/>
                <w:lang w:val="en-US" w:eastAsia="zh-CN"/>
              </w:rPr>
              <w:t>5.</w:t>
            </w:r>
            <w:r>
              <w:rPr>
                <w:rFonts w:hint="eastAsia" w:ascii="宋体" w:hAnsi="宋体"/>
                <w:bCs/>
                <w:color w:val="auto"/>
                <w:szCs w:val="21"/>
                <w:highlight w:val="none"/>
              </w:rPr>
              <w:t>供应商</w:t>
            </w:r>
            <w:r>
              <w:rPr>
                <w:rFonts w:hint="eastAsia" w:ascii="宋体" w:hAnsi="宋体"/>
                <w:bCs/>
                <w:color w:val="auto"/>
                <w:szCs w:val="21"/>
                <w:highlight w:val="none"/>
                <w:lang w:eastAsia="zh-CN"/>
              </w:rPr>
              <w:t>为了更好的协助采购人完成采购、馆藏工作需</w:t>
            </w:r>
            <w:r>
              <w:rPr>
                <w:rFonts w:hint="eastAsia" w:ascii="宋体" w:hAnsi="宋体"/>
                <w:bCs/>
                <w:color w:val="auto"/>
                <w:szCs w:val="21"/>
                <w:highlight w:val="none"/>
              </w:rPr>
              <w:t>提供的</w:t>
            </w:r>
            <w:r>
              <w:rPr>
                <w:rFonts w:hint="eastAsia" w:ascii="宋体" w:hAnsi="宋体"/>
                <w:bCs/>
                <w:color w:val="auto"/>
                <w:szCs w:val="21"/>
                <w:highlight w:val="none"/>
                <w:lang w:eastAsia="zh-CN"/>
              </w:rPr>
              <w:t>信息化相关服务（如</w:t>
            </w:r>
            <w:r>
              <w:rPr>
                <w:rFonts w:hint="eastAsia" w:ascii="宋体" w:hAnsi="宋体"/>
                <w:bCs/>
                <w:color w:val="auto"/>
                <w:szCs w:val="21"/>
                <w:highlight w:val="none"/>
              </w:rPr>
              <w:t>网上选书平台</w:t>
            </w:r>
            <w:r>
              <w:rPr>
                <w:rFonts w:hint="eastAsia" w:ascii="宋体" w:hAnsi="宋体"/>
                <w:bCs/>
                <w:color w:val="auto"/>
                <w:szCs w:val="21"/>
                <w:highlight w:val="none"/>
                <w:lang w:eastAsia="zh-CN"/>
              </w:rPr>
              <w:t>等）。</w:t>
            </w:r>
          </w:p>
        </w:tc>
      </w:tr>
      <w:tr w14:paraId="18583BD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316"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2C3DE2AE">
            <w:p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color w:val="auto"/>
                <w:szCs w:val="21"/>
                <w:highlight w:val="none"/>
              </w:rPr>
              <w:t>保密要求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686DF172">
            <w:pPr>
              <w:spacing w:line="300" w:lineRule="exact"/>
              <w:jc w:val="left"/>
              <w:rPr>
                <w:rFonts w:hint="eastAsia" w:ascii="宋体" w:hAnsi="宋体" w:eastAsia="宋体" w:cs="宋体"/>
                <w:color w:val="auto"/>
                <w:szCs w:val="21"/>
                <w:highlight w:val="none"/>
              </w:rPr>
            </w:pPr>
            <w:r>
              <w:rPr>
                <w:rFonts w:hint="eastAsia" w:ascii="宋体" w:hAnsi="宋体" w:eastAsia="宋体" w:cs="Times New Roman"/>
                <w:bCs/>
                <w:color w:val="auto"/>
                <w:szCs w:val="21"/>
                <w:highlight w:val="none"/>
                <w:lang w:val="en-US" w:eastAsia="zh-CN"/>
              </w:rPr>
              <w:t>项目如涉及采购方信息安全的，</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在与采购人签订合同时，还需同时签署保密协议，并严格遵守信息安全相关规定。如因成交方人员违反该协议有关规定，导致出现信息泄露或信息安全问题的，由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负责，如涉及法律责任的，则全部由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承担。</w:t>
            </w:r>
          </w:p>
        </w:tc>
      </w:tr>
      <w:tr w14:paraId="339D335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ECFC94F">
            <w:p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交货时间及地点</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46004095">
            <w:pPr>
              <w:rPr>
                <w:rFonts w:hint="eastAsia"/>
                <w:color w:val="auto"/>
                <w:highlight w:val="none"/>
              </w:rPr>
            </w:pPr>
            <w:r>
              <w:rPr>
                <w:rFonts w:hint="eastAsia" w:ascii="宋体" w:hAnsi="宋体" w:cs="宋体"/>
                <w:color w:val="auto"/>
                <w:spacing w:val="-2"/>
                <w:highlight w:val="none"/>
                <w:lang w:val="en-US" w:eastAsia="zh-CN"/>
              </w:rPr>
              <w:t>1.</w:t>
            </w:r>
            <w:r>
              <w:rPr>
                <w:rFonts w:ascii="宋体" w:hAnsi="宋体" w:cs="宋体"/>
                <w:color w:val="auto"/>
                <w:spacing w:val="-2"/>
                <w:highlight w:val="none"/>
              </w:rPr>
              <w:t>交</w:t>
            </w:r>
            <w:r>
              <w:rPr>
                <w:rFonts w:hint="eastAsia" w:ascii="宋体" w:hAnsi="宋体" w:cs="宋体"/>
                <w:color w:val="auto"/>
                <w:spacing w:val="-2"/>
                <w:highlight w:val="none"/>
              </w:rPr>
              <w:t>付</w:t>
            </w:r>
            <w:r>
              <w:rPr>
                <w:rFonts w:ascii="宋体" w:hAnsi="宋体" w:cs="宋体"/>
                <w:color w:val="auto"/>
                <w:spacing w:val="-2"/>
                <w:highlight w:val="none"/>
              </w:rPr>
              <w:t>时间：</w:t>
            </w:r>
            <w:r>
              <w:rPr>
                <w:rFonts w:hint="eastAsia"/>
                <w:color w:val="auto"/>
                <w:highlight w:val="none"/>
              </w:rPr>
              <w:t>自每笔订单发送之日起</w:t>
            </w:r>
            <w:r>
              <w:rPr>
                <w:rFonts w:hint="eastAsia"/>
                <w:color w:val="auto"/>
                <w:highlight w:val="none"/>
                <w:lang w:val="en-US" w:eastAsia="zh-CN"/>
              </w:rPr>
              <w:t>30</w:t>
            </w:r>
            <w:r>
              <w:rPr>
                <w:rFonts w:hint="eastAsia"/>
                <w:color w:val="auto"/>
                <w:highlight w:val="none"/>
              </w:rPr>
              <w:t>个</w:t>
            </w:r>
            <w:r>
              <w:rPr>
                <w:rFonts w:hint="eastAsia"/>
                <w:color w:val="auto"/>
                <w:highlight w:val="none"/>
                <w:lang w:val="en-US" w:eastAsia="zh-CN"/>
              </w:rPr>
              <w:t>日历日</w:t>
            </w:r>
            <w:r>
              <w:rPr>
                <w:rFonts w:hint="eastAsia"/>
                <w:color w:val="auto"/>
                <w:highlight w:val="none"/>
              </w:rPr>
              <w:t>内，</w:t>
            </w:r>
            <w:r>
              <w:rPr>
                <w:rFonts w:hint="eastAsia"/>
                <w:color w:val="auto"/>
                <w:highlight w:val="none"/>
                <w:lang w:val="en-US" w:eastAsia="zh-CN"/>
              </w:rPr>
              <w:t>图书送达采购人指定地点，且每笔订单</w:t>
            </w:r>
            <w:r>
              <w:rPr>
                <w:rFonts w:hint="eastAsia"/>
                <w:color w:val="auto"/>
                <w:highlight w:val="none"/>
              </w:rPr>
              <w:t>到书率须</w:t>
            </w:r>
            <w:r>
              <w:rPr>
                <w:rFonts w:hint="eastAsia"/>
                <w:color w:val="auto"/>
                <w:highlight w:val="none"/>
                <w:lang w:eastAsia="zh-CN"/>
              </w:rPr>
              <w:t>≥</w:t>
            </w:r>
            <w:r>
              <w:rPr>
                <w:rFonts w:hint="eastAsia"/>
                <w:color w:val="auto"/>
                <w:highlight w:val="none"/>
              </w:rPr>
              <w:t>90%</w:t>
            </w:r>
            <w:r>
              <w:rPr>
                <w:rFonts w:hint="eastAsia"/>
                <w:color w:val="auto"/>
                <w:highlight w:val="none"/>
                <w:lang w:eastAsia="zh-CN"/>
              </w:rPr>
              <w:t>，</w:t>
            </w:r>
            <w:r>
              <w:rPr>
                <w:rFonts w:hint="eastAsia"/>
                <w:color w:val="auto"/>
                <w:highlight w:val="none"/>
              </w:rPr>
              <w:t>采购需求附件A《A分标特价纸质图书必选书目清单》的到书率按≥95%</w:t>
            </w:r>
            <w:r>
              <w:rPr>
                <w:rFonts w:hint="eastAsia"/>
                <w:color w:val="auto"/>
                <w:highlight w:val="none"/>
                <w:lang w:eastAsia="zh-CN"/>
              </w:rPr>
              <w:t>要求</w:t>
            </w:r>
            <w:r>
              <w:rPr>
                <w:rFonts w:hint="eastAsia"/>
                <w:b w:val="0"/>
                <w:bCs w:val="0"/>
                <w:color w:val="auto"/>
                <w:highlight w:val="none"/>
                <w:lang w:val="en-US" w:eastAsia="zh-CN"/>
              </w:rPr>
              <w:t>执行</w:t>
            </w:r>
            <w:r>
              <w:rPr>
                <w:rFonts w:hint="eastAsia"/>
                <w:color w:val="auto"/>
                <w:highlight w:val="none"/>
              </w:rPr>
              <w:t>。</w:t>
            </w:r>
          </w:p>
          <w:p w14:paraId="735F18D1">
            <w:pPr>
              <w:spacing w:line="300" w:lineRule="exact"/>
              <w:rPr>
                <w:rFonts w:hint="eastAsia" w:ascii="宋体" w:hAnsi="宋体" w:eastAsia="宋体" w:cs="宋体"/>
                <w:color w:val="auto"/>
                <w:szCs w:val="21"/>
                <w:highlight w:val="none"/>
              </w:rPr>
            </w:pPr>
            <w:r>
              <w:rPr>
                <w:rFonts w:ascii="宋体" w:hAnsi="宋体" w:cs="宋体"/>
                <w:color w:val="auto"/>
                <w:highlight w:val="none"/>
              </w:rPr>
              <w:t>2.交</w:t>
            </w:r>
            <w:r>
              <w:rPr>
                <w:rFonts w:hint="eastAsia" w:ascii="宋体" w:hAnsi="宋体" w:cs="宋体"/>
                <w:color w:val="auto"/>
                <w:highlight w:val="none"/>
              </w:rPr>
              <w:t>付</w:t>
            </w:r>
            <w:r>
              <w:rPr>
                <w:rFonts w:ascii="宋体" w:hAnsi="宋体" w:cs="宋体"/>
                <w:color w:val="auto"/>
                <w:highlight w:val="none"/>
              </w:rPr>
              <w:t>地点：广西农业职业技术</w:t>
            </w:r>
            <w:r>
              <w:rPr>
                <w:rFonts w:hint="eastAsia" w:ascii="宋体" w:hAnsi="宋体" w:cs="宋体"/>
                <w:color w:val="auto"/>
                <w:highlight w:val="none"/>
              </w:rPr>
              <w:t>大学指定地点</w:t>
            </w:r>
            <w:r>
              <w:rPr>
                <w:rFonts w:ascii="宋体" w:hAnsi="宋体" w:cs="宋体"/>
                <w:color w:val="auto"/>
                <w:highlight w:val="none"/>
              </w:rPr>
              <w:t>。</w:t>
            </w:r>
          </w:p>
        </w:tc>
      </w:tr>
      <w:tr w14:paraId="2D77220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72CFD863">
            <w:p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付款条件</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4F527A63">
            <w:pPr>
              <w:numPr>
                <w:ilvl w:val="0"/>
                <w:numId w:val="0"/>
              </w:num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kern w:val="2"/>
                <w:sz w:val="21"/>
                <w:szCs w:val="21"/>
                <w:highlight w:val="none"/>
                <w:lang w:val="en-US" w:eastAsia="zh-CN" w:bidi="ar-SA"/>
              </w:rPr>
              <w:t>1.</w:t>
            </w:r>
            <w:r>
              <w:rPr>
                <w:rFonts w:hint="eastAsia" w:ascii="宋体" w:hAnsi="宋体" w:eastAsia="宋体" w:cs="Times New Roman"/>
                <w:bCs/>
                <w:color w:val="auto"/>
                <w:szCs w:val="21"/>
                <w:highlight w:val="none"/>
                <w:lang w:val="en-US" w:eastAsia="zh-CN"/>
              </w:rPr>
              <w:t>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在要求的交付期内，可分批交付，也可一次性交付，但须先按每次交付并验收完成的金额开具发票给采购人，采购人在收到发票后30日历日内按发票面额付款。如成交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未按国家要求开具发票，或未按合同履约的，视为违约，采购人有权扣减履约保证金，或要求解除合同，并追究成交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法律责任。</w:t>
            </w:r>
          </w:p>
          <w:p w14:paraId="06C399F0">
            <w:pPr>
              <w:numPr>
                <w:ilvl w:val="0"/>
                <w:numId w:val="0"/>
              </w:numPr>
              <w:spacing w:line="300" w:lineRule="exact"/>
              <w:ind w:left="0" w:leftChars="0" w:firstLine="0" w:firstLineChars="0"/>
              <w:jc w:val="left"/>
              <w:rPr>
                <w:rFonts w:ascii="宋体" w:hAnsi="宋体"/>
                <w:bCs/>
                <w:color w:val="auto"/>
                <w:szCs w:val="21"/>
                <w:highlight w:val="none"/>
              </w:rPr>
            </w:pPr>
            <w:r>
              <w:rPr>
                <w:rFonts w:ascii="宋体" w:hAnsi="宋体" w:eastAsia="宋体" w:cs="Times New Roman"/>
                <w:bCs/>
                <w:color w:val="auto"/>
                <w:kern w:val="2"/>
                <w:sz w:val="21"/>
                <w:szCs w:val="21"/>
                <w:highlight w:val="none"/>
                <w:lang w:val="en-US" w:eastAsia="zh-CN" w:bidi="ar-SA"/>
              </w:rPr>
              <w:t>2.</w:t>
            </w:r>
            <w:r>
              <w:rPr>
                <w:rFonts w:hint="eastAsia" w:ascii="宋体" w:hAnsi="宋体" w:cs="Times New Roman"/>
                <w:bCs/>
                <w:color w:val="auto"/>
                <w:kern w:val="2"/>
                <w:sz w:val="21"/>
                <w:szCs w:val="21"/>
                <w:highlight w:val="none"/>
                <w:lang w:val="en-US" w:eastAsia="zh-CN" w:bidi="ar-SA"/>
              </w:rPr>
              <w:t>本</w:t>
            </w:r>
            <w:r>
              <w:rPr>
                <w:rFonts w:ascii="宋体" w:hAnsi="宋体"/>
                <w:bCs/>
                <w:color w:val="auto"/>
                <w:szCs w:val="21"/>
                <w:highlight w:val="none"/>
              </w:rPr>
              <w:t>项目收取履约保证金，成交</w:t>
            </w:r>
            <w:r>
              <w:rPr>
                <w:rFonts w:hint="eastAsia" w:ascii="宋体" w:hAnsi="宋体"/>
                <w:bCs/>
                <w:color w:val="auto"/>
                <w:szCs w:val="21"/>
                <w:highlight w:val="none"/>
                <w:lang w:eastAsia="zh-CN"/>
              </w:rPr>
              <w:t>供应商</w:t>
            </w:r>
            <w:r>
              <w:rPr>
                <w:rFonts w:ascii="宋体" w:hAnsi="宋体"/>
                <w:bCs/>
                <w:color w:val="auto"/>
                <w:szCs w:val="21"/>
                <w:highlight w:val="none"/>
              </w:rPr>
              <w:t>须在合同签订前向采购人账户转付成交金额2%的履约保证金，否则不予签订合同。履约保证金在采购内容全部交付验收完成之后（或服务期满后）无息退付。</w:t>
            </w:r>
          </w:p>
          <w:p w14:paraId="07F2B58D">
            <w:pPr>
              <w:numPr>
                <w:ilvl w:val="0"/>
                <w:numId w:val="0"/>
              </w:numPr>
              <w:spacing w:line="300" w:lineRule="exact"/>
              <w:ind w:left="0" w:leftChars="0" w:firstLine="0" w:firstLineChars="0"/>
              <w:jc w:val="left"/>
              <w:rPr>
                <w:rFonts w:ascii="宋体" w:hAnsi="宋体"/>
                <w:bCs/>
                <w:color w:val="auto"/>
                <w:szCs w:val="21"/>
                <w:highlight w:val="none"/>
              </w:rPr>
            </w:pPr>
            <w:r>
              <w:rPr>
                <w:rFonts w:hint="eastAsia" w:ascii="宋体" w:hAnsi="宋体"/>
                <w:b/>
                <w:bCs w:val="0"/>
                <w:color w:val="auto"/>
                <w:szCs w:val="21"/>
                <w:highlight w:val="none"/>
                <w:lang w:val="en-US" w:eastAsia="zh-CN"/>
              </w:rPr>
              <w:t>A分标</w:t>
            </w:r>
            <w:r>
              <w:rPr>
                <w:rFonts w:ascii="宋体" w:hAnsi="宋体"/>
                <w:b/>
                <w:bCs w:val="0"/>
                <w:color w:val="auto"/>
                <w:szCs w:val="21"/>
                <w:highlight w:val="none"/>
              </w:rPr>
              <w:t>收取履约保证金：人民币</w:t>
            </w:r>
            <w:r>
              <w:rPr>
                <w:rFonts w:ascii="宋体" w:hAnsi="宋体"/>
                <w:b/>
                <w:bCs w:val="0"/>
                <w:color w:val="auto"/>
                <w:szCs w:val="21"/>
                <w:highlight w:val="none"/>
                <w:u w:val="single"/>
              </w:rPr>
              <w:t xml:space="preserve"> </w:t>
            </w:r>
            <w:r>
              <w:rPr>
                <w:rFonts w:hint="eastAsia" w:ascii="宋体" w:hAnsi="宋体"/>
                <w:b/>
                <w:bCs w:val="0"/>
                <w:color w:val="auto"/>
                <w:szCs w:val="21"/>
                <w:highlight w:val="none"/>
                <w:u w:val="single"/>
                <w:lang w:val="en-US" w:eastAsia="zh-CN"/>
              </w:rPr>
              <w:t>23100</w:t>
            </w:r>
            <w:r>
              <w:rPr>
                <w:rFonts w:ascii="宋体" w:hAnsi="宋体"/>
                <w:b/>
                <w:bCs w:val="0"/>
                <w:color w:val="auto"/>
                <w:szCs w:val="21"/>
                <w:highlight w:val="none"/>
                <w:u w:val="single"/>
              </w:rPr>
              <w:t xml:space="preserve">  </w:t>
            </w:r>
            <w:r>
              <w:rPr>
                <w:rFonts w:ascii="宋体" w:hAnsi="宋体"/>
                <w:b/>
                <w:bCs w:val="0"/>
                <w:color w:val="auto"/>
                <w:szCs w:val="21"/>
                <w:highlight w:val="none"/>
              </w:rPr>
              <w:t>元。</w:t>
            </w:r>
          </w:p>
          <w:p w14:paraId="24AB15F1">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bCs/>
                <w:color w:val="auto"/>
                <w:szCs w:val="21"/>
                <w:highlight w:val="none"/>
                <w:lang w:val="en-US" w:eastAsia="zh-CN"/>
              </w:rPr>
              <w:t>3.本项目服务期内采购人按批次订购图书，并按实际验收图书的实洋价进行结算。当采购数量与实际使用数量不一致时，成交供应商根据实际使用量供货，合同的最终结算金额按实际使用量乘以实洋价进行计算。</w:t>
            </w:r>
          </w:p>
        </w:tc>
      </w:tr>
      <w:tr w14:paraId="1F8834A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015BB6F8">
            <w:pPr>
              <w:numPr>
                <w:ilvl w:val="0"/>
                <w:numId w:val="0"/>
              </w:numPr>
              <w:spacing w:line="38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其</w:t>
            </w:r>
            <w:r>
              <w:rPr>
                <w:rFonts w:hint="eastAsia" w:ascii="宋体" w:hAnsi="宋体" w:eastAsia="宋体" w:cs="宋体"/>
                <w:b/>
                <w:bCs/>
                <w:color w:val="auto"/>
                <w:szCs w:val="21"/>
                <w:highlight w:val="none"/>
                <w:lang w:eastAsia="zh-CN"/>
              </w:rPr>
              <w:t>他</w:t>
            </w:r>
            <w:r>
              <w:rPr>
                <w:rFonts w:hint="eastAsia" w:ascii="宋体" w:hAnsi="宋体" w:eastAsia="宋体" w:cs="宋体"/>
                <w:b/>
                <w:bCs/>
                <w:color w:val="auto"/>
                <w:szCs w:val="21"/>
                <w:highlight w:val="none"/>
              </w:rPr>
              <w:t>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646D80EC">
            <w:pPr>
              <w:spacing w:line="300" w:lineRule="exact"/>
              <w:jc w:val="left"/>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本项目划分为A、B、C三个分标，供应商</w:t>
            </w:r>
            <w:r>
              <w:rPr>
                <w:rFonts w:hint="eastAsia" w:ascii="宋体" w:hAnsi="宋体" w:eastAsia="宋体" w:cs="宋体"/>
                <w:color w:val="auto"/>
                <w:highlight w:val="none"/>
              </w:rPr>
              <w:t>可就一个或多个标段进行</w:t>
            </w:r>
            <w:r>
              <w:rPr>
                <w:rFonts w:hint="eastAsia" w:ascii="宋体" w:hAnsi="宋体" w:eastAsia="宋体" w:cs="宋体"/>
                <w:color w:val="auto"/>
                <w:highlight w:val="none"/>
                <w:lang w:eastAsia="zh-CN"/>
              </w:rPr>
              <w:t>竞</w:t>
            </w:r>
            <w:r>
              <w:rPr>
                <w:rFonts w:hint="eastAsia" w:ascii="宋体" w:hAnsi="宋体" w:eastAsia="宋体" w:cs="宋体"/>
                <w:color w:val="auto"/>
                <w:highlight w:val="none"/>
              </w:rPr>
              <w:t>标</w:t>
            </w:r>
            <w:r>
              <w:rPr>
                <w:rFonts w:hint="eastAsia" w:ascii="宋体" w:hAnsi="宋体" w:eastAsia="宋体" w:cs="宋体"/>
                <w:color w:val="auto"/>
                <w:highlight w:val="none"/>
                <w:lang w:val="en-US" w:eastAsia="zh-CN"/>
              </w:rPr>
              <w:t>，但同一供应商最终仅允许成为一个分标的成交供应商。</w:t>
            </w:r>
          </w:p>
        </w:tc>
      </w:tr>
    </w:tbl>
    <w:p w14:paraId="55339205">
      <w:pPr>
        <w:spacing w:line="528" w:lineRule="exact"/>
        <w:jc w:val="left"/>
        <w:rPr>
          <w:rFonts w:hint="eastAsia" w:ascii="Arial Unicode MS" w:hAnsi="Arial Unicode MS" w:eastAsia="Arial Unicode MS" w:cs="Arial Unicode MS"/>
          <w:color w:val="auto"/>
          <w:sz w:val="32"/>
          <w:szCs w:val="32"/>
          <w:highlight w:val="none"/>
        </w:rPr>
      </w:pPr>
    </w:p>
    <w:p w14:paraId="04FFF485">
      <w:pPr>
        <w:spacing w:line="528" w:lineRule="exact"/>
        <w:jc w:val="left"/>
        <w:rPr>
          <w:rFonts w:hint="eastAsia" w:ascii="宋体" w:hAnsi="宋体" w:eastAsia="宋体" w:cs="宋体"/>
          <w:b/>
          <w:bCs/>
          <w:color w:val="auto"/>
          <w:sz w:val="32"/>
          <w:szCs w:val="32"/>
          <w:highlight w:val="none"/>
          <w:lang w:eastAsia="zh-CN"/>
        </w:rPr>
        <w:sectPr>
          <w:pgSz w:w="11911" w:h="16838"/>
          <w:pgMar w:top="1134" w:right="1134" w:bottom="1134" w:left="1134" w:header="720" w:footer="720" w:gutter="0"/>
          <w:pgNumType w:fmt="decimal"/>
          <w:cols w:space="720" w:num="1"/>
        </w:sectPr>
      </w:pPr>
      <w:r>
        <w:rPr>
          <w:rFonts w:hint="eastAsia" w:ascii="宋体" w:hAnsi="宋体" w:eastAsia="宋体" w:cs="宋体"/>
          <w:b/>
          <w:bCs/>
          <w:color w:val="auto"/>
          <w:sz w:val="32"/>
          <w:szCs w:val="32"/>
          <w:highlight w:val="none"/>
        </w:rPr>
        <w:t>附件A：A分标特价纸质图书必选书目清单</w:t>
      </w:r>
      <w:r>
        <w:rPr>
          <w:rFonts w:hint="eastAsia" w:ascii="宋体" w:hAnsi="宋体" w:eastAsia="宋体" w:cs="宋体"/>
          <w:b/>
          <w:bCs/>
          <w:color w:val="auto"/>
          <w:sz w:val="32"/>
          <w:szCs w:val="32"/>
          <w:highlight w:val="none"/>
          <w:lang w:eastAsia="zh-CN"/>
        </w:rPr>
        <w:t>（另附）</w:t>
      </w:r>
    </w:p>
    <w:p w14:paraId="2F9812CF">
      <w:pPr>
        <w:spacing w:line="360" w:lineRule="auto"/>
        <w:jc w:val="left"/>
        <w:rPr>
          <w:rFonts w:hint="eastAsia" w:ascii="宋体" w:hAnsi="宋体" w:eastAsia="宋体" w:cs="宋体"/>
          <w:color w:val="auto"/>
          <w:sz w:val="21"/>
          <w:szCs w:val="21"/>
          <w:highlight w:val="none"/>
        </w:rPr>
      </w:pPr>
    </w:p>
    <w:tbl>
      <w:tblPr>
        <w:tblStyle w:val="28"/>
        <w:tblW w:w="10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230"/>
        <w:gridCol w:w="885"/>
        <w:gridCol w:w="7567"/>
      </w:tblGrid>
      <w:tr w14:paraId="1722C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vAlign w:val="center"/>
          </w:tcPr>
          <w:p w14:paraId="23962005">
            <w:pPr>
              <w:spacing w:line="320" w:lineRule="exact"/>
              <w:jc w:val="left"/>
              <w:rPr>
                <w:rFonts w:hint="eastAsia" w:ascii="宋体" w:hAnsi="宋体" w:eastAsia="宋体" w:cs="宋体"/>
                <w:color w:val="auto"/>
                <w:sz w:val="32"/>
                <w:szCs w:val="32"/>
                <w:highlight w:val="none"/>
              </w:rPr>
            </w:pPr>
            <w:r>
              <w:rPr>
                <w:rFonts w:hint="eastAsia" w:ascii="宋体" w:hAnsi="宋体" w:eastAsia="宋体" w:cs="宋体"/>
                <w:b/>
                <w:bCs/>
                <w:color w:val="auto"/>
                <w:sz w:val="21"/>
                <w:szCs w:val="21"/>
                <w:highlight w:val="none"/>
                <w:lang w:val="en-US" w:eastAsia="zh-CN"/>
              </w:rPr>
              <w:t>B</w:t>
            </w:r>
            <w:r>
              <w:rPr>
                <w:rFonts w:hint="eastAsia" w:ascii="宋体" w:hAnsi="宋体" w:eastAsia="宋体" w:cs="宋体"/>
                <w:b/>
                <w:bCs/>
                <w:color w:val="auto"/>
                <w:sz w:val="21"/>
                <w:szCs w:val="21"/>
                <w:highlight w:val="none"/>
                <w:lang w:eastAsia="zh-CN"/>
              </w:rPr>
              <w:t>分标：</w:t>
            </w:r>
            <w:r>
              <w:rPr>
                <w:rFonts w:hint="eastAsia" w:ascii="宋体" w:hAnsi="宋体" w:eastAsia="宋体" w:cs="宋体"/>
                <w:b/>
                <w:bCs/>
                <w:color w:val="auto"/>
                <w:kern w:val="0"/>
                <w:highlight w:val="none"/>
                <w:lang w:val="en-US" w:bidi="zh-CN"/>
              </w:rPr>
              <w:t>特价</w:t>
            </w:r>
            <w:r>
              <w:rPr>
                <w:rFonts w:hint="eastAsia" w:ascii="宋体" w:hAnsi="宋体" w:eastAsia="宋体" w:cs="宋体"/>
                <w:b/>
                <w:bCs/>
                <w:color w:val="auto"/>
                <w:kern w:val="0"/>
                <w:highlight w:val="none"/>
                <w:lang w:bidi="zh-CN"/>
              </w:rPr>
              <w:t>纸质图书供应服务</w:t>
            </w:r>
            <w:r>
              <w:rPr>
                <w:rFonts w:hint="eastAsia" w:ascii="宋体" w:hAnsi="宋体" w:eastAsia="宋体" w:cs="宋体"/>
                <w:b/>
                <w:bCs/>
                <w:color w:val="auto"/>
                <w:highlight w:val="none"/>
                <w:lang w:eastAsia="zh-CN"/>
              </w:rPr>
              <w:t>（二）</w:t>
            </w:r>
          </w:p>
        </w:tc>
      </w:tr>
      <w:tr w14:paraId="08E466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tcBorders>
              <w:top w:val="single" w:color="auto" w:sz="4" w:space="0"/>
            </w:tcBorders>
            <w:noWrap w:val="0"/>
            <w:vAlign w:val="center"/>
          </w:tcPr>
          <w:p w14:paraId="54A5C771">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230" w:type="dxa"/>
            <w:tcBorders>
              <w:top w:val="single" w:color="auto" w:sz="4" w:space="0"/>
            </w:tcBorders>
            <w:noWrap w:val="0"/>
            <w:vAlign w:val="center"/>
          </w:tcPr>
          <w:p w14:paraId="102B3DEC">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885" w:type="dxa"/>
            <w:tcBorders>
              <w:top w:val="single" w:color="auto" w:sz="4" w:space="0"/>
            </w:tcBorders>
            <w:noWrap w:val="0"/>
            <w:vAlign w:val="center"/>
          </w:tcPr>
          <w:p w14:paraId="14959985">
            <w:pPr>
              <w:spacing w:line="320" w:lineRule="exact"/>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数量</w:t>
            </w:r>
          </w:p>
          <w:p w14:paraId="1621322D">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 w:val="21"/>
                <w:szCs w:val="21"/>
                <w:highlight w:val="none"/>
                <w:lang w:eastAsia="zh-CN"/>
              </w:rPr>
              <w:t>及</w:t>
            </w:r>
            <w:r>
              <w:rPr>
                <w:rFonts w:hint="eastAsia" w:ascii="宋体" w:hAnsi="宋体" w:eastAsia="宋体" w:cs="宋体"/>
                <w:b/>
                <w:bCs/>
                <w:color w:val="auto"/>
                <w:sz w:val="21"/>
                <w:szCs w:val="21"/>
                <w:highlight w:val="none"/>
              </w:rPr>
              <w:t>单位</w:t>
            </w:r>
          </w:p>
        </w:tc>
        <w:tc>
          <w:tcPr>
            <w:tcW w:w="7567" w:type="dxa"/>
            <w:tcBorders>
              <w:top w:val="single" w:color="auto" w:sz="4" w:space="0"/>
            </w:tcBorders>
            <w:noWrap w:val="0"/>
            <w:vAlign w:val="center"/>
          </w:tcPr>
          <w:p w14:paraId="7292484C">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w:t>
            </w:r>
            <w:r>
              <w:rPr>
                <w:rFonts w:hint="eastAsia" w:ascii="宋体" w:hAnsi="宋体" w:eastAsia="宋体" w:cs="宋体"/>
                <w:b/>
                <w:bCs/>
                <w:color w:val="auto"/>
                <w:szCs w:val="21"/>
                <w:highlight w:val="none"/>
                <w:lang w:eastAsia="zh-CN"/>
              </w:rPr>
              <w:t>要求</w:t>
            </w:r>
          </w:p>
        </w:tc>
      </w:tr>
      <w:tr w14:paraId="69C819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423" w:type="dxa"/>
            <w:noWrap w:val="0"/>
            <w:vAlign w:val="center"/>
          </w:tcPr>
          <w:p w14:paraId="454E0DF0">
            <w:pPr>
              <w:spacing w:line="320" w:lineRule="exact"/>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w:t>
            </w:r>
          </w:p>
        </w:tc>
        <w:tc>
          <w:tcPr>
            <w:tcW w:w="1230" w:type="dxa"/>
            <w:noWrap w:val="0"/>
            <w:vAlign w:val="center"/>
          </w:tcPr>
          <w:p w14:paraId="580C3358">
            <w:pPr>
              <w:spacing w:line="320" w:lineRule="exact"/>
              <w:jc w:val="left"/>
              <w:rPr>
                <w:rFonts w:hint="eastAsia" w:ascii="宋体" w:hAnsi="宋体" w:eastAsia="宋体" w:cs="宋体"/>
                <w:color w:val="auto"/>
                <w:szCs w:val="21"/>
                <w:highlight w:val="none"/>
              </w:rPr>
            </w:pPr>
            <w:r>
              <w:rPr>
                <w:rFonts w:hint="eastAsia" w:ascii="宋体" w:hAnsi="宋体" w:eastAsia="宋体" w:cs="宋体"/>
                <w:color w:val="auto"/>
                <w:kern w:val="0"/>
                <w:highlight w:val="none"/>
                <w:lang w:val="en-US" w:bidi="zh-CN"/>
              </w:rPr>
              <w:t>特价</w:t>
            </w:r>
            <w:r>
              <w:rPr>
                <w:rFonts w:hint="eastAsia" w:ascii="宋体" w:hAnsi="宋体" w:eastAsia="宋体" w:cs="宋体"/>
                <w:color w:val="auto"/>
                <w:kern w:val="0"/>
                <w:highlight w:val="none"/>
                <w:lang w:bidi="zh-CN"/>
              </w:rPr>
              <w:t>纸质图书供应服务</w:t>
            </w:r>
            <w:r>
              <w:rPr>
                <w:rFonts w:hint="eastAsia" w:ascii="宋体" w:hAnsi="宋体" w:eastAsia="宋体" w:cs="宋体"/>
                <w:color w:val="auto"/>
                <w:highlight w:val="none"/>
                <w:lang w:eastAsia="zh-CN"/>
              </w:rPr>
              <w:t>（二）</w:t>
            </w:r>
          </w:p>
        </w:tc>
        <w:tc>
          <w:tcPr>
            <w:tcW w:w="885" w:type="dxa"/>
            <w:noWrap w:val="0"/>
            <w:vAlign w:val="center"/>
          </w:tcPr>
          <w:p w14:paraId="3D5C1DBD">
            <w:pPr>
              <w:spacing w:line="320" w:lineRule="exact"/>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1项</w:t>
            </w:r>
          </w:p>
        </w:tc>
        <w:tc>
          <w:tcPr>
            <w:tcW w:w="7567" w:type="dxa"/>
            <w:noWrap w:val="0"/>
            <w:vAlign w:val="center"/>
          </w:tcPr>
          <w:p w14:paraId="24FCD9A4">
            <w:pPr>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一、服务期限：自签订合同之日起至2027年4月30日止。</w:t>
            </w:r>
          </w:p>
          <w:p w14:paraId="5FE7D335">
            <w:pPr>
              <w:keepNext/>
              <w:widowControl/>
              <w:snapToGrid w:val="0"/>
              <w:spacing w:line="340" w:lineRule="exact"/>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二、</w:t>
            </w:r>
            <w:r>
              <w:rPr>
                <w:rFonts w:hint="eastAsia"/>
                <w:color w:val="auto"/>
                <w:highlight w:val="none"/>
                <w:lang w:val="en-US" w:eastAsia="zh-CN"/>
              </w:rPr>
              <w:t>本项目按折扣率报价和结算，详见商务要求</w:t>
            </w:r>
            <w:r>
              <w:rPr>
                <w:rFonts w:hint="default"/>
                <w:color w:val="auto"/>
                <w:highlight w:val="none"/>
                <w:lang w:val="en-US" w:eastAsia="zh-CN"/>
              </w:rPr>
              <w:t>。</w:t>
            </w:r>
          </w:p>
          <w:p w14:paraId="222444A7">
            <w:pPr>
              <w:rPr>
                <w:rFonts w:hint="default"/>
                <w:color w:val="auto"/>
                <w:highlight w:val="none"/>
                <w:lang w:val="en-US" w:eastAsia="zh-CN"/>
              </w:rPr>
            </w:pPr>
            <w:r>
              <w:rPr>
                <w:rFonts w:hint="eastAsia"/>
                <w:color w:val="auto"/>
                <w:highlight w:val="none"/>
                <w:lang w:eastAsia="zh-CN"/>
              </w:rPr>
              <w:t>▲</w:t>
            </w:r>
            <w:r>
              <w:rPr>
                <w:rFonts w:hint="default"/>
                <w:color w:val="auto"/>
                <w:highlight w:val="none"/>
                <w:lang w:val="en-US" w:eastAsia="zh-CN"/>
              </w:rPr>
              <w:t>三、图书册数及要求：</w:t>
            </w:r>
          </w:p>
          <w:p w14:paraId="76BF487D">
            <w:pPr>
              <w:keepNext/>
              <w:keepLines w:val="0"/>
              <w:pageBreakBefore w:val="0"/>
              <w:widowControl/>
              <w:numPr>
                <w:ilvl w:val="0"/>
                <w:numId w:val="0"/>
              </w:numPr>
              <w:kinsoku/>
              <w:wordWrap/>
              <w:overflowPunct/>
              <w:topLinePunct w:val="0"/>
              <w:autoSpaceDE/>
              <w:autoSpaceDN/>
              <w:bidi w:val="0"/>
              <w:snapToGrid w:val="0"/>
              <w:spacing w:line="340" w:lineRule="exact"/>
              <w:ind w:leftChars="0"/>
              <w:rPr>
                <w:rFonts w:hint="eastAsia" w:ascii="宋体" w:hAnsi="宋体" w:eastAsia="宋体" w:cs="宋体"/>
                <w:color w:val="auto"/>
                <w:sz w:val="21"/>
                <w:szCs w:val="21"/>
                <w:highlight w:val="none"/>
                <w:lang w:eastAsia="zh-CN"/>
              </w:rPr>
            </w:pPr>
            <w:r>
              <w:rPr>
                <w:rFonts w:hint="default"/>
                <w:color w:val="auto"/>
                <w:highlight w:val="none"/>
                <w:lang w:val="en-US" w:eastAsia="zh-CN"/>
              </w:rPr>
              <w:t>（一）</w:t>
            </w:r>
            <w:r>
              <w:rPr>
                <w:rFonts w:hint="eastAsia" w:ascii="宋体" w:hAnsi="宋体" w:eastAsia="宋体" w:cs="宋体"/>
                <w:color w:val="auto"/>
                <w:sz w:val="21"/>
                <w:szCs w:val="21"/>
                <w:highlight w:val="none"/>
                <w:lang w:eastAsia="zh-CN"/>
              </w:rPr>
              <w:t>图书</w:t>
            </w:r>
            <w:r>
              <w:rPr>
                <w:rFonts w:hint="eastAsia" w:ascii="宋体" w:hAnsi="宋体" w:eastAsia="宋体" w:cs="宋体"/>
                <w:color w:val="auto"/>
                <w:sz w:val="21"/>
                <w:szCs w:val="21"/>
                <w:highlight w:val="none"/>
                <w:lang w:val="en-US" w:eastAsia="zh-CN"/>
              </w:rPr>
              <w:t>包含财税大数据应用、大数据与财务管理、大数据与会计、大数据与审计、国际经济与贸易、企业数字化管理、人力资源管理、市场营销、电子商务、金融科技应用、旅游管理、现代物流管理、工商企业管理、</w:t>
            </w:r>
            <w:r>
              <w:rPr>
                <w:rFonts w:hint="eastAsia" w:ascii="宋体" w:hAnsi="宋体" w:eastAsia="宋体" w:cs="宋体"/>
                <w:color w:val="auto"/>
                <w:sz w:val="21"/>
                <w:szCs w:val="21"/>
                <w:highlight w:val="none"/>
                <w:lang w:eastAsia="zh-CN"/>
              </w:rPr>
              <w:t>中文国际教育、应用英语、美术、全媒体新闻采编与制作、视觉传达设计、网络与新媒体、应用泰语、广告艺术设计</w:t>
            </w:r>
            <w:r>
              <w:rPr>
                <w:rFonts w:hint="eastAsia" w:ascii="宋体" w:hAnsi="宋体" w:cs="宋体"/>
                <w:color w:val="auto"/>
                <w:sz w:val="21"/>
                <w:szCs w:val="21"/>
                <w:highlight w:val="none"/>
                <w:lang w:eastAsia="zh-CN"/>
              </w:rPr>
              <w:t>等</w:t>
            </w:r>
            <w:r>
              <w:rPr>
                <w:rFonts w:hint="eastAsia" w:ascii="宋体" w:hAnsi="宋体" w:eastAsia="宋体" w:cs="宋体"/>
                <w:color w:val="auto"/>
                <w:sz w:val="21"/>
                <w:szCs w:val="21"/>
                <w:highlight w:val="none"/>
                <w:lang w:eastAsia="zh-CN"/>
              </w:rPr>
              <w:t>专业图书（</w:t>
            </w:r>
            <w:r>
              <w:rPr>
                <w:rFonts w:hint="eastAsia" w:ascii="宋体" w:hAnsi="宋体" w:cs="宋体"/>
                <w:color w:val="auto"/>
                <w:sz w:val="21"/>
                <w:szCs w:val="21"/>
                <w:highlight w:val="none"/>
                <w:lang w:eastAsia="zh-CN"/>
              </w:rPr>
              <w:t>含</w:t>
            </w:r>
            <w:r>
              <w:rPr>
                <w:rFonts w:hint="eastAsia" w:ascii="宋体" w:hAnsi="宋体" w:eastAsia="宋体" w:cs="宋体"/>
                <w:color w:val="auto"/>
                <w:sz w:val="21"/>
                <w:szCs w:val="21"/>
                <w:highlight w:val="none"/>
                <w:lang w:eastAsia="zh-CN"/>
              </w:rPr>
              <w:t>自然科学类图书及社会科学类图书）</w:t>
            </w:r>
            <w:r>
              <w:rPr>
                <w:rFonts w:hint="eastAsia" w:ascii="宋体" w:hAnsi="宋体" w:cs="宋体"/>
                <w:color w:val="auto"/>
                <w:sz w:val="21"/>
                <w:szCs w:val="21"/>
                <w:highlight w:val="none"/>
                <w:lang w:val="en-US" w:eastAsia="zh-CN"/>
              </w:rPr>
              <w:t>。</w:t>
            </w:r>
            <w:r>
              <w:rPr>
                <w:rFonts w:hint="eastAsia" w:ascii="宋体" w:hAnsi="宋体" w:eastAsia="宋体" w:cs="宋体"/>
                <w:b/>
                <w:bCs/>
                <w:color w:val="auto"/>
                <w:sz w:val="21"/>
                <w:szCs w:val="21"/>
                <w:highlight w:val="none"/>
                <w:lang w:val="en-US" w:eastAsia="zh-CN"/>
              </w:rPr>
              <w:t>成交供应商提供的图书须包含采购人指定的（附件</w:t>
            </w:r>
            <w:r>
              <w:rPr>
                <w:rFonts w:hint="eastAsia" w:ascii="宋体" w:hAnsi="宋体" w:cs="宋体"/>
                <w:b/>
                <w:bCs/>
                <w:color w:val="auto"/>
                <w:sz w:val="21"/>
                <w:szCs w:val="21"/>
                <w:highlight w:val="none"/>
                <w:lang w:val="en-US" w:eastAsia="zh-CN"/>
              </w:rPr>
              <w:t>B</w:t>
            </w:r>
            <w:r>
              <w:rPr>
                <w:rFonts w:hint="eastAsia" w:ascii="宋体" w:hAnsi="宋体" w:eastAsia="宋体" w:cs="宋体"/>
                <w:b/>
                <w:bCs/>
                <w:color w:val="auto"/>
                <w:sz w:val="21"/>
                <w:szCs w:val="21"/>
                <w:highlight w:val="none"/>
                <w:lang w:val="en-US" w:eastAsia="zh-CN"/>
              </w:rPr>
              <w:t>）《B分标特价纸质图书必选书目清单》所列图书，且该清单到书率≥95%；该清单图书采购不限制出版社及出版时间。</w:t>
            </w:r>
            <w:r>
              <w:rPr>
                <w:rFonts w:hint="eastAsia" w:ascii="宋体" w:hAnsi="宋体" w:eastAsia="宋体" w:cs="宋体"/>
                <w:color w:val="auto"/>
                <w:sz w:val="21"/>
                <w:szCs w:val="21"/>
                <w:highlight w:val="none"/>
              </w:rPr>
              <w:t>采购人确认后的订单，成交供应商</w:t>
            </w:r>
            <w:r>
              <w:rPr>
                <w:rFonts w:hint="eastAsia" w:ascii="宋体" w:hAnsi="宋体" w:cs="宋体"/>
                <w:color w:val="auto"/>
                <w:sz w:val="21"/>
                <w:szCs w:val="21"/>
                <w:highlight w:val="none"/>
                <w:lang w:eastAsia="zh-CN"/>
              </w:rPr>
              <w:t>承诺</w:t>
            </w:r>
            <w:r>
              <w:rPr>
                <w:rFonts w:hint="eastAsia" w:ascii="宋体" w:hAnsi="宋体" w:eastAsia="宋体" w:cs="宋体"/>
                <w:color w:val="auto"/>
                <w:sz w:val="21"/>
                <w:szCs w:val="21"/>
                <w:highlight w:val="none"/>
              </w:rPr>
              <w:t>不得自行搭配与调整，如发现与上述书目清单不符，成交供应商应无条件接受采购人退货，无论图书是否经过前期加工，并承担由此产生的一切后果。</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p>
          <w:p w14:paraId="0EDAB464">
            <w:pPr>
              <w:rPr>
                <w:color w:val="auto"/>
                <w:highlight w:val="none"/>
              </w:rPr>
            </w:pPr>
            <w:r>
              <w:rPr>
                <w:rFonts w:hint="default"/>
                <w:color w:val="auto"/>
                <w:highlight w:val="none"/>
                <w:lang w:val="en-US" w:eastAsia="zh-CN"/>
              </w:rPr>
              <w:t>（二）</w:t>
            </w:r>
            <w:r>
              <w:rPr>
                <w:rFonts w:hint="eastAsia"/>
                <w:color w:val="auto"/>
                <w:highlight w:val="none"/>
                <w:lang w:val="en-US" w:eastAsia="zh-CN"/>
              </w:rPr>
              <w:t>本项目采购的特价纸质图书，须为2016年（含）以来由正规出版社出版或印刷的图书。《</w:t>
            </w:r>
            <w:r>
              <w:rPr>
                <w:rFonts w:hint="eastAsia"/>
                <w:color w:val="auto"/>
                <w:highlight w:val="none"/>
              </w:rPr>
              <w:t>B分标特价纸质图书必选书目清单</w:t>
            </w:r>
            <w:r>
              <w:rPr>
                <w:rFonts w:hint="eastAsia"/>
                <w:color w:val="auto"/>
                <w:highlight w:val="none"/>
                <w:lang w:val="en-US" w:eastAsia="zh-CN"/>
              </w:rPr>
              <w:t>》（附件B）所列图书不受上述出版时间和出版社限制。</w:t>
            </w:r>
          </w:p>
          <w:p w14:paraId="1333F8E8">
            <w:pPr>
              <w:rPr>
                <w:rFonts w:hint="default"/>
                <w:color w:val="auto"/>
                <w:highlight w:val="none"/>
                <w:lang w:val="en-US" w:eastAsia="zh-CN"/>
              </w:rPr>
            </w:pPr>
            <w:r>
              <w:rPr>
                <w:rFonts w:hint="default"/>
                <w:color w:val="auto"/>
                <w:highlight w:val="none"/>
                <w:lang w:val="en-US" w:eastAsia="zh-CN"/>
              </w:rPr>
              <w:t>（三）</w:t>
            </w:r>
            <w:r>
              <w:rPr>
                <w:rFonts w:hint="eastAsia"/>
                <w:color w:val="auto"/>
                <w:highlight w:val="none"/>
                <w:lang w:val="en-US" w:eastAsia="zh-CN"/>
              </w:rPr>
              <w:t>本次采购该分标的采购</w:t>
            </w:r>
            <w:r>
              <w:rPr>
                <w:rFonts w:hint="default"/>
                <w:color w:val="auto"/>
                <w:highlight w:val="none"/>
                <w:lang w:val="en-US" w:eastAsia="zh-CN"/>
              </w:rPr>
              <w:t>图书总册数不少于7.7万册。</w:t>
            </w:r>
          </w:p>
          <w:p w14:paraId="21EC36C5">
            <w:pPr>
              <w:rPr>
                <w:rFonts w:hint="default"/>
                <w:color w:val="auto"/>
                <w:highlight w:val="none"/>
                <w:lang w:val="en-US" w:eastAsia="zh-CN"/>
              </w:rPr>
            </w:pPr>
            <w:r>
              <w:rPr>
                <w:rFonts w:hint="default"/>
                <w:color w:val="auto"/>
                <w:highlight w:val="none"/>
                <w:lang w:val="en-US" w:eastAsia="zh-CN"/>
              </w:rPr>
              <w:t>（四）图书的出版社是国家新闻出版署批准成立的合法出版社。</w:t>
            </w:r>
          </w:p>
          <w:p w14:paraId="627B2DFB">
            <w:pPr>
              <w:rPr>
                <w:rFonts w:hint="default"/>
                <w:color w:val="auto"/>
                <w:highlight w:val="none"/>
                <w:lang w:val="en-US" w:eastAsia="zh-CN"/>
              </w:rPr>
            </w:pPr>
            <w:r>
              <w:rPr>
                <w:rFonts w:hint="default"/>
                <w:color w:val="auto"/>
                <w:highlight w:val="none"/>
                <w:lang w:val="en-US" w:eastAsia="zh-CN"/>
              </w:rPr>
              <w:t>（五）每册图书正文不少于100页</w:t>
            </w:r>
            <w:r>
              <w:rPr>
                <w:rFonts w:hint="eastAsia"/>
                <w:color w:val="auto"/>
                <w:highlight w:val="none"/>
                <w:lang w:val="en-US" w:eastAsia="zh-CN"/>
              </w:rPr>
              <w:t>，</w:t>
            </w:r>
            <w:r>
              <w:rPr>
                <w:rFonts w:hint="eastAsia"/>
                <w:color w:val="auto"/>
                <w:highlight w:val="none"/>
              </w:rPr>
              <w:t>但经采购人确认认可的图书，可不受上述页数限制</w:t>
            </w:r>
            <w:r>
              <w:rPr>
                <w:rFonts w:hint="eastAsia"/>
                <w:color w:val="auto"/>
                <w:highlight w:val="none"/>
                <w:lang w:eastAsia="zh-CN"/>
              </w:rPr>
              <w:t>。</w:t>
            </w:r>
          </w:p>
          <w:p w14:paraId="6A82C9F9">
            <w:pP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四、版权与标准：成交供应商应严格执行图书及出版物相关的国际标准或国家标准、行业标准、地方标准及规范。成交供应商必须从国家新闻出版署批准成立的合法出版社购买图书，提供的图书（包括订单图书、书展用图书、到实体店选购的图书）必须是国家正式出版物，必须是符合国家质量标准要求的全新、未使用过的合格正版图书，必须具有国家新闻出版署批准的国际标准书号（ISBN号），必须没有知识产权、版权纠纷。图书的印刷质量主要执行中华人民共和国国标GB/T34053.3-2017、《图书质量管理规定》《出版管理条例》《印刷业管理条例》。每册图书均要有版权页，且图书在版编目（CIP）数据要与国家新闻出版署官方网站中的出版物信息查询的图书在版编目（CIP）数据一致。若采购人在验收时发现有与国家新闻出版署的官方网站中的出版物信息查询的图书在版编目（CIP）数据不相符的图书，有污损、图文不清、缺页、倒页、缺附件等质量不合格的图书，以及与订单不符的图书，无论加工与否，一律予以退回，由此造成的损失及费用全部由成交供应商承担。此外，若出现与其他第三方的版权纠纷，采购人有权要求终止合同，一切后果由成交供应商负责。</w:t>
            </w:r>
          </w:p>
          <w:p w14:paraId="24B47703">
            <w:pP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五、成交供应商供应的图书（包括但不限于订单图书、书展用图书</w:t>
            </w:r>
            <w:r>
              <w:rPr>
                <w:rFonts w:hint="eastAsia"/>
                <w:color w:val="auto"/>
                <w:highlight w:val="none"/>
              </w:rPr>
              <w:t>、到实体店选购的图书</w:t>
            </w:r>
            <w:r>
              <w:rPr>
                <w:rFonts w:hint="eastAsia"/>
                <w:color w:val="auto"/>
                <w:highlight w:val="none"/>
                <w:lang w:val="en-US" w:eastAsia="zh-CN"/>
              </w:rPr>
              <w:t>）符合国家法律法规和相关政策、社会主义核心价值观等要求，不得含有下列内容：</w:t>
            </w:r>
          </w:p>
          <w:p w14:paraId="1B767E01">
            <w:pPr>
              <w:rPr>
                <w:rFonts w:hint="eastAsia"/>
                <w:color w:val="auto"/>
                <w:highlight w:val="none"/>
                <w:lang w:val="en-US" w:eastAsia="zh-CN"/>
              </w:rPr>
            </w:pPr>
            <w:r>
              <w:rPr>
                <w:rFonts w:hint="eastAsia"/>
                <w:color w:val="auto"/>
                <w:highlight w:val="none"/>
                <w:lang w:val="en-US" w:eastAsia="zh-CN"/>
              </w:rPr>
              <w:t>（一）反对宪法确定的基本原则的；</w:t>
            </w:r>
          </w:p>
          <w:p w14:paraId="070517C1">
            <w:pPr>
              <w:rPr>
                <w:rFonts w:hint="eastAsia"/>
                <w:color w:val="auto"/>
                <w:highlight w:val="none"/>
                <w:lang w:val="en-US" w:eastAsia="zh-CN"/>
              </w:rPr>
            </w:pPr>
            <w:r>
              <w:rPr>
                <w:rFonts w:hint="eastAsia"/>
                <w:color w:val="auto"/>
                <w:highlight w:val="none"/>
                <w:lang w:val="en-US" w:eastAsia="zh-CN"/>
              </w:rPr>
              <w:t>（二）违背党的路线方针政策，污蔑、丑化党和国家领导人、英模人物，戏说党史、国史、军史的；</w:t>
            </w:r>
          </w:p>
          <w:p w14:paraId="1058DD56">
            <w:pPr>
              <w:rPr>
                <w:rFonts w:hint="eastAsia"/>
                <w:color w:val="auto"/>
                <w:highlight w:val="none"/>
                <w:lang w:val="en-US" w:eastAsia="zh-CN"/>
              </w:rPr>
            </w:pPr>
            <w:r>
              <w:rPr>
                <w:rFonts w:hint="eastAsia"/>
                <w:color w:val="auto"/>
                <w:highlight w:val="none"/>
                <w:lang w:val="en-US" w:eastAsia="zh-CN"/>
              </w:rPr>
              <w:t>（三）危害国家统一、主权和领土完整的；</w:t>
            </w:r>
          </w:p>
          <w:p w14:paraId="2EDD2F5F">
            <w:pPr>
              <w:rPr>
                <w:rFonts w:hint="eastAsia"/>
                <w:color w:val="auto"/>
                <w:highlight w:val="none"/>
                <w:lang w:val="en-US" w:eastAsia="zh-CN"/>
              </w:rPr>
            </w:pPr>
            <w:r>
              <w:rPr>
                <w:rFonts w:hint="eastAsia"/>
                <w:color w:val="auto"/>
                <w:highlight w:val="none"/>
                <w:lang w:val="en-US" w:eastAsia="zh-CN"/>
              </w:rPr>
              <w:t>（四）泄露国家秘密、危害国家安全或者损害国家荣誉和利益的，具有反华、辱华、丑华内容的；</w:t>
            </w:r>
          </w:p>
          <w:p w14:paraId="1A8F65DE">
            <w:pPr>
              <w:rPr>
                <w:rFonts w:hint="eastAsia"/>
                <w:color w:val="auto"/>
                <w:highlight w:val="none"/>
                <w:lang w:val="en-US" w:eastAsia="zh-CN"/>
              </w:rPr>
            </w:pPr>
            <w:r>
              <w:rPr>
                <w:rFonts w:hint="eastAsia"/>
                <w:color w:val="auto"/>
                <w:highlight w:val="none"/>
                <w:lang w:val="en-US" w:eastAsia="zh-CN"/>
              </w:rPr>
              <w:t>（五）存在违反民族政策的内容，煽动民族仇恨、民族歧视，破坏民族团结，或者侵害、不尊重民族风俗、习惯的；</w:t>
            </w:r>
          </w:p>
          <w:p w14:paraId="5FFC0DC8">
            <w:pPr>
              <w:rPr>
                <w:rFonts w:hint="eastAsia"/>
                <w:color w:val="auto"/>
                <w:highlight w:val="none"/>
                <w:lang w:val="en-US" w:eastAsia="zh-CN"/>
              </w:rPr>
            </w:pPr>
            <w:r>
              <w:rPr>
                <w:rFonts w:hint="eastAsia"/>
                <w:color w:val="auto"/>
                <w:highlight w:val="none"/>
                <w:lang w:val="en-US" w:eastAsia="zh-CN"/>
              </w:rPr>
              <w:t>（六）存在违反宗教政策的内容，宣扬宗教教理、教义、教规、邪教、迷信的；</w:t>
            </w:r>
          </w:p>
          <w:p w14:paraId="09946FF2">
            <w:pPr>
              <w:rPr>
                <w:rFonts w:hint="eastAsia"/>
                <w:color w:val="auto"/>
                <w:highlight w:val="none"/>
                <w:lang w:val="en-US" w:eastAsia="zh-CN"/>
              </w:rPr>
            </w:pPr>
            <w:r>
              <w:rPr>
                <w:rFonts w:hint="eastAsia"/>
                <w:color w:val="auto"/>
                <w:highlight w:val="none"/>
                <w:lang w:val="en-US" w:eastAsia="zh-CN"/>
              </w:rPr>
              <w:t>（七）宣扬个人主义、新自由主义、历史虚无主义等错误观点，存在崇洋媚外思想倾向的；</w:t>
            </w:r>
          </w:p>
          <w:p w14:paraId="3268BB5A">
            <w:pPr>
              <w:rPr>
                <w:rFonts w:hint="eastAsia"/>
                <w:color w:val="auto"/>
                <w:highlight w:val="none"/>
                <w:lang w:val="en-US" w:eastAsia="zh-CN"/>
              </w:rPr>
            </w:pPr>
            <w:r>
              <w:rPr>
                <w:rFonts w:hint="eastAsia"/>
                <w:color w:val="auto"/>
                <w:highlight w:val="none"/>
                <w:lang w:val="en-US" w:eastAsia="zh-CN"/>
              </w:rPr>
              <w:t>（八）存在科学性错误的；</w:t>
            </w:r>
          </w:p>
          <w:p w14:paraId="0AE5C2F9">
            <w:pPr>
              <w:rPr>
                <w:rFonts w:hint="eastAsia"/>
                <w:color w:val="auto"/>
                <w:highlight w:val="none"/>
                <w:lang w:val="en-US" w:eastAsia="zh-CN"/>
              </w:rPr>
            </w:pPr>
            <w:r>
              <w:rPr>
                <w:rFonts w:hint="eastAsia"/>
                <w:color w:val="auto"/>
                <w:highlight w:val="none"/>
                <w:lang w:val="en-US" w:eastAsia="zh-CN"/>
              </w:rPr>
              <w:t>（九）扰乱社会秩序，破坏社会稳定的；</w:t>
            </w:r>
          </w:p>
          <w:p w14:paraId="56A7895F">
            <w:pPr>
              <w:rPr>
                <w:rFonts w:hint="eastAsia"/>
                <w:color w:val="auto"/>
                <w:highlight w:val="none"/>
                <w:lang w:val="en-US" w:eastAsia="zh-CN"/>
              </w:rPr>
            </w:pPr>
            <w:r>
              <w:rPr>
                <w:rFonts w:hint="eastAsia"/>
                <w:color w:val="auto"/>
                <w:highlight w:val="none"/>
                <w:lang w:val="en-US" w:eastAsia="zh-CN"/>
              </w:rPr>
              <w:t>（十）存在低俗媚俗庸俗等不良倾向，格调低下、思想不健康，宣扬超自然力、神秘主义和鬼神迷信，存在淫秽、色情、暴力、邪教、赌博、毒品、引诱自杀、教唆犯罪等价值导向问题的；</w:t>
            </w:r>
          </w:p>
          <w:p w14:paraId="20521C13">
            <w:pPr>
              <w:rPr>
                <w:rFonts w:hint="eastAsia"/>
                <w:color w:val="auto"/>
                <w:highlight w:val="none"/>
                <w:lang w:val="en-US" w:eastAsia="zh-CN"/>
              </w:rPr>
            </w:pPr>
            <w:r>
              <w:rPr>
                <w:rFonts w:hint="eastAsia"/>
                <w:color w:val="auto"/>
                <w:highlight w:val="none"/>
                <w:lang w:val="en-US" w:eastAsia="zh-CN"/>
              </w:rPr>
              <w:t>（十一）存在违规植入商业广告或变相商业广告及不当链接的；</w:t>
            </w:r>
          </w:p>
          <w:p w14:paraId="56270235">
            <w:pPr>
              <w:rPr>
                <w:rFonts w:hint="eastAsia"/>
                <w:color w:val="auto"/>
                <w:highlight w:val="none"/>
                <w:lang w:val="en-US" w:eastAsia="zh-CN"/>
              </w:rPr>
            </w:pPr>
            <w:r>
              <w:rPr>
                <w:rFonts w:hint="eastAsia"/>
                <w:color w:val="auto"/>
                <w:highlight w:val="none"/>
                <w:lang w:val="en-US" w:eastAsia="zh-CN"/>
              </w:rPr>
              <w:t>（十二）侮辱或者诽谤他人，侵害他人合法权益的；</w:t>
            </w:r>
          </w:p>
          <w:p w14:paraId="2AB6B4E4">
            <w:pPr>
              <w:rPr>
                <w:rFonts w:hint="eastAsia"/>
                <w:color w:val="auto"/>
                <w:highlight w:val="none"/>
                <w:lang w:val="en-US" w:eastAsia="zh-CN"/>
              </w:rPr>
            </w:pPr>
            <w:r>
              <w:rPr>
                <w:rFonts w:hint="eastAsia"/>
                <w:color w:val="auto"/>
                <w:highlight w:val="none"/>
                <w:lang w:val="en-US" w:eastAsia="zh-CN"/>
              </w:rPr>
              <w:t>（十三）其他有违公序良俗、道德标准等，危害社会公德或者民族优秀文化传统的，造成社会不良影响的；</w:t>
            </w:r>
          </w:p>
          <w:p w14:paraId="7EA38178">
            <w:pPr>
              <w:rPr>
                <w:rFonts w:hint="eastAsia"/>
                <w:color w:val="auto"/>
                <w:highlight w:val="none"/>
                <w:lang w:val="en-US" w:eastAsia="zh-CN"/>
              </w:rPr>
            </w:pPr>
            <w:r>
              <w:rPr>
                <w:rFonts w:hint="eastAsia"/>
                <w:color w:val="auto"/>
                <w:highlight w:val="none"/>
                <w:lang w:val="en-US" w:eastAsia="zh-CN"/>
              </w:rPr>
              <w:t>（十四）有法律、行政法规和国家规定禁止的其他内容的。一经发现上述情况，采购人有权终止合同，并由成交供应商承担相应一切责任。</w:t>
            </w:r>
          </w:p>
          <w:p w14:paraId="7E814AFA">
            <w:pP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六、本项目服务期内，采购人按批次订购图书，并按实际验收合格图书的实洋价进行结算。合同的最终结算金额按实际实际验收合格数量乘以实洋价进行计算。</w:t>
            </w:r>
          </w:p>
          <w:p w14:paraId="341D4121">
            <w:pPr>
              <w:rPr>
                <w:rFonts w:hint="default"/>
                <w:color w:val="auto"/>
                <w:highlight w:val="none"/>
                <w:lang w:val="en-US" w:eastAsia="zh-CN"/>
              </w:rPr>
            </w:pPr>
            <w:r>
              <w:rPr>
                <w:rFonts w:hint="eastAsia"/>
                <w:color w:val="auto"/>
                <w:highlight w:val="none"/>
                <w:lang w:eastAsia="zh-CN"/>
              </w:rPr>
              <w:t>▲</w:t>
            </w:r>
            <w:r>
              <w:rPr>
                <w:rFonts w:hint="eastAsia"/>
                <w:color w:val="auto"/>
                <w:highlight w:val="none"/>
                <w:lang w:val="en-US" w:eastAsia="zh-CN"/>
              </w:rPr>
              <w:t>七、</w:t>
            </w:r>
            <w:r>
              <w:rPr>
                <w:rFonts w:hint="default"/>
                <w:color w:val="auto"/>
                <w:highlight w:val="none"/>
                <w:lang w:val="en-US" w:eastAsia="zh-CN"/>
              </w:rPr>
              <w:t>服务要求：</w:t>
            </w:r>
          </w:p>
          <w:p w14:paraId="76990659">
            <w:pPr>
              <w:rPr>
                <w:rFonts w:hint="default"/>
                <w:color w:val="auto"/>
                <w:highlight w:val="none"/>
                <w:lang w:val="en-US" w:eastAsia="zh-CN"/>
              </w:rPr>
            </w:pPr>
            <w:r>
              <w:rPr>
                <w:rFonts w:hint="default"/>
                <w:color w:val="auto"/>
                <w:highlight w:val="none"/>
                <w:lang w:val="en-US" w:eastAsia="zh-CN"/>
              </w:rPr>
              <w:t>1.图书（</w:t>
            </w:r>
            <w:r>
              <w:rPr>
                <w:rFonts w:hint="eastAsia"/>
                <w:color w:val="auto"/>
                <w:highlight w:val="none"/>
                <w:lang w:val="en-US" w:eastAsia="zh-CN"/>
              </w:rPr>
              <w:t>包含但不限于</w:t>
            </w:r>
            <w:r>
              <w:rPr>
                <w:rFonts w:hint="default"/>
                <w:color w:val="auto"/>
                <w:highlight w:val="none"/>
                <w:lang w:val="en-US" w:eastAsia="zh-CN"/>
              </w:rPr>
              <w:t>含订单图书、书展图书、实体店选购图书）须确保为正版授权出版物，严禁提供盗版、盗印等违规图书。若经查实供应图书存在盗版、盗印等侵权违规情形，一切社会影响及法律责任均由成交供应商独立承担；采购人有权单方面解除合同，成交供应商还需全额赔偿由此给采购人造成的全部经济损失，并承担相应法律责任。</w:t>
            </w:r>
          </w:p>
          <w:p w14:paraId="3747F28C">
            <w:pPr>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.成交供应商须按采购人下达的图书订单（含品种、数量）及时供货，图书到馆后以采购人现用的Interlib3.5 图书馆管理系统验收结果为准。如有必要，采购人可依据国家有关规定及相关规范组成验收小组开展验收工作；采购人有权委托第三方机构进行履约验收，由此产生的履约验收费用由成交供应商承担。</w:t>
            </w:r>
          </w:p>
          <w:p w14:paraId="7C022FF0">
            <w:pPr>
              <w:rPr>
                <w:rFonts w:hint="default"/>
                <w:color w:val="auto"/>
                <w:highlight w:val="none"/>
                <w:lang w:val="en-US" w:eastAsia="zh-CN"/>
              </w:rPr>
            </w:pPr>
            <w:r>
              <w:rPr>
                <w:rFonts w:hint="eastAsia"/>
                <w:color w:val="auto"/>
                <w:highlight w:val="none"/>
                <w:lang w:val="en-US" w:eastAsia="zh-CN"/>
              </w:rPr>
              <w:t>3.</w:t>
            </w:r>
            <w:r>
              <w:rPr>
                <w:rFonts w:hint="eastAsia" w:ascii="宋体" w:hAnsi="宋体" w:eastAsia="宋体" w:cs="宋体"/>
                <w:b/>
                <w:bCs/>
                <w:color w:val="auto"/>
                <w:highlight w:val="none"/>
                <w:lang w:val="en-US" w:eastAsia="zh-CN"/>
              </w:rPr>
              <w:t>自订单发送之日起30个日历日内，每笔订单的到书率须≥90%，采购需求附件B</w:t>
            </w:r>
            <w:r>
              <w:rPr>
                <w:rFonts w:hint="eastAsia" w:ascii="宋体" w:hAnsi="宋体" w:eastAsia="宋体" w:cs="宋体"/>
                <w:b/>
                <w:bCs/>
                <w:color w:val="auto"/>
                <w:sz w:val="21"/>
                <w:szCs w:val="21"/>
                <w:highlight w:val="none"/>
                <w:lang w:val="en-US" w:eastAsia="zh-CN"/>
              </w:rPr>
              <w:t>《B分标特价纸质图书必选书目清单》的到书率按≥95%</w:t>
            </w:r>
            <w:r>
              <w:rPr>
                <w:rFonts w:hint="eastAsia"/>
                <w:b/>
                <w:bCs/>
                <w:color w:val="auto"/>
                <w:highlight w:val="none"/>
                <w:lang w:val="en-US" w:eastAsia="zh-CN"/>
              </w:rPr>
              <w:t>要求执行</w:t>
            </w:r>
            <w:r>
              <w:rPr>
                <w:rFonts w:hint="default"/>
                <w:color w:val="auto"/>
                <w:highlight w:val="none"/>
                <w:lang w:val="en-US" w:eastAsia="zh-CN"/>
              </w:rPr>
              <w:t>；若存在无法供货的情形，成交供应商应提供出版社出具的正式无法供货证明材料</w:t>
            </w:r>
            <w:r>
              <w:rPr>
                <w:rFonts w:hint="eastAsia"/>
                <w:color w:val="auto"/>
                <w:highlight w:val="none"/>
                <w:lang w:val="en-US" w:eastAsia="zh-CN"/>
              </w:rPr>
              <w:t>，</w:t>
            </w:r>
            <w:r>
              <w:rPr>
                <w:rFonts w:hint="eastAsia"/>
                <w:b/>
                <w:bCs/>
                <w:color w:val="auto"/>
                <w:highlight w:val="none"/>
              </w:rPr>
              <w:t>成交供应商出具出版社无法正式供货的证明的图书不纳入到书率的统计范围</w:t>
            </w:r>
            <w:r>
              <w:rPr>
                <w:rFonts w:hint="default"/>
                <w:color w:val="auto"/>
                <w:highlight w:val="none"/>
                <w:lang w:val="en-US" w:eastAsia="zh-CN"/>
              </w:rPr>
              <w:t>。若每笔订单到书率未达标，采购人有权单方面解除合同。订单到书率以Interlib3.</w:t>
            </w:r>
            <w:r>
              <w:rPr>
                <w:rFonts w:hint="eastAsia"/>
                <w:color w:val="auto"/>
                <w:highlight w:val="none"/>
                <w:lang w:val="en-US" w:eastAsia="zh-CN"/>
              </w:rPr>
              <w:t>5</w:t>
            </w:r>
            <w:r>
              <w:rPr>
                <w:rFonts w:hint="default"/>
                <w:color w:val="auto"/>
                <w:highlight w:val="none"/>
                <w:lang w:val="en-US" w:eastAsia="zh-CN"/>
              </w:rPr>
              <w:t>图书馆管理系统统计数据为依据，成交供应商需对未按期到货的图书承担相应违约责任</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r>
              <w:rPr>
                <w:rFonts w:hint="default"/>
                <w:color w:val="auto"/>
                <w:highlight w:val="none"/>
                <w:lang w:val="en-US" w:eastAsia="zh-CN"/>
              </w:rPr>
              <w:t>。</w:t>
            </w:r>
          </w:p>
          <w:p w14:paraId="48458BA0">
            <w:pPr>
              <w:rPr>
                <w:rFonts w:hint="default"/>
                <w:color w:val="auto"/>
                <w:highlight w:val="none"/>
                <w:lang w:val="en-US" w:eastAsia="zh-CN"/>
              </w:rPr>
            </w:pPr>
            <w:r>
              <w:rPr>
                <w:rFonts w:hint="eastAsia"/>
                <w:color w:val="auto"/>
                <w:highlight w:val="none"/>
                <w:lang w:val="en-US" w:eastAsia="zh-CN"/>
              </w:rPr>
              <w:t>4</w:t>
            </w:r>
            <w:r>
              <w:rPr>
                <w:rFonts w:hint="default"/>
                <w:color w:val="auto"/>
                <w:highlight w:val="none"/>
                <w:lang w:val="en-US" w:eastAsia="zh-CN"/>
              </w:rPr>
              <w:t>.成交供应商负责新购图书的搬运与上架，并提供馆内旧图书的下架、搬运及打包服务（仅限学校西校区范围内）。打包须使用打包机和防潮纸，并由供应商自行提供所需材料及设备。</w:t>
            </w:r>
          </w:p>
          <w:p w14:paraId="3BB4EA6E">
            <w:pPr>
              <w:rPr>
                <w:rFonts w:hint="default"/>
                <w:color w:val="auto"/>
                <w:highlight w:val="none"/>
                <w:lang w:val="en-US" w:eastAsia="zh-CN"/>
              </w:rPr>
            </w:pPr>
            <w:r>
              <w:rPr>
                <w:rFonts w:hint="eastAsia"/>
                <w:color w:val="auto"/>
                <w:highlight w:val="none"/>
                <w:lang w:val="en-US" w:eastAsia="zh-CN"/>
              </w:rPr>
              <w:t>5</w:t>
            </w:r>
            <w:r>
              <w:rPr>
                <w:rFonts w:hint="default"/>
                <w:color w:val="auto"/>
                <w:highlight w:val="none"/>
                <w:lang w:val="en-US" w:eastAsia="zh-CN"/>
              </w:rPr>
              <w:t>.</w:t>
            </w:r>
            <w:r>
              <w:rPr>
                <w:rFonts w:hint="eastAsia"/>
                <w:color w:val="auto"/>
                <w:highlight w:val="none"/>
                <w:lang w:val="en-US" w:eastAsia="zh-CN"/>
              </w:rPr>
              <w:t>成交</w:t>
            </w:r>
            <w:r>
              <w:rPr>
                <w:rFonts w:hint="default"/>
                <w:color w:val="auto"/>
                <w:highlight w:val="none"/>
                <w:lang w:val="en-US" w:eastAsia="zh-CN"/>
              </w:rPr>
              <w:t>供应商提供图书为未经使用的全新正版的合格图书，整体外观和装订平整、牢固，无脱胶、无缺页、无页码倒装；图书的版权页和国际标准书号整洁、清晰，纸质好，无损坏、无撕页，字体、图片印刷清晰，无明显透印、重影。</w:t>
            </w:r>
          </w:p>
          <w:p w14:paraId="4784F484">
            <w:pPr>
              <w:rPr>
                <w:rFonts w:hint="default"/>
                <w:color w:val="auto"/>
                <w:highlight w:val="none"/>
                <w:lang w:val="en-US" w:eastAsia="zh-CN"/>
              </w:rPr>
            </w:pPr>
            <w:r>
              <w:rPr>
                <w:rFonts w:hint="eastAsia"/>
                <w:color w:val="auto"/>
                <w:highlight w:val="none"/>
                <w:lang w:val="en-US" w:eastAsia="zh-CN"/>
              </w:rPr>
              <w:t>6</w:t>
            </w:r>
            <w:r>
              <w:rPr>
                <w:rFonts w:hint="default"/>
                <w:color w:val="auto"/>
                <w:highlight w:val="none"/>
                <w:lang w:val="en-US" w:eastAsia="zh-CN"/>
              </w:rPr>
              <w:t>.</w:t>
            </w:r>
            <w:r>
              <w:rPr>
                <w:rFonts w:hint="eastAsia"/>
                <w:color w:val="auto"/>
                <w:highlight w:val="none"/>
                <w:lang w:val="en-US" w:eastAsia="zh-CN"/>
              </w:rPr>
              <w:t>成交</w:t>
            </w:r>
            <w:r>
              <w:rPr>
                <w:rFonts w:hint="default"/>
                <w:color w:val="auto"/>
                <w:highlight w:val="none"/>
                <w:lang w:val="en-US" w:eastAsia="zh-CN"/>
              </w:rPr>
              <w:t>供应商应严格依照采购人采购书目供货，按照采购品目、种类及订单数量配送图书。如图书出现</w:t>
            </w:r>
            <w:r>
              <w:rPr>
                <w:rFonts w:hint="eastAsia"/>
                <w:color w:val="auto"/>
                <w:highlight w:val="none"/>
                <w:lang w:val="en-US" w:eastAsia="zh-CN"/>
              </w:rPr>
              <w:t>与馆藏重复、</w:t>
            </w:r>
            <w:r>
              <w:rPr>
                <w:rFonts w:hint="default"/>
                <w:color w:val="auto"/>
                <w:highlight w:val="none"/>
                <w:lang w:val="en-US" w:eastAsia="zh-CN"/>
              </w:rPr>
              <w:t>质量（包含污损、图文不清、缺页、倒页、缺附件等不合格情况）、内容（包括重书、空白页＞5页的书）、通过扫描图书封底ISBN条码读取出的号与图书在版编目（CIP）数据中ISBN号不符等问题，应予无条件退换；不符合采购人订单要求的图书，无论图书是否加工，</w:t>
            </w:r>
            <w:r>
              <w:rPr>
                <w:rFonts w:hint="eastAsia"/>
                <w:color w:val="auto"/>
                <w:highlight w:val="none"/>
                <w:lang w:val="en-US" w:eastAsia="zh-CN"/>
              </w:rPr>
              <w:t>成交</w:t>
            </w:r>
            <w:r>
              <w:rPr>
                <w:rFonts w:hint="default"/>
                <w:color w:val="auto"/>
                <w:highlight w:val="none"/>
                <w:lang w:val="en-US" w:eastAsia="zh-CN"/>
              </w:rPr>
              <w:t>供应商应无条件接受采购人退货，并承担由此产生的一切后果。</w:t>
            </w:r>
          </w:p>
          <w:p w14:paraId="434093F1">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default"/>
                <w:color w:val="auto"/>
                <w:highlight w:val="none"/>
                <w:lang w:val="en-US" w:eastAsia="zh-CN"/>
              </w:rPr>
            </w:pPr>
            <w:r>
              <w:rPr>
                <w:rFonts w:hint="eastAsia"/>
                <w:color w:val="auto"/>
                <w:highlight w:val="none"/>
                <w:lang w:val="en-US" w:eastAsia="zh-CN"/>
              </w:rPr>
              <w:t>7</w:t>
            </w:r>
            <w:r>
              <w:rPr>
                <w:rFonts w:hint="default"/>
                <w:color w:val="auto"/>
                <w:highlight w:val="none"/>
                <w:lang w:val="en-US" w:eastAsia="zh-CN"/>
              </w:rPr>
              <w:t>.图书到货后由采购人进行初步验收，包括对图书品种、数量、出版社、质量等进行逐册验收，若发现与采购人的采购需求不符，采购人有权拒绝签收，并要求供应商重新更换。更换以及退还图书手续一般应在5个工作日之内办理清楚，最长不得超过</w:t>
            </w:r>
            <w:r>
              <w:rPr>
                <w:rFonts w:hint="eastAsia"/>
                <w:color w:val="auto"/>
                <w:highlight w:val="none"/>
                <w:lang w:val="en-US" w:eastAsia="zh-CN"/>
              </w:rPr>
              <w:t>30</w:t>
            </w:r>
            <w:r>
              <w:rPr>
                <w:rFonts w:hint="default"/>
                <w:color w:val="auto"/>
                <w:highlight w:val="none"/>
                <w:lang w:val="en-US" w:eastAsia="zh-CN"/>
              </w:rPr>
              <w:t>个</w:t>
            </w:r>
            <w:r>
              <w:rPr>
                <w:rFonts w:hint="eastAsia"/>
                <w:color w:val="auto"/>
                <w:highlight w:val="none"/>
                <w:lang w:val="en-US" w:eastAsia="zh-CN"/>
              </w:rPr>
              <w:t>日历</w:t>
            </w:r>
            <w:r>
              <w:rPr>
                <w:rFonts w:hint="default"/>
                <w:color w:val="auto"/>
                <w:highlight w:val="none"/>
                <w:lang w:val="en-US" w:eastAsia="zh-CN"/>
              </w:rPr>
              <w:t>日</w:t>
            </w:r>
            <w:r>
              <w:rPr>
                <w:rFonts w:hint="eastAsia"/>
                <w:color w:val="auto"/>
                <w:highlight w:val="none"/>
                <w:lang w:val="en-US" w:eastAsia="zh-CN"/>
              </w:rPr>
              <w:t>内</w:t>
            </w:r>
            <w:r>
              <w:rPr>
                <w:rFonts w:hint="default"/>
                <w:color w:val="auto"/>
                <w:highlight w:val="none"/>
                <w:lang w:val="en-US" w:eastAsia="zh-CN"/>
              </w:rPr>
              <w:t>。</w:t>
            </w:r>
          </w:p>
          <w:p w14:paraId="75C10689">
            <w:pPr>
              <w:keepNext/>
              <w:widowControl/>
              <w:pBdr>
                <w:top w:val="none" w:color="auto" w:sz="0" w:space="0"/>
                <w:left w:val="none" w:color="auto" w:sz="0" w:space="0"/>
                <w:bottom w:val="none" w:color="auto" w:sz="0" w:space="0"/>
                <w:right w:val="none" w:color="auto" w:sz="0" w:space="0"/>
              </w:pBdr>
              <w:shd w:val="clear" w:color="auto" w:fill="auto"/>
              <w:snapToGrid w:val="0"/>
              <w:spacing w:line="340" w:lineRule="exact"/>
              <w:jc w:val="left"/>
              <w:rPr>
                <w:rFonts w:hint="eastAsia"/>
                <w:color w:val="auto"/>
                <w:highlight w:val="none"/>
                <w:lang w:val="en-US" w:eastAsia="zh-CN"/>
              </w:rPr>
            </w:pPr>
            <w:r>
              <w:rPr>
                <w:rFonts w:hint="eastAsia"/>
                <w:color w:val="auto"/>
                <w:highlight w:val="none"/>
                <w:lang w:val="en-US" w:eastAsia="zh-CN"/>
              </w:rPr>
              <w:t>8</w:t>
            </w:r>
            <w:r>
              <w:rPr>
                <w:rFonts w:hint="default"/>
                <w:color w:val="auto"/>
                <w:highlight w:val="none"/>
                <w:lang w:val="en-US" w:eastAsia="zh-CN"/>
              </w:rPr>
              <w:t>.</w:t>
            </w:r>
            <w:r>
              <w:rPr>
                <w:rFonts w:hint="eastAsia"/>
                <w:color w:val="auto"/>
                <w:highlight w:val="none"/>
                <w:lang w:val="en-US" w:eastAsia="zh-CN"/>
              </w:rPr>
              <w:t>供应商要求：</w:t>
            </w:r>
          </w:p>
          <w:p w14:paraId="5EBB33C9">
            <w:pPr>
              <w:rPr>
                <w:rFonts w:hint="default"/>
                <w:color w:val="auto"/>
                <w:highlight w:val="none"/>
                <w:lang w:val="en-US" w:eastAsia="zh-CN"/>
              </w:rPr>
            </w:pPr>
            <w:r>
              <w:rPr>
                <w:rFonts w:hint="eastAsia"/>
                <w:color w:val="auto"/>
                <w:highlight w:val="none"/>
              </w:rPr>
              <w:t>供应商应具备提供本项目所需专业图书的供应能力，能够覆盖</w:t>
            </w:r>
            <w:r>
              <w:rPr>
                <w:rFonts w:hint="eastAsia"/>
                <w:color w:val="auto"/>
                <w:highlight w:val="none"/>
                <w:lang w:eastAsia="zh-CN"/>
              </w:rPr>
              <w:t>采购需求</w:t>
            </w:r>
            <w:r>
              <w:rPr>
                <w:rFonts w:hint="eastAsia"/>
                <w:color w:val="auto"/>
                <w:highlight w:val="none"/>
              </w:rPr>
              <w:t>中列明的全部专业类别，确保馆藏建设的完整性</w:t>
            </w:r>
            <w:r>
              <w:rPr>
                <w:rFonts w:hint="eastAsia"/>
                <w:color w:val="auto"/>
                <w:highlight w:val="none"/>
                <w:lang w:eastAsia="zh-CN"/>
              </w:rPr>
              <w:t>。</w:t>
            </w:r>
            <w:r>
              <w:rPr>
                <w:rFonts w:hint="eastAsia"/>
                <w:color w:val="auto"/>
                <w:highlight w:val="none"/>
              </w:rPr>
              <w:t>供应商应与国家新闻出版署批准的合法出版社（含</w:t>
            </w:r>
            <w:r>
              <w:rPr>
                <w:rFonts w:hint="eastAsia"/>
                <w:color w:val="auto"/>
                <w:highlight w:val="none"/>
                <w:lang w:eastAsia="zh-CN"/>
              </w:rPr>
              <w:t>采购需求中列出的</w:t>
            </w:r>
            <w:r>
              <w:rPr>
                <w:rFonts w:hint="eastAsia"/>
                <w:color w:val="auto"/>
                <w:highlight w:val="none"/>
              </w:rPr>
              <w:t>出版社）建立稳定合作关系，具备获取所需图书资源的渠道优势，能够满足采购人分批次、多品种的采购需求</w:t>
            </w:r>
            <w:r>
              <w:rPr>
                <w:rFonts w:hint="eastAsia"/>
                <w:color w:val="auto"/>
                <w:highlight w:val="none"/>
                <w:lang w:eastAsia="zh-CN"/>
              </w:rPr>
              <w:t>。</w:t>
            </w:r>
          </w:p>
          <w:p w14:paraId="6B68D7DB">
            <w:pPr>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.编目数据、加工及分类上架要求：</w:t>
            </w:r>
          </w:p>
          <w:p w14:paraId="06920708">
            <w:pPr>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.1成交供应商为到馆图书提供CNMARC数据，数据要与到馆图书一一对应。编目数据要求符合国图格式或CALIS格式，具体要求及细则以采购人要求为准。</w:t>
            </w:r>
          </w:p>
          <w:p w14:paraId="5E8B8537">
            <w:pPr>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2编目数据分类标引要严格按《中国图书馆分类法》（第五版）执行；主题标引严格按照《中图分类主题词表》（Web版优先）执行。MARC数据著录要求详尽，相应字段有则必备，能够完全反映图书信息。分类标引和主题标引准确，</w:t>
            </w:r>
            <w:r>
              <w:rPr>
                <w:rFonts w:hint="default"/>
                <w:b/>
                <w:bCs/>
                <w:color w:val="auto"/>
                <w:highlight w:val="none"/>
                <w:lang w:val="en-US" w:eastAsia="zh-CN"/>
              </w:rPr>
              <w:t>差错率不能高于1%</w:t>
            </w:r>
            <w:r>
              <w:rPr>
                <w:rFonts w:hint="default"/>
                <w:color w:val="auto"/>
                <w:highlight w:val="none"/>
                <w:lang w:val="en-US" w:eastAsia="zh-CN"/>
              </w:rPr>
              <w:t>。</w:t>
            </w:r>
          </w:p>
          <w:p w14:paraId="5F29A3CE">
            <w:pPr>
              <w:rPr>
                <w:rFonts w:hint="default"/>
                <w:color w:val="auto"/>
                <w:highlight w:val="none"/>
                <w:lang w:val="en-US" w:eastAsia="zh-CN"/>
              </w:rPr>
            </w:pPr>
            <w:r>
              <w:rPr>
                <w:rFonts w:hint="eastAsia"/>
                <w:color w:val="auto"/>
                <w:highlight w:val="none"/>
                <w:lang w:val="en-US" w:eastAsia="zh-CN"/>
              </w:rPr>
              <w:t>9</w:t>
            </w:r>
            <w:r>
              <w:rPr>
                <w:rFonts w:hint="default"/>
                <w:color w:val="auto"/>
                <w:highlight w:val="none"/>
                <w:lang w:val="en-US" w:eastAsia="zh-CN"/>
              </w:rPr>
              <w:t>.3加工及分类上架要求：提供图书（含随书光盘等附件）全套加工服务和加工所用材料，包括提供盖馆藏章、贴磁条、贴条形码、数据编目、打印及粘贴书标等，并且要达到采购人质量要求，保证加工后图书可直接上架流通。纯粹的光盘（非图书配套光盘），需通过电话、QQ或微信经</w:t>
            </w:r>
            <w:r>
              <w:rPr>
                <w:rFonts w:hint="eastAsia"/>
                <w:color w:val="auto"/>
                <w:highlight w:val="none"/>
                <w:lang w:val="en-US" w:eastAsia="zh-CN"/>
              </w:rPr>
              <w:t>采购人图书馆</w:t>
            </w:r>
            <w:r>
              <w:rPr>
                <w:rFonts w:hint="default"/>
                <w:color w:val="auto"/>
                <w:highlight w:val="none"/>
                <w:lang w:val="en-US" w:eastAsia="zh-CN"/>
              </w:rPr>
              <w:t>采访人员重新核实后才能加工。所有图书加工工作必须按采购人图书馆具体要求完成，全部加工及耗材的费用，包括编目数据费用、条形码、磁条和不干胶书标加工费和材料费均由供应商承担，图书加工细则以采购人要求为准。</w:t>
            </w:r>
          </w:p>
          <w:p w14:paraId="66B4BC69">
            <w:pPr>
              <w:numPr>
                <w:ilvl w:val="0"/>
                <w:numId w:val="0"/>
              </w:numPr>
              <w:rPr>
                <w:rFonts w:hint="default"/>
                <w:color w:val="auto"/>
                <w:highlight w:val="none"/>
                <w:lang w:val="en-US" w:eastAsia="zh-CN"/>
              </w:rPr>
            </w:pPr>
            <w:r>
              <w:rPr>
                <w:rFonts w:hint="eastAsia"/>
                <w:color w:val="auto"/>
                <w:highlight w:val="none"/>
                <w:lang w:val="en-US" w:eastAsia="zh-CN"/>
              </w:rPr>
              <w:t>10.</w:t>
            </w:r>
            <w:r>
              <w:rPr>
                <w:rFonts w:hint="default"/>
                <w:color w:val="auto"/>
                <w:highlight w:val="none"/>
                <w:lang w:val="en-US" w:eastAsia="zh-CN"/>
              </w:rPr>
              <w:t>成交供应商按采购人要求提供MARC和EXCEL两种格式的新书征订目录，采访书目数据内容翔实、准确，格式完整，主要包含</w:t>
            </w:r>
            <w:r>
              <w:rPr>
                <w:rFonts w:hint="eastAsia"/>
                <w:color w:val="auto"/>
                <w:highlight w:val="none"/>
                <w:lang w:val="en-US" w:eastAsia="zh-CN"/>
              </w:rPr>
              <w:t>：</w:t>
            </w:r>
            <w:r>
              <w:rPr>
                <w:rFonts w:hint="default"/>
                <w:color w:val="auto"/>
                <w:highlight w:val="none"/>
                <w:lang w:val="en-US" w:eastAsia="zh-CN"/>
              </w:rPr>
              <w:t>题名、作者、ISBN号、出版社、出版时间、码洋、分类号、页码、装帧、开本、摘要、丛书名、适应读者范围等信息。翻译的</w:t>
            </w:r>
            <w:r>
              <w:rPr>
                <w:rFonts w:hint="eastAsia"/>
                <w:color w:val="auto"/>
                <w:highlight w:val="none"/>
                <w:lang w:val="en-US" w:eastAsia="zh-CN"/>
              </w:rPr>
              <w:t>授权</w:t>
            </w:r>
            <w:r>
              <w:rPr>
                <w:rFonts w:hint="default"/>
                <w:color w:val="auto"/>
                <w:highlight w:val="none"/>
                <w:lang w:val="en-US" w:eastAsia="zh-CN"/>
              </w:rPr>
              <w:t>版图书除包括著者中文译名外，还应提供著者英文姓名；对于译著需详细提供译者名及原著版次。大套丛编中单种图书中有单独ISBN号的要分别列出单种图书信息，大套图书在必要时提供子（细）目供参考。所有数据都能在采购人现有的图书馆集成管理系统无障碍使用。</w:t>
            </w:r>
          </w:p>
          <w:p w14:paraId="54EFC034">
            <w:pPr>
              <w:numPr>
                <w:ilvl w:val="0"/>
                <w:numId w:val="0"/>
              </w:numPr>
              <w:rPr>
                <w:rFonts w:hint="default"/>
                <w:color w:val="auto"/>
                <w:highlight w:val="none"/>
                <w:lang w:val="en-US" w:eastAsia="zh-CN"/>
              </w:rPr>
            </w:pPr>
            <w:r>
              <w:rPr>
                <w:rFonts w:hint="eastAsia"/>
                <w:color w:val="auto"/>
                <w:highlight w:val="none"/>
                <w:lang w:val="en-US" w:eastAsia="zh-CN"/>
              </w:rPr>
              <w:t>11.</w:t>
            </w:r>
            <w:r>
              <w:rPr>
                <w:rFonts w:hint="default"/>
                <w:color w:val="auto"/>
                <w:highlight w:val="none"/>
                <w:lang w:val="en-US" w:eastAsia="zh-CN"/>
              </w:rPr>
              <w:t>本项目不采购以下图书资料：</w:t>
            </w:r>
          </w:p>
          <w:p w14:paraId="1736052F">
            <w:pPr>
              <w:numPr>
                <w:ilvl w:val="0"/>
                <w:numId w:val="0"/>
              </w:numPr>
              <w:rPr>
                <w:rFonts w:hint="default"/>
                <w:color w:val="auto"/>
                <w:highlight w:val="none"/>
                <w:lang w:val="en-US" w:eastAsia="zh-CN"/>
              </w:rPr>
            </w:pPr>
            <w:r>
              <w:rPr>
                <w:rFonts w:hint="eastAsia"/>
                <w:color w:val="auto"/>
                <w:highlight w:val="none"/>
                <w:lang w:val="en-US" w:eastAsia="zh-CN"/>
              </w:rPr>
              <w:t>11.1</w:t>
            </w:r>
            <w:r>
              <w:rPr>
                <w:rFonts w:hint="default"/>
                <w:color w:val="auto"/>
                <w:highlight w:val="none"/>
                <w:lang w:val="en-US" w:eastAsia="zh-CN"/>
              </w:rPr>
              <w:t>出版物类型：袋装书、挂图、线装书、经折装、散页书、盒装书；</w:t>
            </w:r>
          </w:p>
          <w:p w14:paraId="21034D8C">
            <w:pPr>
              <w:numPr>
                <w:ilvl w:val="0"/>
                <w:numId w:val="0"/>
              </w:numPr>
              <w:rPr>
                <w:rFonts w:hint="default"/>
                <w:color w:val="auto"/>
                <w:highlight w:val="none"/>
                <w:lang w:val="en-US" w:eastAsia="zh-CN"/>
              </w:rPr>
            </w:pPr>
            <w:r>
              <w:rPr>
                <w:rFonts w:hint="eastAsia"/>
                <w:color w:val="auto"/>
                <w:highlight w:val="none"/>
                <w:lang w:val="en-US" w:eastAsia="zh-CN"/>
              </w:rPr>
              <w:t>11.2</w:t>
            </w:r>
            <w:r>
              <w:rPr>
                <w:rFonts w:hint="default"/>
                <w:color w:val="auto"/>
                <w:highlight w:val="none"/>
                <w:lang w:val="en-US" w:eastAsia="zh-CN"/>
              </w:rPr>
              <w:t>开本规格：小</w:t>
            </w:r>
            <w:r>
              <w:rPr>
                <w:rFonts w:hint="eastAsia"/>
                <w:color w:val="auto"/>
                <w:highlight w:val="none"/>
                <w:lang w:val="en-US" w:eastAsia="zh-CN"/>
              </w:rPr>
              <w:t>于64开</w:t>
            </w:r>
            <w:r>
              <w:rPr>
                <w:rFonts w:hint="default"/>
                <w:color w:val="auto"/>
                <w:highlight w:val="none"/>
                <w:lang w:val="en-US" w:eastAsia="zh-CN"/>
              </w:rPr>
              <w:t>的图书；</w:t>
            </w:r>
          </w:p>
          <w:p w14:paraId="50B98531">
            <w:pPr>
              <w:numPr>
                <w:ilvl w:val="0"/>
                <w:numId w:val="0"/>
              </w:numPr>
              <w:rPr>
                <w:rFonts w:hint="default"/>
                <w:color w:val="auto"/>
                <w:highlight w:val="none"/>
                <w:lang w:val="en-US" w:eastAsia="zh-CN"/>
              </w:rPr>
            </w:pPr>
            <w:r>
              <w:rPr>
                <w:rFonts w:hint="eastAsia"/>
                <w:color w:val="auto"/>
                <w:highlight w:val="none"/>
                <w:lang w:val="en-US" w:eastAsia="zh-CN"/>
              </w:rPr>
              <w:t>11.3</w:t>
            </w:r>
            <w:r>
              <w:rPr>
                <w:rFonts w:hint="default"/>
                <w:color w:val="auto"/>
                <w:highlight w:val="none"/>
                <w:lang w:val="en-US" w:eastAsia="zh-CN"/>
              </w:rPr>
              <w:t>载体形式：磁带、VCD、DVD 及其他非纸本载体的出版物；</w:t>
            </w:r>
          </w:p>
          <w:p w14:paraId="0BF4E552">
            <w:pPr>
              <w:numPr>
                <w:ilvl w:val="0"/>
                <w:numId w:val="0"/>
              </w:numPr>
              <w:rPr>
                <w:rFonts w:hint="eastAsia"/>
                <w:color w:val="auto"/>
                <w:highlight w:val="none"/>
                <w:lang w:val="en-US" w:eastAsia="zh-CN"/>
              </w:rPr>
            </w:pPr>
            <w:r>
              <w:rPr>
                <w:rFonts w:hint="eastAsia"/>
                <w:color w:val="auto"/>
                <w:highlight w:val="none"/>
                <w:lang w:val="en-US" w:eastAsia="zh-CN"/>
              </w:rPr>
              <w:t>11.4</w:t>
            </w:r>
            <w:r>
              <w:rPr>
                <w:rFonts w:hint="default"/>
                <w:color w:val="auto"/>
                <w:highlight w:val="none"/>
                <w:lang w:val="en-US" w:eastAsia="zh-CN"/>
              </w:rPr>
              <w:t>内容类别：</w:t>
            </w:r>
            <w:r>
              <w:rPr>
                <w:rFonts w:hint="eastAsia"/>
                <w:color w:val="auto"/>
                <w:highlight w:val="none"/>
                <w:lang w:val="en-US" w:eastAsia="zh-CN"/>
              </w:rPr>
              <w:t>婴幼儿、</w:t>
            </w:r>
            <w:r>
              <w:rPr>
                <w:rFonts w:hint="default"/>
                <w:color w:val="auto"/>
                <w:highlight w:val="none"/>
                <w:lang w:val="en-US" w:eastAsia="zh-CN"/>
              </w:rPr>
              <w:t>中小学、中职</w:t>
            </w:r>
            <w:r>
              <w:rPr>
                <w:rFonts w:hint="eastAsia"/>
                <w:color w:val="auto"/>
                <w:highlight w:val="none"/>
                <w:lang w:val="en-US" w:eastAsia="zh-CN"/>
              </w:rPr>
              <w:t>阶段的</w:t>
            </w:r>
            <w:r>
              <w:rPr>
                <w:rFonts w:hint="default"/>
                <w:color w:val="auto"/>
                <w:highlight w:val="none"/>
                <w:lang w:val="en-US" w:eastAsia="zh-CN"/>
              </w:rPr>
              <w:t>教材</w:t>
            </w:r>
            <w:r>
              <w:rPr>
                <w:rFonts w:hint="eastAsia"/>
                <w:color w:val="auto"/>
                <w:highlight w:val="none"/>
                <w:lang w:val="en-US" w:eastAsia="zh-CN"/>
              </w:rPr>
              <w:t>、</w:t>
            </w:r>
            <w:r>
              <w:rPr>
                <w:rFonts w:hint="default"/>
                <w:color w:val="auto"/>
                <w:highlight w:val="none"/>
                <w:lang w:val="en-US" w:eastAsia="zh-CN"/>
              </w:rPr>
              <w:t>教辅</w:t>
            </w:r>
            <w:r>
              <w:rPr>
                <w:rFonts w:hint="eastAsia"/>
                <w:color w:val="auto"/>
                <w:highlight w:val="none"/>
                <w:lang w:val="en-US" w:eastAsia="zh-CN"/>
              </w:rPr>
              <w:t>及相关科普读物；</w:t>
            </w:r>
          </w:p>
          <w:p w14:paraId="4F60CB17">
            <w:pPr>
              <w:numPr>
                <w:ilvl w:val="0"/>
                <w:numId w:val="0"/>
              </w:numPr>
              <w:rPr>
                <w:rFonts w:hint="default"/>
                <w:color w:val="auto"/>
                <w:highlight w:val="none"/>
                <w:lang w:val="en-US" w:eastAsia="zh-CN"/>
              </w:rPr>
            </w:pPr>
            <w:r>
              <w:rPr>
                <w:rFonts w:hint="eastAsia"/>
                <w:color w:val="auto"/>
                <w:highlight w:val="none"/>
                <w:lang w:val="en-US" w:eastAsia="zh-CN"/>
              </w:rPr>
              <w:t>11.5</w:t>
            </w:r>
            <w:r>
              <w:rPr>
                <w:rFonts w:hint="default"/>
                <w:color w:val="auto"/>
                <w:highlight w:val="none"/>
                <w:lang w:val="en-US" w:eastAsia="zh-CN"/>
              </w:rPr>
              <w:t>分类限定：</w:t>
            </w:r>
            <w:r>
              <w:rPr>
                <w:rFonts w:hint="eastAsia"/>
                <w:color w:val="auto"/>
                <w:highlight w:val="none"/>
                <w:lang w:val="en-US" w:eastAsia="zh-CN"/>
              </w:rPr>
              <w:t>《中国图书馆分类法》（简称“中图法”）</w:t>
            </w:r>
            <w:r>
              <w:rPr>
                <w:rFonts w:hint="default"/>
                <w:color w:val="auto"/>
                <w:highlight w:val="none"/>
                <w:lang w:val="en-US" w:eastAsia="zh-CN"/>
              </w:rPr>
              <w:t>B9 类（宗教类）相关图书（包括但不限于宗教教义、传教宣传、宗教仪式相关等各类图书）。</w:t>
            </w:r>
          </w:p>
          <w:p w14:paraId="11A3E01F">
            <w:pPr>
              <w:numPr>
                <w:ilvl w:val="0"/>
                <w:numId w:val="0"/>
              </w:numPr>
              <w:rPr>
                <w:rFonts w:hint="default"/>
                <w:color w:val="auto"/>
                <w:highlight w:val="none"/>
                <w:lang w:val="en-US" w:eastAsia="zh-CN"/>
              </w:rPr>
            </w:pPr>
            <w:r>
              <w:rPr>
                <w:rFonts w:hint="eastAsia"/>
                <w:color w:val="auto"/>
                <w:highlight w:val="none"/>
                <w:lang w:val="en-US" w:eastAsia="zh-CN"/>
              </w:rPr>
              <w:t>12.</w:t>
            </w:r>
            <w:r>
              <w:rPr>
                <w:rFonts w:hint="default"/>
                <w:color w:val="auto"/>
                <w:highlight w:val="none"/>
                <w:lang w:val="en-US" w:eastAsia="zh-CN"/>
              </w:rPr>
              <w:t>成交供应商能严守意识形态阵地；不得因为供货折扣原因屏蔽任何图书品种，并积极联系出版社获得合作包销图书品种信息；提供的书目信息不得重复。</w:t>
            </w:r>
          </w:p>
          <w:p w14:paraId="635865A6">
            <w:pPr>
              <w:numPr>
                <w:ilvl w:val="0"/>
                <w:numId w:val="0"/>
              </w:numPr>
              <w:rPr>
                <w:rFonts w:hint="default"/>
                <w:color w:val="auto"/>
                <w:highlight w:val="none"/>
                <w:lang w:val="en-US" w:eastAsia="zh-CN"/>
              </w:rPr>
            </w:pPr>
            <w:r>
              <w:rPr>
                <w:rFonts w:hint="eastAsia"/>
                <w:color w:val="auto"/>
                <w:highlight w:val="none"/>
                <w:lang w:val="en-US" w:eastAsia="zh-CN"/>
              </w:rPr>
              <w:t>13.</w:t>
            </w:r>
            <w:r>
              <w:rPr>
                <w:rFonts w:hint="default"/>
                <w:color w:val="auto"/>
                <w:highlight w:val="none"/>
                <w:lang w:val="en-US" w:eastAsia="zh-CN"/>
              </w:rPr>
              <w:t>采购图书结束后一个月之内，成交供应商为图书馆提供馆藏分析报告</w:t>
            </w:r>
            <w:r>
              <w:rPr>
                <w:rFonts w:hint="eastAsia"/>
                <w:color w:val="auto"/>
                <w:highlight w:val="none"/>
                <w:lang w:eastAsia="zh-CN"/>
              </w:rPr>
              <w:t>，</w:t>
            </w:r>
            <w:r>
              <w:rPr>
                <w:rFonts w:hint="eastAsia"/>
                <w:color w:val="auto"/>
                <w:highlight w:val="none"/>
                <w:lang w:val="en-US" w:eastAsia="zh-CN"/>
              </w:rPr>
              <w:t>报告需包含但不限于采购图书的学科分布、品种结构、码洋 / 实洋统计、核心出版社占比等内容，数据应真实准确</w:t>
            </w:r>
            <w:r>
              <w:rPr>
                <w:rFonts w:hint="default"/>
                <w:color w:val="auto"/>
                <w:highlight w:val="none"/>
                <w:lang w:val="en-US" w:eastAsia="zh-CN"/>
              </w:rPr>
              <w:t>。成交供应商不得以任何名义对外泄露采购人的数据。</w:t>
            </w:r>
          </w:p>
          <w:p w14:paraId="292EADFB">
            <w:pPr>
              <w:numPr>
                <w:ilvl w:val="0"/>
                <w:numId w:val="0"/>
              </w:numPr>
              <w:rPr>
                <w:rFonts w:hint="default"/>
                <w:color w:val="auto"/>
                <w:highlight w:val="none"/>
                <w:lang w:val="en-US" w:eastAsia="zh-CN"/>
              </w:rPr>
            </w:pPr>
            <w:r>
              <w:rPr>
                <w:rFonts w:hint="eastAsia"/>
                <w:color w:val="auto"/>
                <w:highlight w:val="none"/>
                <w:lang w:val="en-US" w:eastAsia="zh-CN"/>
              </w:rPr>
              <w:t>14.</w:t>
            </w:r>
            <w:r>
              <w:rPr>
                <w:rFonts w:hint="default"/>
                <w:color w:val="auto"/>
                <w:highlight w:val="none"/>
                <w:lang w:val="en-US" w:eastAsia="zh-CN"/>
              </w:rPr>
              <w:t>图书包装要达到防潮、防霉、防止其他损坏的标准，同时按采购人</w:t>
            </w:r>
            <w:r>
              <w:rPr>
                <w:rFonts w:hint="eastAsia"/>
                <w:color w:val="auto"/>
                <w:highlight w:val="none"/>
                <w:lang w:val="en-US" w:eastAsia="zh-CN"/>
              </w:rPr>
              <w:t>要求</w:t>
            </w:r>
            <w:r>
              <w:rPr>
                <w:rFonts w:hint="default"/>
                <w:color w:val="auto"/>
                <w:highlight w:val="none"/>
                <w:lang w:val="en-US" w:eastAsia="zh-CN"/>
              </w:rPr>
              <w:t>分类包装，送达采购人指定场所，按顺序排列，按采购人工作要求，配合进行图书验收。凡是没有验收入库的图书，均由成交供应商全权负责图书的保管问题。</w:t>
            </w:r>
            <w:r>
              <w:rPr>
                <w:rFonts w:ascii="Times New Roman" w:hAnsi="Times New Roman" w:eastAsia="宋体" w:cs="Times New Roman"/>
                <w:i w:val="0"/>
                <w:iCs w:val="0"/>
                <w:caps w:val="0"/>
                <w:color w:val="auto"/>
                <w:spacing w:val="0"/>
                <w:sz w:val="21"/>
                <w:szCs w:val="24"/>
                <w:highlight w:val="none"/>
                <w:shd w:val="clear" w:color="auto" w:fill="auto"/>
              </w:rPr>
              <w:t>期间发生的图书丢失、损坏、污损等一切风险及损失均由成交供应商承担，采购人不承担任何责任。</w:t>
            </w:r>
          </w:p>
          <w:p w14:paraId="62F8DAF8">
            <w:pPr>
              <w:numPr>
                <w:ilvl w:val="0"/>
                <w:numId w:val="0"/>
              </w:numPr>
              <w:rPr>
                <w:rFonts w:hint="default"/>
                <w:color w:val="auto"/>
                <w:highlight w:val="none"/>
                <w:lang w:val="en-US" w:eastAsia="zh-CN"/>
              </w:rPr>
            </w:pPr>
            <w:r>
              <w:rPr>
                <w:rFonts w:hint="eastAsia"/>
                <w:color w:val="auto"/>
                <w:highlight w:val="none"/>
                <w:lang w:val="en-US" w:eastAsia="zh-CN"/>
              </w:rPr>
              <w:t>15.</w:t>
            </w:r>
            <w:r>
              <w:rPr>
                <w:rFonts w:hint="default"/>
                <w:color w:val="auto"/>
                <w:highlight w:val="none"/>
                <w:lang w:val="en-US" w:eastAsia="zh-CN"/>
              </w:rPr>
              <w:t>成交供应商能组织或协助采购人参加全国性</w:t>
            </w:r>
            <w:r>
              <w:rPr>
                <w:rFonts w:hint="eastAsia"/>
                <w:color w:val="auto"/>
                <w:highlight w:val="none"/>
                <w:lang w:val="en-US" w:eastAsia="zh-CN"/>
              </w:rPr>
              <w:t>或</w:t>
            </w:r>
            <w:r>
              <w:rPr>
                <w:rFonts w:hint="default"/>
                <w:color w:val="auto"/>
                <w:highlight w:val="none"/>
                <w:lang w:val="en-US" w:eastAsia="zh-CN"/>
              </w:rPr>
              <w:t>地方性图书展销活动，现采时应提供必要的数据查重设备、技术服务和专业的发行服务人员协助，并能及时汇总提供采选数量、金额等信息。</w:t>
            </w:r>
          </w:p>
          <w:p w14:paraId="572FEFF8">
            <w:pPr>
              <w:keepNext w:val="0"/>
              <w:keepLines w:val="0"/>
              <w:pageBreakBefore w:val="0"/>
              <w:widowControl/>
              <w:numPr>
                <w:ilvl w:val="0"/>
                <w:numId w:val="0"/>
              </w:numPr>
              <w:kinsoku/>
              <w:wordWrap/>
              <w:overflowPunct/>
              <w:topLinePunct w:val="0"/>
              <w:autoSpaceDE/>
              <w:autoSpaceDN/>
              <w:bidi w:val="0"/>
              <w:snapToGrid/>
              <w:spacing w:line="240" w:lineRule="auto"/>
              <w:rPr>
                <w:rFonts w:hint="default" w:ascii="宋体" w:hAnsi="宋体" w:eastAsia="宋体" w:cs="宋体"/>
                <w:color w:val="auto"/>
                <w:sz w:val="21"/>
                <w:szCs w:val="21"/>
                <w:highlight w:val="none"/>
                <w:lang w:val="en-US" w:eastAsia="zh-CN"/>
              </w:rPr>
            </w:pPr>
            <w:r>
              <w:rPr>
                <w:rFonts w:hint="eastAsia"/>
                <w:color w:val="auto"/>
                <w:highlight w:val="none"/>
                <w:lang w:val="en-US" w:eastAsia="zh-CN"/>
              </w:rPr>
              <w:t>16.成交供应商需提供一套随书光盘数据库，</w:t>
            </w:r>
            <w:r>
              <w:rPr>
                <w:rFonts w:hint="eastAsia"/>
                <w:color w:val="auto"/>
                <w:highlight w:val="none"/>
              </w:rPr>
              <w:t>支持与 Interlib3.5 图书馆管理系统对接，实现光盘资源检索</w:t>
            </w:r>
            <w:r>
              <w:rPr>
                <w:rFonts w:hint="eastAsia"/>
                <w:color w:val="auto"/>
                <w:highlight w:val="none"/>
                <w:lang w:eastAsia="zh-CN"/>
              </w:rPr>
              <w:t>、借阅关联功能，</w:t>
            </w:r>
            <w:r>
              <w:rPr>
                <w:rFonts w:hint="eastAsia"/>
                <w:color w:val="auto"/>
                <w:highlight w:val="none"/>
                <w:lang w:val="en-US" w:eastAsia="zh-CN"/>
              </w:rPr>
              <w:t>服务使用期限为1年。</w:t>
            </w:r>
            <w:r>
              <w:rPr>
                <w:rFonts w:hint="eastAsia"/>
                <w:b/>
                <w:bCs/>
                <w:color w:val="auto"/>
                <w:highlight w:val="none"/>
                <w:lang w:val="en-US" w:eastAsia="zh-CN"/>
              </w:rPr>
              <w:t>供应商应在响应文件中出具相应书面承诺</w:t>
            </w:r>
            <w:r>
              <w:rPr>
                <w:rFonts w:hint="eastAsia"/>
                <w:color w:val="auto"/>
                <w:highlight w:val="none"/>
                <w:lang w:val="en-US" w:eastAsia="zh-CN"/>
              </w:rPr>
              <w:t>。</w:t>
            </w:r>
          </w:p>
          <w:p w14:paraId="6BE2E1ED">
            <w:pPr>
              <w:numPr>
                <w:ilvl w:val="0"/>
                <w:numId w:val="0"/>
              </w:numPr>
              <w:rPr>
                <w:rFonts w:hint="default"/>
                <w:color w:val="auto"/>
                <w:highlight w:val="none"/>
                <w:lang w:val="en-US" w:eastAsia="zh-CN"/>
              </w:rPr>
            </w:pPr>
            <w:r>
              <w:rPr>
                <w:rFonts w:hint="eastAsia"/>
                <w:color w:val="auto"/>
                <w:highlight w:val="none"/>
                <w:lang w:val="en-US" w:eastAsia="zh-CN"/>
              </w:rPr>
              <w:t>17.图书打包要求：同一种图书应集中包在同一包内，每批图书都应配有图书总明细单两份，一份由采购人签收，另一份分开装进每一包书中以方便核对。每份明细单应含有打包单号，图书题名、种册数，码洋、实洋；总明细单还要有总图书种册数，总码洋、总实洋。</w:t>
            </w:r>
            <w:r>
              <w:rPr>
                <w:rFonts w:hint="eastAsia"/>
                <w:color w:val="auto"/>
                <w:highlight w:val="none"/>
              </w:rPr>
              <w:t>每个包裹外包装需标注清晰的打包单号、批次号、图书类别及 “防潮、易碎、轻放” 等警示标识</w:t>
            </w:r>
            <w:r>
              <w:rPr>
                <w:rFonts w:hint="eastAsia"/>
                <w:color w:val="auto"/>
                <w:highlight w:val="none"/>
                <w:lang w:val="en-US" w:eastAsia="zh-CN"/>
              </w:rPr>
              <w:t>。</w:t>
            </w:r>
          </w:p>
          <w:p w14:paraId="3F40A50D">
            <w:pPr>
              <w:rPr>
                <w:rFonts w:hint="default"/>
                <w:color w:val="auto"/>
                <w:highlight w:val="none"/>
                <w:lang w:val="en-US" w:eastAsia="zh-CN"/>
              </w:rPr>
            </w:pPr>
            <w:r>
              <w:rPr>
                <w:rFonts w:hint="eastAsia"/>
                <w:color w:val="auto"/>
                <w:highlight w:val="none"/>
                <w:lang w:val="en-US" w:eastAsia="zh-CN"/>
              </w:rPr>
              <w:t>18</w:t>
            </w:r>
            <w:r>
              <w:rPr>
                <w:rFonts w:hint="default"/>
                <w:color w:val="auto"/>
                <w:highlight w:val="none"/>
                <w:lang w:val="en-US" w:eastAsia="zh-CN"/>
              </w:rPr>
              <w:t>.成交供应商须于每季度（寒暑假除外）提供现场书展服务。每次书展展出图书品种不得少于200种，且所有参展图书均须为无塑封版本。</w:t>
            </w:r>
          </w:p>
          <w:p w14:paraId="417447CC">
            <w:pPr>
              <w:rPr>
                <w:rFonts w:hint="default"/>
                <w:color w:val="auto"/>
                <w:highlight w:val="none"/>
                <w:lang w:val="en-US" w:eastAsia="zh-CN"/>
              </w:rPr>
            </w:pPr>
            <w:r>
              <w:rPr>
                <w:rFonts w:hint="default"/>
                <w:color w:val="auto"/>
                <w:highlight w:val="none"/>
                <w:lang w:val="en-US" w:eastAsia="zh-CN"/>
              </w:rPr>
              <w:t>采购方式要求：成交供应商需提供外采服务，若因疫情、自然灾害等不可抗力因素无法开展现场外采，可改为网上采书服务；必要时由采购人指定合法合规的采购场所，成交供应商需派遣专业人员协助，高效、优质完成图书采购任务，相关协助费用已包含在成交折扣率中，采购人不额外支付。</w:t>
            </w:r>
          </w:p>
          <w:p w14:paraId="1D41EC61">
            <w:pPr>
              <w:rPr>
                <w:rFonts w:hint="default"/>
                <w:color w:val="auto"/>
                <w:highlight w:val="none"/>
                <w:lang w:val="en-US" w:eastAsia="zh-CN"/>
              </w:rPr>
            </w:pPr>
            <w:r>
              <w:rPr>
                <w:rFonts w:hint="eastAsia"/>
                <w:color w:val="auto"/>
                <w:highlight w:val="none"/>
                <w:lang w:val="en-US" w:eastAsia="zh-CN"/>
              </w:rPr>
              <w:t>19</w:t>
            </w:r>
            <w:r>
              <w:rPr>
                <w:rFonts w:hint="default"/>
                <w:color w:val="auto"/>
                <w:highlight w:val="none"/>
                <w:lang w:val="en-US" w:eastAsia="zh-CN"/>
              </w:rPr>
              <w:t>.成交供应商应协助采购人开展年度阅读推广活动，在收到采购人协助请求后3个工作日内响应，确保阅读推广活动顺利开展。</w:t>
            </w:r>
            <w:r>
              <w:rPr>
                <w:rFonts w:ascii="Times New Roman" w:hAnsi="Times New Roman" w:eastAsia="宋体" w:cs="Times New Roman"/>
                <w:i w:val="0"/>
                <w:iCs w:val="0"/>
                <w:caps w:val="0"/>
                <w:color w:val="auto"/>
                <w:spacing w:val="0"/>
                <w:sz w:val="21"/>
                <w:szCs w:val="24"/>
                <w:highlight w:val="none"/>
                <w:shd w:val="clear" w:color="auto" w:fill="auto"/>
              </w:rPr>
              <w:t>协助过程中产生的自身人员、物资等成本由成交供应商承担。</w:t>
            </w:r>
          </w:p>
          <w:p w14:paraId="6C83F1C7">
            <w:pPr>
              <w:numPr>
                <w:ilvl w:val="0"/>
                <w:numId w:val="0"/>
              </w:numPr>
              <w:rPr>
                <w:rFonts w:hint="default"/>
                <w:color w:val="auto"/>
                <w:highlight w:val="none"/>
                <w:lang w:val="en-US" w:eastAsia="zh-CN"/>
              </w:rPr>
            </w:pPr>
            <w:r>
              <w:rPr>
                <w:rFonts w:hint="eastAsia"/>
                <w:color w:val="auto"/>
                <w:highlight w:val="none"/>
                <w:lang w:val="en-US" w:eastAsia="zh-CN"/>
              </w:rPr>
              <w:t>20.成交</w:t>
            </w:r>
            <w:r>
              <w:rPr>
                <w:rFonts w:hint="default"/>
                <w:color w:val="auto"/>
                <w:highlight w:val="none"/>
                <w:lang w:val="en-US" w:eastAsia="zh-CN"/>
              </w:rPr>
              <w:t>供应商应严格落实安全生产责任制，本项目在实施过程中，其工作人员的人身意外由成交供应商自行负责，与采购人无关。</w:t>
            </w:r>
            <w:r>
              <w:rPr>
                <w:rFonts w:ascii="Times New Roman" w:hAnsi="Times New Roman" w:eastAsia="宋体" w:cs="Times New Roman"/>
                <w:i w:val="0"/>
                <w:iCs w:val="0"/>
                <w:caps w:val="0"/>
                <w:color w:val="auto"/>
                <w:spacing w:val="0"/>
                <w:sz w:val="21"/>
                <w:szCs w:val="24"/>
                <w:highlight w:val="none"/>
                <w:shd w:val="clear" w:color="auto" w:fill="auto"/>
              </w:rPr>
              <w:t>若因成交供应商安全管理不善造成采购人或第三方损失的，由成交供应商承担全部赔偿责任。</w:t>
            </w:r>
          </w:p>
          <w:p w14:paraId="45A65C4B">
            <w:pPr>
              <w:rPr>
                <w:rFonts w:hint="eastAsia"/>
                <w:color w:val="auto"/>
                <w:highlight w:val="none"/>
                <w:lang w:val="en-US" w:eastAsia="zh-CN"/>
              </w:rPr>
            </w:pPr>
            <w:r>
              <w:rPr>
                <w:rFonts w:hint="eastAsia"/>
                <w:color w:val="auto"/>
                <w:highlight w:val="none"/>
                <w:lang w:val="en-US" w:eastAsia="zh-CN"/>
              </w:rPr>
              <w:t>21.发生</w:t>
            </w:r>
            <w:r>
              <w:rPr>
                <w:rFonts w:hint="default"/>
                <w:color w:val="auto"/>
                <w:highlight w:val="none"/>
                <w:lang w:val="en-US" w:eastAsia="zh-CN"/>
              </w:rPr>
              <w:t>采购人急需</w:t>
            </w:r>
            <w:r>
              <w:rPr>
                <w:rFonts w:hint="eastAsia"/>
                <w:color w:val="auto"/>
                <w:highlight w:val="none"/>
                <w:lang w:val="en-US" w:eastAsia="zh-CN"/>
              </w:rPr>
              <w:t>图</w:t>
            </w:r>
            <w:r>
              <w:rPr>
                <w:rFonts w:hint="default"/>
                <w:color w:val="auto"/>
                <w:highlight w:val="none"/>
                <w:lang w:val="en-US" w:eastAsia="zh-CN"/>
              </w:rPr>
              <w:t>书的</w:t>
            </w:r>
            <w:r>
              <w:rPr>
                <w:rFonts w:hint="eastAsia"/>
                <w:color w:val="auto"/>
                <w:highlight w:val="none"/>
                <w:lang w:val="en-US" w:eastAsia="zh-CN"/>
              </w:rPr>
              <w:t>情况时，</w:t>
            </w:r>
            <w:r>
              <w:rPr>
                <w:rFonts w:ascii="Times New Roman" w:hAnsi="Times New Roman" w:eastAsia="宋体" w:cs="Times New Roman"/>
                <w:i w:val="0"/>
                <w:iCs w:val="0"/>
                <w:caps w:val="0"/>
                <w:color w:val="auto"/>
                <w:spacing w:val="0"/>
                <w:sz w:val="21"/>
                <w:szCs w:val="24"/>
                <w:highlight w:val="none"/>
                <w:shd w:val="clear" w:color="auto" w:fill="auto"/>
              </w:rPr>
              <w:t>采购人通过书面或电子方式（QQ、微信等）下达加急订单，</w:t>
            </w:r>
            <w:r>
              <w:rPr>
                <w:rFonts w:hint="default"/>
                <w:color w:val="auto"/>
                <w:highlight w:val="none"/>
                <w:lang w:val="en-US" w:eastAsia="zh-CN"/>
              </w:rPr>
              <w:t>成交供应商在7天内送达采购人指定地点。</w:t>
            </w:r>
            <w:r>
              <w:rPr>
                <w:rFonts w:ascii="Times New Roman" w:hAnsi="Times New Roman" w:eastAsia="宋体" w:cs="Times New Roman"/>
                <w:i w:val="0"/>
                <w:iCs w:val="0"/>
                <w:caps w:val="0"/>
                <w:color w:val="auto"/>
                <w:spacing w:val="0"/>
                <w:sz w:val="21"/>
                <w:szCs w:val="24"/>
                <w:highlight w:val="none"/>
                <w:shd w:val="clear" w:color="auto" w:fill="auto"/>
              </w:rPr>
              <w:t>加急配送产生的快递费、运输费等所有费用均由成交供应商承担，不得向采购人额外收取。</w:t>
            </w:r>
          </w:p>
          <w:p w14:paraId="167A86F3">
            <w:pPr>
              <w:rPr>
                <w:rFonts w:hint="eastAsia"/>
                <w:color w:val="auto"/>
                <w:highlight w:val="none"/>
                <w:lang w:val="en-US" w:eastAsia="zh-CN"/>
              </w:rPr>
            </w:pPr>
            <w:r>
              <w:rPr>
                <w:rFonts w:hint="eastAsia"/>
                <w:color w:val="auto"/>
                <w:highlight w:val="none"/>
                <w:lang w:val="en-US" w:eastAsia="zh-CN"/>
              </w:rPr>
              <w:t>22.为满足采购人馆藏建设的多样性与完整性需求，本项目采购部分图书不受出版社资质等级、成立时间及图书出版年限限制，成交供应商应根据采购人订单要求，足额供应符合本合同约定标准的正版图书。</w:t>
            </w:r>
          </w:p>
          <w:p w14:paraId="53DE7846">
            <w:pPr>
              <w:rPr>
                <w:rFonts w:hint="default"/>
                <w:color w:val="auto"/>
                <w:highlight w:val="none"/>
                <w:lang w:val="en-US" w:eastAsia="zh-CN"/>
              </w:rPr>
            </w:pPr>
            <w:r>
              <w:rPr>
                <w:rFonts w:hint="eastAsia"/>
                <w:color w:val="auto"/>
                <w:highlight w:val="none"/>
                <w:lang w:val="en-US" w:eastAsia="zh-CN"/>
              </w:rPr>
              <w:t>23</w:t>
            </w:r>
            <w:r>
              <w:rPr>
                <w:rFonts w:hint="default"/>
                <w:color w:val="auto"/>
                <w:highlight w:val="none"/>
                <w:lang w:val="en-US" w:eastAsia="zh-CN"/>
              </w:rPr>
              <w:t>.成交供应商提供书目要以核心出版社书目为主，征得</w:t>
            </w:r>
            <w:r>
              <w:rPr>
                <w:rFonts w:hint="eastAsia"/>
                <w:color w:val="auto"/>
                <w:highlight w:val="none"/>
                <w:lang w:val="en-US" w:eastAsia="zh-CN"/>
              </w:rPr>
              <w:t>采购人</w:t>
            </w:r>
            <w:r>
              <w:rPr>
                <w:rFonts w:hint="default"/>
                <w:color w:val="auto"/>
                <w:highlight w:val="none"/>
                <w:lang w:val="en-US" w:eastAsia="zh-CN"/>
              </w:rPr>
              <w:t>图书馆同意后，方可提供其他出版社的书目。</w:t>
            </w:r>
          </w:p>
          <w:p w14:paraId="266B6836">
            <w:pPr>
              <w:rPr>
                <w:rFonts w:hint="default"/>
                <w:color w:val="auto"/>
                <w:highlight w:val="none"/>
                <w:lang w:val="en-US" w:eastAsia="zh-CN"/>
              </w:rPr>
            </w:pPr>
            <w:r>
              <w:rPr>
                <w:rFonts w:hint="default"/>
                <w:color w:val="auto"/>
                <w:highlight w:val="none"/>
                <w:lang w:val="en-US" w:eastAsia="zh-CN"/>
              </w:rPr>
              <w:t>核心出版社名录：</w:t>
            </w:r>
          </w:p>
          <w:p w14:paraId="7CD83449">
            <w:pPr>
              <w:rPr>
                <w:rFonts w:hint="default"/>
                <w:color w:val="auto"/>
                <w:highlight w:val="none"/>
                <w:lang w:val="en-US" w:eastAsia="zh-CN"/>
              </w:rPr>
            </w:pPr>
            <w:r>
              <w:rPr>
                <w:rFonts w:hint="default"/>
                <w:color w:val="auto"/>
                <w:highlight w:val="none"/>
                <w:lang w:val="en-US" w:eastAsia="zh-CN"/>
              </w:rPr>
              <w:t>中国农业出版社、中国农业大学出版社、中国农业科学技术出版社、中国林业出版社、中国环境出版社（与中国环境出版集团合并）、社会科学文献出版社、人民出版社、中国社会科学出版社、中国经济出版社、经济管理出版社、中央文献出版社、民族出版社、中共党史出版社、中国方正出版社、中共中央党校出版社、南京大学出版社、北京十月文艺出版社、江苏凤凰出版社、广西师范大学出版社、上海三联书店、中国法制出版社、人民法院出版社、福建教育出版社、上海教育出版社、中国铁道出版社、北京理工大学出版社、地质出版社、气象出版社、测绘出版社、海洋出版社、中国地质大学出版社、国防工业出版社、航空工业出版社、西北工业大学出版社、应急管理出版社、冶金工业出版社、西安电子科技大学出版社、中国水利水电出版社、江苏凤凰科学技术出版社、上海交通大学出版社、中国石化出版社、华中科技大学出版社、中国医药科技出版社、中医古籍出版社、中国协和医科大学出版社、同济大学出版社、东南大学出版社、北京航空航天大学出版社、人民日报出版社、中国建材工业出版社、中国标准出版社、广西科学技术出版社、广西人民出版社、广西民族出版社、安徽人民出版社、北京出版社、长春出版社、重庆出版集团、党建读物出版社、法律出版社、湖南人民出版社、江苏人民出版社、江西人民出版社、解放军出版社、经济科学出版社、青岛出版社、山东人民出版社、商务印书馆、上海人民出版社、外文出版社、学习出版社、知识产权出版社、中国财政经济出版社、中国大百科全书出版社、中国金融出版社、中国劳动社会保障出版社、中国民主法制出版社、中国青年出版社、中国社会出版社、中国时代经济出版社、中信出版社、中央编译出版社、中国人民大学出版社、电子工业出版社、湖南科学技术出版社、化学工业出版社、机械工业出版社、江苏科学技术出版社、科学出版社、人民交通出版社、人民军医出版社、人民卫生出版社、人民邮电出版社、上海科学技术出版社、中国电力出版社、中国纺织出版社、中国建筑工业出版社、中国轻工业出版社、中国人口出版社、中国中医药出版社、北京大学出版社、北京大学医学出版社、北京师范大学出版社、北京语言大学出版社、重庆大学出版社、东北财经大学出版社、复旦大学出版社、湖南师范大学出版社、华东师范大学出版社、清华大学出版社、上海外语教育出版社、外语教学与研究出版社、西安交通大学出版社、西南师范大学出版社、厦门大学出版社、浙江大学出版社、中国矿业大学出版社、中国政法大学出版社、中南大学出版社、高等教育出版社、广东教育出版社、江苏教育出版社、人民教育出版社、浙江教育出版社、教育科学出版社、国家图书馆出版社、黄山书社、岳麓书社、中华书局、上海古籍出版社、浙江古籍出版社、长江文艺出版社、湖南文艺出版社、人民文学出版社、人民音乐出版社、上海文艺出版社、上海译文出版社、译林出版社、浙江文艺出版社、作家出版社、春风文艺出版社、花城出版社、漓江出版社、荣宝斋出版社、人民美术出版社、广西教育出版社、广西美术出版社、安徽教育出版社、安徽科学技术出版社、安徽美术出版社、安徽文艺出版社、巴蜀书社、百花文艺出版社、百花洲文艺出版社、北方文艺出版社、北京古籍出版社、北京科学技术出版社、北京联合出版公司、北京美术摄影出版社、崇文书局、大连出版社、当代世界出版社、当代中国出版社、东方出版社、东方出版中心、敦煌文艺出版社、方志出版社、凤凰出版社、福建科学技术出版社、福建美术出版社、福建人民出版社、甘肃教育出版社、甘肃科学技术出版社、甘肃人民出版社、甘肃人民美术出版社、甘肃文化出版社、格致出版社、古吴轩出版社、故宫出版社、广东高等教育出版社、广东经济出版社、广东科技出版社、广东旅游出版社、广陵书社、广州出版社、贵州教育出版社、贵州科技出版社、贵州人民出版社、国际文化出版公司、国家行政管理出版社、国家行政学院出版社、哈尔滨出版社、哈尔滨地图出版社、杭州出版社、河北教育出版社、河北科学技术出版社、河北美术出版社、河北人民出版社、河南科学技术出版社、河南美术出版社、河南文艺出版社、黑龙江教育出版社、黑龙江科学技术出版社、黑龙江人民出版社、红旗出版社、湖北教育出版社、湖北科学技术出版社、湖北美术出版社、湖南教育出版社、湖南美术出版社、花山文艺出版社、华龄出版社、华文出版社、华夏出版社、华乐出版社、华语教学出版社、黄河水利出版社、济南出版社、江苏凤凰教育出版社、江苏凤凰美术出版社、江苏凤凰文艺出版社、江苏美术出版社、江苏文艺出版社、江西教育出版社、江西科学技术出版社、江西美术出版社、教育科学出版社、金城出版社、金盾出版社、经济日报出版社、科学技术文献出版社、科学普及出版社、立信会计出版社、辽海出版社、辽宁科学技术出版社、辽宁美术出版社、辽宁民族出版社、辽宁人民出版社、岭南美术出版社、龙门书局、旅游教育出版社、民主与建设出版社、南方日报出版社、南海出版公司、南京出版社、内蒙古人民出版社、宁波出版社、宁夏人民出版社、齐鲁书社、企业管理出版社、青海人民出版社有限责任公司、群言出版社、群众出版社、人民体育出版社、三晋出版社、三秦出版社、山东画报出版社、山东教育出版社、山东科学技术出版社、山东美术出版社、山东文艺出版社、山东友谊出版社、山西教育出版社、山西经济出版社、山西科学技术出版社、山西人民出版社、陕西科学技术出版社、陕西旅游出版社、陕西人民出版社、上海辞书出版社、上海科技教育出版社、上海科学技术文献出版社、上海科学普及出版社、上海书店出版社、上海书画出版社、上海文化出版社、上海音乐出版社、上海远东出版社、沈阳出版社、生活书店出版有限公司、时代文艺出版社、时事出版社、世界图书出版公司、世界知识出版社、深圳出版社、四川辞书出版社、四川科学技术出版社、四川美术出版社、四川民族出版社、四川文艺出版社、天津出版传媒集团、天津古籍出版社、天津科技翻译出版有限公司、天津科学技术出版社、天津人民出版社、天津人民美术出版社、天津社会科学院出版社、武汉出版社、西安出版社、西安地图出版社、西藏人民出版社、西泠印社出版社、西苑出版社、现代出版社、现代教育出版社、线装书局、新疆人民出版社、新疆生产建设兵团出版社、新世界出版社、新星出版社、学林出版社、学苑出版社、研究出版社、语文出版社、远方出版社、云南教育出版社、云南科技出版社、云南美术出版社、长江出版社、浙江人民美术出版社、浙江摄影出版社、中国财富出版社、中国藏学出版社、中国城市出版社、中国大地出版社、中国地图出版社、中国发展出版社、中国妇女出版社、中国工人出版社、中国工商出版社、中国广播影视出版社、中国国际广播出版社、中国国际文化出版社、中国海关出版社有限公司、中国华侨出版社、中国画报出版社、中国计划出版社、中国科学技术出版社、中国民航出版社、中国民族摄影艺术出版社、中国民族文化出版社、中国人事出版社、中国三峡出版社、中国商务出版社、中国商业出版社、中国摄影出版社、中国市场出版社、中国书店出版社、中国税务出版社、中国统计出版社、中国文联出版社、中国物资出版社、中国戏剧出版社、中国言实出版社、中国友谊出版公司、中国宇航出版社、中国原子能出版社、中国长安出版社、中华工商联合出版社、中西书局、中译出版社、中原农民出版社、中州古籍出版社、重庆出版社、紫禁城出版社、江苏古籍出版社、山西古籍出版社、北京邮电大学出版社、中国海洋大学出版社、中国传媒大学出版社、上海财经大学出版社、武汉大学出版社、华南理工大学出版社、武汉理工大学出版社、西南财经大学出版社、东北师范大学出版社、哈尔滨工业大学出版社、华东理工大学出版社、中国科学技术大学出版社、江西高校出版社、中国环境科学出版社、浙江人民出版社、人民文艺出版社、国家开放大学出版社、九州出版社、江苏大学出版社、四川大学出版社、天津大学出版社、湘潭大学出版社、新华出版社、中国书籍出版社。</w:t>
            </w:r>
          </w:p>
          <w:p w14:paraId="078A3925">
            <w:pPr>
              <w:keepNext/>
              <w:keepLines w:val="0"/>
              <w:pageBreakBefore w:val="0"/>
              <w:widowControl/>
              <w:numPr>
                <w:ilvl w:val="0"/>
                <w:numId w:val="0"/>
              </w:numPr>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成交供应商出现下述情形的</w:t>
            </w:r>
            <w:r>
              <w:rPr>
                <w:rFonts w:hint="eastAsia" w:ascii="宋体" w:hAnsi="宋体" w:eastAsia="宋体" w:cs="宋体"/>
                <w:color w:val="auto"/>
                <w:sz w:val="21"/>
                <w:szCs w:val="21"/>
                <w:highlight w:val="none"/>
                <w:lang w:val="en-US" w:eastAsia="zh-CN"/>
              </w:rPr>
              <w:t>，采购人</w:t>
            </w:r>
            <w:r>
              <w:rPr>
                <w:rFonts w:hint="eastAsia" w:ascii="宋体" w:hAnsi="宋体" w:cs="宋体"/>
                <w:color w:val="auto"/>
                <w:sz w:val="21"/>
                <w:szCs w:val="21"/>
                <w:highlight w:val="none"/>
                <w:lang w:val="en-US" w:eastAsia="zh-CN"/>
              </w:rPr>
              <w:t>有权</w:t>
            </w:r>
            <w:r>
              <w:rPr>
                <w:rFonts w:hint="eastAsia" w:ascii="宋体" w:hAnsi="宋体" w:eastAsia="宋体" w:cs="宋体"/>
                <w:color w:val="auto"/>
                <w:sz w:val="21"/>
                <w:szCs w:val="21"/>
                <w:highlight w:val="none"/>
                <w:lang w:val="en-US" w:eastAsia="zh-CN"/>
              </w:rPr>
              <w:t>单方面解除合同。</w:t>
            </w:r>
          </w:p>
          <w:p w14:paraId="0FABD9D2">
            <w:pPr>
              <w:keepNext/>
              <w:keepLines w:val="0"/>
              <w:pageBreakBefore w:val="0"/>
              <w:widowControl/>
              <w:numPr>
                <w:ilvl w:val="0"/>
                <w:numId w:val="0"/>
              </w:numPr>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（1）每</w:t>
            </w:r>
            <w:r>
              <w:rPr>
                <w:rFonts w:hint="eastAsia"/>
                <w:color w:val="auto"/>
                <w:highlight w:val="none"/>
                <w:lang w:eastAsia="zh-CN"/>
              </w:rPr>
              <w:t>次</w:t>
            </w:r>
            <w:r>
              <w:rPr>
                <w:rFonts w:hint="eastAsia" w:ascii="宋体" w:hAnsi="宋体" w:eastAsia="宋体" w:cs="宋体"/>
                <w:color w:val="auto"/>
                <w:sz w:val="21"/>
                <w:szCs w:val="21"/>
                <w:highlight w:val="none"/>
                <w:lang w:val="en-US" w:eastAsia="zh-CN"/>
              </w:rPr>
              <w:t>交付验收纸质图书少于图书馆指定册数</w:t>
            </w:r>
            <w:r>
              <w:rPr>
                <w:rFonts w:hint="eastAsia" w:ascii="宋体" w:hAnsi="宋体" w:cs="宋体"/>
                <w:color w:val="auto"/>
                <w:sz w:val="21"/>
                <w:szCs w:val="21"/>
                <w:highlight w:val="none"/>
                <w:lang w:val="en-US" w:eastAsia="zh-CN"/>
              </w:rPr>
              <w:t>，</w:t>
            </w:r>
            <w:r>
              <w:rPr>
                <w:rFonts w:hint="eastAsia" w:ascii="宋体" w:hAnsi="宋体" w:cs="宋体"/>
                <w:color w:val="auto"/>
                <w:szCs w:val="21"/>
                <w:highlight w:val="none"/>
              </w:rPr>
              <w:t>且差额比例超过5 %的</w:t>
            </w:r>
            <w:r>
              <w:rPr>
                <w:rFonts w:hint="eastAsia" w:ascii="宋体" w:hAnsi="宋体" w:eastAsia="宋体" w:cs="宋体"/>
                <w:color w:val="auto"/>
                <w:sz w:val="21"/>
                <w:szCs w:val="21"/>
                <w:highlight w:val="none"/>
                <w:lang w:val="en-US" w:eastAsia="zh-CN"/>
              </w:rPr>
              <w:t>；</w:t>
            </w:r>
          </w:p>
          <w:p w14:paraId="0197F87C">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（2）出于效益等因素的考虑而故意隐藏图书出版信息或不提供可获得的图书；</w:t>
            </w:r>
          </w:p>
          <w:p w14:paraId="2C28034D">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（3）加工图书质量不符合</w:t>
            </w:r>
            <w:r>
              <w:rPr>
                <w:rFonts w:hint="eastAsia" w:ascii="宋体" w:hAnsi="宋体" w:eastAsia="宋体" w:cs="宋体"/>
                <w:i w:val="0"/>
                <w:iCs w:val="0"/>
                <w:caps w:val="0"/>
                <w:color w:val="auto"/>
                <w:spacing w:val="0"/>
                <w:sz w:val="21"/>
                <w:szCs w:val="21"/>
                <w:highlight w:val="none"/>
                <w:shd w:val="clear" w:color="auto" w:fill="auto"/>
              </w:rPr>
              <w:t>本项目约定标准，经采购人通知后5个日历日内未整改合格的</w:t>
            </w:r>
            <w:r>
              <w:rPr>
                <w:rFonts w:hint="eastAsia" w:ascii="宋体" w:hAnsi="宋体" w:eastAsia="宋体" w:cs="宋体"/>
                <w:color w:val="auto"/>
                <w:sz w:val="21"/>
                <w:szCs w:val="21"/>
                <w:highlight w:val="none"/>
                <w:lang w:val="en-US" w:eastAsia="zh-CN"/>
              </w:rPr>
              <w:t>；</w:t>
            </w:r>
          </w:p>
          <w:p w14:paraId="7AB6A3EA">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（4）提供纸质图书为</w:t>
            </w:r>
            <w:r>
              <w:rPr>
                <w:rFonts w:hint="eastAsia" w:ascii="宋体" w:hAnsi="宋体" w:eastAsia="宋体" w:cs="宋体"/>
                <w:i w:val="0"/>
                <w:iCs w:val="0"/>
                <w:caps w:val="0"/>
                <w:color w:val="auto"/>
                <w:spacing w:val="0"/>
                <w:sz w:val="21"/>
                <w:szCs w:val="21"/>
                <w:highlight w:val="none"/>
                <w:shd w:val="clear" w:color="auto" w:fill="auto"/>
              </w:rPr>
              <w:t>盗版、盗印、非法复制或未经授权发行</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i w:val="0"/>
                <w:iCs w:val="0"/>
                <w:caps w:val="0"/>
                <w:color w:val="auto"/>
                <w:spacing w:val="0"/>
                <w:sz w:val="21"/>
                <w:szCs w:val="21"/>
                <w:highlight w:val="none"/>
                <w:shd w:val="clear" w:color="auto" w:fill="auto"/>
              </w:rPr>
              <w:t>违规图书，经查证属实的</w:t>
            </w:r>
            <w:r>
              <w:rPr>
                <w:rFonts w:hint="eastAsia" w:ascii="宋体" w:hAnsi="宋体" w:eastAsia="宋体" w:cs="宋体"/>
                <w:color w:val="auto"/>
                <w:sz w:val="21"/>
                <w:szCs w:val="21"/>
                <w:highlight w:val="none"/>
                <w:lang w:val="en-US" w:eastAsia="zh-CN"/>
              </w:rPr>
              <w:t>；</w:t>
            </w:r>
          </w:p>
          <w:p w14:paraId="5F2FA85F">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（5）未按采购人要求配送图书，</w:t>
            </w:r>
            <w:r>
              <w:rPr>
                <w:rFonts w:hint="eastAsia" w:ascii="宋体" w:hAnsi="宋体" w:eastAsia="宋体" w:cs="宋体"/>
                <w:i w:val="0"/>
                <w:iCs w:val="0"/>
                <w:caps w:val="0"/>
                <w:color w:val="auto"/>
                <w:spacing w:val="0"/>
                <w:sz w:val="21"/>
                <w:szCs w:val="21"/>
                <w:highlight w:val="none"/>
                <w:shd w:val="clear" w:color="auto" w:fill="auto"/>
              </w:rPr>
              <w:t>存在发错、发漏、混装等情形，且单次订单差错率超过</w:t>
            </w:r>
            <w:r>
              <w:rPr>
                <w:rFonts w:hint="eastAsia" w:ascii="宋体" w:hAnsi="宋体" w:cs="宋体"/>
                <w:i w:val="0"/>
                <w:iCs w:val="0"/>
                <w:caps w:val="0"/>
                <w:color w:val="auto"/>
                <w:spacing w:val="0"/>
                <w:sz w:val="21"/>
                <w:szCs w:val="21"/>
                <w:highlight w:val="none"/>
                <w:shd w:val="clear" w:color="auto" w:fill="auto"/>
                <w:lang w:val="en-US" w:eastAsia="zh-CN"/>
              </w:rPr>
              <w:t>5</w:t>
            </w:r>
            <w:r>
              <w:rPr>
                <w:rFonts w:hint="eastAsia" w:ascii="宋体" w:hAnsi="宋体" w:eastAsia="宋体" w:cs="宋体"/>
                <w:i w:val="0"/>
                <w:iCs w:val="0"/>
                <w:caps w:val="0"/>
                <w:color w:val="auto"/>
                <w:spacing w:val="0"/>
                <w:sz w:val="21"/>
                <w:szCs w:val="21"/>
                <w:highlight w:val="none"/>
                <w:shd w:val="clear" w:color="auto" w:fill="auto"/>
              </w:rPr>
              <w:t>% 或累计出现3次以上（含3次）差错的</w:t>
            </w:r>
            <w:r>
              <w:rPr>
                <w:rFonts w:hint="eastAsia" w:ascii="宋体" w:hAnsi="宋体" w:cs="宋体"/>
                <w:color w:val="auto"/>
                <w:sz w:val="21"/>
                <w:szCs w:val="21"/>
                <w:highlight w:val="none"/>
                <w:lang w:val="en-US" w:eastAsia="zh-CN"/>
              </w:rPr>
              <w:t>；</w:t>
            </w:r>
          </w:p>
          <w:p w14:paraId="0860C95E">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（6）书目中</w:t>
            </w:r>
            <w:r>
              <w:rPr>
                <w:rFonts w:hint="eastAsia" w:ascii="宋体" w:hAnsi="宋体" w:cs="宋体"/>
                <w:color w:val="auto"/>
                <w:sz w:val="21"/>
                <w:szCs w:val="21"/>
                <w:highlight w:val="none"/>
                <w:lang w:val="en-US" w:eastAsia="zh-CN"/>
              </w:rPr>
              <w:t>未</w:t>
            </w:r>
            <w:r>
              <w:rPr>
                <w:rFonts w:hint="eastAsia" w:ascii="宋体" w:hAnsi="宋体" w:eastAsia="宋体" w:cs="宋体"/>
                <w:color w:val="auto"/>
                <w:sz w:val="21"/>
                <w:szCs w:val="21"/>
                <w:highlight w:val="none"/>
                <w:lang w:val="en-US" w:eastAsia="zh-CN"/>
              </w:rPr>
              <w:t>提供书名、书号、内容简介、出版社、出版时间、符合读者人群、价格等图书基本信息</w:t>
            </w:r>
            <w:r>
              <w:rPr>
                <w:rFonts w:hint="eastAsia" w:ascii="宋体" w:hAnsi="宋体" w:cs="宋体"/>
                <w:color w:val="auto"/>
                <w:sz w:val="21"/>
                <w:szCs w:val="21"/>
                <w:highlight w:val="none"/>
                <w:lang w:val="en-US" w:eastAsia="zh-CN"/>
              </w:rPr>
              <w:t>，</w:t>
            </w:r>
            <w:r>
              <w:rPr>
                <w:rFonts w:hint="eastAsia" w:ascii="宋体" w:hAnsi="宋体" w:eastAsia="宋体" w:cs="宋体"/>
                <w:i w:val="0"/>
                <w:iCs w:val="0"/>
                <w:caps w:val="0"/>
                <w:color w:val="auto"/>
                <w:spacing w:val="0"/>
                <w:sz w:val="21"/>
                <w:szCs w:val="21"/>
                <w:highlight w:val="none"/>
                <w:shd w:val="clear" w:color="auto" w:fill="auto"/>
              </w:rPr>
              <w:t>导致采购人无法正常采购的</w:t>
            </w:r>
            <w:r>
              <w:rPr>
                <w:rFonts w:hint="eastAsia" w:ascii="宋体" w:hAnsi="宋体" w:eastAsia="宋体" w:cs="宋体"/>
                <w:color w:val="auto"/>
                <w:sz w:val="21"/>
                <w:szCs w:val="21"/>
                <w:highlight w:val="none"/>
                <w:lang w:val="en-US" w:eastAsia="zh-CN"/>
              </w:rPr>
              <w:t>；</w:t>
            </w:r>
          </w:p>
          <w:p w14:paraId="556A43F3">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（7）未能按照采购人要求粘贴</w:t>
            </w:r>
            <w:r>
              <w:rPr>
                <w:rFonts w:hint="eastAsia" w:ascii="宋体" w:hAnsi="宋体" w:eastAsia="宋体" w:cs="宋体"/>
                <w:i w:val="0"/>
                <w:iCs w:val="0"/>
                <w:caps w:val="0"/>
                <w:color w:val="auto"/>
                <w:spacing w:val="0"/>
                <w:sz w:val="21"/>
                <w:szCs w:val="21"/>
                <w:highlight w:val="none"/>
                <w:shd w:val="clear" w:color="auto" w:fill="auto"/>
              </w:rPr>
              <w:t>打包标识</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color w:val="auto"/>
                <w:sz w:val="21"/>
                <w:szCs w:val="21"/>
                <w:highlight w:val="none"/>
                <w:lang w:val="en-US" w:eastAsia="zh-CN"/>
              </w:rPr>
              <w:t>打包图书的基本信息；</w:t>
            </w:r>
            <w:r>
              <w:rPr>
                <w:rFonts w:hint="eastAsia" w:ascii="宋体" w:hAnsi="宋体" w:eastAsia="宋体" w:cs="宋体"/>
                <w:i w:val="0"/>
                <w:iCs w:val="0"/>
                <w:caps w:val="0"/>
                <w:color w:val="auto"/>
                <w:spacing w:val="0"/>
                <w:sz w:val="21"/>
                <w:szCs w:val="21"/>
                <w:highlight w:val="none"/>
                <w:shd w:val="clear" w:color="auto" w:fill="auto"/>
              </w:rPr>
              <w:t>或打包信息与实物不符，经采购人提醒后仍未整改的</w:t>
            </w:r>
            <w:r>
              <w:rPr>
                <w:rFonts w:hint="eastAsia" w:ascii="宋体" w:hAnsi="宋体" w:eastAsia="宋体" w:cs="宋体"/>
                <w:color w:val="auto"/>
                <w:sz w:val="21"/>
                <w:szCs w:val="21"/>
                <w:highlight w:val="none"/>
                <w:lang w:val="en-US" w:eastAsia="zh-CN"/>
              </w:rPr>
              <w:t>；</w:t>
            </w:r>
          </w:p>
          <w:p w14:paraId="78F6F6D2">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r>
              <w:rPr>
                <w:rFonts w:hint="eastAsia" w:ascii="宋体" w:hAnsi="宋体" w:eastAsia="宋体" w:cs="宋体"/>
                <w:i w:val="0"/>
                <w:iCs w:val="0"/>
                <w:caps w:val="0"/>
                <w:color w:val="auto"/>
                <w:spacing w:val="0"/>
                <w:sz w:val="21"/>
                <w:szCs w:val="21"/>
                <w:highlight w:val="none"/>
                <w:shd w:val="clear" w:color="auto" w:fill="auto"/>
              </w:rPr>
              <w:t>无正当理由拒绝履行图书打包义务，或未按要求提供打包材料及设备的</w:t>
            </w:r>
            <w:r>
              <w:rPr>
                <w:rFonts w:hint="eastAsia" w:ascii="宋体" w:hAnsi="宋体" w:eastAsia="宋体" w:cs="宋体"/>
                <w:color w:val="auto"/>
                <w:sz w:val="21"/>
                <w:szCs w:val="21"/>
                <w:highlight w:val="none"/>
                <w:lang w:val="en-US" w:eastAsia="zh-CN"/>
              </w:rPr>
              <w:t>；</w:t>
            </w:r>
          </w:p>
          <w:p w14:paraId="28E44DEF">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r>
              <w:rPr>
                <w:rFonts w:hint="eastAsia" w:ascii="宋体" w:hAnsi="宋体" w:eastAsia="宋体" w:cs="宋体"/>
                <w:i w:val="0"/>
                <w:iCs w:val="0"/>
                <w:caps w:val="0"/>
                <w:color w:val="auto"/>
                <w:spacing w:val="0"/>
                <w:sz w:val="21"/>
                <w:szCs w:val="21"/>
                <w:highlight w:val="none"/>
                <w:shd w:val="clear" w:color="auto" w:fill="auto"/>
              </w:rPr>
              <w:t>无正当理由拒绝履行图书搬运、上架（新购图书）及旧书下架</w:t>
            </w:r>
            <w:r>
              <w:rPr>
                <w:rFonts w:hint="eastAsia" w:ascii="宋体" w:hAnsi="宋体" w:cs="宋体"/>
                <w:color w:val="auto"/>
                <w:sz w:val="21"/>
                <w:szCs w:val="21"/>
                <w:highlight w:val="none"/>
                <w:lang w:val="en-US" w:eastAsia="zh-CN"/>
              </w:rPr>
              <w:t>义务</w:t>
            </w:r>
            <w:r>
              <w:rPr>
                <w:rFonts w:hint="eastAsia" w:ascii="宋体" w:hAnsi="宋体" w:eastAsia="宋体" w:cs="宋体"/>
                <w:color w:val="auto"/>
                <w:sz w:val="21"/>
                <w:szCs w:val="21"/>
                <w:highlight w:val="none"/>
                <w:lang w:val="en-US" w:eastAsia="zh-CN"/>
              </w:rPr>
              <w:t>；</w:t>
            </w:r>
          </w:p>
          <w:p w14:paraId="0F7680C5">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（10）自每笔订单发出之日起，</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r>
              <w:rPr>
                <w:rFonts w:hint="eastAsia" w:ascii="宋体" w:hAnsi="宋体" w:cs="宋体"/>
                <w:color w:val="auto"/>
                <w:sz w:val="21"/>
                <w:szCs w:val="21"/>
                <w:highlight w:val="none"/>
                <w:lang w:val="en-US" w:eastAsia="zh-CN"/>
              </w:rPr>
              <w:t>日历</w:t>
            </w:r>
            <w:r>
              <w:rPr>
                <w:rFonts w:hint="eastAsia" w:ascii="宋体" w:hAnsi="宋体" w:eastAsia="宋体" w:cs="宋体"/>
                <w:color w:val="auto"/>
                <w:sz w:val="21"/>
                <w:szCs w:val="21"/>
                <w:highlight w:val="none"/>
                <w:lang w:val="en-US" w:eastAsia="zh-CN"/>
              </w:rPr>
              <w:t>日内该笔订单到书率低于90%</w:t>
            </w:r>
            <w:r>
              <w:rPr>
                <w:rFonts w:hint="eastAsia" w:ascii="宋体" w:hAnsi="宋体" w:eastAsia="宋体" w:cs="宋体"/>
                <w:i w:val="0"/>
                <w:iCs w:val="0"/>
                <w:caps w:val="0"/>
                <w:color w:val="auto"/>
                <w:spacing w:val="0"/>
                <w:sz w:val="21"/>
                <w:szCs w:val="21"/>
                <w:highlight w:val="none"/>
                <w:shd w:val="clear" w:color="auto" w:fill="auto"/>
              </w:rPr>
              <w:t>（</w:t>
            </w:r>
            <w:r>
              <w:rPr>
                <w:rFonts w:hint="eastAsia" w:ascii="宋体" w:hAnsi="宋体" w:eastAsia="宋体" w:cs="宋体"/>
                <w:b/>
                <w:bCs/>
                <w:color w:val="auto"/>
                <w:highlight w:val="none"/>
                <w:lang w:val="en-US" w:eastAsia="zh-CN"/>
              </w:rPr>
              <w:t>附件B《B分标特价纸质图书必选书目清单》</w:t>
            </w:r>
            <w:r>
              <w:rPr>
                <w:rFonts w:hint="eastAsia" w:ascii="宋体" w:hAnsi="宋体" w:eastAsia="宋体" w:cs="宋体"/>
                <w:b w:val="0"/>
                <w:bCs w:val="0"/>
                <w:color w:val="auto"/>
                <w:highlight w:val="none"/>
                <w:lang w:val="en-US" w:eastAsia="zh-CN"/>
              </w:rPr>
              <w:t>的到书率</w:t>
            </w:r>
            <w:r>
              <w:rPr>
                <w:rFonts w:hint="eastAsia" w:ascii="宋体" w:hAnsi="宋体" w:eastAsia="宋体" w:cs="宋体"/>
                <w:i w:val="0"/>
                <w:iCs w:val="0"/>
                <w:caps w:val="0"/>
                <w:color w:val="auto"/>
                <w:spacing w:val="0"/>
                <w:sz w:val="21"/>
                <w:szCs w:val="21"/>
                <w:highlight w:val="none"/>
                <w:shd w:val="clear" w:color="auto" w:fill="auto"/>
                <w:lang w:eastAsia="zh-CN"/>
              </w:rPr>
              <w:t>低于</w:t>
            </w:r>
            <w:r>
              <w:rPr>
                <w:rFonts w:hint="eastAsia" w:ascii="宋体" w:hAnsi="宋体" w:eastAsia="宋体" w:cs="宋体"/>
                <w:i w:val="0"/>
                <w:iCs w:val="0"/>
                <w:caps w:val="0"/>
                <w:color w:val="auto"/>
                <w:spacing w:val="0"/>
                <w:sz w:val="21"/>
                <w:szCs w:val="21"/>
                <w:highlight w:val="none"/>
                <w:shd w:val="clear" w:color="auto" w:fill="auto"/>
              </w:rPr>
              <w:t>95%）</w:t>
            </w:r>
            <w:r>
              <w:rPr>
                <w:rFonts w:hint="eastAsia" w:ascii="宋体" w:hAnsi="宋体" w:eastAsia="宋体" w:cs="宋体"/>
                <w:color w:val="auto"/>
                <w:sz w:val="21"/>
                <w:szCs w:val="21"/>
                <w:highlight w:val="none"/>
                <w:lang w:val="en-US" w:eastAsia="zh-CN"/>
              </w:rPr>
              <w:t>，到书率以Interlib3.5图书馆管理系统统计数据为准，订单发出时间以qq或者微信等社交软件的聊天记录</w:t>
            </w:r>
            <w:r>
              <w:rPr>
                <w:rFonts w:hint="eastAsia" w:ascii="宋体" w:hAnsi="宋体" w:cs="宋体"/>
                <w:color w:val="auto"/>
                <w:sz w:val="21"/>
                <w:szCs w:val="21"/>
                <w:highlight w:val="none"/>
                <w:lang w:val="en-US" w:eastAsia="zh-CN"/>
              </w:rPr>
              <w:t>或书面订单签收记录</w:t>
            </w:r>
            <w:r>
              <w:rPr>
                <w:rFonts w:hint="eastAsia" w:ascii="宋体" w:hAnsi="宋体" w:eastAsia="宋体" w:cs="宋体"/>
                <w:color w:val="auto"/>
                <w:sz w:val="21"/>
                <w:szCs w:val="21"/>
                <w:highlight w:val="none"/>
                <w:lang w:val="en-US" w:eastAsia="zh-CN"/>
              </w:rPr>
              <w:t>为准；</w:t>
            </w:r>
          </w:p>
          <w:p w14:paraId="7287F8F1">
            <w:pPr>
              <w:keepNext/>
              <w:keepLines w:val="0"/>
              <w:pageBreakBefore w:val="0"/>
              <w:widowControl/>
              <w:kinsoku/>
              <w:wordWrap/>
              <w:overflowPunct/>
              <w:topLinePunct w:val="0"/>
              <w:autoSpaceDE/>
              <w:autoSpaceDN/>
              <w:bidi w:val="0"/>
              <w:snapToGrid w:val="0"/>
              <w:spacing w:line="340" w:lineRule="exac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r>
              <w:rPr>
                <w:rFonts w:hint="eastAsia" w:ascii="宋体" w:hAnsi="宋体" w:eastAsia="宋体" w:cs="宋体"/>
                <w:i w:val="0"/>
                <w:iCs w:val="0"/>
                <w:caps w:val="0"/>
                <w:color w:val="auto"/>
                <w:spacing w:val="0"/>
                <w:sz w:val="21"/>
                <w:szCs w:val="21"/>
                <w:highlight w:val="none"/>
                <w:shd w:val="clear" w:color="auto" w:fill="auto"/>
              </w:rPr>
              <w:t>供应的图书</w:t>
            </w:r>
            <w:r>
              <w:rPr>
                <w:rFonts w:hint="eastAsia" w:ascii="宋体" w:hAnsi="宋体" w:cs="宋体"/>
                <w:color w:val="auto"/>
                <w:szCs w:val="21"/>
                <w:highlight w:val="none"/>
                <w:lang w:val="en-US" w:eastAsia="zh-CN"/>
              </w:rPr>
              <w:t>图书出现与馆藏重复、质量（包含污损、图文</w:t>
            </w:r>
            <w:r>
              <w:rPr>
                <w:rFonts w:hint="default"/>
                <w:color w:val="auto"/>
                <w:highlight w:val="none"/>
                <w:lang w:val="en-US" w:eastAsia="zh-CN"/>
              </w:rPr>
              <w:t>不清、缺页、倒页、缺附件等不合格情况）、内容（包括重书、空白页＞5页的书）、通过扫描图书封底ISBN条码读取出的号与图书在版编目（CIP）数据中ISBN号不符等问题，</w:t>
            </w:r>
            <w:r>
              <w:rPr>
                <w:rFonts w:hint="eastAsia" w:ascii="宋体" w:hAnsi="宋体" w:eastAsia="宋体" w:cs="宋体"/>
                <w:i w:val="0"/>
                <w:iCs w:val="0"/>
                <w:caps w:val="0"/>
                <w:color w:val="auto"/>
                <w:spacing w:val="0"/>
                <w:sz w:val="21"/>
                <w:szCs w:val="21"/>
                <w:highlight w:val="none"/>
                <w:shd w:val="clear" w:color="auto" w:fill="auto"/>
              </w:rPr>
              <w:t>拒绝按约定无条件退换货，或逾期未办理退换货手续的</w:t>
            </w:r>
            <w:r>
              <w:rPr>
                <w:rFonts w:hint="eastAsia" w:ascii="宋体" w:hAnsi="宋体" w:eastAsia="宋体" w:cs="宋体"/>
                <w:color w:val="auto"/>
                <w:sz w:val="21"/>
                <w:szCs w:val="21"/>
                <w:highlight w:val="none"/>
                <w:lang w:val="en-US" w:eastAsia="zh-CN"/>
              </w:rPr>
              <w:t>；</w:t>
            </w:r>
          </w:p>
          <w:p w14:paraId="57B18C4C">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hint="eastAsia" w:ascii="宋体" w:hAnsi="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（12）未经过采购人同意，提供非核心出版社的书目</w:t>
            </w:r>
            <w:r>
              <w:rPr>
                <w:rFonts w:hint="eastAsia" w:ascii="宋体" w:hAnsi="宋体" w:cs="宋体"/>
                <w:color w:val="auto"/>
                <w:sz w:val="21"/>
                <w:szCs w:val="21"/>
                <w:highlight w:val="none"/>
                <w:lang w:val="en-US" w:eastAsia="zh-CN"/>
              </w:rPr>
              <w:t>；</w:t>
            </w:r>
          </w:p>
          <w:p w14:paraId="1D3E80A5">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（13）违反本项目数据保密义务，泄露采购人馆藏数据、采购需求等敏感信息，造成不良影响或损失的；​</w:t>
            </w:r>
          </w:p>
          <w:p w14:paraId="718F5757">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（14）累计2次及以上未按约定提供现场书展服务，或书展展出品种、形式不符合要求且未整改的；​</w:t>
            </w:r>
          </w:p>
          <w:p w14:paraId="57F0CAC0">
            <w:pPr>
              <w:keepNext/>
              <w:keepLines w:val="0"/>
              <w:widowControl/>
              <w:suppressLineNumbers w:val="0"/>
              <w:pBdr>
                <w:top w:val="none" w:color="auto" w:sz="0" w:space="0"/>
                <w:left w:val="none" w:color="auto" w:sz="0" w:space="0"/>
                <w:bottom w:val="none" w:color="auto" w:sz="0" w:space="0"/>
                <w:right w:val="none" w:color="auto" w:sz="0" w:space="0"/>
              </w:pBdr>
              <w:shd w:val="clear" w:color="auto" w:fill="auto"/>
              <w:snapToGrid w:val="0"/>
              <w:spacing w:before="0" w:beforeAutospacing="0" w:after="0" w:afterAutospacing="0" w:line="340" w:lineRule="exact"/>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（15）加急配送急需图书未在7个日历日内送达，或额外向采购人收取加急配送费用的；​</w:t>
            </w:r>
          </w:p>
          <w:p w14:paraId="114CD392">
            <w:pPr>
              <w:spacing w:line="320" w:lineRule="exact"/>
              <w:jc w:val="both"/>
              <w:rPr>
                <w:rFonts w:hint="eastAsia" w:ascii="宋体" w:hAnsi="宋体" w:eastAsia="宋体" w:cs="宋体"/>
                <w:color w:val="auto"/>
                <w:szCs w:val="21"/>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（16）其他严重违反本合同约定的履约义务，经采购人书面催告后仍未纠正的情形。</w:t>
            </w:r>
          </w:p>
        </w:tc>
      </w:tr>
      <w:tr w14:paraId="60FDBCA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1E910D45">
            <w:pPr>
              <w:widowControl/>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▲二、商务要求</w:t>
            </w:r>
          </w:p>
        </w:tc>
      </w:tr>
      <w:tr w14:paraId="7841B91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207706B8">
            <w:pPr>
              <w:spacing w:line="380" w:lineRule="exact"/>
              <w:jc w:val="center"/>
              <w:rPr>
                <w:rFonts w:hint="eastAsia" w:ascii="宋体" w:hAnsi="宋体" w:eastAsia="宋体" w:cs="宋体"/>
                <w:b/>
                <w:bCs/>
                <w:snapToGrid/>
                <w:color w:val="auto"/>
                <w:kern w:val="2"/>
                <w:sz w:val="21"/>
                <w:szCs w:val="21"/>
                <w:highlight w:val="none"/>
                <w:lang w:val="en-US" w:eastAsia="zh-CN" w:bidi="ar-SA"/>
              </w:rPr>
            </w:pPr>
            <w:r>
              <w:rPr>
                <w:rFonts w:hint="eastAsia" w:ascii="宋体" w:hAnsi="宋体" w:cs="Times New Roman"/>
                <w:b/>
                <w:bCs/>
                <w:snapToGrid/>
                <w:color w:val="auto"/>
                <w:kern w:val="2"/>
                <w:sz w:val="21"/>
                <w:szCs w:val="21"/>
                <w:highlight w:val="none"/>
                <w:lang w:val="en-US" w:eastAsia="zh-CN" w:bidi="ar-SA"/>
              </w:rPr>
              <w:t>合同签订时间及服务期限</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773F664A">
            <w:pPr>
              <w:spacing w:line="300" w:lineRule="exact"/>
              <w:rPr>
                <w:rFonts w:hint="eastAsia" w:ascii="宋体" w:hAnsi="宋体" w:cs="宋体"/>
                <w:color w:val="auto"/>
                <w:highlight w:val="none"/>
                <w:lang w:eastAsia="zh-CN"/>
              </w:rPr>
            </w:pPr>
            <w:r>
              <w:rPr>
                <w:rFonts w:hint="eastAsia" w:ascii="宋体" w:hAnsi="宋体" w:cs="宋体"/>
                <w:color w:val="auto"/>
                <w:highlight w:val="none"/>
                <w:lang w:val="en-US" w:eastAsia="zh-CN"/>
              </w:rPr>
              <w:t>1.</w:t>
            </w:r>
            <w:r>
              <w:rPr>
                <w:rFonts w:hint="eastAsia" w:ascii="宋体" w:hAnsi="宋体" w:cs="宋体"/>
                <w:color w:val="auto"/>
                <w:highlight w:val="none"/>
              </w:rPr>
              <w:t>自成交通知书发出之日起 25日内</w:t>
            </w:r>
            <w:r>
              <w:rPr>
                <w:rFonts w:hint="eastAsia" w:ascii="宋体" w:hAnsi="宋体" w:cs="宋体"/>
                <w:color w:val="auto"/>
                <w:highlight w:val="none"/>
                <w:lang w:eastAsia="zh-CN"/>
              </w:rPr>
              <w:t>签订合同。</w:t>
            </w:r>
          </w:p>
          <w:p w14:paraId="1A81E0B1">
            <w:pPr>
              <w:spacing w:line="300" w:lineRule="exact"/>
              <w:rPr>
                <w:rFonts w:hint="eastAsia" w:ascii="宋体" w:hAnsi="宋体" w:eastAsia="宋体" w:cs="宋体"/>
                <w:color w:val="auto"/>
                <w:highlight w:val="none"/>
                <w:lang w:val="en-US" w:eastAsia="zh-CN"/>
              </w:rPr>
            </w:pPr>
            <w:r>
              <w:rPr>
                <w:rFonts w:hint="eastAsia" w:ascii="宋体" w:hAnsi="宋体" w:cs="宋体"/>
                <w:color w:val="auto"/>
                <w:highlight w:val="none"/>
                <w:lang w:val="en-US" w:eastAsia="zh-CN"/>
              </w:rPr>
              <w:t>2.</w:t>
            </w:r>
            <w:r>
              <w:rPr>
                <w:rFonts w:hint="eastAsia" w:ascii="宋体" w:hAnsi="宋体" w:cs="宋体"/>
                <w:color w:val="auto"/>
                <w:highlight w:val="none"/>
              </w:rPr>
              <w:t>服务期限：自签订合同之日起至2027年4月30日止</w:t>
            </w:r>
            <w:r>
              <w:rPr>
                <w:rFonts w:hint="eastAsia" w:ascii="宋体" w:hAnsi="宋体" w:cs="宋体"/>
                <w:color w:val="auto"/>
                <w:highlight w:val="none"/>
                <w:lang w:eastAsia="zh-CN"/>
              </w:rPr>
              <w:t>。</w:t>
            </w:r>
          </w:p>
        </w:tc>
      </w:tr>
      <w:tr w14:paraId="0C7A47BB">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43724D47">
            <w:pPr>
              <w:spacing w:line="380" w:lineRule="exact"/>
              <w:jc w:val="center"/>
              <w:rPr>
                <w:rFonts w:hint="eastAsia" w:ascii="宋体" w:hAnsi="宋体" w:eastAsia="宋体" w:cs="宋体"/>
                <w:b/>
                <w:bCs/>
                <w:color w:val="auto"/>
                <w:szCs w:val="21"/>
                <w:highlight w:val="none"/>
              </w:rPr>
            </w:pPr>
            <w:r>
              <w:rPr>
                <w:rFonts w:hint="eastAsia" w:ascii="宋体" w:hAnsi="宋体" w:eastAsia="宋体" w:cs="Times New Roman"/>
                <w:b/>
                <w:bCs/>
                <w:snapToGrid/>
                <w:color w:val="auto"/>
                <w:kern w:val="2"/>
                <w:sz w:val="21"/>
                <w:szCs w:val="21"/>
                <w:highlight w:val="none"/>
                <w:lang w:val="en-US" w:bidi="ar-SA"/>
              </w:rPr>
              <w:t>报价要求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519454D9">
            <w:pPr>
              <w:rPr>
                <w:rFonts w:ascii="宋体" w:hAnsi="宋体" w:cs="宋体"/>
                <w:color w:val="auto"/>
                <w:highlight w:val="none"/>
              </w:rPr>
            </w:pPr>
            <w:r>
              <w:rPr>
                <w:rFonts w:hint="eastAsia" w:ascii="宋体" w:hAnsi="宋体" w:cs="宋体"/>
                <w:color w:val="auto"/>
                <w:highlight w:val="none"/>
              </w:rPr>
              <w:t>报</w:t>
            </w:r>
            <w:r>
              <w:rPr>
                <w:rFonts w:ascii="宋体" w:hAnsi="宋体" w:cs="宋体"/>
                <w:color w:val="auto"/>
                <w:highlight w:val="none"/>
              </w:rPr>
              <w:t>价</w:t>
            </w:r>
            <w:r>
              <w:rPr>
                <w:rFonts w:hint="eastAsia" w:ascii="宋体" w:hAnsi="宋体" w:cs="宋体"/>
                <w:color w:val="auto"/>
                <w:highlight w:val="none"/>
                <w:lang w:eastAsia="zh-CN"/>
              </w:rPr>
              <w:t>包含</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中所有服务</w:t>
            </w:r>
            <w:r>
              <w:rPr>
                <w:rFonts w:hint="eastAsia" w:ascii="宋体" w:hAnsi="宋体" w:cs="宋体"/>
                <w:color w:val="auto"/>
                <w:highlight w:val="none"/>
                <w:lang w:eastAsia="zh-CN"/>
              </w:rPr>
              <w:t>和货物</w:t>
            </w:r>
            <w:r>
              <w:rPr>
                <w:rFonts w:hint="eastAsia" w:ascii="宋体" w:hAnsi="宋体" w:cs="宋体"/>
                <w:color w:val="auto"/>
                <w:highlight w:val="none"/>
              </w:rPr>
              <w:t>的价格</w:t>
            </w:r>
            <w:r>
              <w:rPr>
                <w:rFonts w:hint="eastAsia" w:ascii="宋体" w:hAnsi="宋体" w:cs="宋体"/>
                <w:color w:val="auto"/>
                <w:highlight w:val="none"/>
                <w:lang w:eastAsia="zh-CN"/>
              </w:rPr>
              <w:t>，</w:t>
            </w:r>
            <w:r>
              <w:rPr>
                <w:rFonts w:ascii="宋体" w:hAnsi="宋体" w:cs="宋体"/>
                <w:color w:val="auto"/>
                <w:highlight w:val="none"/>
              </w:rPr>
              <w:t>包括但不限于：</w:t>
            </w:r>
          </w:p>
          <w:p w14:paraId="05FC1281">
            <w:pPr>
              <w:numPr>
                <w:ilvl w:val="0"/>
                <w:numId w:val="0"/>
              </w:numPr>
              <w:rPr>
                <w:rFonts w:hint="eastAsia" w:ascii="宋体" w:hAnsi="宋体" w:eastAsia="宋体" w:cs="宋体"/>
                <w:color w:val="auto"/>
                <w:highlight w:val="none"/>
              </w:rPr>
            </w:pPr>
            <w:r>
              <w:rPr>
                <w:rFonts w:hint="eastAsia" w:ascii="宋体" w:hAnsi="宋体" w:eastAsia="宋体" w:cs="宋体"/>
                <w:color w:val="auto"/>
                <w:kern w:val="2"/>
                <w:sz w:val="21"/>
                <w:szCs w:val="24"/>
                <w:highlight w:val="none"/>
                <w:lang w:val="en-US" w:eastAsia="zh-CN" w:bidi="ar-SA"/>
              </w:rPr>
              <w:t>1</w:t>
            </w:r>
            <w:r>
              <w:rPr>
                <w:rFonts w:hint="eastAsia" w:ascii="宋体" w:hAnsi="宋体" w:eastAsia="宋体" w:cs="宋体"/>
                <w:color w:val="auto"/>
                <w:szCs w:val="24"/>
                <w:highlight w:val="none"/>
              </w:rPr>
              <w:t>.</w:t>
            </w:r>
            <w:r>
              <w:rPr>
                <w:rFonts w:hint="eastAsia" w:ascii="宋体" w:hAnsi="宋体" w:eastAsia="宋体" w:cs="宋体"/>
                <w:color w:val="auto"/>
                <w:highlight w:val="none"/>
                <w:lang w:eastAsia="zh-CN"/>
              </w:rPr>
              <w:t>本项目所有服务及供货</w:t>
            </w:r>
            <w:r>
              <w:rPr>
                <w:rFonts w:hint="eastAsia" w:ascii="宋体" w:hAnsi="宋体" w:eastAsia="宋体" w:cs="宋体"/>
                <w:color w:val="auto"/>
                <w:highlight w:val="none"/>
              </w:rPr>
              <w:t>全流程</w:t>
            </w:r>
            <w:r>
              <w:rPr>
                <w:rFonts w:hint="eastAsia" w:ascii="宋体" w:hAnsi="宋体" w:eastAsia="宋体" w:cs="宋体"/>
                <w:color w:val="auto"/>
                <w:highlight w:val="none"/>
                <w:lang w:eastAsia="zh-CN"/>
              </w:rPr>
              <w:t>的费用，</w:t>
            </w:r>
            <w:r>
              <w:rPr>
                <w:rFonts w:hint="eastAsia" w:ascii="宋体" w:hAnsi="宋体" w:eastAsia="宋体" w:cs="宋体"/>
                <w:color w:val="auto"/>
                <w:highlight w:val="none"/>
              </w:rPr>
              <w:t>包括图书出版码洋、图书加工服务费、</w:t>
            </w:r>
            <w:r>
              <w:rPr>
                <w:rFonts w:hint="eastAsia" w:ascii="宋体" w:hAnsi="宋体" w:eastAsia="宋体" w:cs="宋体"/>
                <w:color w:val="auto"/>
                <w:highlight w:val="none"/>
                <w:lang w:eastAsia="zh-CN"/>
              </w:rPr>
              <w:t>运输</w:t>
            </w:r>
            <w:r>
              <w:rPr>
                <w:rFonts w:hint="eastAsia" w:ascii="宋体" w:hAnsi="宋体" w:eastAsia="宋体" w:cs="宋体"/>
                <w:color w:val="auto"/>
                <w:highlight w:val="none"/>
              </w:rPr>
              <w:t>搬运费、耗材费（含</w:t>
            </w:r>
            <w:r>
              <w:rPr>
                <w:rFonts w:hint="eastAsia" w:ascii="宋体" w:hAnsi="宋体" w:eastAsia="宋体" w:cs="宋体"/>
                <w:color w:val="auto"/>
                <w:highlight w:val="none"/>
                <w:lang w:eastAsia="zh-CN"/>
              </w:rPr>
              <w:t>可充消</w:t>
            </w:r>
            <w:r>
              <w:rPr>
                <w:rFonts w:hint="eastAsia" w:ascii="宋体" w:hAnsi="宋体" w:cs="宋体"/>
                <w:color w:val="auto"/>
                <w:highlight w:val="none"/>
                <w:lang w:eastAsia="zh-CN"/>
              </w:rPr>
              <w:t>钴基</w:t>
            </w:r>
            <w:r>
              <w:rPr>
                <w:rFonts w:hint="eastAsia" w:ascii="宋体" w:hAnsi="宋体" w:eastAsia="宋体" w:cs="宋体"/>
                <w:color w:val="auto"/>
                <w:highlight w:val="none"/>
              </w:rPr>
              <w:t>复合磁条、条形码、</w:t>
            </w:r>
            <w:r>
              <w:rPr>
                <w:rFonts w:hint="eastAsia" w:ascii="宋体" w:hAnsi="宋体" w:eastAsia="宋体" w:cs="宋体"/>
                <w:color w:val="auto"/>
                <w:highlight w:val="none"/>
                <w:lang w:val="en-US" w:eastAsia="zh-CN"/>
              </w:rPr>
              <w:t>PVC材质</w:t>
            </w:r>
            <w:r>
              <w:rPr>
                <w:rFonts w:hint="eastAsia" w:ascii="宋体" w:hAnsi="宋体" w:eastAsia="宋体" w:cs="宋体"/>
                <w:color w:val="auto"/>
                <w:highlight w:val="none"/>
              </w:rPr>
              <w:t>书标及保护膜等）、物流配送费、异地现场采购费、</w:t>
            </w:r>
            <w:r>
              <w:rPr>
                <w:rFonts w:ascii="宋体" w:hAnsi="宋体" w:cs="宋体"/>
                <w:color w:val="auto"/>
                <w:highlight w:val="none"/>
              </w:rPr>
              <w:t>调试培训</w:t>
            </w:r>
            <w:r>
              <w:rPr>
                <w:rFonts w:hint="eastAsia" w:ascii="宋体" w:hAnsi="宋体" w:cs="宋体"/>
                <w:color w:val="auto"/>
                <w:highlight w:val="none"/>
                <w:lang w:eastAsia="zh-CN"/>
              </w:rPr>
              <w:t>、技术支持、</w:t>
            </w:r>
            <w:r>
              <w:rPr>
                <w:rFonts w:hint="eastAsia" w:ascii="宋体" w:hAnsi="宋体" w:cs="宋体"/>
                <w:color w:val="auto"/>
                <w:highlight w:val="none"/>
              </w:rPr>
              <w:t>质保期内维护、软件升级</w:t>
            </w:r>
            <w:r>
              <w:rPr>
                <w:rFonts w:hint="eastAsia" w:ascii="宋体" w:hAnsi="宋体" w:cs="宋体"/>
                <w:color w:val="auto"/>
                <w:highlight w:val="none"/>
                <w:lang w:eastAsia="zh-CN"/>
              </w:rPr>
              <w:t>、</w:t>
            </w:r>
            <w:r>
              <w:rPr>
                <w:rFonts w:hint="eastAsia" w:ascii="宋体" w:hAnsi="宋体" w:eastAsia="宋体" w:cs="宋体"/>
                <w:color w:val="auto"/>
                <w:highlight w:val="none"/>
              </w:rPr>
              <w:t>售后服务费、</w:t>
            </w:r>
            <w:r>
              <w:rPr>
                <w:rFonts w:hint="eastAsia" w:ascii="宋体" w:hAnsi="宋体" w:eastAsia="宋体" w:cs="宋体"/>
                <w:color w:val="auto"/>
                <w:highlight w:val="none"/>
                <w:lang w:eastAsia="zh-CN"/>
              </w:rPr>
              <w:t>必要的保险、</w:t>
            </w:r>
            <w:r>
              <w:rPr>
                <w:rFonts w:hint="eastAsia" w:ascii="宋体" w:hAnsi="宋体" w:eastAsia="宋体" w:cs="宋体"/>
                <w:color w:val="auto"/>
                <w:highlight w:val="none"/>
              </w:rPr>
              <w:t>税金及其他</w:t>
            </w:r>
            <w:r>
              <w:rPr>
                <w:rFonts w:hint="eastAsia" w:ascii="宋体" w:hAnsi="宋体" w:eastAsia="宋体" w:cs="宋体"/>
                <w:color w:val="auto"/>
                <w:highlight w:val="none"/>
                <w:lang w:eastAsia="zh-CN"/>
              </w:rPr>
              <w:t>相关</w:t>
            </w:r>
            <w:r>
              <w:rPr>
                <w:rFonts w:hint="eastAsia" w:ascii="宋体" w:hAnsi="宋体" w:eastAsia="宋体" w:cs="宋体"/>
                <w:color w:val="auto"/>
                <w:highlight w:val="none"/>
              </w:rPr>
              <w:t>的费用。</w:t>
            </w:r>
          </w:p>
          <w:p w14:paraId="38328FBE">
            <w:pPr>
              <w:numPr>
                <w:ilvl w:val="0"/>
                <w:numId w:val="0"/>
              </w:numPr>
              <w:rPr>
                <w:rFonts w:hint="eastAsia"/>
                <w:color w:val="auto"/>
                <w:highlight w:val="none"/>
              </w:rPr>
            </w:pPr>
            <w:r>
              <w:rPr>
                <w:rFonts w:hint="eastAsia" w:ascii="宋体" w:hAnsi="宋体" w:eastAsia="宋体" w:cs="宋体"/>
                <w:b w:val="0"/>
                <w:bCs w:val="0"/>
                <w:color w:val="auto"/>
                <w:highlight w:val="none"/>
                <w:lang w:val="en-US" w:eastAsia="zh-CN"/>
              </w:rPr>
              <w:t>2.</w:t>
            </w:r>
            <w:r>
              <w:rPr>
                <w:rFonts w:hint="eastAsia"/>
                <w:b/>
                <w:bCs/>
                <w:color w:val="auto"/>
                <w:highlight w:val="none"/>
                <w:lang w:val="en-US" w:eastAsia="zh-CN"/>
              </w:rPr>
              <w:t>本项目采用折扣率进行报价，B分标</w:t>
            </w:r>
            <w:r>
              <w:rPr>
                <w:rFonts w:hint="eastAsia"/>
                <w:b/>
                <w:bCs/>
                <w:color w:val="auto"/>
                <w:highlight w:val="none"/>
              </w:rPr>
              <w:t>报价范围：</w:t>
            </w:r>
            <w:r>
              <w:rPr>
                <w:rFonts w:hint="eastAsia"/>
                <w:b/>
                <w:bCs/>
                <w:color w:val="auto"/>
                <w:highlight w:val="none"/>
                <w:lang w:val="en-US" w:eastAsia="zh-CN"/>
              </w:rPr>
              <w:t>20%</w:t>
            </w:r>
            <w:r>
              <w:rPr>
                <w:rFonts w:hint="eastAsia"/>
                <w:b/>
                <w:bCs/>
                <w:color w:val="auto"/>
                <w:highlight w:val="none"/>
                <w:lang w:eastAsia="zh-CN"/>
              </w:rPr>
              <w:t>≤</w:t>
            </w:r>
            <w:r>
              <w:rPr>
                <w:rFonts w:hint="eastAsia"/>
                <w:b/>
                <w:bCs/>
                <w:color w:val="auto"/>
                <w:highlight w:val="none"/>
              </w:rPr>
              <w:t>折扣率</w:t>
            </w:r>
            <w:r>
              <w:rPr>
                <w:rFonts w:hint="eastAsia"/>
                <w:b/>
                <w:bCs/>
                <w:color w:val="auto"/>
                <w:highlight w:val="none"/>
                <w:lang w:val="en-US" w:eastAsia="zh-CN"/>
              </w:rPr>
              <w:t>%</w:t>
            </w:r>
            <w:r>
              <w:rPr>
                <w:rFonts w:hint="eastAsia"/>
                <w:b/>
                <w:bCs/>
                <w:color w:val="auto"/>
                <w:highlight w:val="none"/>
              </w:rPr>
              <w:t>≤100%</w:t>
            </w:r>
            <w:r>
              <w:rPr>
                <w:rFonts w:hint="eastAsia"/>
                <w:b/>
                <w:bCs/>
                <w:color w:val="auto"/>
                <w:highlight w:val="none"/>
                <w:lang w:eastAsia="zh-CN"/>
              </w:rPr>
              <w:t>；</w:t>
            </w:r>
            <w:r>
              <w:rPr>
                <w:rFonts w:hint="eastAsia"/>
                <w:b/>
                <w:bCs/>
                <w:color w:val="auto"/>
                <w:highlight w:val="none"/>
              </w:rPr>
              <w:t>超出报价范围的报价无效</w:t>
            </w:r>
            <w:r>
              <w:rPr>
                <w:rFonts w:hint="eastAsia"/>
                <w:b/>
                <w:bCs/>
                <w:color w:val="auto"/>
                <w:highlight w:val="none"/>
                <w:lang w:eastAsia="zh-CN"/>
              </w:rPr>
              <w:t>。</w:t>
            </w:r>
            <w:r>
              <w:rPr>
                <w:rFonts w:hint="eastAsia"/>
                <w:color w:val="auto"/>
                <w:highlight w:val="none"/>
              </w:rPr>
              <w:t>举例说明折扣率：打七折意思是码洋价乘以0.7后的价格，此时的折扣率表示为70%。</w:t>
            </w:r>
          </w:p>
          <w:p w14:paraId="21FFCAD3">
            <w:pPr>
              <w:spacing w:line="240" w:lineRule="auto"/>
              <w:rPr>
                <w:rFonts w:hint="eastAsia" w:ascii="宋体" w:hAnsi="宋体" w:eastAsia="宋体" w:cs="宋体"/>
                <w:color w:val="auto"/>
                <w:szCs w:val="21"/>
                <w:highlight w:val="none"/>
              </w:rPr>
            </w:pPr>
            <w:r>
              <w:rPr>
                <w:rFonts w:hint="eastAsia" w:ascii="宋体" w:hAnsi="宋体" w:cs="宋体"/>
                <w:color w:val="auto"/>
                <w:highlight w:val="none"/>
                <w:lang w:val="en-US" w:eastAsia="zh-CN"/>
              </w:rPr>
              <w:t>3</w:t>
            </w:r>
            <w:r>
              <w:rPr>
                <w:rFonts w:hint="eastAsia" w:ascii="宋体" w:hAnsi="宋体"/>
                <w:color w:val="auto"/>
                <w:szCs w:val="21"/>
                <w:highlight w:val="none"/>
              </w:rPr>
              <w:t>.</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w:t>
            </w:r>
            <w:r>
              <w:rPr>
                <w:rFonts w:ascii="宋体" w:hAnsi="宋体" w:cs="宋体"/>
                <w:color w:val="auto"/>
                <w:highlight w:val="none"/>
              </w:rPr>
              <w:t>货物</w:t>
            </w:r>
            <w:r>
              <w:rPr>
                <w:rFonts w:hint="eastAsia" w:ascii="宋体" w:hAnsi="宋体" w:cs="宋体"/>
                <w:color w:val="auto"/>
                <w:highlight w:val="none"/>
                <w:lang w:eastAsia="zh-CN"/>
              </w:rPr>
              <w:t>的报价</w:t>
            </w:r>
            <w:r>
              <w:rPr>
                <w:rFonts w:hint="eastAsia" w:ascii="宋体" w:hAnsi="宋体" w:cs="宋体"/>
                <w:color w:val="auto"/>
                <w:highlight w:val="none"/>
              </w:rPr>
              <w:t>为采购人指定地点的现场交付价格</w:t>
            </w:r>
            <w:r>
              <w:rPr>
                <w:rFonts w:hint="eastAsia" w:ascii="宋体" w:hAnsi="宋体" w:cs="宋体"/>
                <w:color w:val="auto"/>
                <w:highlight w:val="none"/>
                <w:lang w:eastAsia="zh-CN"/>
              </w:rPr>
              <w:t>，</w:t>
            </w:r>
            <w:r>
              <w:rPr>
                <w:rFonts w:hint="eastAsia"/>
                <w:color w:val="auto"/>
                <w:highlight w:val="none"/>
              </w:rPr>
              <w:t>合同有效期内所有</w:t>
            </w:r>
            <w:r>
              <w:rPr>
                <w:rFonts w:hint="eastAsia"/>
                <w:color w:val="auto"/>
                <w:highlight w:val="none"/>
                <w:lang w:val="en-US" w:eastAsia="zh-CN"/>
              </w:rPr>
              <w:t>经过验收合格的采购</w:t>
            </w:r>
            <w:r>
              <w:rPr>
                <w:rFonts w:hint="eastAsia"/>
                <w:color w:val="auto"/>
                <w:highlight w:val="none"/>
              </w:rPr>
              <w:t>图书均按实洋价付款，图书出版的标价为码洋价</w:t>
            </w:r>
            <w:r>
              <w:rPr>
                <w:rFonts w:hint="eastAsia"/>
                <w:color w:val="auto"/>
                <w:highlight w:val="none"/>
                <w:lang w:eastAsia="zh-CN"/>
              </w:rPr>
              <w:t>，</w:t>
            </w:r>
            <w:r>
              <w:rPr>
                <w:rFonts w:hint="eastAsia"/>
                <w:color w:val="auto"/>
                <w:highlight w:val="none"/>
              </w:rPr>
              <w:t>实洋价＝码洋价×成交折扣率。</w:t>
            </w:r>
          </w:p>
        </w:tc>
      </w:tr>
      <w:tr w14:paraId="76843D2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BBEF489">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质保期</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26720886">
            <w:pPr>
              <w:snapToGrid w:val="0"/>
              <w:spacing w:line="240" w:lineRule="auto"/>
              <w:jc w:val="left"/>
              <w:rPr>
                <w:rFonts w:ascii="宋体" w:hAnsi="宋体"/>
                <w:color w:val="auto"/>
                <w:szCs w:val="21"/>
                <w:highlight w:val="none"/>
              </w:rPr>
            </w:pPr>
            <w:r>
              <w:rPr>
                <w:rFonts w:hint="eastAsia" w:ascii="宋体" w:hAnsi="宋体"/>
                <w:b/>
                <w:bCs/>
                <w:color w:val="auto"/>
                <w:szCs w:val="21"/>
                <w:highlight w:val="none"/>
              </w:rPr>
              <w:t>1.质保期</w:t>
            </w:r>
            <w:r>
              <w:rPr>
                <w:rFonts w:hint="eastAsia" w:ascii="宋体" w:hAnsi="宋体"/>
                <w:b/>
                <w:bCs/>
                <w:color w:val="auto"/>
                <w:szCs w:val="21"/>
                <w:highlight w:val="none"/>
                <w:u w:val="single"/>
              </w:rPr>
              <w:t xml:space="preserve"> </w:t>
            </w:r>
            <w:r>
              <w:rPr>
                <w:rFonts w:hint="eastAsia" w:ascii="宋体" w:hAnsi="宋体" w:cs="宋体"/>
                <w:b/>
                <w:color w:val="auto"/>
                <w:highlight w:val="none"/>
                <w:u w:val="single"/>
              </w:rPr>
              <w:t>壹</w:t>
            </w:r>
            <w:r>
              <w:rPr>
                <w:rFonts w:hint="eastAsia" w:ascii="宋体" w:hAnsi="宋体"/>
                <w:b/>
                <w:bCs/>
                <w:color w:val="auto"/>
                <w:szCs w:val="21"/>
                <w:highlight w:val="none"/>
                <w:u w:val="single"/>
              </w:rPr>
              <w:t xml:space="preserve"> </w:t>
            </w:r>
            <w:r>
              <w:rPr>
                <w:rFonts w:hint="eastAsia" w:ascii="宋体" w:hAnsi="宋体"/>
                <w:b/>
                <w:bCs/>
                <w:color w:val="auto"/>
                <w:szCs w:val="21"/>
                <w:highlight w:val="none"/>
              </w:rPr>
              <w:t>年。</w:t>
            </w:r>
            <w:r>
              <w:rPr>
                <w:rFonts w:hint="eastAsia" w:ascii="宋体" w:hAnsi="宋体"/>
                <w:color w:val="auto"/>
                <w:szCs w:val="21"/>
                <w:highlight w:val="none"/>
              </w:rPr>
              <w:t>（分项货物服务要求中有特别注明的，按特别注明的执行）</w:t>
            </w:r>
          </w:p>
          <w:p w14:paraId="26A3BCD7">
            <w:pPr>
              <w:spacing w:line="240" w:lineRule="auto"/>
              <w:rPr>
                <w:rFonts w:hint="eastAsia" w:ascii="宋体" w:hAnsi="宋体" w:eastAsia="宋体" w:cs="宋体"/>
                <w:color w:val="auto"/>
                <w:szCs w:val="21"/>
                <w:highlight w:val="none"/>
              </w:rPr>
            </w:pPr>
            <w:r>
              <w:rPr>
                <w:rFonts w:hint="eastAsia" w:ascii="宋体" w:hAnsi="宋体"/>
                <w:color w:val="auto"/>
                <w:szCs w:val="21"/>
                <w:highlight w:val="none"/>
              </w:rPr>
              <w:t>2.所有货物服务按国家“三包”有关规定执行“三包”。质保期自交付验收合格之日起计算，质保期内提供上门维修、更换和升级服务；质保期结束后，提供终身维护，并优惠提供相关零配件。</w:t>
            </w:r>
          </w:p>
        </w:tc>
      </w:tr>
      <w:tr w14:paraId="7C7435D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5755183D">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产品及售后服务要求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55D85A41">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1.送货至采购人指定地点，完成图书加工。所有</w:t>
            </w:r>
            <w:r>
              <w:rPr>
                <w:rFonts w:hint="eastAsia" w:ascii="宋体" w:hAnsi="宋体" w:cs="Times New Roman"/>
                <w:bCs/>
                <w:color w:val="auto"/>
                <w:szCs w:val="21"/>
                <w:highlight w:val="none"/>
                <w:lang w:val="en-US" w:eastAsia="zh-CN"/>
              </w:rPr>
              <w:t>货物及加工服务</w:t>
            </w:r>
            <w:r>
              <w:rPr>
                <w:rFonts w:hint="eastAsia" w:ascii="宋体" w:hAnsi="宋体" w:eastAsia="宋体" w:cs="Times New Roman"/>
                <w:bCs/>
                <w:color w:val="auto"/>
                <w:szCs w:val="21"/>
                <w:highlight w:val="none"/>
                <w:lang w:val="en-US" w:eastAsia="zh-CN"/>
              </w:rPr>
              <w:t>应符合国家、行业相关标准及规范。所有货物仅接受现场交付，不接受邮递。</w:t>
            </w:r>
          </w:p>
          <w:p w14:paraId="248366A5">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2.为采购人提供产品操作、维修、日常养护等方面的培训，确保采购方使用人员能独立操作使用，培训人数、时间、地点等由采购人指定。</w:t>
            </w:r>
          </w:p>
          <w:p w14:paraId="210D4C32">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3.故障响应时间：在使用过程中出现质量问题，成交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在接到采购人通知后1小时</w:t>
            </w:r>
            <w:r>
              <w:rPr>
                <w:rFonts w:hint="eastAsia" w:ascii="宋体" w:hAnsi="宋体" w:cs="Times New Roman"/>
                <w:bCs/>
                <w:color w:val="auto"/>
                <w:szCs w:val="21"/>
                <w:highlight w:val="none"/>
                <w:lang w:val="en-US" w:eastAsia="zh-CN"/>
              </w:rPr>
              <w:t>内</w:t>
            </w:r>
            <w:r>
              <w:rPr>
                <w:rFonts w:hint="eastAsia" w:ascii="宋体" w:hAnsi="宋体" w:eastAsia="宋体" w:cs="Times New Roman"/>
                <w:bCs/>
                <w:color w:val="auto"/>
                <w:szCs w:val="21"/>
                <w:highlight w:val="none"/>
                <w:lang w:val="en-US" w:eastAsia="zh-CN"/>
              </w:rPr>
              <w:t>作出响应；如需到达现场解决的，在4小时内应到达现场。</w:t>
            </w:r>
          </w:p>
          <w:p w14:paraId="690D5FF3">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4.</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须遵守校园出入规定，在供货、安装过程中确保相关人员安全。供货、安装过程中产生的残留物或垃圾，</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需自行清理至校外。</w:t>
            </w:r>
          </w:p>
          <w:p w14:paraId="68B5F8F7">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cs="Times New Roman"/>
                <w:bCs/>
                <w:color w:val="auto"/>
                <w:szCs w:val="21"/>
                <w:highlight w:val="none"/>
                <w:lang w:val="en-US" w:eastAsia="zh-CN"/>
              </w:rPr>
              <w:t>5.</w:t>
            </w:r>
            <w:r>
              <w:rPr>
                <w:rFonts w:hint="eastAsia" w:ascii="宋体" w:hAnsi="宋体"/>
                <w:bCs/>
                <w:color w:val="auto"/>
                <w:szCs w:val="21"/>
                <w:highlight w:val="none"/>
              </w:rPr>
              <w:t>供应商</w:t>
            </w:r>
            <w:r>
              <w:rPr>
                <w:rFonts w:hint="eastAsia" w:ascii="宋体" w:hAnsi="宋体"/>
                <w:bCs/>
                <w:color w:val="auto"/>
                <w:szCs w:val="21"/>
                <w:highlight w:val="none"/>
                <w:lang w:eastAsia="zh-CN"/>
              </w:rPr>
              <w:t>为了更好的协助采购人完成采购、馆藏工作需</w:t>
            </w:r>
            <w:r>
              <w:rPr>
                <w:rFonts w:hint="eastAsia" w:ascii="宋体" w:hAnsi="宋体"/>
                <w:bCs/>
                <w:color w:val="auto"/>
                <w:szCs w:val="21"/>
                <w:highlight w:val="none"/>
              </w:rPr>
              <w:t>提供的</w:t>
            </w:r>
            <w:r>
              <w:rPr>
                <w:rFonts w:hint="eastAsia" w:ascii="宋体" w:hAnsi="宋体"/>
                <w:bCs/>
                <w:color w:val="auto"/>
                <w:szCs w:val="21"/>
                <w:highlight w:val="none"/>
                <w:lang w:eastAsia="zh-CN"/>
              </w:rPr>
              <w:t>信息化相关服务（如</w:t>
            </w:r>
            <w:r>
              <w:rPr>
                <w:rFonts w:hint="eastAsia" w:ascii="宋体" w:hAnsi="宋体"/>
                <w:bCs/>
                <w:color w:val="auto"/>
                <w:szCs w:val="21"/>
                <w:highlight w:val="none"/>
              </w:rPr>
              <w:t>网上选书平台</w:t>
            </w:r>
            <w:r>
              <w:rPr>
                <w:rFonts w:hint="eastAsia" w:ascii="宋体" w:hAnsi="宋体"/>
                <w:bCs/>
                <w:color w:val="auto"/>
                <w:szCs w:val="21"/>
                <w:highlight w:val="none"/>
                <w:lang w:eastAsia="zh-CN"/>
              </w:rPr>
              <w:t>等）。</w:t>
            </w:r>
          </w:p>
        </w:tc>
      </w:tr>
      <w:tr w14:paraId="437B9B0E">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316"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28047AE">
            <w:pPr>
              <w:spacing w:line="380" w:lineRule="exact"/>
              <w:jc w:val="center"/>
              <w:rPr>
                <w:rFonts w:hint="eastAsia" w:ascii="宋体" w:hAnsi="宋体" w:eastAsia="宋体" w:cs="宋体"/>
                <w:b/>
                <w:bCs/>
                <w:color w:val="auto"/>
                <w:szCs w:val="21"/>
                <w:highlight w:val="none"/>
              </w:rPr>
            </w:pPr>
            <w:r>
              <w:rPr>
                <w:rFonts w:hint="eastAsia" w:ascii="宋体" w:hAnsi="宋体"/>
                <w:b/>
                <w:color w:val="auto"/>
                <w:szCs w:val="21"/>
                <w:highlight w:val="none"/>
              </w:rPr>
              <w:t>保密要求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39CE2028">
            <w:pPr>
              <w:spacing w:line="300" w:lineRule="exact"/>
              <w:jc w:val="left"/>
              <w:rPr>
                <w:rFonts w:hint="eastAsia" w:ascii="宋体" w:hAnsi="宋体" w:eastAsia="宋体" w:cs="宋体"/>
                <w:color w:val="auto"/>
                <w:szCs w:val="21"/>
                <w:highlight w:val="none"/>
              </w:rPr>
            </w:pPr>
            <w:r>
              <w:rPr>
                <w:rFonts w:hint="eastAsia" w:ascii="宋体" w:hAnsi="宋体" w:eastAsia="宋体" w:cs="Times New Roman"/>
                <w:bCs/>
                <w:color w:val="auto"/>
                <w:szCs w:val="21"/>
                <w:highlight w:val="none"/>
                <w:lang w:val="en-US" w:eastAsia="zh-CN"/>
              </w:rPr>
              <w:t>项目如涉及采购方信息安全的，</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在与采购人签订合同时，还需同时签署保密协议，并严格遵守信息安全相关规定。如因成交方人员违反该协议有关规定，导致出现信息泄露或信息安全问题的，由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负责，如涉及法律责任的，则全部由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承担。</w:t>
            </w:r>
          </w:p>
        </w:tc>
      </w:tr>
      <w:tr w14:paraId="2771AA5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45AA3447">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交货时间及地点</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282B0255">
            <w:pPr>
              <w:rPr>
                <w:rFonts w:hint="eastAsia"/>
                <w:color w:val="auto"/>
                <w:highlight w:val="none"/>
              </w:rPr>
            </w:pPr>
            <w:r>
              <w:rPr>
                <w:rFonts w:hint="eastAsia" w:ascii="宋体" w:hAnsi="宋体" w:cs="宋体"/>
                <w:color w:val="auto"/>
                <w:spacing w:val="-2"/>
                <w:highlight w:val="none"/>
                <w:lang w:val="en-US" w:eastAsia="zh-CN"/>
              </w:rPr>
              <w:t>1.</w:t>
            </w:r>
            <w:r>
              <w:rPr>
                <w:rFonts w:ascii="宋体" w:hAnsi="宋体" w:cs="宋体"/>
                <w:color w:val="auto"/>
                <w:spacing w:val="-2"/>
                <w:highlight w:val="none"/>
              </w:rPr>
              <w:t>交</w:t>
            </w:r>
            <w:r>
              <w:rPr>
                <w:rFonts w:hint="eastAsia" w:ascii="宋体" w:hAnsi="宋体" w:cs="宋体"/>
                <w:color w:val="auto"/>
                <w:spacing w:val="-2"/>
                <w:highlight w:val="none"/>
              </w:rPr>
              <w:t>付</w:t>
            </w:r>
            <w:r>
              <w:rPr>
                <w:rFonts w:ascii="宋体" w:hAnsi="宋体" w:cs="宋体"/>
                <w:color w:val="auto"/>
                <w:spacing w:val="-2"/>
                <w:highlight w:val="none"/>
              </w:rPr>
              <w:t>时间：</w:t>
            </w:r>
            <w:r>
              <w:rPr>
                <w:rFonts w:hint="eastAsia"/>
                <w:color w:val="auto"/>
                <w:highlight w:val="none"/>
              </w:rPr>
              <w:t>自每笔订单发送之日起</w:t>
            </w:r>
            <w:r>
              <w:rPr>
                <w:rFonts w:hint="eastAsia"/>
                <w:color w:val="auto"/>
                <w:highlight w:val="none"/>
                <w:lang w:val="en-US" w:eastAsia="zh-CN"/>
              </w:rPr>
              <w:t>30</w:t>
            </w:r>
            <w:r>
              <w:rPr>
                <w:rFonts w:hint="eastAsia"/>
                <w:color w:val="auto"/>
                <w:highlight w:val="none"/>
              </w:rPr>
              <w:t>个</w:t>
            </w:r>
            <w:r>
              <w:rPr>
                <w:rFonts w:hint="eastAsia"/>
                <w:color w:val="auto"/>
                <w:highlight w:val="none"/>
                <w:lang w:val="en-US" w:eastAsia="zh-CN"/>
              </w:rPr>
              <w:t>日历日</w:t>
            </w:r>
            <w:r>
              <w:rPr>
                <w:rFonts w:hint="eastAsia"/>
                <w:color w:val="auto"/>
                <w:highlight w:val="none"/>
              </w:rPr>
              <w:t>内，</w:t>
            </w:r>
            <w:r>
              <w:rPr>
                <w:rFonts w:hint="eastAsia"/>
                <w:color w:val="auto"/>
                <w:highlight w:val="none"/>
                <w:lang w:val="en-US" w:eastAsia="zh-CN"/>
              </w:rPr>
              <w:t>图书送达采购人指定地点，且每笔订单</w:t>
            </w:r>
            <w:r>
              <w:rPr>
                <w:rFonts w:hint="eastAsia"/>
                <w:color w:val="auto"/>
                <w:highlight w:val="none"/>
              </w:rPr>
              <w:t>到书率须</w:t>
            </w:r>
            <w:r>
              <w:rPr>
                <w:rFonts w:hint="eastAsia"/>
                <w:color w:val="auto"/>
                <w:highlight w:val="none"/>
                <w:lang w:eastAsia="zh-CN"/>
              </w:rPr>
              <w:t>≥</w:t>
            </w:r>
            <w:r>
              <w:rPr>
                <w:rFonts w:hint="eastAsia"/>
                <w:color w:val="auto"/>
                <w:highlight w:val="none"/>
              </w:rPr>
              <w:t>90%</w:t>
            </w:r>
            <w:r>
              <w:rPr>
                <w:rFonts w:hint="eastAsia"/>
                <w:color w:val="auto"/>
                <w:highlight w:val="none"/>
                <w:lang w:eastAsia="zh-CN"/>
              </w:rPr>
              <w:t>，</w:t>
            </w:r>
            <w:r>
              <w:rPr>
                <w:rFonts w:hint="eastAsia"/>
                <w:color w:val="auto"/>
                <w:highlight w:val="none"/>
              </w:rPr>
              <w:t>采购需求附件</w:t>
            </w:r>
            <w:r>
              <w:rPr>
                <w:rFonts w:hint="eastAsia"/>
                <w:color w:val="auto"/>
                <w:highlight w:val="none"/>
                <w:lang w:val="en-US" w:eastAsia="zh-CN"/>
              </w:rPr>
              <w:t>B</w:t>
            </w:r>
            <w:r>
              <w:rPr>
                <w:rFonts w:hint="eastAsia"/>
                <w:color w:val="auto"/>
                <w:highlight w:val="none"/>
              </w:rPr>
              <w:t>《</w:t>
            </w:r>
            <w:r>
              <w:rPr>
                <w:rFonts w:hint="eastAsia"/>
                <w:color w:val="auto"/>
                <w:highlight w:val="none"/>
                <w:lang w:val="en-US" w:eastAsia="zh-CN"/>
              </w:rPr>
              <w:t>B</w:t>
            </w:r>
            <w:r>
              <w:rPr>
                <w:rFonts w:hint="eastAsia"/>
                <w:color w:val="auto"/>
                <w:highlight w:val="none"/>
              </w:rPr>
              <w:t>分标特价纸质图书必选书目清单》的到书率按≥95%</w:t>
            </w:r>
            <w:r>
              <w:rPr>
                <w:rFonts w:hint="eastAsia"/>
                <w:color w:val="auto"/>
                <w:highlight w:val="none"/>
                <w:lang w:eastAsia="zh-CN"/>
              </w:rPr>
              <w:t>要求</w:t>
            </w:r>
            <w:r>
              <w:rPr>
                <w:rFonts w:hint="eastAsia"/>
                <w:b w:val="0"/>
                <w:bCs w:val="0"/>
                <w:color w:val="auto"/>
                <w:highlight w:val="none"/>
                <w:lang w:val="en-US" w:eastAsia="zh-CN"/>
              </w:rPr>
              <w:t>执行</w:t>
            </w:r>
            <w:r>
              <w:rPr>
                <w:rFonts w:hint="eastAsia"/>
                <w:color w:val="auto"/>
                <w:highlight w:val="none"/>
              </w:rPr>
              <w:t>。</w:t>
            </w:r>
          </w:p>
          <w:p w14:paraId="5FE5678A">
            <w:pPr>
              <w:spacing w:line="300" w:lineRule="exact"/>
              <w:rPr>
                <w:rFonts w:hint="eastAsia" w:ascii="宋体" w:hAnsi="宋体" w:eastAsia="宋体" w:cs="宋体"/>
                <w:color w:val="auto"/>
                <w:szCs w:val="21"/>
                <w:highlight w:val="none"/>
              </w:rPr>
            </w:pPr>
            <w:r>
              <w:rPr>
                <w:rFonts w:ascii="宋体" w:hAnsi="宋体" w:cs="宋体"/>
                <w:color w:val="auto"/>
                <w:highlight w:val="none"/>
              </w:rPr>
              <w:t>2.交</w:t>
            </w:r>
            <w:r>
              <w:rPr>
                <w:rFonts w:hint="eastAsia" w:ascii="宋体" w:hAnsi="宋体" w:cs="宋体"/>
                <w:color w:val="auto"/>
                <w:highlight w:val="none"/>
              </w:rPr>
              <w:t>付</w:t>
            </w:r>
            <w:r>
              <w:rPr>
                <w:rFonts w:ascii="宋体" w:hAnsi="宋体" w:cs="宋体"/>
                <w:color w:val="auto"/>
                <w:highlight w:val="none"/>
              </w:rPr>
              <w:t>地点：广西农业职业技术</w:t>
            </w:r>
            <w:r>
              <w:rPr>
                <w:rFonts w:hint="eastAsia" w:ascii="宋体" w:hAnsi="宋体" w:cs="宋体"/>
                <w:color w:val="auto"/>
                <w:highlight w:val="none"/>
              </w:rPr>
              <w:t>大学指定地点</w:t>
            </w:r>
            <w:r>
              <w:rPr>
                <w:rFonts w:ascii="宋体" w:hAnsi="宋体" w:cs="宋体"/>
                <w:color w:val="auto"/>
                <w:highlight w:val="none"/>
              </w:rPr>
              <w:t>。</w:t>
            </w:r>
          </w:p>
        </w:tc>
      </w:tr>
      <w:tr w14:paraId="5B8AAF1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3456"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2ACF4D42">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付款条件</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31160B1D">
            <w:pPr>
              <w:numPr>
                <w:ilvl w:val="0"/>
                <w:numId w:val="0"/>
              </w:num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kern w:val="2"/>
                <w:sz w:val="21"/>
                <w:szCs w:val="21"/>
                <w:highlight w:val="none"/>
                <w:lang w:val="en-US" w:eastAsia="zh-CN" w:bidi="ar-SA"/>
              </w:rPr>
              <w:t>1.</w:t>
            </w:r>
            <w:r>
              <w:rPr>
                <w:rFonts w:hint="eastAsia" w:ascii="宋体" w:hAnsi="宋体" w:eastAsia="宋体" w:cs="Times New Roman"/>
                <w:bCs/>
                <w:color w:val="auto"/>
                <w:szCs w:val="21"/>
                <w:highlight w:val="none"/>
                <w:lang w:val="en-US" w:eastAsia="zh-CN"/>
              </w:rPr>
              <w:t>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在要求的交付期内，可分批交付，也可一次性交付，但须先按每次交付并验收完成的金额开具发票给采购人，采购人在收到发票后30日历日内按发票面额付款。如成交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未按国家要求开具发票，或未按合同履约的，视为违约，采购人有权扣减履约保证金，或要求解除合同，并追究成交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法律责任。</w:t>
            </w:r>
          </w:p>
          <w:p w14:paraId="6ABF0857">
            <w:pPr>
              <w:numPr>
                <w:ilvl w:val="0"/>
                <w:numId w:val="0"/>
              </w:numPr>
              <w:spacing w:line="300" w:lineRule="exact"/>
              <w:ind w:left="0" w:leftChars="0" w:firstLine="0" w:firstLineChars="0"/>
              <w:jc w:val="left"/>
              <w:rPr>
                <w:rFonts w:ascii="宋体" w:hAnsi="宋体"/>
                <w:bCs/>
                <w:color w:val="auto"/>
                <w:szCs w:val="21"/>
                <w:highlight w:val="none"/>
              </w:rPr>
            </w:pPr>
            <w:r>
              <w:rPr>
                <w:rFonts w:ascii="宋体" w:hAnsi="宋体" w:eastAsia="宋体" w:cs="Times New Roman"/>
                <w:bCs/>
                <w:color w:val="auto"/>
                <w:kern w:val="2"/>
                <w:sz w:val="21"/>
                <w:szCs w:val="21"/>
                <w:highlight w:val="none"/>
                <w:lang w:val="en-US" w:eastAsia="zh-CN" w:bidi="ar-SA"/>
              </w:rPr>
              <w:t>2.</w:t>
            </w:r>
            <w:r>
              <w:rPr>
                <w:rFonts w:hint="eastAsia" w:ascii="宋体" w:hAnsi="宋体" w:cs="Times New Roman"/>
                <w:bCs/>
                <w:color w:val="auto"/>
                <w:kern w:val="2"/>
                <w:sz w:val="21"/>
                <w:szCs w:val="21"/>
                <w:highlight w:val="none"/>
                <w:lang w:val="en-US" w:eastAsia="zh-CN" w:bidi="ar-SA"/>
              </w:rPr>
              <w:t>本</w:t>
            </w:r>
            <w:r>
              <w:rPr>
                <w:rFonts w:ascii="宋体" w:hAnsi="宋体"/>
                <w:bCs/>
                <w:color w:val="auto"/>
                <w:szCs w:val="21"/>
                <w:highlight w:val="none"/>
              </w:rPr>
              <w:t>项目收取履约保证金，成交</w:t>
            </w:r>
            <w:r>
              <w:rPr>
                <w:rFonts w:hint="eastAsia" w:ascii="宋体" w:hAnsi="宋体"/>
                <w:bCs/>
                <w:color w:val="auto"/>
                <w:szCs w:val="21"/>
                <w:highlight w:val="none"/>
                <w:lang w:eastAsia="zh-CN"/>
              </w:rPr>
              <w:t>供应商</w:t>
            </w:r>
            <w:r>
              <w:rPr>
                <w:rFonts w:ascii="宋体" w:hAnsi="宋体"/>
                <w:bCs/>
                <w:color w:val="auto"/>
                <w:szCs w:val="21"/>
                <w:highlight w:val="none"/>
              </w:rPr>
              <w:t>须在合同签订前向采购人账户转付成交金额2%的履约保证金，否则不予签订合同。履约保证金在采购内容全部交付验收完成之后（或服务期满后）无息退付。</w:t>
            </w:r>
          </w:p>
          <w:p w14:paraId="5F0A3F37">
            <w:pPr>
              <w:numPr>
                <w:ilvl w:val="0"/>
                <w:numId w:val="0"/>
              </w:numPr>
              <w:spacing w:line="300" w:lineRule="exact"/>
              <w:jc w:val="left"/>
              <w:rPr>
                <w:rFonts w:ascii="宋体" w:hAnsi="宋体"/>
                <w:bCs/>
                <w:color w:val="auto"/>
                <w:szCs w:val="21"/>
                <w:highlight w:val="none"/>
              </w:rPr>
            </w:pPr>
            <w:r>
              <w:rPr>
                <w:rFonts w:hint="eastAsia" w:ascii="宋体" w:hAnsi="宋体"/>
                <w:b/>
                <w:bCs w:val="0"/>
                <w:color w:val="auto"/>
                <w:szCs w:val="21"/>
                <w:highlight w:val="none"/>
                <w:lang w:val="en-US" w:eastAsia="zh-CN"/>
              </w:rPr>
              <w:t>B分标</w:t>
            </w:r>
            <w:r>
              <w:rPr>
                <w:rFonts w:ascii="宋体" w:hAnsi="宋体"/>
                <w:b/>
                <w:bCs w:val="0"/>
                <w:color w:val="auto"/>
                <w:szCs w:val="21"/>
                <w:highlight w:val="none"/>
              </w:rPr>
              <w:t>收取履约保证金：人民币</w:t>
            </w:r>
            <w:r>
              <w:rPr>
                <w:rFonts w:ascii="宋体" w:hAnsi="宋体"/>
                <w:b/>
                <w:bCs w:val="0"/>
                <w:color w:val="auto"/>
                <w:szCs w:val="21"/>
                <w:highlight w:val="none"/>
                <w:u w:val="single"/>
              </w:rPr>
              <w:t xml:space="preserve"> </w:t>
            </w:r>
            <w:r>
              <w:rPr>
                <w:rFonts w:hint="eastAsia" w:ascii="宋体" w:hAnsi="宋体"/>
                <w:b/>
                <w:bCs w:val="0"/>
                <w:color w:val="auto"/>
                <w:szCs w:val="21"/>
                <w:highlight w:val="none"/>
                <w:u w:val="single"/>
                <w:lang w:val="en-US" w:eastAsia="zh-CN"/>
              </w:rPr>
              <w:t>23100</w:t>
            </w:r>
            <w:r>
              <w:rPr>
                <w:rFonts w:ascii="宋体" w:hAnsi="宋体"/>
                <w:b/>
                <w:bCs w:val="0"/>
                <w:color w:val="auto"/>
                <w:szCs w:val="21"/>
                <w:highlight w:val="none"/>
                <w:u w:val="single"/>
              </w:rPr>
              <w:t xml:space="preserve">  </w:t>
            </w:r>
            <w:r>
              <w:rPr>
                <w:rFonts w:ascii="宋体" w:hAnsi="宋体"/>
                <w:b/>
                <w:bCs w:val="0"/>
                <w:color w:val="auto"/>
                <w:szCs w:val="21"/>
                <w:highlight w:val="none"/>
              </w:rPr>
              <w:t>元。</w:t>
            </w:r>
          </w:p>
          <w:p w14:paraId="536E166C">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bCs/>
                <w:color w:val="auto"/>
                <w:szCs w:val="21"/>
                <w:highlight w:val="none"/>
                <w:lang w:val="en-US" w:eastAsia="zh-CN"/>
              </w:rPr>
              <w:t>3.本项目服务期内采购人按批次订购图书，并按实际验收图书的实洋价进行结算。当采购数量与实际使用数量不一致时，成交供应商根据实际使用量供货，合同的最终结算金额按实际使用量乘以实洋价进行计算。</w:t>
            </w:r>
          </w:p>
        </w:tc>
      </w:tr>
      <w:tr w14:paraId="595B5C8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47F77E26">
            <w:pPr>
              <w:numPr>
                <w:ilvl w:val="0"/>
                <w:numId w:val="0"/>
              </w:numPr>
              <w:spacing w:line="240" w:lineRule="auto"/>
              <w:ind w:firstLine="0" w:firstLineChars="0"/>
              <w:jc w:val="center"/>
              <w:rPr>
                <w:rFonts w:hint="eastAsia" w:ascii="宋体" w:hAnsi="宋体" w:eastAsia="宋体" w:cs="宋体"/>
                <w:b/>
                <w:bCs/>
                <w:color w:val="auto"/>
                <w:szCs w:val="21"/>
                <w:highlight w:val="none"/>
              </w:rPr>
            </w:pPr>
            <w:r>
              <w:rPr>
                <w:rFonts w:hint="eastAsia" w:ascii="宋体" w:hAnsi="宋体" w:eastAsia="宋体"/>
                <w:b/>
                <w:bCs/>
                <w:color w:val="auto"/>
                <w:highlight w:val="none"/>
              </w:rPr>
              <w:t>其</w:t>
            </w:r>
            <w:r>
              <w:rPr>
                <w:rFonts w:hint="eastAsia" w:ascii="宋体" w:hAnsi="宋体" w:eastAsia="宋体"/>
                <w:b/>
                <w:bCs/>
                <w:color w:val="auto"/>
                <w:highlight w:val="none"/>
                <w:lang w:eastAsia="zh-CN"/>
              </w:rPr>
              <w:t>他</w:t>
            </w:r>
            <w:r>
              <w:rPr>
                <w:rFonts w:hint="eastAsia" w:ascii="宋体" w:hAnsi="宋体" w:eastAsia="宋体"/>
                <w:b/>
                <w:bCs/>
                <w:color w:val="auto"/>
                <w:highlight w:val="none"/>
              </w:rPr>
              <w:t>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1B924250">
            <w:pPr>
              <w:spacing w:line="300" w:lineRule="exact"/>
              <w:jc w:val="left"/>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本项目划分为A、B、C三个分标，供应商</w:t>
            </w:r>
            <w:r>
              <w:rPr>
                <w:rFonts w:hint="eastAsia" w:ascii="宋体" w:hAnsi="宋体" w:eastAsia="宋体" w:cs="宋体"/>
                <w:color w:val="auto"/>
                <w:highlight w:val="none"/>
              </w:rPr>
              <w:t>可就一个或多个标段进行</w:t>
            </w:r>
            <w:r>
              <w:rPr>
                <w:rFonts w:hint="eastAsia" w:ascii="宋体" w:hAnsi="宋体" w:eastAsia="宋体" w:cs="宋体"/>
                <w:color w:val="auto"/>
                <w:highlight w:val="none"/>
                <w:lang w:eastAsia="zh-CN"/>
              </w:rPr>
              <w:t>竞</w:t>
            </w:r>
            <w:r>
              <w:rPr>
                <w:rFonts w:hint="eastAsia" w:ascii="宋体" w:hAnsi="宋体" w:eastAsia="宋体" w:cs="宋体"/>
                <w:color w:val="auto"/>
                <w:highlight w:val="none"/>
              </w:rPr>
              <w:t>标</w:t>
            </w:r>
            <w:r>
              <w:rPr>
                <w:rFonts w:hint="eastAsia" w:ascii="宋体" w:hAnsi="宋体" w:eastAsia="宋体" w:cs="宋体"/>
                <w:color w:val="auto"/>
                <w:highlight w:val="none"/>
                <w:lang w:val="en-US" w:eastAsia="zh-CN"/>
              </w:rPr>
              <w:t>，但同一供应商最终仅允许成为一个分标的成交供应商。</w:t>
            </w:r>
          </w:p>
        </w:tc>
      </w:tr>
    </w:tbl>
    <w:p w14:paraId="08D712AE">
      <w:pPr>
        <w:spacing w:line="528" w:lineRule="exact"/>
        <w:jc w:val="left"/>
        <w:rPr>
          <w:rFonts w:hint="eastAsia" w:ascii="Arial Unicode MS" w:hAnsi="Arial Unicode MS" w:eastAsia="Arial Unicode MS" w:cs="Arial Unicode MS"/>
          <w:color w:val="auto"/>
          <w:sz w:val="32"/>
          <w:szCs w:val="32"/>
          <w:highlight w:val="none"/>
        </w:rPr>
      </w:pPr>
    </w:p>
    <w:p w14:paraId="534E0846">
      <w:pPr>
        <w:spacing w:line="528" w:lineRule="exact"/>
        <w:jc w:val="left"/>
        <w:rPr>
          <w:rFonts w:hint="eastAsia" w:ascii="Arial Unicode MS" w:hAnsi="Arial Unicode MS" w:eastAsia="Arial Unicode MS" w:cs="Arial Unicode MS"/>
          <w:color w:val="auto"/>
          <w:sz w:val="32"/>
          <w:szCs w:val="32"/>
          <w:highlight w:val="none"/>
        </w:rPr>
      </w:pPr>
      <w:r>
        <w:rPr>
          <w:rFonts w:hint="eastAsia" w:ascii="宋体" w:hAnsi="宋体" w:eastAsia="宋体" w:cs="宋体"/>
          <w:b/>
          <w:bCs/>
          <w:color w:val="auto"/>
          <w:sz w:val="32"/>
          <w:szCs w:val="32"/>
          <w:highlight w:val="none"/>
          <w:lang w:val="en-US" w:eastAsia="zh-CN"/>
        </w:rPr>
        <w:t>附件B：B分标特价纸质图书必选书目清单（另附）</w:t>
      </w:r>
      <w:r>
        <w:rPr>
          <w:rFonts w:hint="eastAsia" w:ascii="Arial Unicode MS" w:hAnsi="Arial Unicode MS" w:eastAsia="Arial Unicode MS" w:cs="Arial Unicode MS"/>
          <w:color w:val="auto"/>
          <w:sz w:val="32"/>
          <w:szCs w:val="32"/>
          <w:highlight w:val="none"/>
        </w:rPr>
        <w:br w:type="page"/>
      </w:r>
    </w:p>
    <w:tbl>
      <w:tblPr>
        <w:tblStyle w:val="28"/>
        <w:tblW w:w="1010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3"/>
        <w:gridCol w:w="1230"/>
        <w:gridCol w:w="885"/>
        <w:gridCol w:w="7567"/>
      </w:tblGrid>
      <w:tr w14:paraId="519CFB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vAlign w:val="center"/>
          </w:tcPr>
          <w:p w14:paraId="28858863">
            <w:pPr>
              <w:spacing w:line="320" w:lineRule="exact"/>
              <w:jc w:val="left"/>
              <w:rPr>
                <w:rFonts w:hint="eastAsia" w:ascii="宋体" w:hAnsi="宋体" w:eastAsia="宋体" w:cs="宋体"/>
                <w:color w:val="auto"/>
                <w:sz w:val="32"/>
                <w:szCs w:val="32"/>
                <w:highlight w:val="none"/>
              </w:rPr>
            </w:pPr>
            <w:r>
              <w:rPr>
                <w:rFonts w:hint="eastAsia" w:ascii="宋体" w:hAnsi="宋体" w:eastAsia="宋体" w:cs="宋体"/>
                <w:b/>
                <w:bCs/>
                <w:color w:val="auto"/>
                <w:sz w:val="21"/>
                <w:szCs w:val="21"/>
                <w:highlight w:val="none"/>
                <w:lang w:val="en-US" w:eastAsia="zh-CN"/>
              </w:rPr>
              <w:t>C</w:t>
            </w:r>
            <w:r>
              <w:rPr>
                <w:rFonts w:hint="eastAsia" w:ascii="宋体" w:hAnsi="宋体" w:eastAsia="宋体" w:cs="宋体"/>
                <w:b/>
                <w:bCs/>
                <w:color w:val="auto"/>
                <w:sz w:val="21"/>
                <w:szCs w:val="21"/>
                <w:highlight w:val="none"/>
                <w:lang w:eastAsia="zh-CN"/>
              </w:rPr>
              <w:t>分标：</w:t>
            </w:r>
            <w:r>
              <w:rPr>
                <w:rFonts w:hint="eastAsia" w:ascii="宋体" w:hAnsi="宋体" w:eastAsia="宋体" w:cs="宋体"/>
                <w:b/>
                <w:bCs/>
                <w:color w:val="auto"/>
                <w:sz w:val="21"/>
                <w:szCs w:val="21"/>
                <w:highlight w:val="none"/>
                <w:lang w:val="en-US" w:eastAsia="zh-CN"/>
              </w:rPr>
              <w:t>正价</w:t>
            </w:r>
            <w:r>
              <w:rPr>
                <w:rFonts w:hint="eastAsia" w:ascii="宋体" w:hAnsi="宋体" w:eastAsia="宋体" w:cs="宋体"/>
                <w:b/>
                <w:bCs/>
                <w:color w:val="auto"/>
                <w:sz w:val="21"/>
                <w:szCs w:val="21"/>
                <w:highlight w:val="none"/>
                <w:lang w:eastAsia="zh-CN"/>
              </w:rPr>
              <w:t>纸质图书供应服务</w:t>
            </w:r>
          </w:p>
        </w:tc>
      </w:tr>
      <w:tr w14:paraId="76F2C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3" w:type="dxa"/>
            <w:tcBorders>
              <w:top w:val="single" w:color="auto" w:sz="4" w:space="0"/>
            </w:tcBorders>
            <w:noWrap w:val="0"/>
            <w:vAlign w:val="center"/>
          </w:tcPr>
          <w:p w14:paraId="39DE8D51">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序号</w:t>
            </w:r>
          </w:p>
        </w:tc>
        <w:tc>
          <w:tcPr>
            <w:tcW w:w="1230" w:type="dxa"/>
            <w:tcBorders>
              <w:top w:val="single" w:color="auto" w:sz="4" w:space="0"/>
            </w:tcBorders>
            <w:noWrap w:val="0"/>
            <w:vAlign w:val="center"/>
          </w:tcPr>
          <w:p w14:paraId="46688E56">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标的名称</w:t>
            </w:r>
          </w:p>
        </w:tc>
        <w:tc>
          <w:tcPr>
            <w:tcW w:w="885" w:type="dxa"/>
            <w:tcBorders>
              <w:top w:val="single" w:color="auto" w:sz="4" w:space="0"/>
            </w:tcBorders>
            <w:noWrap w:val="0"/>
            <w:vAlign w:val="center"/>
          </w:tcPr>
          <w:p w14:paraId="4615AB75">
            <w:pPr>
              <w:spacing w:line="320" w:lineRule="exact"/>
              <w:jc w:val="center"/>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lang w:eastAsia="zh-CN"/>
              </w:rPr>
              <w:t>数量</w:t>
            </w:r>
          </w:p>
          <w:p w14:paraId="00E55287">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 w:val="21"/>
                <w:szCs w:val="21"/>
                <w:highlight w:val="none"/>
                <w:lang w:eastAsia="zh-CN"/>
              </w:rPr>
              <w:t>及</w:t>
            </w:r>
            <w:r>
              <w:rPr>
                <w:rFonts w:hint="eastAsia" w:ascii="宋体" w:hAnsi="宋体" w:eastAsia="宋体" w:cs="宋体"/>
                <w:b/>
                <w:bCs/>
                <w:color w:val="auto"/>
                <w:sz w:val="21"/>
                <w:szCs w:val="21"/>
                <w:highlight w:val="none"/>
              </w:rPr>
              <w:t>单位</w:t>
            </w:r>
          </w:p>
        </w:tc>
        <w:tc>
          <w:tcPr>
            <w:tcW w:w="7567" w:type="dxa"/>
            <w:tcBorders>
              <w:top w:val="single" w:color="auto" w:sz="4" w:space="0"/>
            </w:tcBorders>
            <w:noWrap w:val="0"/>
            <w:vAlign w:val="center"/>
          </w:tcPr>
          <w:p w14:paraId="49A22A9F">
            <w:pPr>
              <w:spacing w:line="320" w:lineRule="exact"/>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▲服务</w:t>
            </w:r>
            <w:r>
              <w:rPr>
                <w:rFonts w:hint="eastAsia" w:ascii="宋体" w:hAnsi="宋体" w:eastAsia="宋体" w:cs="宋体"/>
                <w:b/>
                <w:bCs/>
                <w:color w:val="auto"/>
                <w:szCs w:val="21"/>
                <w:highlight w:val="none"/>
                <w:lang w:eastAsia="zh-CN"/>
              </w:rPr>
              <w:t>要求</w:t>
            </w:r>
          </w:p>
        </w:tc>
      </w:tr>
      <w:tr w14:paraId="75DA50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423" w:type="dxa"/>
            <w:noWrap w:val="0"/>
            <w:vAlign w:val="center"/>
          </w:tcPr>
          <w:p w14:paraId="04F157A2">
            <w:pPr>
              <w:spacing w:line="320" w:lineRule="exact"/>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w:t>
            </w:r>
          </w:p>
        </w:tc>
        <w:tc>
          <w:tcPr>
            <w:tcW w:w="1230" w:type="dxa"/>
            <w:noWrap w:val="0"/>
            <w:vAlign w:val="center"/>
          </w:tcPr>
          <w:p w14:paraId="06A661C5">
            <w:pPr>
              <w:spacing w:line="320" w:lineRule="exact"/>
              <w:jc w:val="left"/>
              <w:rPr>
                <w:rFonts w:hint="eastAsia" w:ascii="宋体" w:hAnsi="宋体" w:eastAsia="宋体" w:cs="宋体"/>
                <w:color w:val="auto"/>
                <w:szCs w:val="21"/>
                <w:highlight w:val="none"/>
              </w:rPr>
            </w:pPr>
            <w:r>
              <w:rPr>
                <w:rFonts w:hint="eastAsia" w:ascii="宋体" w:hAnsi="宋体" w:eastAsia="宋体" w:cs="宋体"/>
                <w:color w:val="auto"/>
                <w:kern w:val="0"/>
                <w:highlight w:val="none"/>
                <w:lang w:bidi="zh-CN"/>
              </w:rPr>
              <w:t>正价纸质图书供应服务</w:t>
            </w:r>
          </w:p>
        </w:tc>
        <w:tc>
          <w:tcPr>
            <w:tcW w:w="885" w:type="dxa"/>
            <w:noWrap w:val="0"/>
            <w:vAlign w:val="center"/>
          </w:tcPr>
          <w:p w14:paraId="7D0ED0B8">
            <w:pPr>
              <w:spacing w:line="320" w:lineRule="exact"/>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1项</w:t>
            </w:r>
          </w:p>
        </w:tc>
        <w:tc>
          <w:tcPr>
            <w:tcW w:w="7567" w:type="dxa"/>
            <w:noWrap w:val="0"/>
            <w:vAlign w:val="center"/>
          </w:tcPr>
          <w:p w14:paraId="34F7382C">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一、服务期限：自签订合同之日起至2027年4月30日止。</w:t>
            </w:r>
          </w:p>
          <w:p w14:paraId="4A2A85D1">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二、本项目按</w:t>
            </w:r>
            <w:r>
              <w:rPr>
                <w:rFonts w:hint="default"/>
                <w:color w:val="auto"/>
                <w:highlight w:val="none"/>
                <w:lang w:val="en-US" w:eastAsia="zh-CN"/>
              </w:rPr>
              <w:t>折扣率报价</w:t>
            </w:r>
            <w:r>
              <w:rPr>
                <w:rFonts w:hint="eastAsia"/>
                <w:color w:val="auto"/>
                <w:highlight w:val="none"/>
                <w:lang w:val="en-US" w:eastAsia="zh-CN"/>
              </w:rPr>
              <w:t>和结算，详见商务要求。</w:t>
            </w:r>
          </w:p>
          <w:p w14:paraId="77BB62A2">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三、图书册数及要求：</w:t>
            </w:r>
          </w:p>
          <w:p w14:paraId="36479264">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（一）成交供应商需按采购人提供书单</w:t>
            </w:r>
            <w:r>
              <w:rPr>
                <w:rFonts w:hint="eastAsia"/>
                <w:color w:val="auto"/>
                <w:highlight w:val="none"/>
                <w:u w:val="none"/>
                <w:lang w:val="en-US" w:eastAsia="zh-CN"/>
              </w:rPr>
              <w:t>提供图书，其中须含</w:t>
            </w:r>
            <w:r>
              <w:rPr>
                <w:rFonts w:hint="eastAsia"/>
                <w:b/>
                <w:bCs/>
                <w:color w:val="auto"/>
                <w:highlight w:val="none"/>
                <w:u w:val="none"/>
                <w:lang w:val="en-US" w:eastAsia="zh-CN"/>
              </w:rPr>
              <w:t>（</w:t>
            </w:r>
            <w:r>
              <w:rPr>
                <w:rFonts w:hint="eastAsia" w:ascii="宋体" w:hAnsi="宋体" w:eastAsia="宋体" w:cs="宋体"/>
                <w:b/>
                <w:bCs/>
                <w:color w:val="auto"/>
                <w:highlight w:val="none"/>
                <w:u w:val="none"/>
                <w:lang w:val="en-US" w:eastAsia="zh-CN"/>
              </w:rPr>
              <w:t>附件C）《C分标正价纸质图书必选书目清单》所列图书</w:t>
            </w:r>
            <w:r>
              <w:rPr>
                <w:rFonts w:hint="eastAsia" w:ascii="宋体" w:hAnsi="宋体" w:eastAsia="宋体" w:cs="宋体"/>
                <w:b/>
                <w:bCs/>
                <w:color w:val="auto"/>
                <w:highlight w:val="none"/>
                <w:lang w:val="en-US" w:eastAsia="zh-CN"/>
              </w:rPr>
              <w:t>，且该清单的</w:t>
            </w:r>
            <w:r>
              <w:rPr>
                <w:rFonts w:hint="eastAsia" w:ascii="宋体" w:hAnsi="宋体" w:eastAsia="宋体" w:cs="宋体"/>
                <w:b/>
                <w:bCs/>
                <w:color w:val="auto"/>
                <w:highlight w:val="none"/>
                <w:u w:val="none"/>
                <w:lang w:val="en-US" w:eastAsia="zh-CN"/>
              </w:rPr>
              <w:t>到书</w:t>
            </w:r>
            <w:r>
              <w:rPr>
                <w:rFonts w:hint="eastAsia" w:ascii="宋体" w:hAnsi="宋体" w:eastAsia="宋体" w:cs="宋体"/>
                <w:b/>
                <w:bCs/>
                <w:color w:val="auto"/>
                <w:highlight w:val="none"/>
                <w:lang w:val="en-US" w:eastAsia="zh-CN"/>
              </w:rPr>
              <w:t>率≥95%；</w:t>
            </w:r>
            <w:r>
              <w:rPr>
                <w:rFonts w:hint="eastAsia" w:ascii="宋体" w:hAnsi="宋体" w:eastAsia="宋体" w:cs="宋体"/>
                <w:b/>
                <w:bCs/>
                <w:color w:val="auto"/>
                <w:sz w:val="21"/>
                <w:szCs w:val="21"/>
                <w:highlight w:val="none"/>
                <w:lang w:val="en-US" w:eastAsia="zh-CN"/>
              </w:rPr>
              <w:t>该清单图书采购不限制出版社及出版时间。</w:t>
            </w:r>
            <w:r>
              <w:rPr>
                <w:rFonts w:hint="eastAsia" w:ascii="宋体" w:hAnsi="宋体" w:eastAsia="宋体" w:cs="宋体"/>
                <w:color w:val="auto"/>
                <w:sz w:val="21"/>
                <w:szCs w:val="21"/>
                <w:highlight w:val="none"/>
              </w:rPr>
              <w:t>采购人确认后的订单，成交供应商</w:t>
            </w:r>
            <w:r>
              <w:rPr>
                <w:rFonts w:hint="eastAsia" w:ascii="宋体" w:hAnsi="宋体" w:cs="宋体"/>
                <w:color w:val="auto"/>
                <w:sz w:val="21"/>
                <w:szCs w:val="21"/>
                <w:highlight w:val="none"/>
                <w:lang w:eastAsia="zh-CN"/>
              </w:rPr>
              <w:t>承诺</w:t>
            </w:r>
            <w:r>
              <w:rPr>
                <w:rFonts w:hint="eastAsia" w:ascii="宋体" w:hAnsi="宋体" w:eastAsia="宋体" w:cs="宋体"/>
                <w:color w:val="auto"/>
                <w:sz w:val="21"/>
                <w:szCs w:val="21"/>
                <w:highlight w:val="none"/>
              </w:rPr>
              <w:t>不得自行搭配与调整，如发现与上述书目清单不符，成交供应商应无条件接受采购人退货，无论图书是否经过前期加工，并承担由此产生的一切后果。</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p>
          <w:p w14:paraId="144C5D70">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（二）本项目采购的正版纸质图书，须为2024年（含）以后由正规出版社出版（或印刷）的图书。</w:t>
            </w:r>
            <w:r>
              <w:rPr>
                <w:rFonts w:hint="eastAsia" w:ascii="宋体" w:hAnsi="宋体" w:eastAsia="宋体" w:cs="宋体"/>
                <w:b/>
                <w:bCs/>
                <w:color w:val="auto"/>
                <w:highlight w:val="none"/>
                <w:lang w:val="en-US" w:eastAsia="zh-CN"/>
              </w:rPr>
              <w:t>附件C《C分标正价纸质图书必选书目清单》</w:t>
            </w:r>
            <w:r>
              <w:rPr>
                <w:rFonts w:hint="eastAsia"/>
                <w:color w:val="auto"/>
                <w:highlight w:val="none"/>
                <w:lang w:val="en-US" w:eastAsia="zh-CN"/>
              </w:rPr>
              <w:t>所列图书不受上述出版时间和出版社限制。</w:t>
            </w:r>
            <w:r>
              <w:rPr>
                <w:rFonts w:hint="eastAsia"/>
                <w:b/>
                <w:bCs/>
                <w:color w:val="auto"/>
                <w:highlight w:val="none"/>
                <w:lang w:val="en-US" w:eastAsia="zh-CN"/>
              </w:rPr>
              <w:t>因馆藏建设需求或读者推荐的图书，不受出版社、出版时间限制，由成交供应商积极协助采购。</w:t>
            </w:r>
          </w:p>
          <w:p w14:paraId="04A9AE56">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（三）本次采购该分标的采购图书总册数不少于1.2044万册。</w:t>
            </w:r>
          </w:p>
          <w:p w14:paraId="1FCB5128">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（四）图书的出版社是国家新闻出版署批准成立的合法出版社。</w:t>
            </w:r>
          </w:p>
          <w:p w14:paraId="46D381D5">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四、版权与标准：成交供应商应严格执行图书及出版物相关的国际标准或国家标准、行业标准、地方标准及规范。成交供应商必须从国家新闻出版署批准成立的合法出版社购买图书，提供的图书（包括订单图书、书展用图书、到实体店选购的图书）必须是国家正式出版物，必须是符合国家质量标准要求的全新、未使用过的合格正版图书，必须具有国家新闻出版署批准的国际标准书号（ISBN号），必须没有知识产权、版权纠纷。图书的印刷质量主要执行GB/T 34053.3-2017《纸质印刷产品印制质量检验规范第3部分：图书期刊》《图书质量管理规定》《出版管理条例》《印刷业管理条例》。每册图书均要有版权页，且图书在版编目（CIP）数据要与国家新闻出版署官方网站中的出版物信息查询的图书在版编目（CIP）数据一致。若采购人在验收时发现有与国家新闻出版署的官方网站中的出版物信息查询的图书在版编目（CIP）数据不相符的图书，有污损、图文不清、缺页、倒页、缺附件等质量不合格的图书，以及与订单不符的图书，无论加工与否，一律予以退回，由此造成的损失及费用全部由成交供应商承担。此外，若出现与其他第三方的版权纠纷，采购人有权要求终止合同，一切后果由成交供应商负责。</w:t>
            </w:r>
          </w:p>
          <w:p w14:paraId="47AE5B6F">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eastAsia="zh-CN"/>
              </w:rPr>
              <w:t>▲</w:t>
            </w:r>
            <w:r>
              <w:rPr>
                <w:rFonts w:hint="eastAsia"/>
                <w:color w:val="auto"/>
                <w:highlight w:val="none"/>
                <w:lang w:val="en-US" w:eastAsia="zh-CN"/>
              </w:rPr>
              <w:t>五、成交供应商供应的图书（包括但不限于订单图书、书展用图书、到实体店选购的图书）须符合国家法律法规和相关政策、社会主义核心价值观等要求，不得含有下列内容：</w:t>
            </w:r>
          </w:p>
          <w:p w14:paraId="32F189A9">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（一）反对宪法确定的基本原则的；</w:t>
            </w:r>
          </w:p>
          <w:p w14:paraId="56E76FC7">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（二）违背党的路线方针政策，污蔑、丑化党和国家领导人、英模人物，戏说党史、国史、军史的；</w:t>
            </w:r>
          </w:p>
          <w:p w14:paraId="4261F8FD">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（三）危害国家统一、主权和领土完整的；</w:t>
            </w:r>
          </w:p>
          <w:p w14:paraId="10D872E9">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（四）泄露国家秘密、危害国家安全或者损害国家荣誉和利益的，具有反华、辱华、丑华内容的；</w:t>
            </w:r>
          </w:p>
          <w:p w14:paraId="11D3AEC4">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（五）存在违反民族政策的内容，煽动民族仇恨、民族歧视，破坏民族团结，或者侵害、不尊重民族风俗、习惯的；</w:t>
            </w:r>
          </w:p>
          <w:p w14:paraId="628E02E4">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（六）存在违反宗教政策的内容，宣扬宗教教理、教义、教规、邪教、迷信的；</w:t>
            </w:r>
          </w:p>
          <w:p w14:paraId="0902D006">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（七）宣扬个人主义、新自由主义、历史虚无主义等错误观点，存在崇洋媚外思想倾向的；</w:t>
            </w:r>
          </w:p>
          <w:p w14:paraId="152821CC">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（八）存在科学性错误的；</w:t>
            </w:r>
          </w:p>
          <w:p w14:paraId="51470C46">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（九）扰乱社会秩序，破坏社会稳定的；</w:t>
            </w:r>
          </w:p>
          <w:p w14:paraId="4C2CA20B">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（十）存在低俗媚俗庸俗等不良倾向，格调低下、思想不健康，宣扬超自然力、神秘主义和鬼神迷信，存在淫秽、色情、暴力、邪教、赌博、毒品、引诱自杀、教唆犯罪等价值导向问题的；</w:t>
            </w:r>
          </w:p>
          <w:p w14:paraId="3A2EC82D">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（十一）存在违规植入商业广告或变相商业广告及不当链接的；</w:t>
            </w:r>
          </w:p>
          <w:p w14:paraId="2CC46540">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（十二）侮辱或者诽谤他人，侵害他人合法权益的；</w:t>
            </w:r>
          </w:p>
          <w:p w14:paraId="0B38429F">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（十三）其他有违公序良俗、道德标准等，危害社会公德或者民族优秀文化传统的，造成社会不良影响的；</w:t>
            </w:r>
          </w:p>
          <w:p w14:paraId="3751BF52">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（十四）有法律、行政法规和国家规定禁止的其他内容的。一经发现上述情况，采购人有权终止合同，由成交供应商承担一切相应责任。</w:t>
            </w:r>
          </w:p>
          <w:p w14:paraId="05327DE3">
            <w:pPr>
              <w:widowControl/>
              <w:pBdr>
                <w:top w:val="none" w:color="auto" w:sz="0" w:space="0"/>
                <w:left w:val="none" w:color="auto" w:sz="0" w:space="0"/>
                <w:bottom w:val="none" w:color="auto" w:sz="0" w:space="0"/>
                <w:right w:val="none" w:color="auto" w:sz="0" w:space="0"/>
              </w:pBdr>
              <w:snapToGrid/>
              <w:spacing w:line="240" w:lineRule="auto"/>
              <w:rPr>
                <w:rFonts w:hint="eastAsia" w:ascii="宋体" w:hAnsi="宋体" w:cs="宋体"/>
                <w:color w:val="auto"/>
                <w:szCs w:val="21"/>
                <w:highlight w:val="none"/>
                <w:lang w:bidi="ar"/>
              </w:rPr>
            </w:pPr>
            <w:r>
              <w:rPr>
                <w:rFonts w:hint="eastAsia"/>
                <w:color w:val="auto"/>
                <w:highlight w:val="none"/>
                <w:lang w:eastAsia="zh-CN"/>
              </w:rPr>
              <w:t>▲</w:t>
            </w:r>
            <w:r>
              <w:rPr>
                <w:rFonts w:hint="eastAsia" w:ascii="宋体" w:hAnsi="宋体" w:cs="宋体"/>
                <w:color w:val="auto"/>
                <w:szCs w:val="21"/>
                <w:highlight w:val="none"/>
                <w:lang w:bidi="ar"/>
              </w:rPr>
              <w:t>六、本项目服务期内</w:t>
            </w:r>
            <w:r>
              <w:rPr>
                <w:rFonts w:hint="eastAsia" w:ascii="宋体" w:hAnsi="宋体" w:cs="宋体"/>
                <w:color w:val="auto"/>
                <w:szCs w:val="21"/>
                <w:highlight w:val="none"/>
                <w:lang w:eastAsia="zh-CN" w:bidi="ar"/>
              </w:rPr>
              <w:t>，</w:t>
            </w:r>
            <w:r>
              <w:rPr>
                <w:rFonts w:hint="eastAsia" w:ascii="宋体" w:hAnsi="宋体" w:cs="宋体"/>
                <w:color w:val="auto"/>
                <w:szCs w:val="21"/>
                <w:highlight w:val="none"/>
                <w:lang w:bidi="ar"/>
              </w:rPr>
              <w:t>采购人按批次订购图书，并按实际验收</w:t>
            </w:r>
            <w:r>
              <w:rPr>
                <w:rFonts w:hint="eastAsia" w:ascii="宋体" w:hAnsi="宋体" w:cs="宋体"/>
                <w:color w:val="auto"/>
                <w:szCs w:val="21"/>
                <w:highlight w:val="none"/>
                <w:lang w:val="en-US" w:eastAsia="zh-CN" w:bidi="ar"/>
              </w:rPr>
              <w:t>合格</w:t>
            </w:r>
            <w:r>
              <w:rPr>
                <w:rFonts w:hint="eastAsia" w:ascii="宋体" w:hAnsi="宋体" w:cs="宋体"/>
                <w:color w:val="auto"/>
                <w:szCs w:val="21"/>
                <w:highlight w:val="none"/>
                <w:lang w:bidi="ar"/>
              </w:rPr>
              <w:t>图书的实洋价进行结算。合同的最终结算金额按实际</w:t>
            </w:r>
            <w:r>
              <w:rPr>
                <w:rFonts w:hint="eastAsia" w:ascii="宋体" w:hAnsi="宋体" w:cs="宋体"/>
                <w:color w:val="auto"/>
                <w:szCs w:val="21"/>
                <w:highlight w:val="none"/>
                <w:lang w:val="en-US" w:eastAsia="zh-CN" w:bidi="ar"/>
              </w:rPr>
              <w:t>验收合格数量</w:t>
            </w:r>
            <w:r>
              <w:rPr>
                <w:rFonts w:hint="eastAsia" w:ascii="宋体" w:hAnsi="宋体" w:cs="宋体"/>
                <w:color w:val="auto"/>
                <w:szCs w:val="21"/>
                <w:highlight w:val="none"/>
                <w:lang w:bidi="ar"/>
              </w:rPr>
              <w:t>乘以实洋价进行计算。</w:t>
            </w:r>
          </w:p>
          <w:p w14:paraId="42FF43D5">
            <w:pPr>
              <w:widowControl/>
              <w:pBdr>
                <w:top w:val="none" w:color="auto" w:sz="0" w:space="0"/>
                <w:left w:val="none" w:color="auto" w:sz="0" w:space="0"/>
                <w:bottom w:val="none" w:color="auto" w:sz="0" w:space="0"/>
                <w:right w:val="none" w:color="auto" w:sz="0" w:space="0"/>
              </w:pBdr>
              <w:rPr>
                <w:rFonts w:hint="default" w:eastAsia="宋体"/>
                <w:color w:val="auto"/>
                <w:highlight w:val="none"/>
                <w:lang w:val="en-US" w:eastAsia="zh-CN"/>
              </w:rPr>
            </w:pPr>
            <w:r>
              <w:rPr>
                <w:rFonts w:hint="eastAsia"/>
                <w:color w:val="auto"/>
                <w:highlight w:val="none"/>
                <w:lang w:eastAsia="zh-CN"/>
              </w:rPr>
              <w:t>▲</w:t>
            </w:r>
            <w:r>
              <w:rPr>
                <w:rFonts w:hint="eastAsia"/>
                <w:color w:val="auto"/>
                <w:highlight w:val="none"/>
                <w:lang w:val="en-US" w:eastAsia="zh-CN"/>
              </w:rPr>
              <w:t>七、服务要求：</w:t>
            </w:r>
          </w:p>
          <w:p w14:paraId="6374E138">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default"/>
                <w:color w:val="auto"/>
                <w:highlight w:val="none"/>
                <w:lang w:val="en-US" w:eastAsia="zh-CN"/>
              </w:rPr>
              <w:t>1.图书（</w:t>
            </w:r>
            <w:r>
              <w:rPr>
                <w:rFonts w:hint="eastAsia"/>
                <w:color w:val="auto"/>
                <w:highlight w:val="none"/>
                <w:lang w:val="en-US" w:eastAsia="zh-CN"/>
              </w:rPr>
              <w:t>包含但不限于</w:t>
            </w:r>
            <w:r>
              <w:rPr>
                <w:rFonts w:hint="default"/>
                <w:color w:val="auto"/>
                <w:highlight w:val="none"/>
                <w:lang w:val="en-US" w:eastAsia="zh-CN"/>
              </w:rPr>
              <w:t>订单图书、书展图书、实体店选购图书）须确保为正版授权出版物，严禁提供盗版、盗印</w:t>
            </w:r>
            <w:r>
              <w:rPr>
                <w:rFonts w:hint="eastAsia"/>
                <w:color w:val="auto"/>
                <w:highlight w:val="none"/>
                <w:lang w:val="en-US" w:eastAsia="zh-CN"/>
              </w:rPr>
              <w:t>等</w:t>
            </w:r>
            <w:r>
              <w:rPr>
                <w:rFonts w:hint="default"/>
                <w:color w:val="auto"/>
                <w:highlight w:val="none"/>
                <w:lang w:val="en-US" w:eastAsia="zh-CN"/>
              </w:rPr>
              <w:t>违规图书。若经查实供应图书存在盗版、盗印等侵权违规情形，一切社会影响及法律责任均由成交供应商独立承担；采购人有权单方面解除合同，成交供应商还需全额赔偿由此给采购人造成的全部经济损失，并承担相应法律责任。</w:t>
            </w:r>
          </w:p>
          <w:p w14:paraId="20BA5143">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w:t>
            </w:r>
            <w:r>
              <w:rPr>
                <w:rFonts w:hint="default"/>
                <w:color w:val="auto"/>
                <w:highlight w:val="none"/>
                <w:lang w:val="en-US" w:eastAsia="zh-CN"/>
              </w:rPr>
              <w:t>.成交供应商须按采购人下达的图书订单（含品种、数量）及时供货，图书到馆后以采购人现用的Interlib3.5 图书馆管理系统验收结果为准。如有必要，采购人可依据国家有关规定及相关规范组成验收小组开展验收工作；采购人有权委托第三方机构进行履约验收，由此产生的履约验收费用由成交供应商承担。</w:t>
            </w:r>
          </w:p>
          <w:p w14:paraId="581DC304">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3.</w:t>
            </w:r>
            <w:r>
              <w:rPr>
                <w:rFonts w:hint="eastAsia" w:ascii="宋体" w:hAnsi="宋体" w:eastAsia="宋体" w:cs="宋体"/>
                <w:b/>
                <w:bCs/>
                <w:color w:val="auto"/>
                <w:highlight w:val="none"/>
                <w:lang w:val="en-US" w:eastAsia="zh-CN"/>
              </w:rPr>
              <w:t>自订单发送之日起30个日历日内，每笔订单的到书率须≥90%，采购需求</w:t>
            </w:r>
            <w:r>
              <w:rPr>
                <w:rFonts w:hint="eastAsia" w:ascii="宋体" w:hAnsi="宋体" w:eastAsia="宋体" w:cs="宋体"/>
                <w:b/>
                <w:bCs/>
                <w:color w:val="auto"/>
                <w:highlight w:val="none"/>
                <w:u w:val="none"/>
                <w:lang w:val="en-US" w:eastAsia="zh-CN"/>
              </w:rPr>
              <w:t>附件C《C分标正价纸质图书必选书目清单》</w:t>
            </w:r>
            <w:r>
              <w:rPr>
                <w:rFonts w:hint="eastAsia" w:ascii="宋体" w:hAnsi="宋体" w:eastAsia="宋体" w:cs="宋体"/>
                <w:b/>
                <w:bCs/>
                <w:color w:val="auto"/>
                <w:highlight w:val="none"/>
                <w:lang w:val="en-US" w:eastAsia="zh-CN"/>
              </w:rPr>
              <w:t>的</w:t>
            </w:r>
            <w:r>
              <w:rPr>
                <w:rFonts w:hint="eastAsia" w:ascii="宋体" w:hAnsi="宋体" w:eastAsia="宋体" w:cs="宋体"/>
                <w:b/>
                <w:bCs/>
                <w:color w:val="auto"/>
                <w:highlight w:val="none"/>
                <w:u w:val="none"/>
                <w:lang w:val="en-US" w:eastAsia="zh-CN"/>
              </w:rPr>
              <w:t>到书</w:t>
            </w:r>
            <w:r>
              <w:rPr>
                <w:rFonts w:hint="eastAsia" w:ascii="宋体" w:hAnsi="宋体" w:eastAsia="宋体" w:cs="宋体"/>
                <w:b/>
                <w:bCs/>
                <w:color w:val="auto"/>
                <w:highlight w:val="none"/>
                <w:lang w:val="en-US" w:eastAsia="zh-CN"/>
              </w:rPr>
              <w:t>率按≥95%</w:t>
            </w:r>
            <w:r>
              <w:rPr>
                <w:rFonts w:hint="eastAsia"/>
                <w:b/>
                <w:bCs/>
                <w:color w:val="auto"/>
                <w:highlight w:val="none"/>
                <w:lang w:val="en-US" w:eastAsia="zh-CN"/>
              </w:rPr>
              <w:t>要求执行</w:t>
            </w:r>
            <w:r>
              <w:rPr>
                <w:rFonts w:hint="default"/>
                <w:color w:val="auto"/>
                <w:highlight w:val="none"/>
                <w:lang w:val="en-US" w:eastAsia="zh-CN"/>
              </w:rPr>
              <w:t>；若存在无法供货的情形，成交供应商应提供出版社出具的正式无法供货证明材料</w:t>
            </w:r>
            <w:r>
              <w:rPr>
                <w:rFonts w:hint="eastAsia"/>
                <w:color w:val="auto"/>
                <w:highlight w:val="none"/>
                <w:lang w:val="en-US" w:eastAsia="zh-CN"/>
              </w:rPr>
              <w:t>，</w:t>
            </w:r>
            <w:r>
              <w:rPr>
                <w:rFonts w:hint="eastAsia"/>
                <w:b/>
                <w:bCs/>
                <w:color w:val="auto"/>
                <w:highlight w:val="none"/>
              </w:rPr>
              <w:t>成交供应商出具出版社无法正式供货的证明的图书不纳入到书率的统计范围</w:t>
            </w:r>
            <w:r>
              <w:rPr>
                <w:rFonts w:hint="default"/>
                <w:color w:val="auto"/>
                <w:highlight w:val="none"/>
                <w:lang w:val="en-US" w:eastAsia="zh-CN"/>
              </w:rPr>
              <w:t>。若每笔订单到书率未达标，采购人有权单方面解除合同。订单到书率以Interlib3.</w:t>
            </w:r>
            <w:r>
              <w:rPr>
                <w:rFonts w:hint="eastAsia"/>
                <w:color w:val="auto"/>
                <w:highlight w:val="none"/>
                <w:lang w:val="en-US" w:eastAsia="zh-CN"/>
              </w:rPr>
              <w:t>5</w:t>
            </w:r>
            <w:r>
              <w:rPr>
                <w:rFonts w:hint="default"/>
                <w:color w:val="auto"/>
                <w:highlight w:val="none"/>
                <w:lang w:val="en-US" w:eastAsia="zh-CN"/>
              </w:rPr>
              <w:t>图书馆管理系统统计数据为依据，成交供应商需对未按期到货的图书承担相应违约责任</w:t>
            </w:r>
            <w:r>
              <w:rPr>
                <w:rFonts w:hint="default"/>
                <w:b/>
                <w:bCs/>
                <w:color w:val="auto"/>
                <w:highlight w:val="none"/>
                <w:lang w:val="en-US" w:eastAsia="zh-CN"/>
              </w:rPr>
              <w:t>（供应商应在</w:t>
            </w:r>
            <w:r>
              <w:rPr>
                <w:rFonts w:hint="eastAsia"/>
                <w:b/>
                <w:bCs/>
                <w:color w:val="auto"/>
                <w:highlight w:val="none"/>
                <w:lang w:val="en-US" w:eastAsia="zh-CN"/>
              </w:rPr>
              <w:t>响应</w:t>
            </w:r>
            <w:r>
              <w:rPr>
                <w:rFonts w:hint="default"/>
                <w:b/>
                <w:bCs/>
                <w:color w:val="auto"/>
                <w:highlight w:val="none"/>
                <w:lang w:val="en-US" w:eastAsia="zh-CN"/>
              </w:rPr>
              <w:t>文件中提交加盖</w:t>
            </w:r>
            <w:r>
              <w:rPr>
                <w:rFonts w:hint="eastAsia"/>
                <w:b/>
                <w:bCs/>
                <w:color w:val="auto"/>
                <w:highlight w:val="none"/>
                <w:lang w:val="en-US" w:eastAsia="zh-CN"/>
              </w:rPr>
              <w:t>供应商</w:t>
            </w:r>
            <w:r>
              <w:rPr>
                <w:rFonts w:hint="default"/>
                <w:b/>
                <w:bCs/>
                <w:color w:val="auto"/>
                <w:highlight w:val="none"/>
                <w:lang w:val="en-US" w:eastAsia="zh-CN"/>
              </w:rPr>
              <w:t>公章的承诺函）</w:t>
            </w:r>
            <w:r>
              <w:rPr>
                <w:rFonts w:hint="default"/>
                <w:color w:val="auto"/>
                <w:highlight w:val="none"/>
                <w:lang w:val="en-US" w:eastAsia="zh-CN"/>
              </w:rPr>
              <w:t>。</w:t>
            </w:r>
          </w:p>
          <w:p w14:paraId="34AF6204">
            <w:pPr>
              <w:widowControl/>
              <w:pBdr>
                <w:top w:val="none" w:color="auto" w:sz="0" w:space="0"/>
                <w:left w:val="none" w:color="auto" w:sz="0" w:space="0"/>
                <w:bottom w:val="none" w:color="auto" w:sz="0" w:space="0"/>
                <w:right w:val="none" w:color="auto" w:sz="0" w:space="0"/>
              </w:pBdr>
              <w:rPr>
                <w:rFonts w:hint="eastAsia"/>
                <w:color w:val="auto"/>
                <w:highlight w:val="none"/>
              </w:rPr>
            </w:pPr>
            <w:r>
              <w:rPr>
                <w:rFonts w:hint="eastAsia"/>
                <w:color w:val="auto"/>
                <w:highlight w:val="none"/>
                <w:lang w:val="en-US" w:eastAsia="zh-CN"/>
              </w:rPr>
              <w:t>4</w:t>
            </w:r>
            <w:r>
              <w:rPr>
                <w:rFonts w:hint="eastAsia"/>
                <w:color w:val="auto"/>
                <w:highlight w:val="none"/>
              </w:rPr>
              <w:t>.成交供应商负责新购图书的搬运与上架，并提供馆内旧图书的下架、搬运及打包服务（仅限学校西校区范围内）。打包须使用打包机和防潮纸，并由供应商自行提供所需材料及设备。</w:t>
            </w:r>
          </w:p>
          <w:p w14:paraId="51364AD0">
            <w:pPr>
              <w:widowControl/>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5.成交</w:t>
            </w:r>
            <w:r>
              <w:rPr>
                <w:rFonts w:hint="default"/>
                <w:color w:val="auto"/>
                <w:highlight w:val="none"/>
                <w:lang w:val="en-US" w:eastAsia="zh-CN"/>
              </w:rPr>
              <w:t>供应商提供图书为未经使用的全新正版的合格图书，整体外观和装订平整、牢固，无脱胶、无缺页、无页码倒装；图书的版权页和国际标准书号整洁、清晰，纸质好，无损坏、无撕页，字体、图片印刷清晰，无明显透印、重影。</w:t>
            </w:r>
          </w:p>
          <w:p w14:paraId="05E704AC">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6.成交</w:t>
            </w:r>
            <w:r>
              <w:rPr>
                <w:rFonts w:hint="default"/>
                <w:color w:val="auto"/>
                <w:highlight w:val="none"/>
                <w:lang w:val="en-US" w:eastAsia="zh-CN"/>
              </w:rPr>
              <w:t>供应商应严格依照采购人采购书目供货，采购品目、种类及订数配送图书，如图书出现违法、质量（包含污损、图文不清、缺页、倒页、缺附件等不合格情况）、内容（包括重书、空白页＞5页的书）、通过扫描图书封底ISBN条码读取出的号与图书在版编目（CIP）数据中ISBN号不符等问题应予无条件退换；不符合采购人订单要求图书，无论图书是否加工，</w:t>
            </w:r>
            <w:r>
              <w:rPr>
                <w:rFonts w:hint="eastAsia"/>
                <w:color w:val="auto"/>
                <w:highlight w:val="none"/>
                <w:lang w:val="en-US" w:eastAsia="zh-CN"/>
              </w:rPr>
              <w:t>成交</w:t>
            </w:r>
            <w:r>
              <w:rPr>
                <w:rFonts w:hint="default"/>
                <w:color w:val="auto"/>
                <w:highlight w:val="none"/>
                <w:lang w:val="en-US" w:eastAsia="zh-CN"/>
              </w:rPr>
              <w:t>供应商应无条件接受采购人退货，并承担由此产生的一切后果。</w:t>
            </w:r>
          </w:p>
          <w:p w14:paraId="72949F33">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7.</w:t>
            </w:r>
            <w:r>
              <w:rPr>
                <w:rFonts w:hint="default"/>
                <w:color w:val="auto"/>
                <w:highlight w:val="none"/>
                <w:lang w:val="en-US" w:eastAsia="zh-CN"/>
              </w:rPr>
              <w:t>图书到货后由采购人进行初步验收，包括对图书品种、数量、出版社、质量等进行逐册验收，若发现与采购人的采购需求不符，采购人有权拒绝签收，并要求供应商重新更换。更换以及退还图书手续一般应在5个工作日之内办理清楚，最长不得超过</w:t>
            </w:r>
            <w:r>
              <w:rPr>
                <w:rFonts w:hint="eastAsia"/>
                <w:color w:val="auto"/>
                <w:highlight w:val="none"/>
                <w:lang w:val="en-US" w:eastAsia="zh-CN"/>
              </w:rPr>
              <w:t>30</w:t>
            </w:r>
            <w:r>
              <w:rPr>
                <w:rFonts w:hint="default"/>
                <w:color w:val="auto"/>
                <w:highlight w:val="none"/>
                <w:lang w:val="en-US" w:eastAsia="zh-CN"/>
              </w:rPr>
              <w:t>个</w:t>
            </w:r>
            <w:r>
              <w:rPr>
                <w:rFonts w:hint="eastAsia"/>
                <w:color w:val="auto"/>
                <w:highlight w:val="none"/>
                <w:lang w:val="en-US" w:eastAsia="zh-CN"/>
              </w:rPr>
              <w:t>日历</w:t>
            </w:r>
            <w:r>
              <w:rPr>
                <w:rFonts w:hint="default"/>
                <w:color w:val="auto"/>
                <w:highlight w:val="none"/>
                <w:lang w:val="en-US" w:eastAsia="zh-CN"/>
              </w:rPr>
              <w:t>日。</w:t>
            </w:r>
          </w:p>
          <w:p w14:paraId="76D1FF50">
            <w:pPr>
              <w:keepNext w:val="0"/>
              <w:widowControl/>
              <w:pBdr>
                <w:top w:val="none" w:color="auto" w:sz="0" w:space="0"/>
                <w:left w:val="none" w:color="auto" w:sz="0" w:space="0"/>
                <w:bottom w:val="none" w:color="auto" w:sz="0" w:space="0"/>
                <w:right w:val="none" w:color="auto" w:sz="0" w:space="0"/>
              </w:pBdr>
              <w:shd w:val="clear" w:color="auto" w:fill="auto"/>
              <w:snapToGrid/>
              <w:spacing w:line="240" w:lineRule="auto"/>
              <w:jc w:val="left"/>
              <w:rPr>
                <w:rFonts w:hint="eastAsia"/>
                <w:color w:val="auto"/>
                <w:highlight w:val="none"/>
              </w:rPr>
            </w:pPr>
            <w:r>
              <w:rPr>
                <w:rFonts w:hint="eastAsia"/>
                <w:color w:val="auto"/>
                <w:highlight w:val="none"/>
                <w:lang w:val="en-US" w:eastAsia="zh-CN"/>
              </w:rPr>
              <w:t>8.</w:t>
            </w:r>
            <w:r>
              <w:rPr>
                <w:rFonts w:hint="eastAsia"/>
                <w:color w:val="auto"/>
                <w:highlight w:val="none"/>
              </w:rPr>
              <w:t>成交供应商根据采购人要求，区分现货数据、期货数据，或提供个性化采访数据。数据来源要求100%覆盖2024年1月以来全部三目新书数据《社科新书目》《科技新书目》《全国地方版科技新书目》、出版社书目、自编书目、专题书目等采访数据。</w:t>
            </w:r>
          </w:p>
          <w:p w14:paraId="774D13A9">
            <w:pPr>
              <w:keepNext w:val="0"/>
              <w:widowControl/>
              <w:pBdr>
                <w:top w:val="none" w:color="auto" w:sz="0" w:space="0"/>
                <w:left w:val="none" w:color="auto" w:sz="0" w:space="0"/>
                <w:bottom w:val="none" w:color="auto" w:sz="0" w:space="0"/>
                <w:right w:val="none" w:color="auto" w:sz="0" w:space="0"/>
              </w:pBdr>
              <w:shd w:val="clear" w:color="auto" w:fill="auto"/>
              <w:snapToGrid/>
              <w:spacing w:line="240" w:lineRule="auto"/>
              <w:jc w:val="left"/>
              <w:rPr>
                <w:rFonts w:hint="eastAsia"/>
                <w:color w:val="auto"/>
                <w:highlight w:val="none"/>
                <w:lang w:eastAsia="zh-CN"/>
              </w:rPr>
            </w:pPr>
            <w:r>
              <w:rPr>
                <w:rFonts w:hint="eastAsia"/>
                <w:color w:val="auto"/>
                <w:highlight w:val="none"/>
                <w:lang w:val="en-US" w:eastAsia="zh-CN"/>
              </w:rPr>
              <w:t>9</w:t>
            </w:r>
            <w:r>
              <w:rPr>
                <w:rFonts w:hint="default"/>
                <w:color w:val="auto"/>
                <w:highlight w:val="none"/>
                <w:lang w:val="en-US" w:eastAsia="zh-CN"/>
              </w:rPr>
              <w:t>.</w:t>
            </w:r>
            <w:r>
              <w:rPr>
                <w:rFonts w:hint="eastAsia"/>
                <w:color w:val="auto"/>
                <w:highlight w:val="none"/>
              </w:rPr>
              <w:t>供应商应具备提供本项目所需专业图书的供应能力，能够覆盖</w:t>
            </w:r>
            <w:r>
              <w:rPr>
                <w:rFonts w:hint="eastAsia"/>
                <w:color w:val="auto"/>
                <w:highlight w:val="none"/>
                <w:lang w:eastAsia="zh-CN"/>
              </w:rPr>
              <w:t>采购需求</w:t>
            </w:r>
            <w:r>
              <w:rPr>
                <w:rFonts w:hint="eastAsia"/>
                <w:color w:val="auto"/>
                <w:highlight w:val="none"/>
              </w:rPr>
              <w:t>中列明的全部专业类别，确保馆藏建设的完整性</w:t>
            </w:r>
            <w:r>
              <w:rPr>
                <w:rFonts w:hint="eastAsia"/>
                <w:color w:val="auto"/>
                <w:highlight w:val="none"/>
                <w:lang w:eastAsia="zh-CN"/>
              </w:rPr>
              <w:t>。</w:t>
            </w:r>
          </w:p>
          <w:p w14:paraId="10A71D52">
            <w:pPr>
              <w:keepNext w:val="0"/>
              <w:widowControl/>
              <w:pBdr>
                <w:top w:val="none" w:color="auto" w:sz="0" w:space="0"/>
                <w:left w:val="none" w:color="auto" w:sz="0" w:space="0"/>
                <w:bottom w:val="none" w:color="auto" w:sz="0" w:space="0"/>
                <w:right w:val="none" w:color="auto" w:sz="0" w:space="0"/>
              </w:pBdr>
              <w:shd w:val="clear" w:color="auto" w:fill="auto"/>
              <w:snapToGrid/>
              <w:spacing w:line="240" w:lineRule="auto"/>
              <w:jc w:val="left"/>
              <w:rPr>
                <w:color w:val="auto"/>
                <w:highlight w:val="none"/>
              </w:rPr>
            </w:pPr>
            <w:r>
              <w:rPr>
                <w:rFonts w:hint="eastAsia"/>
                <w:color w:val="auto"/>
                <w:highlight w:val="none"/>
                <w:lang w:val="en-US" w:eastAsia="zh-CN"/>
              </w:rPr>
              <w:t>10.</w:t>
            </w:r>
            <w:r>
              <w:rPr>
                <w:rFonts w:hint="eastAsia"/>
                <w:color w:val="auto"/>
                <w:highlight w:val="none"/>
              </w:rPr>
              <w:t>供应商应与国家新闻出版署批准的合法出版社（含</w:t>
            </w:r>
            <w:r>
              <w:rPr>
                <w:rFonts w:hint="eastAsia"/>
                <w:color w:val="auto"/>
                <w:highlight w:val="none"/>
                <w:lang w:eastAsia="zh-CN"/>
              </w:rPr>
              <w:t>采购需求中列出的</w:t>
            </w:r>
            <w:r>
              <w:rPr>
                <w:rFonts w:hint="eastAsia"/>
                <w:color w:val="auto"/>
                <w:highlight w:val="none"/>
              </w:rPr>
              <w:t>出版社）建立稳定合作关系，具备获取所需图书资源的渠道优势，能够满足采购人分批次、多品种的采购需求</w:t>
            </w:r>
            <w:r>
              <w:rPr>
                <w:rFonts w:hint="eastAsia"/>
                <w:color w:val="auto"/>
                <w:highlight w:val="none"/>
                <w:lang w:eastAsia="zh-CN"/>
              </w:rPr>
              <w:t>。</w:t>
            </w:r>
          </w:p>
          <w:p w14:paraId="3EF94D88">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11</w:t>
            </w:r>
            <w:r>
              <w:rPr>
                <w:rFonts w:hint="default"/>
                <w:color w:val="auto"/>
                <w:highlight w:val="none"/>
                <w:lang w:val="en-US" w:eastAsia="zh-CN"/>
              </w:rPr>
              <w:t>.编目数据及加工及分类上架要求</w:t>
            </w:r>
            <w:r>
              <w:rPr>
                <w:rFonts w:hint="eastAsia"/>
                <w:color w:val="auto"/>
                <w:highlight w:val="none"/>
                <w:lang w:val="en-US" w:eastAsia="zh-CN"/>
              </w:rPr>
              <w:t>：</w:t>
            </w:r>
          </w:p>
          <w:p w14:paraId="15F46CD4">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11</w:t>
            </w:r>
            <w:r>
              <w:rPr>
                <w:rFonts w:hint="default"/>
                <w:color w:val="auto"/>
                <w:highlight w:val="none"/>
                <w:lang w:val="en-US" w:eastAsia="zh-CN"/>
              </w:rPr>
              <w:t>.1成交供应商为到馆图书提供CNMARC数据，数据要与到馆图书一一对应。编目数据要求符合国图格式或CALIS格式，具体要求及细则以采购人要求为准。</w:t>
            </w:r>
          </w:p>
          <w:p w14:paraId="4565C1B1">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11.</w:t>
            </w:r>
            <w:r>
              <w:rPr>
                <w:rFonts w:hint="default"/>
                <w:color w:val="auto"/>
                <w:highlight w:val="none"/>
                <w:lang w:val="en-US" w:eastAsia="zh-CN"/>
              </w:rPr>
              <w:t>2编目数据分类标引要严格按《中国图书馆分类法》（第五版）执行；主题标引严格按照《中图分类主题词表》（Web版优先）执行。MARC数据著录要求详尽，相应字段有则必备，能够完全反映图书信息。分类标引和主题标引准确，</w:t>
            </w:r>
            <w:r>
              <w:rPr>
                <w:rFonts w:hint="default"/>
                <w:b/>
                <w:bCs/>
                <w:color w:val="auto"/>
                <w:highlight w:val="none"/>
                <w:lang w:val="en-US" w:eastAsia="zh-CN"/>
              </w:rPr>
              <w:t>差错率不能高于1%</w:t>
            </w:r>
            <w:r>
              <w:rPr>
                <w:rFonts w:hint="default"/>
                <w:color w:val="auto"/>
                <w:highlight w:val="none"/>
                <w:lang w:val="en-US" w:eastAsia="zh-CN"/>
              </w:rPr>
              <w:t>。</w:t>
            </w:r>
          </w:p>
          <w:p w14:paraId="3F3C378B">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11</w:t>
            </w:r>
            <w:r>
              <w:rPr>
                <w:rFonts w:hint="default"/>
                <w:color w:val="auto"/>
                <w:highlight w:val="none"/>
                <w:lang w:val="en-US" w:eastAsia="zh-CN"/>
              </w:rPr>
              <w:t>.3加工及分类上架要求：提供图书（含随书光盘等附件）全套加工服务和加工所用材料，包括提供盖馆藏章、贴磁条、贴条形码、数据编目、打印及粘贴书标等，并且要达到采购人质量要求，保证加工后图书可直接上架流通。纯粹的光盘</w:t>
            </w:r>
            <w:r>
              <w:rPr>
                <w:rFonts w:hint="eastAsia"/>
                <w:color w:val="auto"/>
                <w:highlight w:val="none"/>
                <w:lang w:val="en-US" w:eastAsia="zh-CN"/>
              </w:rPr>
              <w:t>（</w:t>
            </w:r>
            <w:r>
              <w:rPr>
                <w:rFonts w:hint="default"/>
                <w:color w:val="auto"/>
                <w:highlight w:val="none"/>
                <w:lang w:val="en-US" w:eastAsia="zh-CN"/>
              </w:rPr>
              <w:t>非图书配套光盘</w:t>
            </w:r>
            <w:r>
              <w:rPr>
                <w:rFonts w:hint="eastAsia"/>
                <w:color w:val="auto"/>
                <w:highlight w:val="none"/>
                <w:lang w:val="en-US" w:eastAsia="zh-CN"/>
              </w:rPr>
              <w:t>），</w:t>
            </w:r>
            <w:r>
              <w:rPr>
                <w:rFonts w:hint="default"/>
                <w:color w:val="auto"/>
                <w:highlight w:val="none"/>
                <w:lang w:val="en-US" w:eastAsia="zh-CN"/>
              </w:rPr>
              <w:t>需通过电话</w:t>
            </w:r>
            <w:r>
              <w:rPr>
                <w:rFonts w:hint="eastAsia"/>
                <w:color w:val="auto"/>
                <w:highlight w:val="none"/>
                <w:lang w:val="en-US" w:eastAsia="zh-CN"/>
              </w:rPr>
              <w:t>、微信</w:t>
            </w:r>
            <w:r>
              <w:rPr>
                <w:rFonts w:hint="default"/>
                <w:color w:val="auto"/>
                <w:highlight w:val="none"/>
                <w:lang w:val="en-US" w:eastAsia="zh-CN"/>
              </w:rPr>
              <w:t>或QQ经</w:t>
            </w:r>
            <w:r>
              <w:rPr>
                <w:rFonts w:hint="eastAsia"/>
                <w:color w:val="auto"/>
                <w:highlight w:val="none"/>
                <w:lang w:val="en-US" w:eastAsia="zh-CN"/>
              </w:rPr>
              <w:t>采购人图书馆</w:t>
            </w:r>
            <w:r>
              <w:rPr>
                <w:rFonts w:hint="default"/>
                <w:color w:val="auto"/>
                <w:highlight w:val="none"/>
                <w:lang w:val="en-US" w:eastAsia="zh-CN"/>
              </w:rPr>
              <w:t>采访人员重新核实后才能加工。所有图书加工工作必须按采购人图书馆具体</w:t>
            </w:r>
            <w:r>
              <w:rPr>
                <w:rFonts w:hint="eastAsia"/>
                <w:color w:val="auto"/>
                <w:highlight w:val="none"/>
                <w:lang w:val="en-US" w:eastAsia="zh-CN"/>
              </w:rPr>
              <w:t>要求</w:t>
            </w:r>
            <w:r>
              <w:rPr>
                <w:rFonts w:hint="default"/>
                <w:color w:val="auto"/>
                <w:highlight w:val="none"/>
                <w:lang w:val="en-US" w:eastAsia="zh-CN"/>
              </w:rPr>
              <w:t>完成</w:t>
            </w:r>
            <w:r>
              <w:rPr>
                <w:rFonts w:hint="eastAsia"/>
                <w:color w:val="auto"/>
                <w:highlight w:val="none"/>
                <w:lang w:val="en-US" w:eastAsia="zh-CN"/>
              </w:rPr>
              <w:t>，</w:t>
            </w:r>
            <w:r>
              <w:rPr>
                <w:rFonts w:hint="default"/>
                <w:color w:val="auto"/>
                <w:highlight w:val="none"/>
                <w:lang w:val="en-US" w:eastAsia="zh-CN"/>
              </w:rPr>
              <w:t>全部加工及耗材的费用，包括编目数据费用、条形码、磁条和不干胶书标加工费和材料费均由供应商承担，图书加工细则以采购人要求为准。</w:t>
            </w:r>
          </w:p>
          <w:p w14:paraId="0B9B6129">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12.</w:t>
            </w:r>
            <w:r>
              <w:rPr>
                <w:rFonts w:hint="default"/>
                <w:color w:val="auto"/>
                <w:highlight w:val="none"/>
                <w:lang w:val="en-US" w:eastAsia="zh-CN"/>
              </w:rPr>
              <w:t>采购图书结束后一个月之内，成交供应商为图书馆提供馆藏分析报告</w:t>
            </w:r>
            <w:r>
              <w:rPr>
                <w:rFonts w:hint="eastAsia"/>
                <w:color w:val="auto"/>
                <w:highlight w:val="none"/>
                <w:lang w:val="en-US" w:eastAsia="zh-CN"/>
              </w:rPr>
              <w:t>，报告需包含但不限于采购图书的学科分布、品种结构、码洋 / 实洋统计、核心出版社占比等内容，数据应真实准确。</w:t>
            </w:r>
            <w:r>
              <w:rPr>
                <w:rFonts w:hint="default"/>
                <w:color w:val="auto"/>
                <w:highlight w:val="none"/>
                <w:lang w:val="en-US" w:eastAsia="zh-CN"/>
              </w:rPr>
              <w:t>成交供应商不得以任何名义对外泄露采购人的书目数据。</w:t>
            </w:r>
          </w:p>
          <w:p w14:paraId="0710D586">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default"/>
                <w:color w:val="auto"/>
                <w:highlight w:val="none"/>
                <w:lang w:val="en-US" w:eastAsia="zh-CN"/>
              </w:rPr>
              <w:t>1</w:t>
            </w:r>
            <w:r>
              <w:rPr>
                <w:rFonts w:hint="eastAsia"/>
                <w:color w:val="auto"/>
                <w:highlight w:val="none"/>
                <w:lang w:val="en-US" w:eastAsia="zh-CN"/>
              </w:rPr>
              <w:t>3.</w:t>
            </w:r>
            <w:r>
              <w:rPr>
                <w:rFonts w:hint="default"/>
                <w:color w:val="auto"/>
                <w:highlight w:val="none"/>
                <w:lang w:val="en-US" w:eastAsia="zh-CN"/>
              </w:rPr>
              <w:t>协助采购人</w:t>
            </w:r>
            <w:r>
              <w:rPr>
                <w:rFonts w:hint="eastAsia"/>
                <w:color w:val="auto"/>
                <w:highlight w:val="none"/>
                <w:lang w:val="en-US" w:eastAsia="zh-CN"/>
              </w:rPr>
              <w:t>完成</w:t>
            </w:r>
            <w:r>
              <w:rPr>
                <w:rFonts w:hint="default"/>
                <w:color w:val="auto"/>
                <w:highlight w:val="none"/>
                <w:lang w:val="en-US" w:eastAsia="zh-CN"/>
              </w:rPr>
              <w:t>期刊装订。</w:t>
            </w:r>
          </w:p>
          <w:p w14:paraId="16864D7D">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14.成交供应商应协助采购人开展年度阅读推广活动，在收到采购人协助请求后3个工作日内响应，确保阅读推广活动顺利开展。</w:t>
            </w:r>
          </w:p>
          <w:p w14:paraId="5ED96491">
            <w:pPr>
              <w:widowControl/>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15.成交供应商须于每季度（寒暑假除外）提供现场书展服务。每次书展展出图书品种不得少于200种，且所有参展图书均须为无塑封版本。</w:t>
            </w:r>
          </w:p>
          <w:p w14:paraId="3C9C52C5">
            <w:pPr>
              <w:widowControl/>
              <w:numPr>
                <w:ilvl w:val="0"/>
                <w:numId w:val="0"/>
              </w:numPr>
              <w:pBdr>
                <w:top w:val="none" w:color="auto" w:sz="0" w:space="0"/>
                <w:left w:val="none" w:color="auto" w:sz="0" w:space="0"/>
                <w:bottom w:val="none" w:color="auto" w:sz="0" w:space="0"/>
                <w:right w:val="none" w:color="auto" w:sz="0" w:space="0"/>
              </w:pBdr>
              <w:rPr>
                <w:rFonts w:ascii="Segoe UI Emoji" w:hAnsi="Segoe UI Emoji" w:eastAsia="Segoe UI Emoji" w:cs="Segoe UI Emoji"/>
                <w:i w:val="0"/>
                <w:iCs w:val="0"/>
                <w:caps w:val="0"/>
                <w:color w:val="auto"/>
                <w:spacing w:val="0"/>
                <w:sz w:val="16"/>
                <w:szCs w:val="16"/>
                <w:highlight w:val="none"/>
                <w:shd w:val="clear" w:color="auto" w:fill="EFF0F1"/>
              </w:rPr>
            </w:pPr>
            <w:r>
              <w:rPr>
                <w:rFonts w:hint="eastAsia"/>
                <w:color w:val="auto"/>
                <w:highlight w:val="none"/>
                <w:lang w:val="en-US" w:eastAsia="zh-CN"/>
              </w:rPr>
              <w:t>16.成交</w:t>
            </w:r>
            <w:r>
              <w:rPr>
                <w:rFonts w:hint="default"/>
                <w:color w:val="auto"/>
                <w:highlight w:val="none"/>
                <w:lang w:val="en-US" w:eastAsia="zh-CN"/>
              </w:rPr>
              <w:t>供应商应严格落实安全生产责任制，本项目在实施过程中，其工作人员的人身意外由成交供应商自行负责，与采购人无关。</w:t>
            </w:r>
            <w:r>
              <w:rPr>
                <w:rFonts w:ascii="Times New Roman" w:hAnsi="Times New Roman" w:eastAsia="宋体" w:cs="Times New Roman"/>
                <w:i w:val="0"/>
                <w:iCs w:val="0"/>
                <w:caps w:val="0"/>
                <w:color w:val="auto"/>
                <w:spacing w:val="0"/>
                <w:sz w:val="21"/>
                <w:szCs w:val="24"/>
                <w:highlight w:val="none"/>
                <w:shd w:val="clear" w:color="auto" w:fill="auto"/>
              </w:rPr>
              <w:t>若因成交供应商安全管理不善造成采购人或第三方损失的，由成交供应商承担全部赔偿责任。</w:t>
            </w:r>
          </w:p>
          <w:p w14:paraId="4DE1DA5E">
            <w:pPr>
              <w:widowControl/>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17.成交供应商须承担零星图书的采购服务，采购范围涵盖党政类、党建类及教材类等图书。上述图书的结算价格均须严格执行成交折扣率。如遇出版社统一定价且严格限制发行折扣的特殊教材，经双方协商确认后，可按出版社规定的最低发行折扣执行，但需提供出版社相关限价证明。</w:t>
            </w:r>
          </w:p>
          <w:p w14:paraId="01929620">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18.</w:t>
            </w:r>
            <w:r>
              <w:rPr>
                <w:rFonts w:hint="default"/>
                <w:color w:val="auto"/>
                <w:highlight w:val="none"/>
                <w:lang w:val="en-US" w:eastAsia="zh-CN"/>
              </w:rPr>
              <w:t>图书包装要达到防潮、防霉、防止其他损坏的标准，同时按采购人要求的分类包装，送达采购人指定场所，按顺序排列，按采购人工作要求，配合进行图书验收。凡是没有验收入库的图书，均由成交供应商全权负责图书的保管问题</w:t>
            </w:r>
            <w:r>
              <w:rPr>
                <w:rFonts w:hint="eastAsia"/>
                <w:color w:val="auto"/>
                <w:highlight w:val="none"/>
                <w:lang w:val="en-US" w:eastAsia="zh-CN"/>
              </w:rPr>
              <w:t>，</w:t>
            </w:r>
            <w:r>
              <w:rPr>
                <w:rFonts w:ascii="Times New Roman" w:hAnsi="Times New Roman" w:eastAsia="宋体" w:cs="Times New Roman"/>
                <w:i w:val="0"/>
                <w:iCs w:val="0"/>
                <w:caps w:val="0"/>
                <w:color w:val="auto"/>
                <w:spacing w:val="0"/>
                <w:sz w:val="21"/>
                <w:szCs w:val="24"/>
                <w:highlight w:val="none"/>
                <w:shd w:val="clear" w:color="auto" w:fill="auto"/>
              </w:rPr>
              <w:t>期间发生的图书丢失、损坏、污损等一切风险及损失均由成交供应商承担，采购人不承担任何责任。</w:t>
            </w:r>
          </w:p>
          <w:p w14:paraId="689403B2">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19</w:t>
            </w:r>
            <w:r>
              <w:rPr>
                <w:rFonts w:hint="default"/>
                <w:color w:val="auto"/>
                <w:highlight w:val="none"/>
                <w:lang w:val="en-US" w:eastAsia="zh-CN"/>
              </w:rPr>
              <w:t>.成交供应商能组织或协助采购人参加全国性</w:t>
            </w:r>
            <w:r>
              <w:rPr>
                <w:rFonts w:hint="eastAsia"/>
                <w:color w:val="auto"/>
                <w:highlight w:val="none"/>
                <w:lang w:val="en-US" w:eastAsia="zh-CN"/>
              </w:rPr>
              <w:t>或</w:t>
            </w:r>
            <w:r>
              <w:rPr>
                <w:rFonts w:hint="default"/>
                <w:color w:val="auto"/>
                <w:highlight w:val="none"/>
                <w:lang w:val="en-US" w:eastAsia="zh-CN"/>
              </w:rPr>
              <w:t>地方性图书展销活动，</w:t>
            </w:r>
            <w:r>
              <w:rPr>
                <w:rFonts w:hint="eastAsia"/>
                <w:color w:val="auto"/>
                <w:highlight w:val="none"/>
                <w:lang w:val="en-US" w:eastAsia="zh-CN"/>
              </w:rPr>
              <w:t>外</w:t>
            </w:r>
            <w:r>
              <w:rPr>
                <w:rFonts w:hint="default"/>
                <w:color w:val="auto"/>
                <w:highlight w:val="none"/>
                <w:lang w:val="en-US" w:eastAsia="zh-CN"/>
              </w:rPr>
              <w:t>采时应提供必要的数据查重设备、技术服务和人员协助，并能及时汇总提供采选数量、金额等信息。</w:t>
            </w:r>
          </w:p>
          <w:p w14:paraId="091E12DA">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20</w:t>
            </w:r>
            <w:r>
              <w:rPr>
                <w:rFonts w:hint="default"/>
                <w:color w:val="auto"/>
                <w:highlight w:val="none"/>
                <w:lang w:val="en-US" w:eastAsia="zh-CN"/>
              </w:rPr>
              <w:t>.成交供应商提供功能完善、信息及时准确的专业化图书电子商务网站，能提供书目、订单及有关数据的查询、上传、下载等功能。</w:t>
            </w:r>
          </w:p>
          <w:p w14:paraId="33FBE8E6">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21</w:t>
            </w:r>
            <w:r>
              <w:rPr>
                <w:rFonts w:hint="default"/>
                <w:color w:val="auto"/>
                <w:highlight w:val="none"/>
                <w:lang w:val="en-US" w:eastAsia="zh-CN"/>
              </w:rPr>
              <w:t>.图书打包要求：同一种图书应集中包在同一包内，每批图书都应配有图书总明细单两份，一份由采购人签收，另一份分开装进每一包书中以方便核对。每份明细单应含有打包单号，图书题名、种册数，码洋、实洋；总明细单还要有总图书种册数，</w:t>
            </w:r>
            <w:r>
              <w:rPr>
                <w:rFonts w:hint="eastAsia"/>
                <w:color w:val="auto"/>
                <w:highlight w:val="none"/>
                <w:lang w:val="en-US" w:eastAsia="zh-CN"/>
              </w:rPr>
              <w:t>总</w:t>
            </w:r>
            <w:r>
              <w:rPr>
                <w:rFonts w:hint="default"/>
                <w:color w:val="auto"/>
                <w:highlight w:val="none"/>
                <w:lang w:val="en-US" w:eastAsia="zh-CN"/>
              </w:rPr>
              <w:t>码洋、</w:t>
            </w:r>
            <w:r>
              <w:rPr>
                <w:rFonts w:hint="eastAsia"/>
                <w:color w:val="auto"/>
                <w:highlight w:val="none"/>
                <w:lang w:val="en-US" w:eastAsia="zh-CN"/>
              </w:rPr>
              <w:t>总</w:t>
            </w:r>
            <w:r>
              <w:rPr>
                <w:rFonts w:hint="default"/>
                <w:color w:val="auto"/>
                <w:highlight w:val="none"/>
                <w:lang w:val="en-US" w:eastAsia="zh-CN"/>
              </w:rPr>
              <w:t>实洋。</w:t>
            </w:r>
            <w:r>
              <w:rPr>
                <w:rFonts w:hint="eastAsia"/>
                <w:color w:val="auto"/>
                <w:highlight w:val="none"/>
              </w:rPr>
              <w:t>每个包裹外包装需</w:t>
            </w:r>
            <w:r>
              <w:rPr>
                <w:rFonts w:hint="eastAsia"/>
                <w:color w:val="auto"/>
                <w:highlight w:val="none"/>
                <w:lang w:val="en-US" w:eastAsia="zh-CN"/>
              </w:rPr>
              <w:t>标注</w:t>
            </w:r>
            <w:r>
              <w:rPr>
                <w:rFonts w:hint="default"/>
                <w:color w:val="auto"/>
                <w:highlight w:val="none"/>
                <w:lang w:val="en-US" w:eastAsia="zh-CN"/>
              </w:rPr>
              <w:t>清晰的打包单号、批次号、图书类别及 “防潮、易碎、轻放” 等警示标识。</w:t>
            </w:r>
          </w:p>
          <w:p w14:paraId="5F64DC25">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22</w:t>
            </w:r>
            <w:r>
              <w:rPr>
                <w:rFonts w:hint="default"/>
                <w:color w:val="auto"/>
                <w:highlight w:val="none"/>
                <w:lang w:val="en-US" w:eastAsia="zh-CN"/>
              </w:rPr>
              <w:t>.本项目不采购以下图书资料：</w:t>
            </w:r>
          </w:p>
          <w:p w14:paraId="33DEE8E1">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22.1</w:t>
            </w:r>
            <w:r>
              <w:rPr>
                <w:rFonts w:hint="default"/>
                <w:color w:val="auto"/>
                <w:highlight w:val="none"/>
                <w:lang w:val="en-US" w:eastAsia="zh-CN"/>
              </w:rPr>
              <w:t>出版物类型：袋装书、挂图、线装书、经折装、散页书、盒装书；</w:t>
            </w:r>
          </w:p>
          <w:p w14:paraId="5F6A4F65">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22.2</w:t>
            </w:r>
            <w:r>
              <w:rPr>
                <w:rFonts w:hint="default"/>
                <w:color w:val="auto"/>
                <w:highlight w:val="none"/>
                <w:lang w:val="en-US" w:eastAsia="zh-CN"/>
              </w:rPr>
              <w:t>开本规格：小</w:t>
            </w:r>
            <w:r>
              <w:rPr>
                <w:rFonts w:hint="eastAsia"/>
                <w:color w:val="auto"/>
                <w:highlight w:val="none"/>
                <w:lang w:val="en-US" w:eastAsia="zh-CN"/>
              </w:rPr>
              <w:t>于64开</w:t>
            </w:r>
            <w:r>
              <w:rPr>
                <w:rFonts w:hint="default"/>
                <w:color w:val="auto"/>
                <w:highlight w:val="none"/>
                <w:lang w:val="en-US" w:eastAsia="zh-CN"/>
              </w:rPr>
              <w:t>的图书；</w:t>
            </w:r>
          </w:p>
          <w:p w14:paraId="33E75F08">
            <w:pPr>
              <w:widowControl/>
              <w:numPr>
                <w:ilvl w:val="0"/>
                <w:numId w:val="0"/>
              </w:numPr>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22.3</w:t>
            </w:r>
            <w:r>
              <w:rPr>
                <w:rFonts w:hint="default"/>
                <w:color w:val="auto"/>
                <w:highlight w:val="none"/>
                <w:lang w:val="en-US" w:eastAsia="zh-CN"/>
              </w:rPr>
              <w:t>载体形式：磁带、VCD、DVD 及其他非纸本载体的出版物；</w:t>
            </w:r>
          </w:p>
          <w:p w14:paraId="4D45CCBC">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22.4</w:t>
            </w:r>
            <w:r>
              <w:rPr>
                <w:rFonts w:hint="default"/>
                <w:color w:val="auto"/>
                <w:highlight w:val="none"/>
                <w:lang w:val="en-US" w:eastAsia="zh-CN"/>
              </w:rPr>
              <w:t>内容类别：</w:t>
            </w:r>
            <w:r>
              <w:rPr>
                <w:rFonts w:hint="eastAsia"/>
                <w:color w:val="auto"/>
                <w:highlight w:val="none"/>
                <w:lang w:val="en-US" w:eastAsia="zh-CN"/>
              </w:rPr>
              <w:t>婴幼儿、</w:t>
            </w:r>
            <w:r>
              <w:rPr>
                <w:rFonts w:hint="default"/>
                <w:color w:val="auto"/>
                <w:highlight w:val="none"/>
                <w:lang w:val="en-US" w:eastAsia="zh-CN"/>
              </w:rPr>
              <w:t>中小学、中职</w:t>
            </w:r>
            <w:r>
              <w:rPr>
                <w:rFonts w:hint="eastAsia"/>
                <w:color w:val="auto"/>
                <w:highlight w:val="none"/>
                <w:lang w:val="en-US" w:eastAsia="zh-CN"/>
              </w:rPr>
              <w:t>阶段的</w:t>
            </w:r>
            <w:r>
              <w:rPr>
                <w:rFonts w:hint="default"/>
                <w:color w:val="auto"/>
                <w:highlight w:val="none"/>
                <w:lang w:val="en-US" w:eastAsia="zh-CN"/>
              </w:rPr>
              <w:t>教材</w:t>
            </w:r>
            <w:r>
              <w:rPr>
                <w:rFonts w:hint="eastAsia"/>
                <w:color w:val="auto"/>
                <w:highlight w:val="none"/>
                <w:lang w:val="en-US" w:eastAsia="zh-CN"/>
              </w:rPr>
              <w:t>、</w:t>
            </w:r>
            <w:r>
              <w:rPr>
                <w:rFonts w:hint="default"/>
                <w:color w:val="auto"/>
                <w:highlight w:val="none"/>
                <w:lang w:val="en-US" w:eastAsia="zh-CN"/>
              </w:rPr>
              <w:t>教辅</w:t>
            </w:r>
            <w:r>
              <w:rPr>
                <w:rFonts w:hint="eastAsia"/>
                <w:color w:val="auto"/>
                <w:highlight w:val="none"/>
                <w:lang w:val="en-US" w:eastAsia="zh-CN"/>
              </w:rPr>
              <w:t>及相关科普读物；</w:t>
            </w:r>
          </w:p>
          <w:p w14:paraId="6210C869">
            <w:pPr>
              <w:widowControl/>
              <w:pBdr>
                <w:top w:val="none" w:color="auto" w:sz="0" w:space="0"/>
                <w:left w:val="none" w:color="auto" w:sz="0" w:space="0"/>
                <w:bottom w:val="none" w:color="auto" w:sz="0" w:space="0"/>
                <w:right w:val="none" w:color="auto" w:sz="0" w:space="0"/>
              </w:pBdr>
              <w:rPr>
                <w:rFonts w:hint="default"/>
                <w:color w:val="auto"/>
                <w:highlight w:val="none"/>
                <w:lang w:val="en-US" w:eastAsia="zh-CN"/>
              </w:rPr>
            </w:pPr>
            <w:r>
              <w:rPr>
                <w:rFonts w:hint="eastAsia"/>
                <w:color w:val="auto"/>
                <w:highlight w:val="none"/>
                <w:lang w:val="en-US" w:eastAsia="zh-CN"/>
              </w:rPr>
              <w:t>22</w:t>
            </w:r>
            <w:r>
              <w:rPr>
                <w:rFonts w:hint="default"/>
                <w:color w:val="auto"/>
                <w:highlight w:val="none"/>
                <w:lang w:val="en-US" w:eastAsia="zh-CN"/>
              </w:rPr>
              <w:t>.</w:t>
            </w:r>
            <w:r>
              <w:rPr>
                <w:rFonts w:hint="eastAsia"/>
                <w:color w:val="auto"/>
                <w:highlight w:val="none"/>
                <w:lang w:val="en-US" w:eastAsia="zh-CN"/>
              </w:rPr>
              <w:t>5</w:t>
            </w:r>
            <w:r>
              <w:rPr>
                <w:rFonts w:hint="default"/>
                <w:color w:val="auto"/>
                <w:highlight w:val="none"/>
                <w:lang w:val="en-US" w:eastAsia="zh-CN"/>
              </w:rPr>
              <w:t>分类限定：《中国图书馆分类法》（简称“中图法”）B9 类（宗教类）相关图书（包括但不限于宗教教义、传教宣传、宗教仪式相关等各类图书）。</w:t>
            </w:r>
          </w:p>
          <w:p w14:paraId="5345E8D1">
            <w:pPr>
              <w:widowControl/>
              <w:numPr>
                <w:ilvl w:val="0"/>
                <w:numId w:val="0"/>
              </w:numPr>
              <w:pBdr>
                <w:top w:val="none" w:color="auto" w:sz="0" w:space="0"/>
                <w:left w:val="none" w:color="auto" w:sz="0" w:space="0"/>
                <w:bottom w:val="none" w:color="auto" w:sz="0" w:space="0"/>
                <w:right w:val="none" w:color="auto" w:sz="0" w:space="0"/>
              </w:pBdr>
              <w:rPr>
                <w:rFonts w:hint="eastAsia"/>
                <w:color w:val="auto"/>
                <w:highlight w:val="none"/>
                <w:lang w:val="en-US" w:eastAsia="zh-CN"/>
              </w:rPr>
            </w:pPr>
            <w:r>
              <w:rPr>
                <w:rFonts w:hint="eastAsia"/>
                <w:color w:val="auto"/>
                <w:highlight w:val="none"/>
                <w:lang w:val="en-US" w:eastAsia="zh-CN"/>
              </w:rPr>
              <w:t>23.</w:t>
            </w:r>
            <w:r>
              <w:rPr>
                <w:rFonts w:hint="default"/>
                <w:color w:val="auto"/>
                <w:highlight w:val="none"/>
                <w:lang w:val="en-US" w:eastAsia="zh-CN"/>
              </w:rPr>
              <w:t>成交供应商提供书目要以核心出版社书目为主，</w:t>
            </w:r>
            <w:r>
              <w:rPr>
                <w:rFonts w:hint="eastAsia"/>
                <w:color w:val="auto"/>
                <w:highlight w:val="none"/>
                <w:lang w:val="en-US" w:eastAsia="zh-CN"/>
              </w:rPr>
              <w:t>以下是核心出版社名单：北京大学出版社、清华大学出版社、中国农业大学出版社、中国农业科学技术出版社、中国林业出版社、中国人民大学出版社、北京理工大学出版社、北京邮电大学出版社、中国海洋大学出版社、中国传媒大学出版社、复旦大学出版社、上海财经大学出版社、同济大学出版社、上海交通大学出版社、南京大学出版社、浙江大学出版社、武汉大学出版社、华南理工大学出版社、武汉理工大学出版社、华中科技大学出版社、西南财经大学出版社、西安交通大学出版社、东北师范大学出版社、东北财经大学出版社、东南大学出版社、中国地质大学出版社、中国矿业大学出版社、西北工业大学出版社、哈尔滨工业大学出版社、华东理工大学出版社、中国科学技术大学出版社、冶金工业出版社、高等教育出版社、机械工业出版社、人民邮电出版社、化学工业出版社、电子工业出版社、人民文学出版社、社会科学文献出版社、商务印书馆、三联书店、作家出版社、中华书局、上海古籍出版社、中国民主法制出版社、天津人民美术出版社、外语教学与研究出版社、上海外语教育出版社、译林出版社、中国水利水电出版社、中国环境出版社、中国经济出版社、人民体育出版社、江西高校出版社、中国科学技术出版社、中国时代经济出版社、中国财政经济出版社、中国大百科全书出版社、测绘出版社、中国农业出版社、中国环境科学出版社、中国电力出版社、中国轻工业出版社）。人民出版社、法律出版社、黄山书社、岳麓书社、安徽美术出版社、湖南美术出版社、吉林美术出版社、江苏美术出版社、江西美术出版社、浙江人民出版社、长江文艺出版社、湖南文艺出版社、人民文艺出版社、人民音乐出版社、上海文艺出版社、上海译文出版社、江苏凤凰文艺出版社、 湖南人民出版社、吉林出版集团有限责任公司、江苏人民出版社、江西人民出版社、经济科学出版社、青岛出版社、山东人民出版社、上海人民出版社、安徽人民出版社、北京出版社、长春出版社、重庆出版社、中国民主法制出版社、中国青年出版社、中国时代经济出版社、中信出版社、中央编译出版社、湖南科学技术出版社、江苏科学技术出版社、人民交通出版社、上海科学技术出版社、教育科学出版社、人民教育出版社、科学出版社、中国轻工业出版社。</w:t>
            </w:r>
          </w:p>
          <w:p w14:paraId="110CAD12">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r>
              <w:rPr>
                <w:rFonts w:hint="eastAsia" w:ascii="宋体" w:hAnsi="宋体" w:cs="宋体"/>
                <w:color w:val="auto"/>
                <w:sz w:val="21"/>
                <w:szCs w:val="21"/>
                <w:highlight w:val="none"/>
                <w:lang w:val="en-US" w:eastAsia="zh-CN"/>
              </w:rPr>
              <w:t>4</w:t>
            </w:r>
            <w:r>
              <w:rPr>
                <w:rFonts w:hint="eastAsia" w:ascii="宋体" w:hAnsi="宋体" w:eastAsia="宋体" w:cs="宋体"/>
                <w:color w:val="auto"/>
                <w:sz w:val="21"/>
                <w:szCs w:val="21"/>
                <w:highlight w:val="none"/>
                <w:lang w:val="en-US" w:eastAsia="zh-CN"/>
              </w:rPr>
              <w:t>.</w:t>
            </w:r>
            <w:r>
              <w:rPr>
                <w:rFonts w:hint="eastAsia" w:ascii="宋体" w:hAnsi="宋体" w:cs="宋体"/>
                <w:color w:val="auto"/>
                <w:sz w:val="21"/>
                <w:szCs w:val="21"/>
                <w:highlight w:val="none"/>
                <w:lang w:val="en-US" w:eastAsia="zh-CN"/>
              </w:rPr>
              <w:t>成交供应商出现下述情形的</w:t>
            </w:r>
            <w:r>
              <w:rPr>
                <w:rFonts w:hint="eastAsia" w:ascii="宋体" w:hAnsi="宋体" w:eastAsia="宋体" w:cs="宋体"/>
                <w:color w:val="auto"/>
                <w:sz w:val="21"/>
                <w:szCs w:val="21"/>
                <w:highlight w:val="none"/>
                <w:lang w:val="en-US" w:eastAsia="zh-CN"/>
              </w:rPr>
              <w:t>，采购人</w:t>
            </w:r>
            <w:r>
              <w:rPr>
                <w:rFonts w:hint="eastAsia" w:ascii="宋体" w:hAnsi="宋体" w:cs="宋体"/>
                <w:color w:val="auto"/>
                <w:sz w:val="21"/>
                <w:szCs w:val="21"/>
                <w:highlight w:val="none"/>
                <w:lang w:val="en-US" w:eastAsia="zh-CN"/>
              </w:rPr>
              <w:t>有权</w:t>
            </w:r>
            <w:r>
              <w:rPr>
                <w:rFonts w:hint="eastAsia" w:ascii="宋体" w:hAnsi="宋体" w:eastAsia="宋体" w:cs="宋体"/>
                <w:color w:val="auto"/>
                <w:sz w:val="21"/>
                <w:szCs w:val="21"/>
                <w:highlight w:val="none"/>
                <w:lang w:val="en-US" w:eastAsia="zh-CN"/>
              </w:rPr>
              <w:t>单方面解除合同。</w:t>
            </w:r>
          </w:p>
          <w:p w14:paraId="41A680D3">
            <w:pPr>
              <w:keepNext w:val="0"/>
              <w:keepLines w:val="0"/>
              <w:pageBreakBefore w:val="0"/>
              <w:widowControl/>
              <w:numPr>
                <w:ilvl w:val="0"/>
                <w:numId w:val="0"/>
              </w:numPr>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（1）每</w:t>
            </w:r>
            <w:r>
              <w:rPr>
                <w:rFonts w:hint="eastAsia" w:ascii="宋体" w:hAnsi="宋体" w:cs="宋体"/>
                <w:color w:val="auto"/>
                <w:sz w:val="21"/>
                <w:szCs w:val="21"/>
                <w:highlight w:val="none"/>
                <w:lang w:val="en-US" w:eastAsia="zh-CN"/>
              </w:rPr>
              <w:t>次</w:t>
            </w:r>
            <w:r>
              <w:rPr>
                <w:rFonts w:hint="eastAsia" w:ascii="宋体" w:hAnsi="宋体" w:eastAsia="宋体" w:cs="宋体"/>
                <w:color w:val="auto"/>
                <w:sz w:val="21"/>
                <w:szCs w:val="21"/>
                <w:highlight w:val="none"/>
                <w:lang w:val="en-US" w:eastAsia="zh-CN"/>
              </w:rPr>
              <w:t>交付验收纸质图书少于图书馆指定册数</w:t>
            </w:r>
            <w:r>
              <w:rPr>
                <w:rFonts w:hint="eastAsia" w:ascii="宋体" w:hAnsi="宋体" w:cs="宋体"/>
                <w:color w:val="auto"/>
                <w:sz w:val="21"/>
                <w:szCs w:val="21"/>
                <w:highlight w:val="none"/>
                <w:lang w:val="en-US" w:eastAsia="zh-CN"/>
              </w:rPr>
              <w:t>，且差额比例超过5 %的</w:t>
            </w:r>
            <w:r>
              <w:rPr>
                <w:rFonts w:hint="eastAsia" w:ascii="宋体" w:hAnsi="宋体" w:eastAsia="宋体" w:cs="宋体"/>
                <w:color w:val="auto"/>
                <w:sz w:val="21"/>
                <w:szCs w:val="21"/>
                <w:highlight w:val="none"/>
                <w:lang w:val="en-US" w:eastAsia="zh-CN"/>
              </w:rPr>
              <w:t>；</w:t>
            </w:r>
          </w:p>
          <w:p w14:paraId="0EE85F70">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（2）出于效益等因素的考虑而故意隐藏图书出版信息或不提供可获得的图书；</w:t>
            </w:r>
          </w:p>
          <w:p w14:paraId="7D6F7BB8">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（3）加工图书质量不符合</w:t>
            </w:r>
            <w:r>
              <w:rPr>
                <w:rFonts w:hint="eastAsia" w:ascii="宋体" w:hAnsi="宋体" w:eastAsia="宋体" w:cs="宋体"/>
                <w:i w:val="0"/>
                <w:iCs w:val="0"/>
                <w:caps w:val="0"/>
                <w:color w:val="auto"/>
                <w:spacing w:val="0"/>
                <w:sz w:val="21"/>
                <w:szCs w:val="21"/>
                <w:highlight w:val="none"/>
                <w:shd w:val="clear" w:color="auto" w:fill="auto"/>
              </w:rPr>
              <w:t>本项目约定标准，经采购人通知后5个日历日内未整改合格的</w:t>
            </w:r>
            <w:r>
              <w:rPr>
                <w:rFonts w:hint="eastAsia" w:ascii="宋体" w:hAnsi="宋体" w:eastAsia="宋体" w:cs="宋体"/>
                <w:color w:val="auto"/>
                <w:sz w:val="21"/>
                <w:szCs w:val="21"/>
                <w:highlight w:val="none"/>
                <w:lang w:val="en-US" w:eastAsia="zh-CN"/>
              </w:rPr>
              <w:t>；</w:t>
            </w:r>
          </w:p>
          <w:p w14:paraId="68F74119">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cs="宋体"/>
                <w:i w:val="0"/>
                <w:iCs w:val="0"/>
                <w:caps w:val="0"/>
                <w:color w:val="auto"/>
                <w:spacing w:val="0"/>
                <w:sz w:val="21"/>
                <w:szCs w:val="21"/>
                <w:highlight w:val="none"/>
                <w:shd w:val="clear" w:color="auto" w:fill="auto"/>
                <w:lang w:eastAsia="zh-CN"/>
              </w:rPr>
            </w:pPr>
            <w:r>
              <w:rPr>
                <w:rFonts w:hint="eastAsia" w:ascii="宋体" w:hAnsi="宋体" w:eastAsia="宋体" w:cs="宋体"/>
                <w:color w:val="auto"/>
                <w:sz w:val="21"/>
                <w:szCs w:val="21"/>
                <w:highlight w:val="none"/>
                <w:lang w:val="en-US" w:eastAsia="zh-CN"/>
              </w:rPr>
              <w:t>（4）提供纸质图书为</w:t>
            </w:r>
            <w:r>
              <w:rPr>
                <w:rFonts w:hint="eastAsia" w:ascii="宋体" w:hAnsi="宋体" w:eastAsia="宋体" w:cs="宋体"/>
                <w:i w:val="0"/>
                <w:iCs w:val="0"/>
                <w:caps w:val="0"/>
                <w:color w:val="auto"/>
                <w:spacing w:val="0"/>
                <w:sz w:val="21"/>
                <w:szCs w:val="21"/>
                <w:highlight w:val="none"/>
                <w:shd w:val="clear" w:color="auto" w:fill="auto"/>
              </w:rPr>
              <w:t>盗版、盗印、非法复制或未经授权发行</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i w:val="0"/>
                <w:iCs w:val="0"/>
                <w:caps w:val="0"/>
                <w:color w:val="auto"/>
                <w:spacing w:val="0"/>
                <w:sz w:val="21"/>
                <w:szCs w:val="21"/>
                <w:highlight w:val="none"/>
                <w:shd w:val="clear" w:color="auto" w:fill="auto"/>
              </w:rPr>
              <w:t>违规图书，经查证属实的</w:t>
            </w:r>
            <w:r>
              <w:rPr>
                <w:rFonts w:hint="eastAsia" w:ascii="宋体" w:hAnsi="宋体" w:cs="宋体"/>
                <w:i w:val="0"/>
                <w:iCs w:val="0"/>
                <w:caps w:val="0"/>
                <w:color w:val="auto"/>
                <w:spacing w:val="0"/>
                <w:sz w:val="21"/>
                <w:szCs w:val="21"/>
                <w:highlight w:val="none"/>
                <w:shd w:val="clear" w:color="auto" w:fill="auto"/>
                <w:lang w:eastAsia="zh-CN"/>
              </w:rPr>
              <w:t>；</w:t>
            </w:r>
          </w:p>
          <w:p w14:paraId="41F2BA2C">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（5）未按采购人要求配送图书，</w:t>
            </w:r>
            <w:r>
              <w:rPr>
                <w:rFonts w:hint="eastAsia" w:ascii="宋体" w:hAnsi="宋体" w:eastAsia="宋体" w:cs="宋体"/>
                <w:i w:val="0"/>
                <w:iCs w:val="0"/>
                <w:caps w:val="0"/>
                <w:color w:val="auto"/>
                <w:spacing w:val="0"/>
                <w:sz w:val="21"/>
                <w:szCs w:val="21"/>
                <w:highlight w:val="none"/>
                <w:shd w:val="clear" w:color="auto" w:fill="auto"/>
              </w:rPr>
              <w:t>存在发错、发漏、混装等情形，且单次订单差错率超过</w:t>
            </w:r>
            <w:r>
              <w:rPr>
                <w:rFonts w:hint="eastAsia" w:ascii="宋体" w:hAnsi="宋体" w:cs="宋体"/>
                <w:i w:val="0"/>
                <w:iCs w:val="0"/>
                <w:caps w:val="0"/>
                <w:color w:val="auto"/>
                <w:spacing w:val="0"/>
                <w:sz w:val="21"/>
                <w:szCs w:val="21"/>
                <w:highlight w:val="none"/>
                <w:shd w:val="clear" w:color="auto" w:fill="auto"/>
                <w:lang w:val="en-US" w:eastAsia="zh-CN"/>
              </w:rPr>
              <w:t>5</w:t>
            </w:r>
            <w:r>
              <w:rPr>
                <w:rFonts w:hint="eastAsia" w:ascii="宋体" w:hAnsi="宋体" w:eastAsia="宋体" w:cs="宋体"/>
                <w:i w:val="0"/>
                <w:iCs w:val="0"/>
                <w:caps w:val="0"/>
                <w:color w:val="auto"/>
                <w:spacing w:val="0"/>
                <w:sz w:val="21"/>
                <w:szCs w:val="21"/>
                <w:highlight w:val="none"/>
                <w:shd w:val="clear" w:color="auto" w:fill="auto"/>
              </w:rPr>
              <w:t>% 或累计出现3次以上（含3次）差错的；</w:t>
            </w:r>
          </w:p>
          <w:p w14:paraId="051D3A80">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（6）书目中</w:t>
            </w:r>
            <w:r>
              <w:rPr>
                <w:rFonts w:hint="eastAsia" w:ascii="宋体" w:hAnsi="宋体" w:cs="宋体"/>
                <w:color w:val="auto"/>
                <w:sz w:val="21"/>
                <w:szCs w:val="21"/>
                <w:highlight w:val="none"/>
                <w:lang w:val="en-US" w:eastAsia="zh-CN"/>
              </w:rPr>
              <w:t>未</w:t>
            </w:r>
            <w:r>
              <w:rPr>
                <w:rFonts w:hint="eastAsia" w:ascii="宋体" w:hAnsi="宋体" w:eastAsia="宋体" w:cs="宋体"/>
                <w:color w:val="auto"/>
                <w:sz w:val="21"/>
                <w:szCs w:val="21"/>
                <w:highlight w:val="none"/>
                <w:lang w:val="en-US" w:eastAsia="zh-CN"/>
              </w:rPr>
              <w:t>提供书名、书号、内容简介、出版社、出版时间、符合读者人群、价格等图书基本信息</w:t>
            </w:r>
            <w:r>
              <w:rPr>
                <w:rFonts w:hint="eastAsia" w:ascii="宋体" w:hAnsi="宋体" w:cs="宋体"/>
                <w:color w:val="auto"/>
                <w:sz w:val="21"/>
                <w:szCs w:val="21"/>
                <w:highlight w:val="none"/>
                <w:lang w:val="en-US" w:eastAsia="zh-CN"/>
              </w:rPr>
              <w:t>，</w:t>
            </w:r>
            <w:r>
              <w:rPr>
                <w:rFonts w:hint="eastAsia" w:ascii="宋体" w:hAnsi="宋体" w:eastAsia="宋体" w:cs="宋体"/>
                <w:i w:val="0"/>
                <w:iCs w:val="0"/>
                <w:caps w:val="0"/>
                <w:color w:val="auto"/>
                <w:spacing w:val="0"/>
                <w:sz w:val="21"/>
                <w:szCs w:val="21"/>
                <w:highlight w:val="none"/>
                <w:shd w:val="clear" w:color="auto" w:fill="auto"/>
              </w:rPr>
              <w:t>导致采购人无法正常采购的</w:t>
            </w:r>
            <w:r>
              <w:rPr>
                <w:rFonts w:hint="eastAsia" w:ascii="宋体" w:hAnsi="宋体" w:eastAsia="宋体" w:cs="宋体"/>
                <w:color w:val="auto"/>
                <w:sz w:val="21"/>
                <w:szCs w:val="21"/>
                <w:highlight w:val="none"/>
                <w:lang w:val="en-US" w:eastAsia="zh-CN"/>
              </w:rPr>
              <w:t>；</w:t>
            </w:r>
          </w:p>
          <w:p w14:paraId="69C05910">
            <w:pPr>
              <w:widowControl/>
              <w:pBdr>
                <w:top w:val="none" w:color="auto" w:sz="0" w:space="0"/>
                <w:left w:val="none" w:color="auto" w:sz="0" w:space="0"/>
                <w:bottom w:val="none" w:color="auto" w:sz="0" w:space="0"/>
                <w:right w:val="none" w:color="auto" w:sz="0" w:space="0"/>
              </w:pBdr>
              <w:jc w:val="left"/>
              <w:rPr>
                <w:color w:val="auto"/>
                <w:highlight w:val="none"/>
              </w:rPr>
            </w:pPr>
            <w:r>
              <w:rPr>
                <w:rFonts w:hint="eastAsia" w:ascii="宋体" w:hAnsi="宋体" w:eastAsia="宋体" w:cs="宋体"/>
                <w:color w:val="auto"/>
                <w:sz w:val="21"/>
                <w:szCs w:val="21"/>
                <w:highlight w:val="none"/>
                <w:lang w:val="en-US" w:eastAsia="zh-CN"/>
              </w:rPr>
              <w:t>（7）未能按照采购人要求粘贴</w:t>
            </w:r>
            <w:r>
              <w:rPr>
                <w:rFonts w:hint="eastAsia" w:ascii="宋体" w:hAnsi="宋体" w:eastAsia="宋体" w:cs="宋体"/>
                <w:i w:val="0"/>
                <w:iCs w:val="0"/>
                <w:caps w:val="0"/>
                <w:color w:val="auto"/>
                <w:spacing w:val="0"/>
                <w:sz w:val="21"/>
                <w:szCs w:val="21"/>
                <w:highlight w:val="none"/>
                <w:shd w:val="clear" w:color="auto" w:fill="auto"/>
              </w:rPr>
              <w:t>打包标识</w:t>
            </w:r>
            <w:r>
              <w:rPr>
                <w:rFonts w:hint="eastAsia" w:ascii="宋体" w:hAnsi="宋体" w:eastAsia="宋体" w:cs="宋体"/>
                <w:i w:val="0"/>
                <w:iCs w:val="0"/>
                <w:caps w:val="0"/>
                <w:color w:val="auto"/>
                <w:spacing w:val="0"/>
                <w:sz w:val="21"/>
                <w:szCs w:val="21"/>
                <w:highlight w:val="none"/>
                <w:shd w:val="clear" w:color="auto" w:fill="auto"/>
                <w:lang w:val="en-US" w:eastAsia="zh-CN"/>
              </w:rPr>
              <w:t>等</w:t>
            </w:r>
            <w:r>
              <w:rPr>
                <w:rFonts w:hint="eastAsia" w:ascii="宋体" w:hAnsi="宋体" w:eastAsia="宋体" w:cs="宋体"/>
                <w:color w:val="auto"/>
                <w:sz w:val="21"/>
                <w:szCs w:val="21"/>
                <w:highlight w:val="none"/>
                <w:lang w:val="en-US" w:eastAsia="zh-CN"/>
              </w:rPr>
              <w:t>打包图书的基本信息；</w:t>
            </w:r>
            <w:r>
              <w:rPr>
                <w:rFonts w:hint="eastAsia" w:ascii="宋体" w:hAnsi="宋体" w:eastAsia="宋体" w:cs="宋体"/>
                <w:i w:val="0"/>
                <w:iCs w:val="0"/>
                <w:caps w:val="0"/>
                <w:color w:val="auto"/>
                <w:spacing w:val="0"/>
                <w:sz w:val="21"/>
                <w:szCs w:val="21"/>
                <w:highlight w:val="none"/>
                <w:shd w:val="clear" w:color="auto" w:fill="auto"/>
              </w:rPr>
              <w:t>或打包信息与实物不符，经采购人提醒后仍未整改的；</w:t>
            </w:r>
          </w:p>
          <w:p w14:paraId="6D1A138E">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r>
              <w:rPr>
                <w:rFonts w:hint="eastAsia" w:ascii="宋体" w:hAnsi="宋体" w:eastAsia="宋体" w:cs="宋体"/>
                <w:i w:val="0"/>
                <w:iCs w:val="0"/>
                <w:caps w:val="0"/>
                <w:color w:val="auto"/>
                <w:spacing w:val="0"/>
                <w:sz w:val="21"/>
                <w:szCs w:val="21"/>
                <w:highlight w:val="none"/>
                <w:shd w:val="clear" w:color="auto" w:fill="auto"/>
              </w:rPr>
              <w:t>无正当理由拒绝履行图书打包义务，或未按要求提供打包材料及设备的</w:t>
            </w:r>
            <w:r>
              <w:rPr>
                <w:rFonts w:hint="eastAsia" w:ascii="宋体" w:hAnsi="宋体" w:eastAsia="宋体" w:cs="宋体"/>
                <w:color w:val="auto"/>
                <w:sz w:val="21"/>
                <w:szCs w:val="21"/>
                <w:highlight w:val="none"/>
                <w:lang w:val="en-US" w:eastAsia="zh-CN"/>
              </w:rPr>
              <w:t>；</w:t>
            </w:r>
          </w:p>
          <w:p w14:paraId="183EE69A">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r>
              <w:rPr>
                <w:rFonts w:hint="eastAsia" w:ascii="宋体" w:hAnsi="宋体" w:eastAsia="宋体" w:cs="宋体"/>
                <w:i w:val="0"/>
                <w:iCs w:val="0"/>
                <w:caps w:val="0"/>
                <w:color w:val="auto"/>
                <w:spacing w:val="0"/>
                <w:sz w:val="21"/>
                <w:szCs w:val="21"/>
                <w:highlight w:val="none"/>
                <w:shd w:val="clear" w:color="auto" w:fill="auto"/>
              </w:rPr>
              <w:t>无正当理由拒绝履行图书搬运、上架（新购图书）及旧书下架</w:t>
            </w:r>
            <w:r>
              <w:rPr>
                <w:rFonts w:hint="eastAsia" w:ascii="宋体" w:hAnsi="宋体" w:cs="宋体"/>
                <w:color w:val="auto"/>
                <w:sz w:val="21"/>
                <w:szCs w:val="21"/>
                <w:highlight w:val="none"/>
                <w:lang w:val="en-US" w:eastAsia="zh-CN"/>
              </w:rPr>
              <w:t>义务</w:t>
            </w:r>
            <w:r>
              <w:rPr>
                <w:rFonts w:hint="eastAsia" w:ascii="宋体" w:hAnsi="宋体" w:eastAsia="宋体" w:cs="宋体"/>
                <w:color w:val="auto"/>
                <w:sz w:val="21"/>
                <w:szCs w:val="21"/>
                <w:highlight w:val="none"/>
                <w:lang w:val="en-US" w:eastAsia="zh-CN"/>
              </w:rPr>
              <w:t>；</w:t>
            </w:r>
          </w:p>
          <w:p w14:paraId="4D7B42A2">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（10）自每笔订单发出之日起，</w:t>
            </w:r>
            <w:r>
              <w:rPr>
                <w:rFonts w:hint="eastAsia" w:ascii="宋体" w:hAnsi="宋体" w:cs="宋体"/>
                <w:color w:val="auto"/>
                <w:sz w:val="21"/>
                <w:szCs w:val="21"/>
                <w:highlight w:val="none"/>
                <w:lang w:val="en-US" w:eastAsia="zh-CN"/>
              </w:rPr>
              <w:t>30</w:t>
            </w:r>
            <w:r>
              <w:rPr>
                <w:rFonts w:hint="eastAsia" w:ascii="宋体" w:hAnsi="宋体" w:eastAsia="宋体" w:cs="宋体"/>
                <w:color w:val="auto"/>
                <w:sz w:val="21"/>
                <w:szCs w:val="21"/>
                <w:highlight w:val="none"/>
                <w:lang w:val="en-US" w:eastAsia="zh-CN"/>
              </w:rPr>
              <w:t>个</w:t>
            </w:r>
            <w:r>
              <w:rPr>
                <w:rFonts w:hint="eastAsia" w:ascii="宋体" w:hAnsi="宋体" w:cs="宋体"/>
                <w:color w:val="auto"/>
                <w:sz w:val="21"/>
                <w:szCs w:val="21"/>
                <w:highlight w:val="none"/>
                <w:lang w:val="en-US" w:eastAsia="zh-CN"/>
              </w:rPr>
              <w:t>日历</w:t>
            </w:r>
            <w:r>
              <w:rPr>
                <w:rFonts w:hint="eastAsia" w:ascii="宋体" w:hAnsi="宋体" w:eastAsia="宋体" w:cs="宋体"/>
                <w:color w:val="auto"/>
                <w:sz w:val="21"/>
                <w:szCs w:val="21"/>
                <w:highlight w:val="none"/>
                <w:lang w:val="en-US" w:eastAsia="zh-CN"/>
              </w:rPr>
              <w:t>日内该笔订单到书率低于90%</w:t>
            </w:r>
            <w:r>
              <w:rPr>
                <w:rFonts w:hint="eastAsia" w:ascii="宋体" w:hAnsi="宋体" w:eastAsia="宋体" w:cs="宋体"/>
                <w:i w:val="0"/>
                <w:iCs w:val="0"/>
                <w:caps w:val="0"/>
                <w:color w:val="auto"/>
                <w:spacing w:val="0"/>
                <w:sz w:val="21"/>
                <w:szCs w:val="21"/>
                <w:highlight w:val="none"/>
                <w:shd w:val="clear" w:color="auto" w:fill="auto"/>
              </w:rPr>
              <w:t>（</w:t>
            </w:r>
            <w:r>
              <w:rPr>
                <w:rFonts w:hint="default"/>
                <w:b/>
                <w:bCs/>
                <w:color w:val="auto"/>
                <w:highlight w:val="none"/>
                <w:lang w:val="en-US" w:eastAsia="zh-CN"/>
              </w:rPr>
              <w:t>附件</w:t>
            </w:r>
            <w:r>
              <w:rPr>
                <w:rFonts w:hint="eastAsia"/>
                <w:b/>
                <w:bCs/>
                <w:color w:val="auto"/>
                <w:highlight w:val="none"/>
                <w:lang w:val="en-US" w:eastAsia="zh-CN"/>
              </w:rPr>
              <w:t>C</w:t>
            </w:r>
            <w:r>
              <w:rPr>
                <w:rFonts w:hint="default"/>
                <w:b/>
                <w:bCs/>
                <w:color w:val="auto"/>
                <w:highlight w:val="none"/>
                <w:lang w:val="en-US" w:eastAsia="zh-CN"/>
              </w:rPr>
              <w:t>《</w:t>
            </w:r>
            <w:r>
              <w:rPr>
                <w:rFonts w:hint="eastAsia"/>
                <w:b/>
                <w:bCs/>
                <w:color w:val="auto"/>
                <w:highlight w:val="none"/>
                <w:lang w:val="en-US" w:eastAsia="zh-CN"/>
              </w:rPr>
              <w:t>C</w:t>
            </w:r>
            <w:r>
              <w:rPr>
                <w:rFonts w:hint="default"/>
                <w:b/>
                <w:bCs/>
                <w:color w:val="auto"/>
                <w:highlight w:val="none"/>
                <w:lang w:val="en-US" w:eastAsia="zh-CN"/>
              </w:rPr>
              <w:t>分标</w:t>
            </w:r>
            <w:r>
              <w:rPr>
                <w:rFonts w:hint="eastAsia"/>
                <w:b/>
                <w:bCs/>
                <w:color w:val="auto"/>
                <w:highlight w:val="none"/>
                <w:lang w:val="en-US" w:eastAsia="zh-CN"/>
              </w:rPr>
              <w:t>正</w:t>
            </w:r>
            <w:r>
              <w:rPr>
                <w:rFonts w:hint="default"/>
                <w:b/>
                <w:bCs/>
                <w:color w:val="auto"/>
                <w:highlight w:val="none"/>
                <w:lang w:val="en-US" w:eastAsia="zh-CN"/>
              </w:rPr>
              <w:t>价纸质图书必选书目清单》</w:t>
            </w:r>
            <w:r>
              <w:rPr>
                <w:rFonts w:hint="eastAsia"/>
                <w:b w:val="0"/>
                <w:bCs w:val="0"/>
                <w:color w:val="auto"/>
                <w:highlight w:val="none"/>
                <w:lang w:val="en-US" w:eastAsia="zh-CN"/>
              </w:rPr>
              <w:t>的到书率低于</w:t>
            </w:r>
            <w:r>
              <w:rPr>
                <w:rFonts w:hint="eastAsia" w:ascii="宋体" w:hAnsi="宋体" w:eastAsia="宋体" w:cs="宋体"/>
                <w:i w:val="0"/>
                <w:iCs w:val="0"/>
                <w:caps w:val="0"/>
                <w:color w:val="auto"/>
                <w:spacing w:val="0"/>
                <w:sz w:val="21"/>
                <w:szCs w:val="21"/>
                <w:highlight w:val="none"/>
                <w:shd w:val="clear" w:color="auto" w:fill="auto"/>
              </w:rPr>
              <w:t>95%）</w:t>
            </w:r>
            <w:r>
              <w:rPr>
                <w:rFonts w:hint="eastAsia" w:ascii="宋体" w:hAnsi="宋体" w:eastAsia="宋体" w:cs="宋体"/>
                <w:color w:val="auto"/>
                <w:sz w:val="21"/>
                <w:szCs w:val="21"/>
                <w:highlight w:val="none"/>
                <w:lang w:val="en-US" w:eastAsia="zh-CN"/>
              </w:rPr>
              <w:t>，到书率以</w:t>
            </w:r>
            <w:r>
              <w:rPr>
                <w:rFonts w:ascii="宋体" w:hAnsi="宋体" w:eastAsia="宋体" w:cs="宋体"/>
                <w:color w:val="auto"/>
                <w:sz w:val="21"/>
                <w:szCs w:val="21"/>
                <w:highlight w:val="none"/>
              </w:rPr>
              <w:t>Interlib3.5图书馆管理系统</w:t>
            </w:r>
            <w:r>
              <w:rPr>
                <w:rFonts w:hint="eastAsia" w:ascii="宋体" w:hAnsi="宋体" w:eastAsia="宋体" w:cs="宋体"/>
                <w:color w:val="auto"/>
                <w:sz w:val="21"/>
                <w:szCs w:val="21"/>
                <w:highlight w:val="none"/>
                <w:lang w:val="en-US" w:eastAsia="zh-CN"/>
              </w:rPr>
              <w:t>统计数据为准，订单发出时间以qq或者微信等社交软件的聊天记录</w:t>
            </w:r>
            <w:r>
              <w:rPr>
                <w:rFonts w:hint="eastAsia" w:ascii="宋体" w:hAnsi="宋体" w:cs="宋体"/>
                <w:color w:val="auto"/>
                <w:sz w:val="21"/>
                <w:szCs w:val="21"/>
                <w:highlight w:val="none"/>
                <w:lang w:val="en-US" w:eastAsia="zh-CN"/>
              </w:rPr>
              <w:t>或书面订单签收记录</w:t>
            </w:r>
            <w:r>
              <w:rPr>
                <w:rFonts w:hint="eastAsia" w:ascii="宋体" w:hAnsi="宋体" w:eastAsia="宋体" w:cs="宋体"/>
                <w:color w:val="auto"/>
                <w:sz w:val="21"/>
                <w:szCs w:val="21"/>
                <w:highlight w:val="none"/>
                <w:lang w:val="en-US" w:eastAsia="zh-CN"/>
              </w:rPr>
              <w:t>为准；</w:t>
            </w:r>
          </w:p>
          <w:p w14:paraId="5BA75C55">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r>
              <w:rPr>
                <w:rFonts w:hint="eastAsia" w:ascii="宋体" w:hAnsi="宋体" w:eastAsia="宋体" w:cs="宋体"/>
                <w:i w:val="0"/>
                <w:iCs w:val="0"/>
                <w:caps w:val="0"/>
                <w:color w:val="auto"/>
                <w:spacing w:val="0"/>
                <w:sz w:val="21"/>
                <w:szCs w:val="21"/>
                <w:highlight w:val="none"/>
                <w:shd w:val="clear" w:color="auto" w:fill="auto"/>
              </w:rPr>
              <w:t>供应的图书</w:t>
            </w:r>
            <w:r>
              <w:rPr>
                <w:rFonts w:hint="eastAsia" w:ascii="宋体" w:hAnsi="宋体" w:cs="宋体"/>
                <w:color w:val="auto"/>
                <w:szCs w:val="21"/>
                <w:highlight w:val="none"/>
                <w:lang w:val="en-US" w:eastAsia="zh-CN"/>
              </w:rPr>
              <w:t>图书出现与馆藏重复、质量（包含污损、图文</w:t>
            </w:r>
            <w:r>
              <w:rPr>
                <w:rFonts w:hint="default"/>
                <w:color w:val="auto"/>
                <w:highlight w:val="none"/>
                <w:lang w:val="en-US" w:eastAsia="zh-CN"/>
              </w:rPr>
              <w:t>不清、缺页、倒页、缺附件等不合格情况）、内容（包括重书、空白页＞5页的书）、通过扫描图书封底ISBN条码读取出的号与图书在版编目（CIP）数据中ISBN号不符等问题，</w:t>
            </w:r>
            <w:r>
              <w:rPr>
                <w:rFonts w:hint="eastAsia" w:ascii="宋体" w:hAnsi="宋体" w:eastAsia="宋体" w:cs="宋体"/>
                <w:i w:val="0"/>
                <w:iCs w:val="0"/>
                <w:caps w:val="0"/>
                <w:color w:val="auto"/>
                <w:spacing w:val="0"/>
                <w:sz w:val="21"/>
                <w:szCs w:val="21"/>
                <w:highlight w:val="none"/>
                <w:shd w:val="clear" w:color="auto" w:fill="auto"/>
              </w:rPr>
              <w:t>拒绝按约定无条件退换货，或逾期未办理退换货手续的</w:t>
            </w:r>
            <w:r>
              <w:rPr>
                <w:rFonts w:hint="eastAsia" w:ascii="宋体" w:hAnsi="宋体" w:eastAsia="宋体" w:cs="宋体"/>
                <w:color w:val="auto"/>
                <w:sz w:val="21"/>
                <w:szCs w:val="21"/>
                <w:highlight w:val="none"/>
                <w:lang w:val="en-US" w:eastAsia="zh-CN"/>
              </w:rPr>
              <w:t>；</w:t>
            </w:r>
          </w:p>
          <w:p w14:paraId="54C56EA7">
            <w:pPr>
              <w:keepNext w:val="0"/>
              <w:keepLines w:val="0"/>
              <w:pageBreakBefore w:val="0"/>
              <w:widowControl/>
              <w:pBdr>
                <w:top w:val="none" w:color="auto" w:sz="0" w:space="0"/>
                <w:left w:val="none" w:color="auto" w:sz="0" w:space="0"/>
                <w:bottom w:val="none" w:color="auto" w:sz="0" w:space="0"/>
                <w:right w:val="none" w:color="auto" w:sz="0" w:space="0"/>
              </w:pBdr>
              <w:shd w:val="clear" w:color="auto" w:fill="auto"/>
              <w:kinsoku/>
              <w:wordWrap/>
              <w:overflowPunct/>
              <w:topLinePunct w:val="0"/>
              <w:autoSpaceDE/>
              <w:autoSpaceDN/>
              <w:bidi w:val="0"/>
              <w:snapToGrid/>
              <w:spacing w:line="240" w:lineRule="auto"/>
              <w:jc w:val="left"/>
              <w:rPr>
                <w:rFonts w:hint="eastAsia" w:ascii="宋体" w:hAnsi="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（12）未经过采购人同意，提供非核心出版社的书目</w:t>
            </w:r>
            <w:r>
              <w:rPr>
                <w:rFonts w:hint="eastAsia" w:ascii="宋体" w:hAnsi="宋体" w:cs="宋体"/>
                <w:color w:val="auto"/>
                <w:sz w:val="21"/>
                <w:szCs w:val="21"/>
                <w:highlight w:val="none"/>
                <w:lang w:val="en-US" w:eastAsia="zh-CN"/>
              </w:rPr>
              <w:t>；</w:t>
            </w:r>
          </w:p>
          <w:p w14:paraId="0BABB16F">
            <w:pPr>
              <w:keepNext w:val="0"/>
              <w:keepLines w:val="0"/>
              <w:widowControl/>
              <w:suppressLineNumbers w:val="0"/>
              <w:pBdr>
                <w:top w:val="none" w:color="auto" w:sz="0" w:space="0"/>
                <w:left w:val="none" w:color="auto" w:sz="0" w:space="0"/>
                <w:bottom w:val="none" w:color="auto" w:sz="0" w:space="0"/>
                <w:right w:val="none" w:color="auto" w:sz="0" w:space="0"/>
              </w:pBdr>
              <w:shd w:val="clear" w:color="auto" w:fill="auto"/>
              <w:snapToGrid/>
              <w:spacing w:before="0" w:beforeAutospacing="0" w:after="0" w:afterAutospacing="0" w:line="240" w:lineRule="auto"/>
              <w:ind w:left="0" w:right="0" w:firstLine="0"/>
              <w:jc w:val="left"/>
              <w:rPr>
                <w:rFonts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（13）违反本项目数据保密义务，泄露采购人馆藏数据、采购需求等敏感信息，造成不良影响或损失的；​</w:t>
            </w:r>
          </w:p>
          <w:p w14:paraId="2C419E94">
            <w:pPr>
              <w:keepNext w:val="0"/>
              <w:keepLines w:val="0"/>
              <w:widowControl/>
              <w:suppressLineNumbers w:val="0"/>
              <w:pBdr>
                <w:top w:val="none" w:color="auto" w:sz="0" w:space="0"/>
                <w:left w:val="none" w:color="auto" w:sz="0" w:space="0"/>
                <w:bottom w:val="none" w:color="auto" w:sz="0" w:space="0"/>
                <w:right w:val="none" w:color="auto" w:sz="0" w:space="0"/>
              </w:pBdr>
              <w:shd w:val="clear" w:color="auto" w:fill="auto"/>
              <w:snapToGrid/>
              <w:spacing w:before="0" w:beforeAutospacing="0" w:after="0" w:afterAutospacing="0" w:line="240" w:lineRule="auto"/>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（14）累计2次及以上未按约定提供现场书展服务，或书展展出品种、形式不符合要求且未整改的；​</w:t>
            </w:r>
          </w:p>
          <w:p w14:paraId="6F715F5B">
            <w:pPr>
              <w:keepNext w:val="0"/>
              <w:keepLines w:val="0"/>
              <w:widowControl/>
              <w:suppressLineNumbers w:val="0"/>
              <w:pBdr>
                <w:top w:val="none" w:color="auto" w:sz="0" w:space="0"/>
                <w:left w:val="none" w:color="auto" w:sz="0" w:space="0"/>
                <w:bottom w:val="none" w:color="auto" w:sz="0" w:space="0"/>
                <w:right w:val="none" w:color="auto" w:sz="0" w:space="0"/>
              </w:pBdr>
              <w:shd w:val="clear" w:color="auto" w:fill="auto"/>
              <w:snapToGrid/>
              <w:spacing w:before="0" w:beforeAutospacing="0" w:after="0" w:afterAutospacing="0" w:line="240" w:lineRule="auto"/>
              <w:ind w:left="0" w:right="0" w:firstLine="0"/>
              <w:jc w:val="left"/>
              <w:rPr>
                <w:rFonts w:hint="default" w:ascii="Times New Roman" w:hAnsi="Times New Roman" w:eastAsia="宋体" w:cs="Times New Roman"/>
                <w:i w:val="0"/>
                <w:iCs w:val="0"/>
                <w:caps w:val="0"/>
                <w:color w:val="auto"/>
                <w:spacing w:val="0"/>
                <w:sz w:val="21"/>
                <w:szCs w:val="24"/>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（15）加急配送急需图书未在7个日历日内送达，或额外向采购人收取加急配送费用的；​</w:t>
            </w:r>
          </w:p>
          <w:p w14:paraId="716E1B67">
            <w:pPr>
              <w:spacing w:line="320" w:lineRule="exact"/>
              <w:jc w:val="both"/>
              <w:rPr>
                <w:rFonts w:hint="eastAsia" w:ascii="宋体" w:hAnsi="宋体" w:eastAsia="宋体" w:cs="宋体"/>
                <w:color w:val="auto"/>
                <w:szCs w:val="21"/>
                <w:highlight w:val="none"/>
              </w:rPr>
            </w:pPr>
            <w:r>
              <w:rPr>
                <w:rFonts w:hint="default" w:ascii="Times New Roman" w:hAnsi="Times New Roman" w:eastAsia="宋体" w:cs="Times New Roman"/>
                <w:i w:val="0"/>
                <w:iCs w:val="0"/>
                <w:caps w:val="0"/>
                <w:color w:val="auto"/>
                <w:spacing w:val="0"/>
                <w:kern w:val="2"/>
                <w:sz w:val="21"/>
                <w:szCs w:val="24"/>
                <w:highlight w:val="none"/>
                <w:shd w:val="clear" w:color="auto" w:fill="auto"/>
                <w:lang w:val="en-US" w:eastAsia="zh-CN" w:bidi="ar"/>
              </w:rPr>
              <w:t>（16）其他严重违反本合同约定的履约义务，经采购人书面催告后仍未纠正的情形。</w:t>
            </w:r>
          </w:p>
        </w:tc>
      </w:tr>
      <w:tr w14:paraId="11531F37">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10105" w:type="dxa"/>
            <w:gridSpan w:val="4"/>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016D4398">
            <w:pPr>
              <w:widowControl/>
              <w:jc w:val="lef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▲二、商务要求</w:t>
            </w:r>
          </w:p>
        </w:tc>
      </w:tr>
      <w:tr w14:paraId="27EB199C">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F75AB2E">
            <w:pPr>
              <w:spacing w:line="380" w:lineRule="exact"/>
              <w:jc w:val="center"/>
              <w:rPr>
                <w:rFonts w:hint="eastAsia" w:ascii="宋体" w:hAnsi="宋体" w:eastAsia="宋体" w:cs="宋体"/>
                <w:b/>
                <w:bCs/>
                <w:snapToGrid/>
                <w:color w:val="auto"/>
                <w:kern w:val="2"/>
                <w:sz w:val="21"/>
                <w:szCs w:val="21"/>
                <w:highlight w:val="none"/>
                <w:lang w:val="en-US" w:eastAsia="zh-CN" w:bidi="ar-SA"/>
              </w:rPr>
            </w:pPr>
            <w:r>
              <w:rPr>
                <w:rFonts w:hint="eastAsia" w:ascii="宋体" w:hAnsi="宋体" w:cs="Times New Roman"/>
                <w:b/>
                <w:bCs/>
                <w:snapToGrid/>
                <w:color w:val="auto"/>
                <w:kern w:val="2"/>
                <w:sz w:val="21"/>
                <w:szCs w:val="21"/>
                <w:highlight w:val="none"/>
                <w:lang w:val="en-US" w:eastAsia="zh-CN" w:bidi="ar-SA"/>
              </w:rPr>
              <w:t>合同签订时间及服务期限</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1769FBA6">
            <w:pPr>
              <w:spacing w:line="300" w:lineRule="exact"/>
              <w:rPr>
                <w:rFonts w:hint="eastAsia" w:ascii="宋体" w:hAnsi="宋体" w:cs="宋体"/>
                <w:color w:val="auto"/>
                <w:highlight w:val="none"/>
                <w:lang w:eastAsia="zh-CN"/>
              </w:rPr>
            </w:pPr>
            <w:r>
              <w:rPr>
                <w:rFonts w:hint="eastAsia" w:ascii="宋体" w:hAnsi="宋体" w:cs="宋体"/>
                <w:color w:val="auto"/>
                <w:highlight w:val="none"/>
                <w:lang w:val="en-US" w:eastAsia="zh-CN"/>
              </w:rPr>
              <w:t>1.</w:t>
            </w:r>
            <w:r>
              <w:rPr>
                <w:rFonts w:hint="eastAsia" w:ascii="宋体" w:hAnsi="宋体" w:cs="宋体"/>
                <w:color w:val="auto"/>
                <w:highlight w:val="none"/>
              </w:rPr>
              <w:t>自成交通知书发出之日起 25日内</w:t>
            </w:r>
            <w:r>
              <w:rPr>
                <w:rFonts w:hint="eastAsia" w:ascii="宋体" w:hAnsi="宋体" w:cs="宋体"/>
                <w:color w:val="auto"/>
                <w:highlight w:val="none"/>
                <w:lang w:eastAsia="zh-CN"/>
              </w:rPr>
              <w:t>签订合同。</w:t>
            </w:r>
          </w:p>
          <w:p w14:paraId="7EF616B5">
            <w:pPr>
              <w:spacing w:line="300" w:lineRule="exact"/>
              <w:rPr>
                <w:rFonts w:hint="eastAsia" w:ascii="宋体" w:hAnsi="宋体" w:eastAsia="宋体" w:cs="宋体"/>
                <w:color w:val="auto"/>
                <w:highlight w:val="none"/>
                <w:lang w:val="en-US" w:eastAsia="zh-CN"/>
              </w:rPr>
            </w:pPr>
            <w:r>
              <w:rPr>
                <w:rFonts w:hint="eastAsia" w:ascii="宋体" w:hAnsi="宋体" w:cs="宋体"/>
                <w:color w:val="auto"/>
                <w:highlight w:val="none"/>
                <w:lang w:val="en-US" w:eastAsia="zh-CN"/>
              </w:rPr>
              <w:t>2.</w:t>
            </w:r>
            <w:r>
              <w:rPr>
                <w:rFonts w:hint="eastAsia" w:ascii="宋体" w:hAnsi="宋体" w:cs="宋体"/>
                <w:color w:val="auto"/>
                <w:highlight w:val="none"/>
              </w:rPr>
              <w:t>服务期限：自签订合同之日起至2027年4月30日止</w:t>
            </w:r>
            <w:r>
              <w:rPr>
                <w:rFonts w:hint="eastAsia" w:ascii="宋体" w:hAnsi="宋体" w:cs="宋体"/>
                <w:color w:val="auto"/>
                <w:highlight w:val="none"/>
                <w:lang w:eastAsia="zh-CN"/>
              </w:rPr>
              <w:t>。</w:t>
            </w:r>
          </w:p>
        </w:tc>
      </w:tr>
      <w:tr w14:paraId="2FC9F916">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8F08BEB">
            <w:pPr>
              <w:spacing w:line="380" w:lineRule="exact"/>
              <w:jc w:val="center"/>
              <w:rPr>
                <w:rFonts w:hint="eastAsia" w:ascii="宋体" w:hAnsi="宋体" w:eastAsia="宋体" w:cs="宋体"/>
                <w:b/>
                <w:bCs/>
                <w:color w:val="auto"/>
                <w:szCs w:val="21"/>
                <w:highlight w:val="none"/>
              </w:rPr>
            </w:pPr>
            <w:r>
              <w:rPr>
                <w:rFonts w:hint="eastAsia" w:ascii="宋体" w:hAnsi="宋体" w:eastAsia="宋体" w:cs="Times New Roman"/>
                <w:b/>
                <w:bCs/>
                <w:snapToGrid/>
                <w:color w:val="auto"/>
                <w:kern w:val="2"/>
                <w:sz w:val="21"/>
                <w:szCs w:val="21"/>
                <w:highlight w:val="none"/>
                <w:lang w:val="en-US" w:bidi="ar-SA"/>
              </w:rPr>
              <w:t>报价要求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66F4BA02">
            <w:pPr>
              <w:rPr>
                <w:rFonts w:ascii="宋体" w:hAnsi="宋体" w:cs="宋体"/>
                <w:color w:val="auto"/>
                <w:highlight w:val="none"/>
              </w:rPr>
            </w:pPr>
            <w:r>
              <w:rPr>
                <w:rFonts w:hint="eastAsia" w:ascii="宋体" w:hAnsi="宋体" w:cs="宋体"/>
                <w:color w:val="auto"/>
                <w:highlight w:val="none"/>
              </w:rPr>
              <w:t>报</w:t>
            </w:r>
            <w:r>
              <w:rPr>
                <w:rFonts w:ascii="宋体" w:hAnsi="宋体" w:cs="宋体"/>
                <w:color w:val="auto"/>
                <w:highlight w:val="none"/>
              </w:rPr>
              <w:t>价</w:t>
            </w:r>
            <w:r>
              <w:rPr>
                <w:rFonts w:hint="eastAsia" w:ascii="宋体" w:hAnsi="宋体" w:cs="宋体"/>
                <w:color w:val="auto"/>
                <w:highlight w:val="none"/>
                <w:lang w:eastAsia="zh-CN"/>
              </w:rPr>
              <w:t>包含</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中所有服务</w:t>
            </w:r>
            <w:r>
              <w:rPr>
                <w:rFonts w:hint="eastAsia" w:ascii="宋体" w:hAnsi="宋体" w:cs="宋体"/>
                <w:color w:val="auto"/>
                <w:highlight w:val="none"/>
                <w:lang w:eastAsia="zh-CN"/>
              </w:rPr>
              <w:t>和货物</w:t>
            </w:r>
            <w:r>
              <w:rPr>
                <w:rFonts w:hint="eastAsia" w:ascii="宋体" w:hAnsi="宋体" w:cs="宋体"/>
                <w:color w:val="auto"/>
                <w:highlight w:val="none"/>
              </w:rPr>
              <w:t>的价格</w:t>
            </w:r>
            <w:r>
              <w:rPr>
                <w:rFonts w:hint="eastAsia" w:ascii="宋体" w:hAnsi="宋体" w:cs="宋体"/>
                <w:color w:val="auto"/>
                <w:highlight w:val="none"/>
                <w:lang w:eastAsia="zh-CN"/>
              </w:rPr>
              <w:t>，</w:t>
            </w:r>
            <w:r>
              <w:rPr>
                <w:rFonts w:ascii="宋体" w:hAnsi="宋体" w:cs="宋体"/>
                <w:color w:val="auto"/>
                <w:highlight w:val="none"/>
              </w:rPr>
              <w:t>包括但不限于：</w:t>
            </w:r>
          </w:p>
          <w:p w14:paraId="095AE88A">
            <w:pPr>
              <w:numPr>
                <w:ilvl w:val="0"/>
                <w:numId w:val="0"/>
              </w:numPr>
              <w:rPr>
                <w:rFonts w:hint="eastAsia" w:ascii="宋体" w:hAnsi="宋体" w:eastAsia="宋体" w:cs="宋体"/>
                <w:color w:val="auto"/>
                <w:highlight w:val="none"/>
              </w:rPr>
            </w:pPr>
            <w:r>
              <w:rPr>
                <w:rFonts w:hint="eastAsia" w:ascii="宋体" w:hAnsi="宋体" w:eastAsia="宋体" w:cs="宋体"/>
                <w:color w:val="auto"/>
                <w:kern w:val="2"/>
                <w:sz w:val="21"/>
                <w:szCs w:val="24"/>
                <w:highlight w:val="none"/>
                <w:lang w:val="en-US" w:eastAsia="zh-CN" w:bidi="ar-SA"/>
              </w:rPr>
              <w:t>1</w:t>
            </w:r>
            <w:r>
              <w:rPr>
                <w:rFonts w:hint="eastAsia" w:ascii="宋体" w:hAnsi="宋体" w:eastAsia="宋体" w:cs="宋体"/>
                <w:color w:val="auto"/>
                <w:szCs w:val="24"/>
                <w:highlight w:val="none"/>
              </w:rPr>
              <w:t>.</w:t>
            </w:r>
            <w:r>
              <w:rPr>
                <w:rFonts w:hint="eastAsia" w:ascii="宋体" w:hAnsi="宋体" w:eastAsia="宋体" w:cs="宋体"/>
                <w:color w:val="auto"/>
                <w:highlight w:val="none"/>
                <w:lang w:eastAsia="zh-CN"/>
              </w:rPr>
              <w:t>本项目所有服务及供货</w:t>
            </w:r>
            <w:r>
              <w:rPr>
                <w:rFonts w:hint="eastAsia" w:ascii="宋体" w:hAnsi="宋体" w:eastAsia="宋体" w:cs="宋体"/>
                <w:color w:val="auto"/>
                <w:highlight w:val="none"/>
              </w:rPr>
              <w:t>全流程</w:t>
            </w:r>
            <w:r>
              <w:rPr>
                <w:rFonts w:hint="eastAsia" w:ascii="宋体" w:hAnsi="宋体" w:eastAsia="宋体" w:cs="宋体"/>
                <w:color w:val="auto"/>
                <w:highlight w:val="none"/>
                <w:lang w:eastAsia="zh-CN"/>
              </w:rPr>
              <w:t>的费用，</w:t>
            </w:r>
            <w:r>
              <w:rPr>
                <w:rFonts w:hint="eastAsia" w:ascii="宋体" w:hAnsi="宋体" w:eastAsia="宋体" w:cs="宋体"/>
                <w:color w:val="auto"/>
                <w:highlight w:val="none"/>
              </w:rPr>
              <w:t>包括图书出版码洋、图书加工服务费、</w:t>
            </w:r>
            <w:r>
              <w:rPr>
                <w:rFonts w:hint="eastAsia" w:ascii="宋体" w:hAnsi="宋体" w:eastAsia="宋体" w:cs="宋体"/>
                <w:color w:val="auto"/>
                <w:highlight w:val="none"/>
                <w:lang w:eastAsia="zh-CN"/>
              </w:rPr>
              <w:t>运输</w:t>
            </w:r>
            <w:r>
              <w:rPr>
                <w:rFonts w:hint="eastAsia" w:ascii="宋体" w:hAnsi="宋体" w:eastAsia="宋体" w:cs="宋体"/>
                <w:color w:val="auto"/>
                <w:highlight w:val="none"/>
              </w:rPr>
              <w:t>搬运费、耗材费（含</w:t>
            </w:r>
            <w:r>
              <w:rPr>
                <w:rFonts w:hint="eastAsia" w:ascii="宋体" w:hAnsi="宋体" w:eastAsia="宋体" w:cs="宋体"/>
                <w:color w:val="auto"/>
                <w:highlight w:val="none"/>
                <w:lang w:eastAsia="zh-CN"/>
              </w:rPr>
              <w:t>可充消</w:t>
            </w:r>
            <w:r>
              <w:rPr>
                <w:rFonts w:hint="eastAsia" w:ascii="宋体" w:hAnsi="宋体" w:cs="宋体"/>
                <w:color w:val="auto"/>
                <w:highlight w:val="none"/>
                <w:lang w:eastAsia="zh-CN"/>
              </w:rPr>
              <w:t>钴基</w:t>
            </w:r>
            <w:r>
              <w:rPr>
                <w:rFonts w:hint="eastAsia" w:ascii="宋体" w:hAnsi="宋体" w:eastAsia="宋体" w:cs="宋体"/>
                <w:color w:val="auto"/>
                <w:highlight w:val="none"/>
              </w:rPr>
              <w:t>复合磁条、条形码、</w:t>
            </w:r>
            <w:r>
              <w:rPr>
                <w:rFonts w:hint="eastAsia" w:ascii="宋体" w:hAnsi="宋体" w:eastAsia="宋体" w:cs="宋体"/>
                <w:color w:val="auto"/>
                <w:highlight w:val="none"/>
                <w:lang w:val="en-US" w:eastAsia="zh-CN"/>
              </w:rPr>
              <w:t>PVC材质</w:t>
            </w:r>
            <w:r>
              <w:rPr>
                <w:rFonts w:hint="eastAsia" w:ascii="宋体" w:hAnsi="宋体" w:eastAsia="宋体" w:cs="宋体"/>
                <w:color w:val="auto"/>
                <w:highlight w:val="none"/>
              </w:rPr>
              <w:t>书标及保护膜等）、物流配送费、异地现场采购费、</w:t>
            </w:r>
            <w:r>
              <w:rPr>
                <w:rFonts w:ascii="宋体" w:hAnsi="宋体" w:cs="宋体"/>
                <w:color w:val="auto"/>
                <w:highlight w:val="none"/>
              </w:rPr>
              <w:t>调试培训</w:t>
            </w:r>
            <w:r>
              <w:rPr>
                <w:rFonts w:hint="eastAsia" w:ascii="宋体" w:hAnsi="宋体" w:cs="宋体"/>
                <w:color w:val="auto"/>
                <w:highlight w:val="none"/>
                <w:lang w:eastAsia="zh-CN"/>
              </w:rPr>
              <w:t>、技术支持、</w:t>
            </w:r>
            <w:r>
              <w:rPr>
                <w:rFonts w:hint="eastAsia" w:ascii="宋体" w:hAnsi="宋体" w:cs="宋体"/>
                <w:color w:val="auto"/>
                <w:highlight w:val="none"/>
              </w:rPr>
              <w:t>质保期内维护、软件升级</w:t>
            </w:r>
            <w:r>
              <w:rPr>
                <w:rFonts w:hint="eastAsia" w:ascii="宋体" w:hAnsi="宋体" w:cs="宋体"/>
                <w:color w:val="auto"/>
                <w:highlight w:val="none"/>
                <w:lang w:eastAsia="zh-CN"/>
              </w:rPr>
              <w:t>、</w:t>
            </w:r>
            <w:r>
              <w:rPr>
                <w:rFonts w:hint="eastAsia" w:ascii="宋体" w:hAnsi="宋体" w:eastAsia="宋体" w:cs="宋体"/>
                <w:color w:val="auto"/>
                <w:highlight w:val="none"/>
              </w:rPr>
              <w:t>售后服务费、</w:t>
            </w:r>
            <w:r>
              <w:rPr>
                <w:rFonts w:hint="eastAsia" w:ascii="宋体" w:hAnsi="宋体" w:eastAsia="宋体" w:cs="宋体"/>
                <w:color w:val="auto"/>
                <w:highlight w:val="none"/>
                <w:lang w:eastAsia="zh-CN"/>
              </w:rPr>
              <w:t>必要的保险、</w:t>
            </w:r>
            <w:r>
              <w:rPr>
                <w:rFonts w:hint="eastAsia" w:ascii="宋体" w:hAnsi="宋体" w:eastAsia="宋体" w:cs="宋体"/>
                <w:color w:val="auto"/>
                <w:highlight w:val="none"/>
              </w:rPr>
              <w:t>税金及其他</w:t>
            </w:r>
            <w:r>
              <w:rPr>
                <w:rFonts w:hint="eastAsia" w:ascii="宋体" w:hAnsi="宋体" w:eastAsia="宋体" w:cs="宋体"/>
                <w:color w:val="auto"/>
                <w:highlight w:val="none"/>
                <w:lang w:eastAsia="zh-CN"/>
              </w:rPr>
              <w:t>相关</w:t>
            </w:r>
            <w:r>
              <w:rPr>
                <w:rFonts w:hint="eastAsia" w:ascii="宋体" w:hAnsi="宋体" w:eastAsia="宋体" w:cs="宋体"/>
                <w:color w:val="auto"/>
                <w:highlight w:val="none"/>
              </w:rPr>
              <w:t>的费用。</w:t>
            </w:r>
          </w:p>
          <w:p w14:paraId="3A5AC435">
            <w:pPr>
              <w:numPr>
                <w:ilvl w:val="0"/>
                <w:numId w:val="0"/>
              </w:numPr>
              <w:rPr>
                <w:rFonts w:hint="eastAsia"/>
                <w:color w:val="auto"/>
                <w:highlight w:val="none"/>
              </w:rPr>
            </w:pPr>
            <w:r>
              <w:rPr>
                <w:rFonts w:hint="eastAsia" w:ascii="宋体" w:hAnsi="宋体" w:eastAsia="宋体" w:cs="宋体"/>
                <w:b w:val="0"/>
                <w:bCs w:val="0"/>
                <w:color w:val="auto"/>
                <w:highlight w:val="none"/>
                <w:lang w:val="en-US" w:eastAsia="zh-CN"/>
              </w:rPr>
              <w:t>2.</w:t>
            </w:r>
            <w:r>
              <w:rPr>
                <w:rFonts w:hint="eastAsia"/>
                <w:b/>
                <w:bCs/>
                <w:color w:val="auto"/>
                <w:highlight w:val="none"/>
                <w:lang w:val="en-US" w:eastAsia="zh-CN"/>
              </w:rPr>
              <w:t>本项目采用折扣率进行报价，C分标</w:t>
            </w:r>
            <w:r>
              <w:rPr>
                <w:rFonts w:hint="eastAsia"/>
                <w:b/>
                <w:bCs/>
                <w:color w:val="auto"/>
                <w:highlight w:val="none"/>
              </w:rPr>
              <w:t>报价范围：</w:t>
            </w:r>
            <w:r>
              <w:rPr>
                <w:rFonts w:hint="eastAsia"/>
                <w:b/>
                <w:bCs/>
                <w:color w:val="auto"/>
                <w:highlight w:val="none"/>
                <w:lang w:val="en-US" w:eastAsia="zh-CN"/>
              </w:rPr>
              <w:t>0</w:t>
            </w:r>
            <w:r>
              <w:rPr>
                <w:rFonts w:hint="eastAsia"/>
                <w:b/>
                <w:bCs/>
                <w:color w:val="auto"/>
                <w:highlight w:val="none"/>
                <w:lang w:eastAsia="zh-CN"/>
              </w:rPr>
              <w:t>＜</w:t>
            </w:r>
            <w:r>
              <w:rPr>
                <w:rFonts w:hint="eastAsia"/>
                <w:b/>
                <w:bCs/>
                <w:color w:val="auto"/>
                <w:highlight w:val="none"/>
              </w:rPr>
              <w:t>折扣率</w:t>
            </w:r>
            <w:r>
              <w:rPr>
                <w:rFonts w:hint="eastAsia"/>
                <w:b/>
                <w:bCs/>
                <w:color w:val="auto"/>
                <w:highlight w:val="none"/>
                <w:lang w:val="en-US" w:eastAsia="zh-CN"/>
              </w:rPr>
              <w:t>%</w:t>
            </w:r>
            <w:r>
              <w:rPr>
                <w:rFonts w:hint="eastAsia"/>
                <w:b/>
                <w:bCs/>
                <w:color w:val="auto"/>
                <w:highlight w:val="none"/>
              </w:rPr>
              <w:t>≤100%</w:t>
            </w:r>
            <w:r>
              <w:rPr>
                <w:rFonts w:hint="eastAsia"/>
                <w:b/>
                <w:bCs/>
                <w:color w:val="auto"/>
                <w:highlight w:val="none"/>
                <w:lang w:eastAsia="zh-CN"/>
              </w:rPr>
              <w:t>；</w:t>
            </w:r>
            <w:r>
              <w:rPr>
                <w:rFonts w:hint="eastAsia"/>
                <w:b/>
                <w:bCs/>
                <w:color w:val="auto"/>
                <w:highlight w:val="none"/>
              </w:rPr>
              <w:t>超出报价范围的报价无效</w:t>
            </w:r>
            <w:r>
              <w:rPr>
                <w:rFonts w:hint="eastAsia"/>
                <w:b/>
                <w:bCs/>
                <w:color w:val="auto"/>
                <w:highlight w:val="none"/>
                <w:lang w:eastAsia="zh-CN"/>
              </w:rPr>
              <w:t>。</w:t>
            </w:r>
            <w:r>
              <w:rPr>
                <w:rFonts w:hint="eastAsia"/>
                <w:color w:val="auto"/>
                <w:highlight w:val="none"/>
              </w:rPr>
              <w:t>举例说明折扣率：打七折意思是码洋价乘以0.7后的价格，此时的折扣率表示为70%。</w:t>
            </w:r>
          </w:p>
          <w:p w14:paraId="48D627FC">
            <w:pPr>
              <w:spacing w:line="300" w:lineRule="exact"/>
              <w:rPr>
                <w:rFonts w:hint="eastAsia" w:ascii="宋体" w:hAnsi="宋体" w:eastAsia="宋体" w:cs="宋体"/>
                <w:color w:val="auto"/>
                <w:szCs w:val="21"/>
                <w:highlight w:val="none"/>
              </w:rPr>
            </w:pPr>
            <w:r>
              <w:rPr>
                <w:rFonts w:hint="eastAsia" w:ascii="宋体" w:hAnsi="宋体" w:cs="宋体"/>
                <w:color w:val="auto"/>
                <w:highlight w:val="none"/>
                <w:lang w:val="en-US" w:eastAsia="zh-CN"/>
              </w:rPr>
              <w:t>3</w:t>
            </w:r>
            <w:r>
              <w:rPr>
                <w:rFonts w:hint="eastAsia" w:ascii="宋体" w:hAnsi="宋体"/>
                <w:color w:val="auto"/>
                <w:szCs w:val="21"/>
                <w:highlight w:val="none"/>
              </w:rPr>
              <w:t>.</w:t>
            </w:r>
            <w:r>
              <w:rPr>
                <w:rFonts w:hint="eastAsia" w:ascii="宋体" w:hAnsi="宋体" w:cs="宋体"/>
                <w:color w:val="auto"/>
                <w:highlight w:val="none"/>
              </w:rPr>
              <w:t>采购</w:t>
            </w:r>
            <w:r>
              <w:rPr>
                <w:rFonts w:hint="eastAsia" w:ascii="宋体" w:hAnsi="宋体" w:cs="宋体"/>
                <w:color w:val="auto"/>
                <w:highlight w:val="none"/>
                <w:lang w:eastAsia="zh-CN"/>
              </w:rPr>
              <w:t>需求</w:t>
            </w:r>
            <w:r>
              <w:rPr>
                <w:rFonts w:hint="eastAsia" w:ascii="宋体" w:hAnsi="宋体" w:cs="宋体"/>
                <w:color w:val="auto"/>
                <w:highlight w:val="none"/>
              </w:rPr>
              <w:t>中所有</w:t>
            </w:r>
            <w:r>
              <w:rPr>
                <w:rFonts w:ascii="宋体" w:hAnsi="宋体" w:cs="宋体"/>
                <w:color w:val="auto"/>
                <w:highlight w:val="none"/>
              </w:rPr>
              <w:t>货物</w:t>
            </w:r>
            <w:r>
              <w:rPr>
                <w:rFonts w:hint="eastAsia" w:ascii="宋体" w:hAnsi="宋体" w:cs="宋体"/>
                <w:color w:val="auto"/>
                <w:highlight w:val="none"/>
                <w:lang w:eastAsia="zh-CN"/>
              </w:rPr>
              <w:t>的报价</w:t>
            </w:r>
            <w:r>
              <w:rPr>
                <w:rFonts w:hint="eastAsia" w:ascii="宋体" w:hAnsi="宋体" w:cs="宋体"/>
                <w:color w:val="auto"/>
                <w:highlight w:val="none"/>
              </w:rPr>
              <w:t>为采购人指定地点的现场交付价格</w:t>
            </w:r>
            <w:r>
              <w:rPr>
                <w:rFonts w:hint="eastAsia" w:ascii="宋体" w:hAnsi="宋体" w:cs="宋体"/>
                <w:color w:val="auto"/>
                <w:highlight w:val="none"/>
                <w:lang w:eastAsia="zh-CN"/>
              </w:rPr>
              <w:t>，</w:t>
            </w:r>
            <w:r>
              <w:rPr>
                <w:rFonts w:hint="eastAsia"/>
                <w:color w:val="auto"/>
                <w:highlight w:val="none"/>
              </w:rPr>
              <w:t>合同有效期内所有</w:t>
            </w:r>
            <w:r>
              <w:rPr>
                <w:rFonts w:hint="eastAsia"/>
                <w:color w:val="auto"/>
                <w:highlight w:val="none"/>
                <w:lang w:val="en-US" w:eastAsia="zh-CN"/>
              </w:rPr>
              <w:t>经过验收合格的采购</w:t>
            </w:r>
            <w:r>
              <w:rPr>
                <w:rFonts w:hint="eastAsia"/>
                <w:color w:val="auto"/>
                <w:highlight w:val="none"/>
              </w:rPr>
              <w:t>图书均按实洋价</w:t>
            </w:r>
            <w:r>
              <w:rPr>
                <w:rFonts w:hint="eastAsia"/>
                <w:color w:val="auto"/>
                <w:highlight w:val="none"/>
                <w:lang w:eastAsia="zh-CN"/>
              </w:rPr>
              <w:t>结算</w:t>
            </w:r>
            <w:r>
              <w:rPr>
                <w:rFonts w:hint="eastAsia"/>
                <w:color w:val="auto"/>
                <w:highlight w:val="none"/>
              </w:rPr>
              <w:t>付款，图书出版的标价为码洋价</w:t>
            </w:r>
            <w:r>
              <w:rPr>
                <w:rFonts w:hint="eastAsia"/>
                <w:color w:val="auto"/>
                <w:highlight w:val="none"/>
                <w:lang w:eastAsia="zh-CN"/>
              </w:rPr>
              <w:t>，</w:t>
            </w:r>
            <w:r>
              <w:rPr>
                <w:rFonts w:hint="eastAsia"/>
                <w:color w:val="auto"/>
                <w:highlight w:val="none"/>
              </w:rPr>
              <w:t>实洋价＝码洋价×成交折扣率。</w:t>
            </w:r>
          </w:p>
        </w:tc>
      </w:tr>
      <w:tr w14:paraId="5B9FE97D">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7A99FF3E">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质保期</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3B84C83F">
            <w:pPr>
              <w:snapToGrid w:val="0"/>
              <w:spacing w:line="240" w:lineRule="auto"/>
              <w:jc w:val="left"/>
              <w:rPr>
                <w:rFonts w:ascii="宋体" w:hAnsi="宋体"/>
                <w:color w:val="auto"/>
                <w:szCs w:val="21"/>
                <w:highlight w:val="none"/>
              </w:rPr>
            </w:pPr>
            <w:r>
              <w:rPr>
                <w:rFonts w:hint="eastAsia" w:ascii="宋体" w:hAnsi="宋体"/>
                <w:b/>
                <w:bCs/>
                <w:color w:val="auto"/>
                <w:szCs w:val="21"/>
                <w:highlight w:val="none"/>
              </w:rPr>
              <w:t>1.质保期</w:t>
            </w:r>
            <w:r>
              <w:rPr>
                <w:rFonts w:hint="eastAsia" w:ascii="宋体" w:hAnsi="宋体"/>
                <w:b/>
                <w:bCs/>
                <w:color w:val="auto"/>
                <w:szCs w:val="21"/>
                <w:highlight w:val="none"/>
                <w:u w:val="single"/>
              </w:rPr>
              <w:t xml:space="preserve"> </w:t>
            </w:r>
            <w:r>
              <w:rPr>
                <w:rFonts w:hint="eastAsia" w:ascii="宋体" w:hAnsi="宋体" w:cs="宋体"/>
                <w:b/>
                <w:color w:val="auto"/>
                <w:highlight w:val="none"/>
                <w:u w:val="single"/>
              </w:rPr>
              <w:t>壹</w:t>
            </w:r>
            <w:r>
              <w:rPr>
                <w:rFonts w:hint="eastAsia" w:ascii="宋体" w:hAnsi="宋体"/>
                <w:b/>
                <w:bCs/>
                <w:color w:val="auto"/>
                <w:szCs w:val="21"/>
                <w:highlight w:val="none"/>
                <w:u w:val="single"/>
              </w:rPr>
              <w:t xml:space="preserve"> </w:t>
            </w:r>
            <w:r>
              <w:rPr>
                <w:rFonts w:hint="eastAsia" w:ascii="宋体" w:hAnsi="宋体"/>
                <w:b/>
                <w:bCs/>
                <w:color w:val="auto"/>
                <w:szCs w:val="21"/>
                <w:highlight w:val="none"/>
              </w:rPr>
              <w:t>年。</w:t>
            </w:r>
            <w:r>
              <w:rPr>
                <w:rFonts w:hint="eastAsia" w:ascii="宋体" w:hAnsi="宋体"/>
                <w:color w:val="auto"/>
                <w:szCs w:val="21"/>
                <w:highlight w:val="none"/>
              </w:rPr>
              <w:t>（分项货物服务要求中有特别注明的，按特别注明的执行）</w:t>
            </w:r>
          </w:p>
          <w:p w14:paraId="51768F49">
            <w:pPr>
              <w:spacing w:line="240" w:lineRule="auto"/>
              <w:rPr>
                <w:rFonts w:hint="eastAsia" w:ascii="宋体" w:hAnsi="宋体" w:eastAsia="宋体" w:cs="宋体"/>
                <w:color w:val="auto"/>
                <w:szCs w:val="21"/>
                <w:highlight w:val="none"/>
              </w:rPr>
            </w:pPr>
            <w:r>
              <w:rPr>
                <w:rFonts w:hint="eastAsia" w:ascii="宋体" w:hAnsi="宋体"/>
                <w:color w:val="auto"/>
                <w:szCs w:val="21"/>
                <w:highlight w:val="none"/>
              </w:rPr>
              <w:t>2.所有货物服务按国家“三包”有关规定执行“三包”。质保期自交付验收合格之日起计算，质保期内提供上门维修、更换和升级服务；质保期结束后，提供终身维护，并优惠提供相关零配件。</w:t>
            </w:r>
          </w:p>
        </w:tc>
      </w:tr>
      <w:tr w14:paraId="63132D34">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567"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16371A45">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产品及售后服务要求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5F9555B6">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1.送货至采购人指定地点，完成图书加工。所有</w:t>
            </w:r>
            <w:r>
              <w:rPr>
                <w:rFonts w:hint="eastAsia" w:ascii="宋体" w:hAnsi="宋体" w:cs="Times New Roman"/>
                <w:bCs/>
                <w:color w:val="auto"/>
                <w:szCs w:val="21"/>
                <w:highlight w:val="none"/>
                <w:lang w:val="en-US" w:eastAsia="zh-CN"/>
              </w:rPr>
              <w:t>货物及加工服务</w:t>
            </w:r>
            <w:r>
              <w:rPr>
                <w:rFonts w:hint="eastAsia" w:ascii="宋体" w:hAnsi="宋体" w:eastAsia="宋体" w:cs="Times New Roman"/>
                <w:bCs/>
                <w:color w:val="auto"/>
                <w:szCs w:val="21"/>
                <w:highlight w:val="none"/>
                <w:lang w:val="en-US" w:eastAsia="zh-CN"/>
              </w:rPr>
              <w:t>应符合国家、行业相关标准及规范。所有货物仅接受现场交付，不接受邮递。</w:t>
            </w:r>
          </w:p>
          <w:p w14:paraId="1D261B17">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2.为采购人提供产品操作、维修、日常养护等方面的培训，确保采购方使用人员能独立操作使用，培训人数、时间、地点等由采购人指定。</w:t>
            </w:r>
          </w:p>
          <w:p w14:paraId="2A80672A">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3.故障响应时间：在使用过程中出现质量问题，成交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在接到采购人通知后1小时</w:t>
            </w:r>
            <w:r>
              <w:rPr>
                <w:rFonts w:hint="eastAsia" w:ascii="宋体" w:hAnsi="宋体" w:cs="Times New Roman"/>
                <w:bCs/>
                <w:color w:val="auto"/>
                <w:szCs w:val="21"/>
                <w:highlight w:val="none"/>
                <w:lang w:val="en-US" w:eastAsia="zh-CN"/>
              </w:rPr>
              <w:t>内</w:t>
            </w:r>
            <w:r>
              <w:rPr>
                <w:rFonts w:hint="eastAsia" w:ascii="宋体" w:hAnsi="宋体" w:eastAsia="宋体" w:cs="Times New Roman"/>
                <w:bCs/>
                <w:color w:val="auto"/>
                <w:szCs w:val="21"/>
                <w:highlight w:val="none"/>
                <w:lang w:val="en-US" w:eastAsia="zh-CN"/>
              </w:rPr>
              <w:t>作出响应；如需到达现场解决的，在4小时内应到达现场。</w:t>
            </w:r>
          </w:p>
          <w:p w14:paraId="46878E0F">
            <w:p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szCs w:val="21"/>
                <w:highlight w:val="none"/>
                <w:lang w:val="en-US" w:eastAsia="zh-CN"/>
              </w:rPr>
              <w:t>4.</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须遵守校园出入规定，在供货、安装过程中确保相关人员安全。供货、安装过程中产生的残留物或垃圾，</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需自行清理至校外。</w:t>
            </w:r>
          </w:p>
          <w:p w14:paraId="7EC95AF5">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cs="Times New Roman"/>
                <w:bCs/>
                <w:color w:val="auto"/>
                <w:szCs w:val="21"/>
                <w:highlight w:val="none"/>
                <w:lang w:val="en-US" w:eastAsia="zh-CN"/>
              </w:rPr>
              <w:t>5.</w:t>
            </w:r>
            <w:r>
              <w:rPr>
                <w:rFonts w:hint="eastAsia" w:ascii="宋体" w:hAnsi="宋体"/>
                <w:bCs/>
                <w:color w:val="auto"/>
                <w:szCs w:val="21"/>
                <w:highlight w:val="none"/>
              </w:rPr>
              <w:t>供应商</w:t>
            </w:r>
            <w:r>
              <w:rPr>
                <w:rFonts w:hint="eastAsia" w:ascii="宋体" w:hAnsi="宋体"/>
                <w:bCs/>
                <w:color w:val="auto"/>
                <w:szCs w:val="21"/>
                <w:highlight w:val="none"/>
                <w:lang w:eastAsia="zh-CN"/>
              </w:rPr>
              <w:t>为了更好的协助采购人完成采购、馆藏工作需</w:t>
            </w:r>
            <w:r>
              <w:rPr>
                <w:rFonts w:hint="eastAsia" w:ascii="宋体" w:hAnsi="宋体"/>
                <w:bCs/>
                <w:color w:val="auto"/>
                <w:szCs w:val="21"/>
                <w:highlight w:val="none"/>
              </w:rPr>
              <w:t>提供的</w:t>
            </w:r>
            <w:r>
              <w:rPr>
                <w:rFonts w:hint="eastAsia" w:ascii="宋体" w:hAnsi="宋体"/>
                <w:bCs/>
                <w:color w:val="auto"/>
                <w:szCs w:val="21"/>
                <w:highlight w:val="none"/>
                <w:lang w:eastAsia="zh-CN"/>
              </w:rPr>
              <w:t>信息化相关服务（如</w:t>
            </w:r>
            <w:r>
              <w:rPr>
                <w:rFonts w:hint="eastAsia" w:ascii="宋体" w:hAnsi="宋体"/>
                <w:bCs/>
                <w:color w:val="auto"/>
                <w:szCs w:val="21"/>
                <w:highlight w:val="none"/>
              </w:rPr>
              <w:t>网上选书平台</w:t>
            </w:r>
            <w:r>
              <w:rPr>
                <w:rFonts w:hint="eastAsia" w:ascii="宋体" w:hAnsi="宋体"/>
                <w:bCs/>
                <w:color w:val="auto"/>
                <w:szCs w:val="21"/>
                <w:highlight w:val="none"/>
                <w:lang w:eastAsia="zh-CN"/>
              </w:rPr>
              <w:t>等）。</w:t>
            </w:r>
          </w:p>
        </w:tc>
      </w:tr>
      <w:tr w14:paraId="7F7BA8D2">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1316"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70C6A425">
            <w:pPr>
              <w:spacing w:line="380" w:lineRule="exact"/>
              <w:jc w:val="center"/>
              <w:rPr>
                <w:rFonts w:hint="eastAsia" w:ascii="宋体" w:hAnsi="宋体" w:eastAsia="宋体" w:cs="宋体"/>
                <w:b/>
                <w:bCs/>
                <w:color w:val="auto"/>
                <w:szCs w:val="21"/>
                <w:highlight w:val="none"/>
              </w:rPr>
            </w:pPr>
            <w:r>
              <w:rPr>
                <w:rFonts w:hint="eastAsia" w:ascii="宋体" w:hAnsi="宋体"/>
                <w:b/>
                <w:color w:val="auto"/>
                <w:szCs w:val="21"/>
                <w:highlight w:val="none"/>
              </w:rPr>
              <w:t>保密要求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03308A94">
            <w:pPr>
              <w:spacing w:line="300" w:lineRule="exact"/>
              <w:jc w:val="left"/>
              <w:rPr>
                <w:rFonts w:hint="eastAsia" w:ascii="宋体" w:hAnsi="宋体" w:eastAsia="宋体" w:cs="宋体"/>
                <w:color w:val="auto"/>
                <w:szCs w:val="21"/>
                <w:highlight w:val="none"/>
              </w:rPr>
            </w:pPr>
            <w:r>
              <w:rPr>
                <w:rFonts w:hint="eastAsia" w:ascii="宋体" w:hAnsi="宋体" w:eastAsia="宋体" w:cs="Times New Roman"/>
                <w:bCs/>
                <w:color w:val="auto"/>
                <w:szCs w:val="21"/>
                <w:highlight w:val="none"/>
                <w:lang w:val="en-US" w:eastAsia="zh-CN"/>
              </w:rPr>
              <w:t>项目如涉及采购方信息安全的，</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在与采购人签订合同时，还需同时签署保密协议，并严格遵守信息安全相关规定。如因成交方人员违反该协议有关规定，导致出现信息泄露或信息安全问题的，由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负责，如涉及法律责任的，则全部由</w:t>
            </w:r>
            <w:r>
              <w:rPr>
                <w:rFonts w:hint="eastAsia" w:ascii="宋体" w:hAnsi="宋体" w:cs="Times New Roman"/>
                <w:bCs/>
                <w:color w:val="auto"/>
                <w:szCs w:val="21"/>
                <w:highlight w:val="none"/>
                <w:lang w:val="en-US" w:eastAsia="zh-CN"/>
              </w:rPr>
              <w:t>成交供应商</w:t>
            </w:r>
            <w:r>
              <w:rPr>
                <w:rFonts w:hint="eastAsia" w:ascii="宋体" w:hAnsi="宋体" w:eastAsia="宋体" w:cs="Times New Roman"/>
                <w:bCs/>
                <w:color w:val="auto"/>
                <w:szCs w:val="21"/>
                <w:highlight w:val="none"/>
                <w:lang w:val="en-US" w:eastAsia="zh-CN"/>
              </w:rPr>
              <w:t>承担。</w:t>
            </w:r>
          </w:p>
        </w:tc>
      </w:tr>
      <w:tr w14:paraId="4F64ADCF">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30B43E56">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交货时间及地点</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7A24B40E">
            <w:pPr>
              <w:rPr>
                <w:rFonts w:hint="eastAsia"/>
                <w:color w:val="auto"/>
                <w:highlight w:val="none"/>
              </w:rPr>
            </w:pPr>
            <w:r>
              <w:rPr>
                <w:rFonts w:hint="eastAsia" w:ascii="宋体" w:hAnsi="宋体" w:cs="宋体"/>
                <w:color w:val="auto"/>
                <w:spacing w:val="-2"/>
                <w:highlight w:val="none"/>
                <w:lang w:val="en-US" w:eastAsia="zh-CN"/>
              </w:rPr>
              <w:t>1.</w:t>
            </w:r>
            <w:r>
              <w:rPr>
                <w:rFonts w:ascii="宋体" w:hAnsi="宋体" w:cs="宋体"/>
                <w:color w:val="auto"/>
                <w:spacing w:val="-2"/>
                <w:highlight w:val="none"/>
              </w:rPr>
              <w:t>交</w:t>
            </w:r>
            <w:r>
              <w:rPr>
                <w:rFonts w:hint="eastAsia" w:ascii="宋体" w:hAnsi="宋体" w:cs="宋体"/>
                <w:color w:val="auto"/>
                <w:spacing w:val="-2"/>
                <w:highlight w:val="none"/>
              </w:rPr>
              <w:t>付</w:t>
            </w:r>
            <w:r>
              <w:rPr>
                <w:rFonts w:ascii="宋体" w:hAnsi="宋体" w:cs="宋体"/>
                <w:color w:val="auto"/>
                <w:spacing w:val="-2"/>
                <w:highlight w:val="none"/>
              </w:rPr>
              <w:t>时间：</w:t>
            </w:r>
            <w:r>
              <w:rPr>
                <w:rFonts w:hint="eastAsia"/>
                <w:color w:val="auto"/>
                <w:highlight w:val="none"/>
              </w:rPr>
              <w:t>自每笔订单发送之日起</w:t>
            </w:r>
            <w:r>
              <w:rPr>
                <w:rFonts w:hint="eastAsia"/>
                <w:color w:val="auto"/>
                <w:highlight w:val="none"/>
                <w:lang w:val="en-US" w:eastAsia="zh-CN"/>
              </w:rPr>
              <w:t>30</w:t>
            </w:r>
            <w:r>
              <w:rPr>
                <w:rFonts w:hint="eastAsia"/>
                <w:color w:val="auto"/>
                <w:highlight w:val="none"/>
              </w:rPr>
              <w:t>个</w:t>
            </w:r>
            <w:r>
              <w:rPr>
                <w:rFonts w:hint="eastAsia"/>
                <w:color w:val="auto"/>
                <w:highlight w:val="none"/>
                <w:lang w:val="en-US" w:eastAsia="zh-CN"/>
              </w:rPr>
              <w:t>日历日</w:t>
            </w:r>
            <w:r>
              <w:rPr>
                <w:rFonts w:hint="eastAsia"/>
                <w:color w:val="auto"/>
                <w:highlight w:val="none"/>
              </w:rPr>
              <w:t>内，</w:t>
            </w:r>
            <w:r>
              <w:rPr>
                <w:rFonts w:hint="eastAsia"/>
                <w:color w:val="auto"/>
                <w:highlight w:val="none"/>
                <w:lang w:val="en-US" w:eastAsia="zh-CN"/>
              </w:rPr>
              <w:t>图书送达采购人指定地点，且每笔订单</w:t>
            </w:r>
            <w:r>
              <w:rPr>
                <w:rFonts w:hint="eastAsia"/>
                <w:color w:val="auto"/>
                <w:highlight w:val="none"/>
              </w:rPr>
              <w:t>到书率须</w:t>
            </w:r>
            <w:r>
              <w:rPr>
                <w:rFonts w:hint="eastAsia"/>
                <w:color w:val="auto"/>
                <w:highlight w:val="none"/>
                <w:lang w:eastAsia="zh-CN"/>
              </w:rPr>
              <w:t>≥</w:t>
            </w:r>
            <w:r>
              <w:rPr>
                <w:rFonts w:hint="eastAsia"/>
                <w:color w:val="auto"/>
                <w:highlight w:val="none"/>
              </w:rPr>
              <w:t>90%</w:t>
            </w:r>
            <w:r>
              <w:rPr>
                <w:rFonts w:hint="eastAsia"/>
                <w:color w:val="auto"/>
                <w:highlight w:val="none"/>
                <w:lang w:eastAsia="zh-CN"/>
              </w:rPr>
              <w:t>，</w:t>
            </w:r>
            <w:r>
              <w:rPr>
                <w:rFonts w:hint="eastAsia"/>
                <w:color w:val="auto"/>
                <w:highlight w:val="none"/>
              </w:rPr>
              <w:t>采购需求附件</w:t>
            </w:r>
            <w:r>
              <w:rPr>
                <w:rFonts w:hint="eastAsia"/>
                <w:color w:val="auto"/>
                <w:highlight w:val="none"/>
                <w:lang w:val="en-US" w:eastAsia="zh-CN"/>
              </w:rPr>
              <w:t>C</w:t>
            </w:r>
            <w:r>
              <w:rPr>
                <w:rFonts w:hint="eastAsia"/>
                <w:color w:val="auto"/>
                <w:highlight w:val="none"/>
              </w:rPr>
              <w:t>《</w:t>
            </w:r>
            <w:r>
              <w:rPr>
                <w:rFonts w:hint="eastAsia"/>
                <w:color w:val="auto"/>
                <w:highlight w:val="none"/>
                <w:lang w:val="en-US" w:eastAsia="zh-CN"/>
              </w:rPr>
              <w:t>C</w:t>
            </w:r>
            <w:r>
              <w:rPr>
                <w:rFonts w:hint="eastAsia"/>
                <w:color w:val="auto"/>
                <w:highlight w:val="none"/>
              </w:rPr>
              <w:t>分标</w:t>
            </w:r>
            <w:r>
              <w:rPr>
                <w:rFonts w:hint="eastAsia"/>
                <w:color w:val="auto"/>
                <w:highlight w:val="none"/>
                <w:lang w:eastAsia="zh-CN"/>
              </w:rPr>
              <w:t>正</w:t>
            </w:r>
            <w:r>
              <w:rPr>
                <w:rFonts w:hint="eastAsia"/>
                <w:color w:val="auto"/>
                <w:highlight w:val="none"/>
              </w:rPr>
              <w:t>价纸质图书必选书目清单》的到书率按≥95%</w:t>
            </w:r>
            <w:r>
              <w:rPr>
                <w:rFonts w:hint="eastAsia"/>
                <w:color w:val="auto"/>
                <w:highlight w:val="none"/>
                <w:lang w:eastAsia="zh-CN"/>
              </w:rPr>
              <w:t>要求</w:t>
            </w:r>
            <w:r>
              <w:rPr>
                <w:rFonts w:hint="eastAsia"/>
                <w:b w:val="0"/>
                <w:bCs w:val="0"/>
                <w:color w:val="auto"/>
                <w:highlight w:val="none"/>
                <w:lang w:val="en-US" w:eastAsia="zh-CN"/>
              </w:rPr>
              <w:t>执行</w:t>
            </w:r>
            <w:r>
              <w:rPr>
                <w:rFonts w:hint="eastAsia"/>
                <w:color w:val="auto"/>
                <w:highlight w:val="none"/>
              </w:rPr>
              <w:t>。</w:t>
            </w:r>
          </w:p>
          <w:p w14:paraId="0F5F6B21">
            <w:pPr>
              <w:spacing w:line="300" w:lineRule="exact"/>
              <w:rPr>
                <w:rFonts w:hint="eastAsia" w:ascii="宋体" w:hAnsi="宋体" w:eastAsia="宋体" w:cs="宋体"/>
                <w:color w:val="auto"/>
                <w:szCs w:val="21"/>
                <w:highlight w:val="none"/>
              </w:rPr>
            </w:pPr>
            <w:r>
              <w:rPr>
                <w:rFonts w:ascii="宋体" w:hAnsi="宋体" w:cs="宋体"/>
                <w:color w:val="auto"/>
                <w:highlight w:val="none"/>
              </w:rPr>
              <w:t>2.交</w:t>
            </w:r>
            <w:r>
              <w:rPr>
                <w:rFonts w:hint="eastAsia" w:ascii="宋体" w:hAnsi="宋体" w:cs="宋体"/>
                <w:color w:val="auto"/>
                <w:highlight w:val="none"/>
              </w:rPr>
              <w:t>付</w:t>
            </w:r>
            <w:r>
              <w:rPr>
                <w:rFonts w:ascii="宋体" w:hAnsi="宋体" w:cs="宋体"/>
                <w:color w:val="auto"/>
                <w:highlight w:val="none"/>
              </w:rPr>
              <w:t>地点：广西农业职业技术</w:t>
            </w:r>
            <w:r>
              <w:rPr>
                <w:rFonts w:hint="eastAsia" w:ascii="宋体" w:hAnsi="宋体" w:cs="宋体"/>
                <w:color w:val="auto"/>
                <w:highlight w:val="none"/>
              </w:rPr>
              <w:t>大学指定地点</w:t>
            </w:r>
            <w:r>
              <w:rPr>
                <w:rFonts w:ascii="宋体" w:hAnsi="宋体" w:cs="宋体"/>
                <w:color w:val="auto"/>
                <w:highlight w:val="none"/>
              </w:rPr>
              <w:t>。</w:t>
            </w:r>
          </w:p>
        </w:tc>
      </w:tr>
      <w:tr w14:paraId="1A523188">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475DC2DA">
            <w:pPr>
              <w:spacing w:line="380" w:lineRule="exact"/>
              <w:jc w:val="center"/>
              <w:rPr>
                <w:rFonts w:hint="eastAsia" w:ascii="宋体" w:hAnsi="宋体" w:eastAsia="宋体" w:cs="宋体"/>
                <w:b/>
                <w:bCs/>
                <w:color w:val="auto"/>
                <w:szCs w:val="21"/>
                <w:highlight w:val="none"/>
              </w:rPr>
            </w:pPr>
            <w:r>
              <w:rPr>
                <w:rFonts w:hint="eastAsia" w:ascii="宋体" w:hAnsi="宋体"/>
                <w:b/>
                <w:bCs/>
                <w:color w:val="auto"/>
                <w:szCs w:val="21"/>
                <w:highlight w:val="none"/>
              </w:rPr>
              <w:t>付款条件</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4A4CC348">
            <w:pPr>
              <w:numPr>
                <w:ilvl w:val="0"/>
                <w:numId w:val="0"/>
              </w:numPr>
              <w:spacing w:line="300" w:lineRule="exact"/>
              <w:jc w:val="left"/>
              <w:rPr>
                <w:rFonts w:hint="eastAsia" w:ascii="宋体" w:hAnsi="宋体" w:eastAsia="宋体" w:cs="Times New Roman"/>
                <w:bCs/>
                <w:color w:val="auto"/>
                <w:szCs w:val="21"/>
                <w:highlight w:val="none"/>
                <w:lang w:val="en-US" w:eastAsia="zh-CN"/>
              </w:rPr>
            </w:pPr>
            <w:r>
              <w:rPr>
                <w:rFonts w:hint="eastAsia" w:ascii="宋体" w:hAnsi="宋体" w:eastAsia="宋体" w:cs="Times New Roman"/>
                <w:bCs/>
                <w:color w:val="auto"/>
                <w:kern w:val="2"/>
                <w:sz w:val="21"/>
                <w:szCs w:val="21"/>
                <w:highlight w:val="none"/>
                <w:lang w:val="en-US" w:eastAsia="zh-CN" w:bidi="ar-SA"/>
              </w:rPr>
              <w:t>1.</w:t>
            </w:r>
            <w:r>
              <w:rPr>
                <w:rFonts w:hint="eastAsia" w:ascii="宋体" w:hAnsi="宋体" w:eastAsia="宋体" w:cs="Times New Roman"/>
                <w:bCs/>
                <w:color w:val="auto"/>
                <w:szCs w:val="21"/>
                <w:highlight w:val="none"/>
                <w:lang w:val="en-US" w:eastAsia="zh-CN"/>
              </w:rPr>
              <w:t>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在要求的交付期内，可分批交付，也可一次性交付，但须先按每次交付并验收完成的金额开具发票给采购人，采购人在收到发票后30日历日内按发票面额付款。如成交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未按国家要求开具发票，或未按合同履约的，视为违约，采购人有权扣减履约保证金，或要求解除合同，并追究成交</w:t>
            </w:r>
            <w:r>
              <w:rPr>
                <w:rFonts w:hint="eastAsia" w:ascii="宋体" w:hAnsi="宋体" w:cs="Times New Roman"/>
                <w:bCs/>
                <w:color w:val="auto"/>
                <w:szCs w:val="21"/>
                <w:highlight w:val="none"/>
                <w:lang w:val="en-US" w:eastAsia="zh-CN"/>
              </w:rPr>
              <w:t>供应商</w:t>
            </w:r>
            <w:r>
              <w:rPr>
                <w:rFonts w:hint="eastAsia" w:ascii="宋体" w:hAnsi="宋体" w:eastAsia="宋体" w:cs="Times New Roman"/>
                <w:bCs/>
                <w:color w:val="auto"/>
                <w:szCs w:val="21"/>
                <w:highlight w:val="none"/>
                <w:lang w:val="en-US" w:eastAsia="zh-CN"/>
              </w:rPr>
              <w:t>法律责任。</w:t>
            </w:r>
          </w:p>
          <w:p w14:paraId="026CE1BE">
            <w:pPr>
              <w:numPr>
                <w:ilvl w:val="0"/>
                <w:numId w:val="0"/>
              </w:numPr>
              <w:spacing w:line="300" w:lineRule="exact"/>
              <w:ind w:left="0" w:leftChars="0" w:firstLine="0" w:firstLineChars="0"/>
              <w:jc w:val="left"/>
              <w:rPr>
                <w:rFonts w:ascii="宋体" w:hAnsi="宋体"/>
                <w:bCs/>
                <w:color w:val="auto"/>
                <w:szCs w:val="21"/>
                <w:highlight w:val="none"/>
              </w:rPr>
            </w:pPr>
            <w:r>
              <w:rPr>
                <w:rFonts w:ascii="宋体" w:hAnsi="宋体" w:eastAsia="宋体" w:cs="Times New Roman"/>
                <w:bCs/>
                <w:color w:val="auto"/>
                <w:kern w:val="2"/>
                <w:sz w:val="21"/>
                <w:szCs w:val="21"/>
                <w:highlight w:val="none"/>
                <w:lang w:val="en-US" w:eastAsia="zh-CN" w:bidi="ar-SA"/>
              </w:rPr>
              <w:t>2.</w:t>
            </w:r>
            <w:r>
              <w:rPr>
                <w:rFonts w:hint="eastAsia" w:ascii="宋体" w:hAnsi="宋体" w:cs="Times New Roman"/>
                <w:bCs/>
                <w:color w:val="auto"/>
                <w:kern w:val="2"/>
                <w:sz w:val="21"/>
                <w:szCs w:val="21"/>
                <w:highlight w:val="none"/>
                <w:lang w:val="en-US" w:eastAsia="zh-CN" w:bidi="ar-SA"/>
              </w:rPr>
              <w:t>本</w:t>
            </w:r>
            <w:r>
              <w:rPr>
                <w:rFonts w:ascii="宋体" w:hAnsi="宋体"/>
                <w:bCs/>
                <w:color w:val="auto"/>
                <w:szCs w:val="21"/>
                <w:highlight w:val="none"/>
              </w:rPr>
              <w:t>项目收取履约保证金，成交</w:t>
            </w:r>
            <w:r>
              <w:rPr>
                <w:rFonts w:hint="eastAsia" w:ascii="宋体" w:hAnsi="宋体"/>
                <w:bCs/>
                <w:color w:val="auto"/>
                <w:szCs w:val="21"/>
                <w:highlight w:val="none"/>
                <w:lang w:eastAsia="zh-CN"/>
              </w:rPr>
              <w:t>供应商</w:t>
            </w:r>
            <w:r>
              <w:rPr>
                <w:rFonts w:ascii="宋体" w:hAnsi="宋体"/>
                <w:bCs/>
                <w:color w:val="auto"/>
                <w:szCs w:val="21"/>
                <w:highlight w:val="none"/>
              </w:rPr>
              <w:t>须在合同签订前向采购人账户转付成交金额2%的履约保证金，否则不予签订合同。履约保证金在采购内容全部交付验收完成之后（或服务期满后）无息退付。</w:t>
            </w:r>
          </w:p>
          <w:p w14:paraId="56208953">
            <w:pPr>
              <w:numPr>
                <w:ilvl w:val="0"/>
                <w:numId w:val="0"/>
              </w:numPr>
              <w:spacing w:line="300" w:lineRule="exact"/>
              <w:ind w:leftChars="0"/>
              <w:jc w:val="left"/>
              <w:rPr>
                <w:rFonts w:ascii="宋体" w:hAnsi="宋体"/>
                <w:bCs/>
                <w:color w:val="auto"/>
                <w:szCs w:val="21"/>
                <w:highlight w:val="none"/>
              </w:rPr>
            </w:pPr>
            <w:r>
              <w:rPr>
                <w:rFonts w:hint="eastAsia" w:ascii="宋体" w:hAnsi="宋体"/>
                <w:b/>
                <w:bCs w:val="0"/>
                <w:color w:val="auto"/>
                <w:szCs w:val="21"/>
                <w:highlight w:val="none"/>
                <w:lang w:val="en-US" w:eastAsia="zh-CN"/>
              </w:rPr>
              <w:t>C分标</w:t>
            </w:r>
            <w:r>
              <w:rPr>
                <w:rFonts w:ascii="宋体" w:hAnsi="宋体"/>
                <w:b/>
                <w:bCs w:val="0"/>
                <w:color w:val="auto"/>
                <w:szCs w:val="21"/>
                <w:highlight w:val="none"/>
              </w:rPr>
              <w:t>收取履约保证金：人民币</w:t>
            </w:r>
            <w:r>
              <w:rPr>
                <w:rFonts w:ascii="宋体" w:hAnsi="宋体"/>
                <w:b/>
                <w:bCs w:val="0"/>
                <w:color w:val="auto"/>
                <w:szCs w:val="21"/>
                <w:highlight w:val="none"/>
                <w:u w:val="single"/>
              </w:rPr>
              <w:t xml:space="preserve"> </w:t>
            </w:r>
            <w:r>
              <w:rPr>
                <w:rFonts w:hint="eastAsia" w:ascii="宋体" w:hAnsi="宋体"/>
                <w:b/>
                <w:bCs w:val="0"/>
                <w:color w:val="auto"/>
                <w:szCs w:val="21"/>
                <w:highlight w:val="none"/>
                <w:u w:val="single"/>
                <w:lang w:val="en-US" w:eastAsia="zh-CN"/>
              </w:rPr>
              <w:t>11720</w:t>
            </w:r>
            <w:r>
              <w:rPr>
                <w:rFonts w:ascii="宋体" w:hAnsi="宋体"/>
                <w:b/>
                <w:bCs w:val="0"/>
                <w:color w:val="auto"/>
                <w:szCs w:val="21"/>
                <w:highlight w:val="none"/>
                <w:u w:val="single"/>
              </w:rPr>
              <w:t xml:space="preserve">  </w:t>
            </w:r>
            <w:r>
              <w:rPr>
                <w:rFonts w:ascii="宋体" w:hAnsi="宋体"/>
                <w:b/>
                <w:bCs w:val="0"/>
                <w:color w:val="auto"/>
                <w:szCs w:val="21"/>
                <w:highlight w:val="none"/>
              </w:rPr>
              <w:t>元</w:t>
            </w:r>
            <w:r>
              <w:rPr>
                <w:rFonts w:ascii="宋体" w:hAnsi="宋体"/>
                <w:bCs/>
                <w:color w:val="auto"/>
                <w:szCs w:val="21"/>
                <w:highlight w:val="none"/>
              </w:rPr>
              <w:t>。</w:t>
            </w:r>
          </w:p>
          <w:p w14:paraId="450D25F5">
            <w:pPr>
              <w:spacing w:line="300" w:lineRule="exact"/>
              <w:jc w:val="left"/>
              <w:rPr>
                <w:rFonts w:hint="eastAsia" w:ascii="宋体" w:hAnsi="宋体" w:eastAsia="宋体" w:cs="宋体"/>
                <w:bCs/>
                <w:color w:val="auto"/>
                <w:szCs w:val="21"/>
                <w:highlight w:val="none"/>
                <w:lang w:val="en-US" w:eastAsia="zh-CN"/>
              </w:rPr>
            </w:pPr>
            <w:r>
              <w:rPr>
                <w:rFonts w:hint="eastAsia" w:ascii="宋体" w:hAnsi="宋体"/>
                <w:bCs/>
                <w:color w:val="auto"/>
                <w:szCs w:val="21"/>
                <w:highlight w:val="none"/>
                <w:lang w:val="en-US" w:eastAsia="zh-CN"/>
              </w:rPr>
              <w:t>3.本项目服务期内采购人按批次订购图书，并按实际验收图书的实洋价进行结算。当采购数量与实际使用数量不一致时，成交供应商根据实际使用量供货，合同的最终结算金额按实际使用量乘以实洋价进行计算。</w:t>
            </w:r>
          </w:p>
        </w:tc>
      </w:tr>
      <w:tr w14:paraId="118D31E9">
        <w:tblPrEx>
          <w:tblBorders>
            <w:top w:val="single" w:color="auto" w:sz="40" w:space="0"/>
            <w:left w:val="single" w:color="auto" w:sz="40" w:space="0"/>
            <w:bottom w:val="single" w:color="auto" w:sz="40" w:space="0"/>
            <w:right w:val="single" w:color="auto" w:sz="40" w:space="0"/>
            <w:insideH w:val="single" w:color="auto" w:sz="40" w:space="0"/>
            <w:insideV w:val="single" w:color="auto" w:sz="40" w:space="0"/>
          </w:tblBorders>
          <w:tblCellMar>
            <w:top w:w="0" w:type="dxa"/>
            <w:left w:w="0" w:type="dxa"/>
            <w:bottom w:w="0" w:type="dxa"/>
            <w:right w:w="0" w:type="dxa"/>
          </w:tblCellMar>
        </w:tblPrEx>
        <w:trPr>
          <w:trHeight w:val="20" w:hRule="atLeast"/>
          <w:jc w:val="center"/>
        </w:trPr>
        <w:tc>
          <w:tcPr>
            <w:tcW w:w="2538" w:type="dxa"/>
            <w:gridSpan w:val="3"/>
            <w:tcBorders>
              <w:top w:val="single" w:color="auto" w:sz="4" w:space="0"/>
              <w:left w:val="single" w:color="auto" w:sz="4" w:space="0"/>
              <w:bottom w:val="single" w:color="auto" w:sz="4" w:space="0"/>
              <w:right w:val="single" w:color="auto" w:sz="4" w:space="0"/>
            </w:tcBorders>
            <w:noWrap w:val="0"/>
            <w:tcMar>
              <w:top w:w="13" w:type="dxa"/>
              <w:left w:w="57" w:type="dxa"/>
              <w:bottom w:w="0" w:type="dxa"/>
              <w:right w:w="57" w:type="dxa"/>
            </w:tcMar>
            <w:vAlign w:val="center"/>
          </w:tcPr>
          <w:p w14:paraId="65F1C371">
            <w:pPr>
              <w:numPr>
                <w:ilvl w:val="0"/>
                <w:numId w:val="0"/>
              </w:numPr>
              <w:spacing w:line="240" w:lineRule="auto"/>
              <w:ind w:firstLine="211" w:firstLineChars="100"/>
              <w:jc w:val="center"/>
              <w:rPr>
                <w:rFonts w:hint="eastAsia" w:ascii="宋体" w:hAnsi="宋体" w:eastAsia="宋体" w:cs="宋体"/>
                <w:b/>
                <w:bCs/>
                <w:color w:val="auto"/>
                <w:szCs w:val="21"/>
                <w:highlight w:val="none"/>
              </w:rPr>
            </w:pPr>
            <w:r>
              <w:rPr>
                <w:rFonts w:hint="eastAsia" w:ascii="宋体" w:hAnsi="宋体" w:eastAsia="宋体"/>
                <w:b/>
                <w:bCs/>
                <w:color w:val="auto"/>
                <w:highlight w:val="none"/>
              </w:rPr>
              <w:t>其</w:t>
            </w:r>
            <w:r>
              <w:rPr>
                <w:rFonts w:hint="eastAsia" w:ascii="宋体" w:hAnsi="宋体" w:eastAsia="宋体"/>
                <w:b/>
                <w:bCs/>
                <w:color w:val="auto"/>
                <w:highlight w:val="none"/>
                <w:lang w:eastAsia="zh-CN"/>
              </w:rPr>
              <w:t>他</w:t>
            </w:r>
            <w:r>
              <w:rPr>
                <w:rFonts w:hint="eastAsia" w:ascii="宋体" w:hAnsi="宋体" w:eastAsia="宋体"/>
                <w:b/>
                <w:bCs/>
                <w:color w:val="auto"/>
                <w:highlight w:val="none"/>
              </w:rPr>
              <w:t>要求</w:t>
            </w:r>
          </w:p>
        </w:tc>
        <w:tc>
          <w:tcPr>
            <w:tcW w:w="7567" w:type="dxa"/>
            <w:tcBorders>
              <w:top w:val="single" w:color="auto" w:sz="4" w:space="0"/>
              <w:left w:val="nil"/>
              <w:bottom w:val="single" w:color="auto" w:sz="4" w:space="0"/>
              <w:right w:val="single" w:color="auto" w:sz="4" w:space="0"/>
            </w:tcBorders>
            <w:noWrap w:val="0"/>
            <w:tcMar>
              <w:top w:w="0" w:type="dxa"/>
              <w:left w:w="57" w:type="dxa"/>
              <w:bottom w:w="0" w:type="dxa"/>
              <w:right w:w="57" w:type="dxa"/>
            </w:tcMar>
            <w:vAlign w:val="center"/>
          </w:tcPr>
          <w:p w14:paraId="75D7FA91">
            <w:pPr>
              <w:spacing w:line="300" w:lineRule="exact"/>
              <w:jc w:val="left"/>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本项目划分为A、B、C三个分标，供应商</w:t>
            </w:r>
            <w:r>
              <w:rPr>
                <w:rFonts w:hint="eastAsia" w:ascii="宋体" w:hAnsi="宋体" w:eastAsia="宋体" w:cs="宋体"/>
                <w:color w:val="auto"/>
                <w:highlight w:val="none"/>
              </w:rPr>
              <w:t>可就一个或多个标段进行</w:t>
            </w:r>
            <w:r>
              <w:rPr>
                <w:rFonts w:hint="eastAsia" w:ascii="宋体" w:hAnsi="宋体" w:eastAsia="宋体" w:cs="宋体"/>
                <w:color w:val="auto"/>
                <w:highlight w:val="none"/>
                <w:lang w:eastAsia="zh-CN"/>
              </w:rPr>
              <w:t>竞</w:t>
            </w:r>
            <w:r>
              <w:rPr>
                <w:rFonts w:hint="eastAsia" w:ascii="宋体" w:hAnsi="宋体" w:eastAsia="宋体" w:cs="宋体"/>
                <w:color w:val="auto"/>
                <w:highlight w:val="none"/>
              </w:rPr>
              <w:t>标</w:t>
            </w:r>
            <w:r>
              <w:rPr>
                <w:rFonts w:hint="eastAsia" w:ascii="宋体" w:hAnsi="宋体" w:eastAsia="宋体" w:cs="宋体"/>
                <w:color w:val="auto"/>
                <w:highlight w:val="none"/>
                <w:lang w:val="en-US" w:eastAsia="zh-CN"/>
              </w:rPr>
              <w:t>，但同一供应商最终仅允许成为一个分标的成交供应商。</w:t>
            </w:r>
          </w:p>
        </w:tc>
      </w:tr>
    </w:tbl>
    <w:p w14:paraId="7E7B7661">
      <w:pPr>
        <w:spacing w:line="528" w:lineRule="exact"/>
        <w:jc w:val="left"/>
        <w:rPr>
          <w:rFonts w:hint="eastAsia" w:ascii="Arial Unicode MS" w:hAnsi="Arial Unicode MS" w:eastAsia="Arial Unicode MS" w:cs="Arial Unicode MS"/>
          <w:color w:val="auto"/>
          <w:sz w:val="32"/>
          <w:szCs w:val="32"/>
          <w:highlight w:val="none"/>
        </w:rPr>
      </w:pPr>
    </w:p>
    <w:p w14:paraId="6DFF7962">
      <w:pPr>
        <w:spacing w:line="528" w:lineRule="exact"/>
        <w:jc w:val="left"/>
        <w:rPr>
          <w:rFonts w:hint="eastAsia" w:ascii="Arial Unicode MS" w:hAnsi="Arial Unicode MS" w:eastAsia="Arial Unicode MS" w:cs="Arial Unicode MS"/>
          <w:color w:val="auto"/>
          <w:sz w:val="32"/>
          <w:szCs w:val="32"/>
          <w:highlight w:val="none"/>
        </w:rPr>
        <w:sectPr>
          <w:pgSz w:w="11911" w:h="16838"/>
          <w:pgMar w:top="1134" w:right="1134" w:bottom="1134" w:left="1134" w:header="720" w:footer="720" w:gutter="0"/>
          <w:pgNumType w:fmt="decimal"/>
          <w:cols w:space="720" w:num="1"/>
        </w:sectPr>
      </w:pPr>
      <w:r>
        <w:rPr>
          <w:rFonts w:hint="eastAsia" w:ascii="宋体" w:hAnsi="宋体" w:eastAsia="宋体" w:cs="宋体"/>
          <w:b/>
          <w:bCs/>
          <w:color w:val="auto"/>
          <w:sz w:val="32"/>
          <w:szCs w:val="32"/>
          <w:highlight w:val="none"/>
          <w:lang w:val="en-US" w:eastAsia="zh-CN"/>
        </w:rPr>
        <w:t>附件C：C分标正价纸质图书必选书目清单（另附）</w:t>
      </w:r>
    </w:p>
    <w:p w14:paraId="2FDC777A">
      <w:pPr>
        <w:jc w:val="left"/>
        <w:rPr>
          <w:rFonts w:hint="eastAsia" w:ascii="Arial Unicode MS" w:hAnsi="Arial Unicode MS" w:eastAsia="Arial Unicode MS" w:cs="Arial Unicode MS"/>
          <w:color w:val="auto"/>
          <w:kern w:val="0"/>
          <w:sz w:val="32"/>
          <w:szCs w:val="32"/>
          <w:highlight w:val="none"/>
        </w:rPr>
      </w:pPr>
      <w:r>
        <w:rPr>
          <w:rFonts w:hint="eastAsia" w:ascii="Arial Unicode MS" w:hAnsi="Arial Unicode MS" w:eastAsia="Arial Unicode MS" w:cs="Arial Unicode MS"/>
          <w:color w:val="auto"/>
          <w:sz w:val="32"/>
          <w:szCs w:val="32"/>
          <w:highlight w:val="none"/>
        </w:rPr>
        <w:t>附件</w:t>
      </w:r>
      <w:r>
        <w:rPr>
          <w:rFonts w:hint="eastAsia" w:ascii="Arial Unicode MS" w:hAnsi="Arial Unicode MS" w:eastAsia="宋体" w:cs="Arial Unicode MS"/>
          <w:color w:val="auto"/>
          <w:sz w:val="32"/>
          <w:szCs w:val="32"/>
          <w:highlight w:val="none"/>
          <w:lang w:val="en-US" w:eastAsia="zh-CN"/>
        </w:rPr>
        <w:t>1</w:t>
      </w:r>
    </w:p>
    <w:p w14:paraId="348E7F0E">
      <w:pPr>
        <w:widowControl/>
        <w:spacing w:before="156" w:beforeLines="50" w:after="156" w:afterLines="50" w:line="280" w:lineRule="exact"/>
        <w:jc w:val="center"/>
        <w:rPr>
          <w:rFonts w:ascii="宋体" w:hAnsi="宋体" w:cs="宋体"/>
          <w:b/>
          <w:bCs/>
          <w:color w:val="auto"/>
          <w:kern w:val="0"/>
          <w:sz w:val="30"/>
          <w:szCs w:val="30"/>
          <w:highlight w:val="none"/>
        </w:rPr>
      </w:pPr>
      <w:bookmarkStart w:id="46" w:name="_Toc28361_WPSOffice_Level2"/>
      <w:r>
        <w:rPr>
          <w:rFonts w:hint="eastAsia" w:ascii="宋体" w:hAnsi="宋体" w:cs="宋体"/>
          <w:b/>
          <w:bCs/>
          <w:color w:val="auto"/>
          <w:kern w:val="0"/>
          <w:sz w:val="30"/>
          <w:szCs w:val="30"/>
          <w:highlight w:val="none"/>
        </w:rPr>
        <w:t>统计上大中小微型企业划分标准</w:t>
      </w:r>
      <w:bookmarkEnd w:id="46"/>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1369"/>
        <w:gridCol w:w="709"/>
        <w:gridCol w:w="1125"/>
        <w:gridCol w:w="1701"/>
        <w:gridCol w:w="1426"/>
        <w:gridCol w:w="992"/>
      </w:tblGrid>
      <w:tr w14:paraId="631E5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blHeader/>
          <w:jc w:val="center"/>
        </w:trPr>
        <w:tc>
          <w:tcPr>
            <w:tcW w:w="2113" w:type="dxa"/>
            <w:shd w:val="clear" w:color="auto" w:fill="8DB3E2"/>
            <w:noWrap w:val="0"/>
            <w:vAlign w:val="center"/>
          </w:tcPr>
          <w:p w14:paraId="5A435497">
            <w:pPr>
              <w:widowControl/>
              <w:spacing w:line="280" w:lineRule="exact"/>
              <w:jc w:val="center"/>
              <w:rPr>
                <w:rFonts w:ascii="宋体" w:hAnsi="宋体" w:cs="宋体"/>
                <w:b/>
                <w:bCs/>
                <w:color w:val="auto"/>
                <w:kern w:val="0"/>
                <w:sz w:val="18"/>
                <w:szCs w:val="21"/>
                <w:highlight w:val="none"/>
              </w:rPr>
            </w:pPr>
            <w:r>
              <w:rPr>
                <w:rFonts w:hint="eastAsia" w:ascii="宋体" w:hAnsi="宋体" w:cs="宋体"/>
                <w:b/>
                <w:bCs/>
                <w:color w:val="auto"/>
                <w:kern w:val="0"/>
                <w:sz w:val="18"/>
                <w:szCs w:val="21"/>
                <w:highlight w:val="none"/>
              </w:rPr>
              <w:t>行业名称</w:t>
            </w:r>
          </w:p>
        </w:tc>
        <w:tc>
          <w:tcPr>
            <w:tcW w:w="1369" w:type="dxa"/>
            <w:shd w:val="clear" w:color="auto" w:fill="8DB3E2"/>
            <w:noWrap w:val="0"/>
            <w:vAlign w:val="center"/>
          </w:tcPr>
          <w:p w14:paraId="56CE5C21">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指标名称</w:t>
            </w:r>
          </w:p>
        </w:tc>
        <w:tc>
          <w:tcPr>
            <w:tcW w:w="709" w:type="dxa"/>
            <w:shd w:val="clear" w:color="auto" w:fill="8DB3E2"/>
            <w:noWrap w:val="0"/>
            <w:vAlign w:val="center"/>
          </w:tcPr>
          <w:p w14:paraId="5A41AED3">
            <w:pPr>
              <w:widowControl/>
              <w:spacing w:line="280" w:lineRule="exact"/>
              <w:jc w:val="center"/>
              <w:rPr>
                <w:rFonts w:hint="eastAsia" w:ascii="宋体" w:hAnsi="宋体" w:eastAsia="宋体" w:cs="宋体"/>
                <w:b/>
                <w:bCs/>
                <w:color w:val="auto"/>
                <w:kern w:val="0"/>
                <w:sz w:val="18"/>
                <w:szCs w:val="18"/>
                <w:highlight w:val="none"/>
                <w:lang w:eastAsia="zh-CN"/>
              </w:rPr>
            </w:pPr>
            <w:r>
              <w:rPr>
                <w:rFonts w:hint="eastAsia" w:ascii="宋体" w:hAnsi="宋体" w:cs="宋体"/>
                <w:b/>
                <w:bCs/>
                <w:color w:val="auto"/>
                <w:kern w:val="0"/>
                <w:sz w:val="18"/>
                <w:szCs w:val="18"/>
                <w:highlight w:val="none"/>
              </w:rPr>
              <w:t>计量</w:t>
            </w:r>
          </w:p>
          <w:p w14:paraId="7A754E44">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单位</w:t>
            </w:r>
          </w:p>
        </w:tc>
        <w:tc>
          <w:tcPr>
            <w:tcW w:w="1125" w:type="dxa"/>
            <w:shd w:val="clear" w:color="auto" w:fill="8DB3E2"/>
            <w:noWrap w:val="0"/>
            <w:vAlign w:val="center"/>
          </w:tcPr>
          <w:p w14:paraId="3FB1F642">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大型</w:t>
            </w:r>
          </w:p>
        </w:tc>
        <w:tc>
          <w:tcPr>
            <w:tcW w:w="1701" w:type="dxa"/>
            <w:shd w:val="clear" w:color="auto" w:fill="8DB3E2"/>
            <w:noWrap w:val="0"/>
            <w:vAlign w:val="center"/>
          </w:tcPr>
          <w:p w14:paraId="1A467577">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中型</w:t>
            </w:r>
          </w:p>
        </w:tc>
        <w:tc>
          <w:tcPr>
            <w:tcW w:w="1426" w:type="dxa"/>
            <w:shd w:val="clear" w:color="auto" w:fill="8DB3E2"/>
            <w:noWrap w:val="0"/>
            <w:vAlign w:val="center"/>
          </w:tcPr>
          <w:p w14:paraId="39111036">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小型</w:t>
            </w:r>
          </w:p>
        </w:tc>
        <w:tc>
          <w:tcPr>
            <w:tcW w:w="992" w:type="dxa"/>
            <w:shd w:val="clear" w:color="auto" w:fill="8DB3E2"/>
            <w:noWrap w:val="0"/>
            <w:vAlign w:val="center"/>
          </w:tcPr>
          <w:p w14:paraId="18ECAD95">
            <w:pPr>
              <w:widowControl/>
              <w:spacing w:line="280" w:lineRule="exact"/>
              <w:jc w:val="center"/>
              <w:rPr>
                <w:rFonts w:ascii="宋体" w:hAnsi="宋体" w:cs="宋体"/>
                <w:b/>
                <w:bCs/>
                <w:color w:val="auto"/>
                <w:kern w:val="0"/>
                <w:sz w:val="18"/>
                <w:szCs w:val="18"/>
                <w:highlight w:val="none"/>
              </w:rPr>
            </w:pPr>
            <w:r>
              <w:rPr>
                <w:rFonts w:hint="eastAsia" w:ascii="宋体" w:hAnsi="宋体" w:cs="宋体"/>
                <w:b/>
                <w:bCs/>
                <w:color w:val="auto"/>
                <w:kern w:val="0"/>
                <w:sz w:val="18"/>
                <w:szCs w:val="18"/>
                <w:highlight w:val="none"/>
              </w:rPr>
              <w:t>微型</w:t>
            </w:r>
          </w:p>
        </w:tc>
      </w:tr>
      <w:tr w14:paraId="3F3F87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22450B6F">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农、林、牧、渔业</w:t>
            </w:r>
          </w:p>
        </w:tc>
        <w:tc>
          <w:tcPr>
            <w:tcW w:w="1369" w:type="dxa"/>
            <w:noWrap w:val="0"/>
            <w:vAlign w:val="center"/>
          </w:tcPr>
          <w:p w14:paraId="63DBC86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58CD1AC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71C5E09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Y≥20000</w:t>
            </w:r>
          </w:p>
        </w:tc>
        <w:tc>
          <w:tcPr>
            <w:tcW w:w="1701" w:type="dxa"/>
            <w:noWrap w:val="0"/>
            <w:vAlign w:val="center"/>
          </w:tcPr>
          <w:p w14:paraId="5692881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500≤Y＜20000</w:t>
            </w:r>
          </w:p>
        </w:tc>
        <w:tc>
          <w:tcPr>
            <w:tcW w:w="1426" w:type="dxa"/>
            <w:noWrap w:val="0"/>
            <w:vAlign w:val="center"/>
          </w:tcPr>
          <w:p w14:paraId="2BD0ECC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50≤Y＜500</w:t>
            </w:r>
          </w:p>
        </w:tc>
        <w:tc>
          <w:tcPr>
            <w:tcW w:w="992" w:type="dxa"/>
            <w:noWrap w:val="0"/>
            <w:vAlign w:val="center"/>
          </w:tcPr>
          <w:p w14:paraId="47F3D21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Y＜50</w:t>
            </w:r>
          </w:p>
        </w:tc>
      </w:tr>
      <w:tr w14:paraId="29888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EB639BF">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工业 *</w:t>
            </w:r>
          </w:p>
        </w:tc>
        <w:tc>
          <w:tcPr>
            <w:tcW w:w="1369" w:type="dxa"/>
            <w:noWrap w:val="0"/>
            <w:vAlign w:val="center"/>
          </w:tcPr>
          <w:p w14:paraId="22101B8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17426DA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040612E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X≥1000</w:t>
            </w:r>
          </w:p>
        </w:tc>
        <w:tc>
          <w:tcPr>
            <w:tcW w:w="1701" w:type="dxa"/>
            <w:noWrap w:val="0"/>
            <w:vAlign w:val="center"/>
          </w:tcPr>
          <w:p w14:paraId="47E9219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300≤X＜1000</w:t>
            </w:r>
          </w:p>
        </w:tc>
        <w:tc>
          <w:tcPr>
            <w:tcW w:w="1426" w:type="dxa"/>
            <w:noWrap w:val="0"/>
            <w:vAlign w:val="center"/>
          </w:tcPr>
          <w:p w14:paraId="445A4E3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20≤X＜300</w:t>
            </w:r>
          </w:p>
        </w:tc>
        <w:tc>
          <w:tcPr>
            <w:tcW w:w="992" w:type="dxa"/>
            <w:noWrap w:val="0"/>
            <w:vAlign w:val="center"/>
          </w:tcPr>
          <w:p w14:paraId="52DA898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w:t>
            </w:r>
          </w:p>
        </w:tc>
      </w:tr>
      <w:tr w14:paraId="3312A9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79155D9">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4372E24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4F48C0C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311A5F2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Y≥40000</w:t>
            </w:r>
          </w:p>
        </w:tc>
        <w:tc>
          <w:tcPr>
            <w:tcW w:w="1701" w:type="dxa"/>
            <w:noWrap w:val="0"/>
            <w:vAlign w:val="center"/>
          </w:tcPr>
          <w:p w14:paraId="1484A6B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2000≤Y＜40000</w:t>
            </w:r>
          </w:p>
        </w:tc>
        <w:tc>
          <w:tcPr>
            <w:tcW w:w="1426" w:type="dxa"/>
            <w:noWrap w:val="0"/>
            <w:vAlign w:val="center"/>
          </w:tcPr>
          <w:p w14:paraId="42A2E06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300≤Y＜2000</w:t>
            </w:r>
          </w:p>
        </w:tc>
        <w:tc>
          <w:tcPr>
            <w:tcW w:w="992" w:type="dxa"/>
            <w:noWrap w:val="0"/>
            <w:vAlign w:val="center"/>
          </w:tcPr>
          <w:p w14:paraId="5E31E04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Y＜300</w:t>
            </w:r>
          </w:p>
        </w:tc>
      </w:tr>
      <w:tr w14:paraId="76E99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2C3ECFB">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建筑业</w:t>
            </w:r>
          </w:p>
        </w:tc>
        <w:tc>
          <w:tcPr>
            <w:tcW w:w="1369" w:type="dxa"/>
            <w:noWrap w:val="0"/>
            <w:vAlign w:val="center"/>
          </w:tcPr>
          <w:p w14:paraId="490EB5F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13D8AD5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7E8483B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Y≥80000</w:t>
            </w:r>
          </w:p>
        </w:tc>
        <w:tc>
          <w:tcPr>
            <w:tcW w:w="1701" w:type="dxa"/>
            <w:noWrap w:val="0"/>
            <w:vAlign w:val="center"/>
          </w:tcPr>
          <w:p w14:paraId="77F0DBD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6000≤Y＜80000</w:t>
            </w:r>
          </w:p>
        </w:tc>
        <w:tc>
          <w:tcPr>
            <w:tcW w:w="1426" w:type="dxa"/>
            <w:noWrap w:val="0"/>
            <w:vAlign w:val="center"/>
          </w:tcPr>
          <w:p w14:paraId="1759F01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300≤Y＜6000</w:t>
            </w:r>
          </w:p>
        </w:tc>
        <w:tc>
          <w:tcPr>
            <w:tcW w:w="992" w:type="dxa"/>
            <w:noWrap w:val="0"/>
            <w:vAlign w:val="center"/>
          </w:tcPr>
          <w:p w14:paraId="0054A7A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Y＜300</w:t>
            </w:r>
          </w:p>
        </w:tc>
      </w:tr>
      <w:tr w14:paraId="7ADA8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4244DA60">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53388A3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资产总额(Z)</w:t>
            </w:r>
          </w:p>
        </w:tc>
        <w:tc>
          <w:tcPr>
            <w:tcW w:w="709" w:type="dxa"/>
            <w:noWrap w:val="0"/>
            <w:vAlign w:val="center"/>
          </w:tcPr>
          <w:p w14:paraId="3337420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7D01D61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Z≥80000</w:t>
            </w:r>
          </w:p>
        </w:tc>
        <w:tc>
          <w:tcPr>
            <w:tcW w:w="1701" w:type="dxa"/>
            <w:noWrap w:val="0"/>
            <w:vAlign w:val="center"/>
          </w:tcPr>
          <w:p w14:paraId="7F11E43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5000≤Z＜80000</w:t>
            </w:r>
          </w:p>
        </w:tc>
        <w:tc>
          <w:tcPr>
            <w:tcW w:w="1426" w:type="dxa"/>
            <w:noWrap w:val="0"/>
            <w:vAlign w:val="center"/>
          </w:tcPr>
          <w:p w14:paraId="198D518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300≤Z＜5000</w:t>
            </w:r>
          </w:p>
        </w:tc>
        <w:tc>
          <w:tcPr>
            <w:tcW w:w="992" w:type="dxa"/>
            <w:noWrap w:val="0"/>
            <w:vAlign w:val="center"/>
          </w:tcPr>
          <w:p w14:paraId="6801DE9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Z＜300</w:t>
            </w:r>
          </w:p>
        </w:tc>
      </w:tr>
      <w:tr w14:paraId="41271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15E2DEE">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批发业</w:t>
            </w:r>
          </w:p>
        </w:tc>
        <w:tc>
          <w:tcPr>
            <w:tcW w:w="1369" w:type="dxa"/>
            <w:noWrap w:val="0"/>
            <w:vAlign w:val="center"/>
          </w:tcPr>
          <w:p w14:paraId="5AF7888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3F29903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75ED975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X≥200</w:t>
            </w:r>
          </w:p>
        </w:tc>
        <w:tc>
          <w:tcPr>
            <w:tcW w:w="1701" w:type="dxa"/>
            <w:noWrap w:val="0"/>
            <w:vAlign w:val="center"/>
          </w:tcPr>
          <w:p w14:paraId="557C3C7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20≤X＜200</w:t>
            </w:r>
          </w:p>
        </w:tc>
        <w:tc>
          <w:tcPr>
            <w:tcW w:w="1426" w:type="dxa"/>
            <w:noWrap w:val="0"/>
            <w:vAlign w:val="center"/>
          </w:tcPr>
          <w:p w14:paraId="08929CB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5≤X＜20</w:t>
            </w:r>
          </w:p>
        </w:tc>
        <w:tc>
          <w:tcPr>
            <w:tcW w:w="992" w:type="dxa"/>
            <w:noWrap w:val="0"/>
            <w:vAlign w:val="center"/>
          </w:tcPr>
          <w:p w14:paraId="7505FDA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X＜5</w:t>
            </w:r>
          </w:p>
        </w:tc>
      </w:tr>
      <w:tr w14:paraId="11F22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B8DCA29">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3B7E8EA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23F569A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567441D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Y≥40000</w:t>
            </w:r>
          </w:p>
        </w:tc>
        <w:tc>
          <w:tcPr>
            <w:tcW w:w="1701" w:type="dxa"/>
            <w:noWrap w:val="0"/>
            <w:vAlign w:val="center"/>
          </w:tcPr>
          <w:p w14:paraId="2E73B3E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5000≤Y＜40000</w:t>
            </w:r>
          </w:p>
        </w:tc>
        <w:tc>
          <w:tcPr>
            <w:tcW w:w="1426" w:type="dxa"/>
            <w:noWrap w:val="0"/>
            <w:vAlign w:val="center"/>
          </w:tcPr>
          <w:p w14:paraId="6A8FCC67">
            <w:pPr>
              <w:widowControl/>
              <w:spacing w:line="280" w:lineRule="exact"/>
              <w:ind w:left="-1" w:leftChars="-1" w:hanging="1"/>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1000≤Y＜5000</w:t>
            </w:r>
          </w:p>
        </w:tc>
        <w:tc>
          <w:tcPr>
            <w:tcW w:w="992" w:type="dxa"/>
            <w:noWrap w:val="0"/>
            <w:vAlign w:val="center"/>
          </w:tcPr>
          <w:p w14:paraId="6EF751B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Y＜1000</w:t>
            </w:r>
          </w:p>
        </w:tc>
      </w:tr>
      <w:tr w14:paraId="62617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2010422E">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零售业</w:t>
            </w:r>
          </w:p>
        </w:tc>
        <w:tc>
          <w:tcPr>
            <w:tcW w:w="1369" w:type="dxa"/>
            <w:noWrap w:val="0"/>
            <w:vAlign w:val="center"/>
          </w:tcPr>
          <w:p w14:paraId="79C316A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259577B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7E15980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579FB7C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50≤X＜300</w:t>
            </w:r>
          </w:p>
        </w:tc>
        <w:tc>
          <w:tcPr>
            <w:tcW w:w="1426" w:type="dxa"/>
            <w:noWrap w:val="0"/>
            <w:vAlign w:val="center"/>
          </w:tcPr>
          <w:p w14:paraId="3EA4B7A3">
            <w:pPr>
              <w:widowControl/>
              <w:spacing w:line="280" w:lineRule="exact"/>
              <w:ind w:left="-1" w:leftChars="-1" w:hanging="1"/>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 xml:space="preserve">10≤X＜50 </w:t>
            </w:r>
          </w:p>
        </w:tc>
        <w:tc>
          <w:tcPr>
            <w:tcW w:w="992" w:type="dxa"/>
            <w:noWrap w:val="0"/>
            <w:vAlign w:val="center"/>
          </w:tcPr>
          <w:p w14:paraId="0366D74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58E89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4F4FAF1F">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0F24153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3332B5B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1463D5C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Y≥20000</w:t>
            </w:r>
          </w:p>
        </w:tc>
        <w:tc>
          <w:tcPr>
            <w:tcW w:w="1701" w:type="dxa"/>
            <w:noWrap w:val="0"/>
            <w:vAlign w:val="center"/>
          </w:tcPr>
          <w:p w14:paraId="019C708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500≤Y＜20000</w:t>
            </w:r>
          </w:p>
        </w:tc>
        <w:tc>
          <w:tcPr>
            <w:tcW w:w="1426" w:type="dxa"/>
            <w:noWrap w:val="0"/>
            <w:vAlign w:val="center"/>
          </w:tcPr>
          <w:p w14:paraId="069CD677">
            <w:pPr>
              <w:widowControl/>
              <w:spacing w:line="280" w:lineRule="exact"/>
              <w:ind w:left="-1" w:leftChars="-1" w:hanging="1"/>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100≤Y＜500</w:t>
            </w:r>
          </w:p>
        </w:tc>
        <w:tc>
          <w:tcPr>
            <w:tcW w:w="992" w:type="dxa"/>
            <w:noWrap w:val="0"/>
            <w:vAlign w:val="center"/>
          </w:tcPr>
          <w:p w14:paraId="311B655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4CD3FC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0EF29DB9">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交通运输业 *</w:t>
            </w:r>
          </w:p>
        </w:tc>
        <w:tc>
          <w:tcPr>
            <w:tcW w:w="1369" w:type="dxa"/>
            <w:noWrap w:val="0"/>
            <w:vAlign w:val="center"/>
          </w:tcPr>
          <w:p w14:paraId="2326B1D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2C38DF8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64D0C04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X≥1000</w:t>
            </w:r>
          </w:p>
        </w:tc>
        <w:tc>
          <w:tcPr>
            <w:tcW w:w="1701" w:type="dxa"/>
            <w:noWrap w:val="0"/>
            <w:vAlign w:val="center"/>
          </w:tcPr>
          <w:p w14:paraId="544DCA3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300≤X＜1000</w:t>
            </w:r>
          </w:p>
        </w:tc>
        <w:tc>
          <w:tcPr>
            <w:tcW w:w="1426" w:type="dxa"/>
            <w:noWrap w:val="0"/>
            <w:vAlign w:val="center"/>
          </w:tcPr>
          <w:p w14:paraId="7BDD0E4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20≤X＜300</w:t>
            </w:r>
          </w:p>
        </w:tc>
        <w:tc>
          <w:tcPr>
            <w:tcW w:w="992" w:type="dxa"/>
            <w:noWrap w:val="0"/>
            <w:vAlign w:val="center"/>
          </w:tcPr>
          <w:p w14:paraId="748AC51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w:t>
            </w:r>
          </w:p>
        </w:tc>
      </w:tr>
      <w:tr w14:paraId="0EABDF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34A9E6F">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332ECAE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1C508FF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0287BDA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Y≥30000</w:t>
            </w:r>
          </w:p>
        </w:tc>
        <w:tc>
          <w:tcPr>
            <w:tcW w:w="1701" w:type="dxa"/>
            <w:noWrap w:val="0"/>
            <w:vAlign w:val="center"/>
          </w:tcPr>
          <w:p w14:paraId="1C6250D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3000≤Y＜30000</w:t>
            </w:r>
          </w:p>
        </w:tc>
        <w:tc>
          <w:tcPr>
            <w:tcW w:w="1426" w:type="dxa"/>
            <w:noWrap w:val="0"/>
            <w:vAlign w:val="center"/>
          </w:tcPr>
          <w:p w14:paraId="6FAADB2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200≤Y＜3000</w:t>
            </w:r>
          </w:p>
        </w:tc>
        <w:tc>
          <w:tcPr>
            <w:tcW w:w="992" w:type="dxa"/>
            <w:noWrap w:val="0"/>
            <w:vAlign w:val="center"/>
          </w:tcPr>
          <w:p w14:paraId="252829C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Y＜200</w:t>
            </w:r>
          </w:p>
        </w:tc>
      </w:tr>
      <w:tr w14:paraId="5961C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3DA2783F">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仓储业*</w:t>
            </w:r>
          </w:p>
        </w:tc>
        <w:tc>
          <w:tcPr>
            <w:tcW w:w="1369" w:type="dxa"/>
            <w:noWrap w:val="0"/>
            <w:vAlign w:val="center"/>
          </w:tcPr>
          <w:p w14:paraId="5EC0322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67F461B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57CD939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X≥200</w:t>
            </w:r>
          </w:p>
        </w:tc>
        <w:tc>
          <w:tcPr>
            <w:tcW w:w="1701" w:type="dxa"/>
            <w:noWrap w:val="0"/>
            <w:vAlign w:val="center"/>
          </w:tcPr>
          <w:p w14:paraId="20844DF6">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100≤X＜200</w:t>
            </w:r>
          </w:p>
        </w:tc>
        <w:tc>
          <w:tcPr>
            <w:tcW w:w="1426" w:type="dxa"/>
            <w:noWrap w:val="0"/>
            <w:vAlign w:val="center"/>
          </w:tcPr>
          <w:p w14:paraId="79041AE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20≤X＜100</w:t>
            </w:r>
          </w:p>
        </w:tc>
        <w:tc>
          <w:tcPr>
            <w:tcW w:w="992" w:type="dxa"/>
            <w:noWrap w:val="0"/>
            <w:vAlign w:val="center"/>
          </w:tcPr>
          <w:p w14:paraId="6345B79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w:t>
            </w:r>
          </w:p>
        </w:tc>
      </w:tr>
      <w:tr w14:paraId="5BE584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49355143">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73FAA00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2EE6DAA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558806D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Y≥30000</w:t>
            </w:r>
          </w:p>
        </w:tc>
        <w:tc>
          <w:tcPr>
            <w:tcW w:w="1701" w:type="dxa"/>
            <w:noWrap w:val="0"/>
            <w:vAlign w:val="center"/>
          </w:tcPr>
          <w:p w14:paraId="13C8E54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1000≤Y＜30000</w:t>
            </w:r>
          </w:p>
        </w:tc>
        <w:tc>
          <w:tcPr>
            <w:tcW w:w="1426" w:type="dxa"/>
            <w:noWrap w:val="0"/>
            <w:vAlign w:val="center"/>
          </w:tcPr>
          <w:p w14:paraId="4AA49D6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100≤Y＜1000</w:t>
            </w:r>
          </w:p>
        </w:tc>
        <w:tc>
          <w:tcPr>
            <w:tcW w:w="992" w:type="dxa"/>
            <w:noWrap w:val="0"/>
            <w:vAlign w:val="center"/>
          </w:tcPr>
          <w:p w14:paraId="5469928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22478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0DDD520">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邮政业</w:t>
            </w:r>
          </w:p>
        </w:tc>
        <w:tc>
          <w:tcPr>
            <w:tcW w:w="1369" w:type="dxa"/>
            <w:noWrap w:val="0"/>
            <w:vAlign w:val="center"/>
          </w:tcPr>
          <w:p w14:paraId="790E891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5A3B1D3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5A70B09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X≥1000</w:t>
            </w:r>
          </w:p>
        </w:tc>
        <w:tc>
          <w:tcPr>
            <w:tcW w:w="1701" w:type="dxa"/>
            <w:noWrap w:val="0"/>
            <w:vAlign w:val="center"/>
          </w:tcPr>
          <w:p w14:paraId="7EB7738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300≤X＜1000</w:t>
            </w:r>
          </w:p>
        </w:tc>
        <w:tc>
          <w:tcPr>
            <w:tcW w:w="1426" w:type="dxa"/>
            <w:noWrap w:val="0"/>
            <w:vAlign w:val="center"/>
          </w:tcPr>
          <w:p w14:paraId="2E2E2CF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20≤X＜300</w:t>
            </w:r>
          </w:p>
        </w:tc>
        <w:tc>
          <w:tcPr>
            <w:tcW w:w="992" w:type="dxa"/>
            <w:noWrap w:val="0"/>
            <w:vAlign w:val="center"/>
          </w:tcPr>
          <w:p w14:paraId="00A2A51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w:t>
            </w:r>
          </w:p>
        </w:tc>
      </w:tr>
      <w:tr w14:paraId="22B2AB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3A8B7760">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3483E91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5400FD1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2E5C6E3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Y≥30000</w:t>
            </w:r>
          </w:p>
        </w:tc>
        <w:tc>
          <w:tcPr>
            <w:tcW w:w="1701" w:type="dxa"/>
            <w:noWrap w:val="0"/>
            <w:vAlign w:val="center"/>
          </w:tcPr>
          <w:p w14:paraId="3D947DF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2000≤Y＜30000</w:t>
            </w:r>
          </w:p>
        </w:tc>
        <w:tc>
          <w:tcPr>
            <w:tcW w:w="1426" w:type="dxa"/>
            <w:noWrap w:val="0"/>
            <w:vAlign w:val="center"/>
          </w:tcPr>
          <w:p w14:paraId="543D774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100≤Y＜2000</w:t>
            </w:r>
          </w:p>
        </w:tc>
        <w:tc>
          <w:tcPr>
            <w:tcW w:w="992" w:type="dxa"/>
            <w:noWrap w:val="0"/>
            <w:vAlign w:val="center"/>
          </w:tcPr>
          <w:p w14:paraId="60C3BE9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4C486A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5FD38CE">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住宿业</w:t>
            </w:r>
          </w:p>
        </w:tc>
        <w:tc>
          <w:tcPr>
            <w:tcW w:w="1369" w:type="dxa"/>
            <w:noWrap w:val="0"/>
            <w:vAlign w:val="center"/>
          </w:tcPr>
          <w:p w14:paraId="4312012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0BE45F1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1DBB0F1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2CA3F170">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100≤X＜300</w:t>
            </w:r>
          </w:p>
        </w:tc>
        <w:tc>
          <w:tcPr>
            <w:tcW w:w="1426" w:type="dxa"/>
            <w:noWrap w:val="0"/>
            <w:vAlign w:val="center"/>
          </w:tcPr>
          <w:p w14:paraId="5E0AE25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2D36BD3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1386BF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485513F">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428885D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5872E1E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2AF8AB5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Y≥10000</w:t>
            </w:r>
          </w:p>
        </w:tc>
        <w:tc>
          <w:tcPr>
            <w:tcW w:w="1701" w:type="dxa"/>
            <w:noWrap w:val="0"/>
            <w:vAlign w:val="center"/>
          </w:tcPr>
          <w:p w14:paraId="786A02C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2000≤Y＜10000</w:t>
            </w:r>
          </w:p>
        </w:tc>
        <w:tc>
          <w:tcPr>
            <w:tcW w:w="1426" w:type="dxa"/>
            <w:noWrap w:val="0"/>
            <w:vAlign w:val="center"/>
          </w:tcPr>
          <w:p w14:paraId="4202626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100≤Y＜2000</w:t>
            </w:r>
          </w:p>
        </w:tc>
        <w:tc>
          <w:tcPr>
            <w:tcW w:w="992" w:type="dxa"/>
            <w:noWrap w:val="0"/>
            <w:vAlign w:val="center"/>
          </w:tcPr>
          <w:p w14:paraId="2ED93A4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0B630E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736166C">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餐饮业</w:t>
            </w:r>
          </w:p>
        </w:tc>
        <w:tc>
          <w:tcPr>
            <w:tcW w:w="1369" w:type="dxa"/>
            <w:noWrap w:val="0"/>
            <w:vAlign w:val="center"/>
          </w:tcPr>
          <w:p w14:paraId="6EA72A6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19CCF5C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6F2CACB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3A5473B3">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 xml:space="preserve">100≤X＜300 </w:t>
            </w:r>
          </w:p>
        </w:tc>
        <w:tc>
          <w:tcPr>
            <w:tcW w:w="1426" w:type="dxa"/>
            <w:noWrap w:val="0"/>
            <w:vAlign w:val="center"/>
          </w:tcPr>
          <w:p w14:paraId="637083A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063BBF7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7937A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46607973">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7D2501D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68B99FE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34FDE8F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Y≥10000</w:t>
            </w:r>
          </w:p>
        </w:tc>
        <w:tc>
          <w:tcPr>
            <w:tcW w:w="1701" w:type="dxa"/>
            <w:noWrap w:val="0"/>
            <w:vAlign w:val="center"/>
          </w:tcPr>
          <w:p w14:paraId="13D2F83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2000≤Y＜10000</w:t>
            </w:r>
          </w:p>
        </w:tc>
        <w:tc>
          <w:tcPr>
            <w:tcW w:w="1426" w:type="dxa"/>
            <w:noWrap w:val="0"/>
            <w:vAlign w:val="center"/>
          </w:tcPr>
          <w:p w14:paraId="31DB693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100≤Y＜2000</w:t>
            </w:r>
          </w:p>
        </w:tc>
        <w:tc>
          <w:tcPr>
            <w:tcW w:w="992" w:type="dxa"/>
            <w:noWrap w:val="0"/>
            <w:vAlign w:val="center"/>
          </w:tcPr>
          <w:p w14:paraId="2B91CE1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4C00F9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419199F">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信息传输业 *</w:t>
            </w:r>
          </w:p>
        </w:tc>
        <w:tc>
          <w:tcPr>
            <w:tcW w:w="1369" w:type="dxa"/>
            <w:noWrap w:val="0"/>
            <w:vAlign w:val="center"/>
          </w:tcPr>
          <w:p w14:paraId="58328BB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1CBCEC0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10DEF5E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X≥2000</w:t>
            </w:r>
          </w:p>
        </w:tc>
        <w:tc>
          <w:tcPr>
            <w:tcW w:w="1701" w:type="dxa"/>
            <w:noWrap w:val="0"/>
            <w:vAlign w:val="center"/>
          </w:tcPr>
          <w:p w14:paraId="4076ACC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100≤X＜2000</w:t>
            </w:r>
          </w:p>
        </w:tc>
        <w:tc>
          <w:tcPr>
            <w:tcW w:w="1426" w:type="dxa"/>
            <w:noWrap w:val="0"/>
            <w:vAlign w:val="center"/>
          </w:tcPr>
          <w:p w14:paraId="59F88D4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5587B89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22892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0A861A0D">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7B2A453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29E082F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61F666D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Y≥100000</w:t>
            </w:r>
          </w:p>
        </w:tc>
        <w:tc>
          <w:tcPr>
            <w:tcW w:w="1701" w:type="dxa"/>
            <w:noWrap w:val="0"/>
            <w:vAlign w:val="center"/>
          </w:tcPr>
          <w:p w14:paraId="6D4C076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1000≤Y＜100000</w:t>
            </w:r>
          </w:p>
        </w:tc>
        <w:tc>
          <w:tcPr>
            <w:tcW w:w="1426" w:type="dxa"/>
            <w:noWrap w:val="0"/>
            <w:vAlign w:val="center"/>
          </w:tcPr>
          <w:p w14:paraId="2C565B8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100≤Y＜1000</w:t>
            </w:r>
          </w:p>
        </w:tc>
        <w:tc>
          <w:tcPr>
            <w:tcW w:w="992" w:type="dxa"/>
            <w:noWrap w:val="0"/>
            <w:vAlign w:val="center"/>
          </w:tcPr>
          <w:p w14:paraId="6561954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43A806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1FC6BDE8">
            <w:pPr>
              <w:widowControl/>
              <w:spacing w:line="280" w:lineRule="exact"/>
              <w:jc w:val="left"/>
              <w:rPr>
                <w:rFonts w:ascii="宋体" w:hAnsi="宋体" w:cs="宋体"/>
                <w:color w:val="auto"/>
                <w:spacing w:val="-12"/>
                <w:kern w:val="0"/>
                <w:sz w:val="18"/>
                <w:szCs w:val="18"/>
                <w:highlight w:val="none"/>
              </w:rPr>
            </w:pPr>
            <w:r>
              <w:rPr>
                <w:rFonts w:hint="eastAsia" w:ascii="宋体" w:hAnsi="宋体" w:cs="宋体"/>
                <w:color w:val="auto"/>
                <w:spacing w:val="-12"/>
                <w:kern w:val="0"/>
                <w:sz w:val="18"/>
                <w:szCs w:val="18"/>
                <w:highlight w:val="none"/>
              </w:rPr>
              <w:t>软件和信息技术服</w:t>
            </w:r>
            <w:r>
              <w:rPr>
                <w:rFonts w:hint="eastAsia" w:ascii="宋体" w:hAnsi="宋体" w:cs="宋体"/>
                <w:color w:val="auto"/>
                <w:kern w:val="0"/>
                <w:sz w:val="18"/>
                <w:szCs w:val="18"/>
                <w:highlight w:val="none"/>
              </w:rPr>
              <w:t>务业</w:t>
            </w:r>
          </w:p>
        </w:tc>
        <w:tc>
          <w:tcPr>
            <w:tcW w:w="1369" w:type="dxa"/>
            <w:noWrap w:val="0"/>
            <w:vAlign w:val="center"/>
          </w:tcPr>
          <w:p w14:paraId="0249D86D">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3000703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6A13621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11667681">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 xml:space="preserve">100≤X＜300 </w:t>
            </w:r>
          </w:p>
        </w:tc>
        <w:tc>
          <w:tcPr>
            <w:tcW w:w="1426" w:type="dxa"/>
            <w:noWrap w:val="0"/>
            <w:vAlign w:val="center"/>
          </w:tcPr>
          <w:p w14:paraId="0355BC5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284E07B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69F15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0E0F965F">
            <w:pPr>
              <w:widowControl/>
              <w:spacing w:line="280" w:lineRule="exact"/>
              <w:jc w:val="left"/>
              <w:rPr>
                <w:rFonts w:ascii="宋体" w:hAnsi="宋体" w:cs="宋体"/>
                <w:color w:val="auto"/>
                <w:spacing w:val="-12"/>
                <w:kern w:val="0"/>
                <w:sz w:val="18"/>
                <w:szCs w:val="18"/>
                <w:highlight w:val="none"/>
              </w:rPr>
            </w:pPr>
          </w:p>
        </w:tc>
        <w:tc>
          <w:tcPr>
            <w:tcW w:w="1369" w:type="dxa"/>
            <w:noWrap w:val="0"/>
            <w:vAlign w:val="center"/>
          </w:tcPr>
          <w:p w14:paraId="733B3AE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6F9CF36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0B9739D6">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Y≥10000</w:t>
            </w:r>
          </w:p>
        </w:tc>
        <w:tc>
          <w:tcPr>
            <w:tcW w:w="1701" w:type="dxa"/>
            <w:noWrap w:val="0"/>
            <w:vAlign w:val="center"/>
          </w:tcPr>
          <w:p w14:paraId="4724EE3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1000≤Y＜10000</w:t>
            </w:r>
          </w:p>
        </w:tc>
        <w:tc>
          <w:tcPr>
            <w:tcW w:w="1426" w:type="dxa"/>
            <w:noWrap w:val="0"/>
            <w:vAlign w:val="center"/>
          </w:tcPr>
          <w:p w14:paraId="034C180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50≤Y＜1000</w:t>
            </w:r>
          </w:p>
        </w:tc>
        <w:tc>
          <w:tcPr>
            <w:tcW w:w="992" w:type="dxa"/>
            <w:noWrap w:val="0"/>
            <w:vAlign w:val="center"/>
          </w:tcPr>
          <w:p w14:paraId="13A740D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Y＜50</w:t>
            </w:r>
          </w:p>
        </w:tc>
      </w:tr>
      <w:tr w14:paraId="7B62C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0FD870BB">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房地产开发经营</w:t>
            </w:r>
          </w:p>
        </w:tc>
        <w:tc>
          <w:tcPr>
            <w:tcW w:w="1369" w:type="dxa"/>
            <w:noWrap w:val="0"/>
            <w:vAlign w:val="center"/>
          </w:tcPr>
          <w:p w14:paraId="1848005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5342D03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2025C2A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Y≥200000</w:t>
            </w:r>
          </w:p>
        </w:tc>
        <w:tc>
          <w:tcPr>
            <w:tcW w:w="1701" w:type="dxa"/>
            <w:noWrap w:val="0"/>
            <w:vAlign w:val="center"/>
          </w:tcPr>
          <w:p w14:paraId="00BA637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1000≤Y＜200000</w:t>
            </w:r>
          </w:p>
        </w:tc>
        <w:tc>
          <w:tcPr>
            <w:tcW w:w="1426" w:type="dxa"/>
            <w:noWrap w:val="0"/>
            <w:vAlign w:val="center"/>
          </w:tcPr>
          <w:p w14:paraId="524F43E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100≤Y＜1000</w:t>
            </w:r>
          </w:p>
        </w:tc>
        <w:tc>
          <w:tcPr>
            <w:tcW w:w="992" w:type="dxa"/>
            <w:noWrap w:val="0"/>
            <w:vAlign w:val="center"/>
          </w:tcPr>
          <w:p w14:paraId="3A71C05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Y＜100</w:t>
            </w:r>
          </w:p>
        </w:tc>
      </w:tr>
      <w:tr w14:paraId="7D5AF9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5C3CBB6C">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15C82F6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资产总额(Z)</w:t>
            </w:r>
          </w:p>
        </w:tc>
        <w:tc>
          <w:tcPr>
            <w:tcW w:w="709" w:type="dxa"/>
            <w:noWrap w:val="0"/>
            <w:vAlign w:val="center"/>
          </w:tcPr>
          <w:p w14:paraId="1F861FB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49C5246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Z≥10000</w:t>
            </w:r>
          </w:p>
        </w:tc>
        <w:tc>
          <w:tcPr>
            <w:tcW w:w="1701" w:type="dxa"/>
            <w:noWrap w:val="0"/>
            <w:vAlign w:val="center"/>
          </w:tcPr>
          <w:p w14:paraId="4BC190A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5000≤Z＜10000</w:t>
            </w:r>
          </w:p>
        </w:tc>
        <w:tc>
          <w:tcPr>
            <w:tcW w:w="1426" w:type="dxa"/>
            <w:noWrap w:val="0"/>
            <w:vAlign w:val="center"/>
          </w:tcPr>
          <w:p w14:paraId="6F0081C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2000≤Z＜5000</w:t>
            </w:r>
          </w:p>
        </w:tc>
        <w:tc>
          <w:tcPr>
            <w:tcW w:w="992" w:type="dxa"/>
            <w:noWrap w:val="0"/>
            <w:vAlign w:val="center"/>
          </w:tcPr>
          <w:p w14:paraId="5266CE3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Z＜2000</w:t>
            </w:r>
          </w:p>
        </w:tc>
      </w:tr>
      <w:tr w14:paraId="24E66B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39B1ACB2">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物业管理</w:t>
            </w:r>
          </w:p>
        </w:tc>
        <w:tc>
          <w:tcPr>
            <w:tcW w:w="1369" w:type="dxa"/>
            <w:noWrap w:val="0"/>
            <w:vAlign w:val="center"/>
          </w:tcPr>
          <w:p w14:paraId="0C4665A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2ADC8B75">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0CACDA4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X≥1000</w:t>
            </w:r>
          </w:p>
        </w:tc>
        <w:tc>
          <w:tcPr>
            <w:tcW w:w="1701" w:type="dxa"/>
            <w:noWrap w:val="0"/>
            <w:vAlign w:val="center"/>
          </w:tcPr>
          <w:p w14:paraId="7874013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300≤X＜1000</w:t>
            </w:r>
          </w:p>
        </w:tc>
        <w:tc>
          <w:tcPr>
            <w:tcW w:w="1426" w:type="dxa"/>
            <w:noWrap w:val="0"/>
            <w:vAlign w:val="center"/>
          </w:tcPr>
          <w:p w14:paraId="14040CF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100≤X＜300</w:t>
            </w:r>
          </w:p>
        </w:tc>
        <w:tc>
          <w:tcPr>
            <w:tcW w:w="992" w:type="dxa"/>
            <w:noWrap w:val="0"/>
            <w:vAlign w:val="center"/>
          </w:tcPr>
          <w:p w14:paraId="153A31F7">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X＜100</w:t>
            </w:r>
          </w:p>
        </w:tc>
      </w:tr>
      <w:tr w14:paraId="63214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49B3AD57">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1B6394D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营业收入(Y)</w:t>
            </w:r>
          </w:p>
        </w:tc>
        <w:tc>
          <w:tcPr>
            <w:tcW w:w="709" w:type="dxa"/>
            <w:noWrap w:val="0"/>
            <w:vAlign w:val="center"/>
          </w:tcPr>
          <w:p w14:paraId="63DC7DC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60873D7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Y≥5000</w:t>
            </w:r>
          </w:p>
        </w:tc>
        <w:tc>
          <w:tcPr>
            <w:tcW w:w="1701" w:type="dxa"/>
            <w:noWrap w:val="0"/>
            <w:vAlign w:val="center"/>
          </w:tcPr>
          <w:p w14:paraId="0BA425B9">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1000≤Y＜5000</w:t>
            </w:r>
          </w:p>
        </w:tc>
        <w:tc>
          <w:tcPr>
            <w:tcW w:w="1426" w:type="dxa"/>
            <w:noWrap w:val="0"/>
            <w:vAlign w:val="center"/>
          </w:tcPr>
          <w:p w14:paraId="26D461B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500≤Y＜1000</w:t>
            </w:r>
          </w:p>
        </w:tc>
        <w:tc>
          <w:tcPr>
            <w:tcW w:w="992" w:type="dxa"/>
            <w:noWrap w:val="0"/>
            <w:vAlign w:val="center"/>
          </w:tcPr>
          <w:p w14:paraId="191ED3E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Y＜500</w:t>
            </w:r>
          </w:p>
        </w:tc>
      </w:tr>
      <w:tr w14:paraId="5133F8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1573202D">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租赁和商务服务业</w:t>
            </w:r>
          </w:p>
        </w:tc>
        <w:tc>
          <w:tcPr>
            <w:tcW w:w="1369" w:type="dxa"/>
            <w:noWrap w:val="0"/>
            <w:vAlign w:val="center"/>
          </w:tcPr>
          <w:p w14:paraId="5704949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5AC5E63A">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4241249E">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6827757C">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100≤X＜300</w:t>
            </w:r>
          </w:p>
        </w:tc>
        <w:tc>
          <w:tcPr>
            <w:tcW w:w="1426" w:type="dxa"/>
            <w:noWrap w:val="0"/>
            <w:vAlign w:val="center"/>
          </w:tcPr>
          <w:p w14:paraId="22A17758">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5AA2AB03">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r w14:paraId="36799D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29FF095B">
            <w:pPr>
              <w:widowControl/>
              <w:spacing w:line="280" w:lineRule="exact"/>
              <w:jc w:val="left"/>
              <w:rPr>
                <w:rFonts w:ascii="宋体" w:hAnsi="宋体" w:cs="宋体"/>
                <w:color w:val="auto"/>
                <w:kern w:val="0"/>
                <w:sz w:val="18"/>
                <w:szCs w:val="18"/>
                <w:highlight w:val="none"/>
              </w:rPr>
            </w:pPr>
          </w:p>
        </w:tc>
        <w:tc>
          <w:tcPr>
            <w:tcW w:w="1369" w:type="dxa"/>
            <w:noWrap w:val="0"/>
            <w:vAlign w:val="center"/>
          </w:tcPr>
          <w:p w14:paraId="5261DF99">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资产总额(Z)</w:t>
            </w:r>
          </w:p>
        </w:tc>
        <w:tc>
          <w:tcPr>
            <w:tcW w:w="709" w:type="dxa"/>
            <w:noWrap w:val="0"/>
            <w:vAlign w:val="center"/>
          </w:tcPr>
          <w:p w14:paraId="3B81D1C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万元</w:t>
            </w:r>
          </w:p>
        </w:tc>
        <w:tc>
          <w:tcPr>
            <w:tcW w:w="1125" w:type="dxa"/>
            <w:noWrap w:val="0"/>
            <w:vAlign w:val="center"/>
          </w:tcPr>
          <w:p w14:paraId="3B7040B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Z≥120000</w:t>
            </w:r>
          </w:p>
        </w:tc>
        <w:tc>
          <w:tcPr>
            <w:tcW w:w="1701" w:type="dxa"/>
            <w:noWrap w:val="0"/>
            <w:vAlign w:val="center"/>
          </w:tcPr>
          <w:p w14:paraId="2917B99F">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8000≤Z＜120000</w:t>
            </w:r>
          </w:p>
        </w:tc>
        <w:tc>
          <w:tcPr>
            <w:tcW w:w="1426" w:type="dxa"/>
            <w:noWrap w:val="0"/>
            <w:vAlign w:val="center"/>
          </w:tcPr>
          <w:p w14:paraId="528B46B4">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100≤Z＜8000</w:t>
            </w:r>
          </w:p>
        </w:tc>
        <w:tc>
          <w:tcPr>
            <w:tcW w:w="992" w:type="dxa"/>
            <w:noWrap w:val="0"/>
            <w:vAlign w:val="center"/>
          </w:tcPr>
          <w:p w14:paraId="72AD1DB0">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Z＜100</w:t>
            </w:r>
          </w:p>
        </w:tc>
      </w:tr>
      <w:tr w14:paraId="179C18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0FEE1AAD">
            <w:pPr>
              <w:widowControl/>
              <w:spacing w:line="280" w:lineRule="exact"/>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其他未列明行业 *</w:t>
            </w:r>
          </w:p>
        </w:tc>
        <w:tc>
          <w:tcPr>
            <w:tcW w:w="1369" w:type="dxa"/>
            <w:noWrap w:val="0"/>
            <w:vAlign w:val="center"/>
          </w:tcPr>
          <w:p w14:paraId="7862E4A1">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从业人员(X)</w:t>
            </w:r>
          </w:p>
        </w:tc>
        <w:tc>
          <w:tcPr>
            <w:tcW w:w="709" w:type="dxa"/>
            <w:noWrap w:val="0"/>
            <w:vAlign w:val="center"/>
          </w:tcPr>
          <w:p w14:paraId="3B15FEAC">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人</w:t>
            </w:r>
          </w:p>
        </w:tc>
        <w:tc>
          <w:tcPr>
            <w:tcW w:w="1125" w:type="dxa"/>
            <w:noWrap w:val="0"/>
            <w:vAlign w:val="center"/>
          </w:tcPr>
          <w:p w14:paraId="2DF6ABE2">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X≥300</w:t>
            </w:r>
          </w:p>
        </w:tc>
        <w:tc>
          <w:tcPr>
            <w:tcW w:w="1701" w:type="dxa"/>
            <w:noWrap w:val="0"/>
            <w:vAlign w:val="center"/>
          </w:tcPr>
          <w:p w14:paraId="0F00ED1C">
            <w:pPr>
              <w:widowControl/>
              <w:spacing w:line="280" w:lineRule="exact"/>
              <w:ind w:left="1" w:leftChars="-51" w:hanging="108" w:hangingChars="60"/>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100≤X＜300</w:t>
            </w:r>
          </w:p>
        </w:tc>
        <w:tc>
          <w:tcPr>
            <w:tcW w:w="1426" w:type="dxa"/>
            <w:noWrap w:val="0"/>
            <w:vAlign w:val="center"/>
          </w:tcPr>
          <w:p w14:paraId="08F89F7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10≤X＜100</w:t>
            </w:r>
          </w:p>
        </w:tc>
        <w:tc>
          <w:tcPr>
            <w:tcW w:w="992" w:type="dxa"/>
            <w:noWrap w:val="0"/>
            <w:vAlign w:val="center"/>
          </w:tcPr>
          <w:p w14:paraId="5743524B">
            <w:pPr>
              <w:widowControl/>
              <w:spacing w:line="280" w:lineRule="exact"/>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X＜10</w:t>
            </w:r>
          </w:p>
        </w:tc>
      </w:tr>
    </w:tbl>
    <w:p w14:paraId="33A9DEE2">
      <w:pPr>
        <w:widowControl/>
        <w:spacing w:line="280" w:lineRule="exact"/>
        <w:rPr>
          <w:rFonts w:ascii="宋体" w:hAnsi="宋体" w:cs="宋体"/>
          <w:color w:val="auto"/>
          <w:spacing w:val="8"/>
          <w:kern w:val="0"/>
          <w:sz w:val="24"/>
          <w:highlight w:val="none"/>
        </w:rPr>
      </w:pPr>
    </w:p>
    <w:p w14:paraId="39F4001F">
      <w:pPr>
        <w:widowControl/>
        <w:spacing w:line="480" w:lineRule="auto"/>
        <w:rPr>
          <w:rFonts w:hint="eastAsia" w:ascii="宋体" w:hAnsi="宋体" w:cs="宋体"/>
          <w:color w:val="auto"/>
          <w:spacing w:val="8"/>
          <w:kern w:val="0"/>
          <w:szCs w:val="21"/>
          <w:highlight w:val="none"/>
        </w:rPr>
      </w:pPr>
    </w:p>
    <w:p w14:paraId="6BBFC399">
      <w:pPr>
        <w:widowControl/>
        <w:spacing w:line="480" w:lineRule="auto"/>
        <w:rPr>
          <w:rFonts w:ascii="宋体" w:hAnsi="宋体" w:cs="宋体"/>
          <w:color w:val="auto"/>
          <w:spacing w:val="8"/>
          <w:kern w:val="0"/>
          <w:szCs w:val="21"/>
          <w:highlight w:val="none"/>
        </w:rPr>
      </w:pPr>
      <w:r>
        <w:rPr>
          <w:rFonts w:hint="eastAsia" w:ascii="宋体" w:hAnsi="宋体" w:cs="宋体"/>
          <w:color w:val="auto"/>
          <w:spacing w:val="8"/>
          <w:kern w:val="0"/>
          <w:szCs w:val="21"/>
          <w:highlight w:val="none"/>
        </w:rPr>
        <w:t>说明：</w:t>
      </w:r>
    </w:p>
    <w:p w14:paraId="360B2238">
      <w:pPr>
        <w:pStyle w:val="17"/>
        <w:adjustRightInd w:val="0"/>
        <w:spacing w:line="480" w:lineRule="auto"/>
        <w:ind w:firstLine="432" w:firstLineChars="200"/>
        <w:contextualSpacing/>
        <w:rPr>
          <w:rFonts w:hAnsi="宋体" w:cs="宋体"/>
          <w:color w:val="auto"/>
          <w:spacing w:val="8"/>
          <w:kern w:val="0"/>
          <w:szCs w:val="21"/>
          <w:highlight w:val="none"/>
        </w:rPr>
      </w:pPr>
      <w:r>
        <w:rPr>
          <w:rFonts w:hint="eastAsia" w:hAnsi="宋体" w:cs="宋体"/>
          <w:color w:val="auto"/>
          <w:spacing w:val="8"/>
          <w:kern w:val="0"/>
          <w:szCs w:val="21"/>
          <w:highlight w:val="none"/>
        </w:rPr>
        <w:t>1.大型、中型和小型企业须同时满足所列指标的下限，否则下划一档；微型企业只须满足所列指标中的一项即可。</w:t>
      </w:r>
    </w:p>
    <w:p w14:paraId="1B47C1E2">
      <w:pPr>
        <w:pStyle w:val="17"/>
        <w:adjustRightInd w:val="0"/>
        <w:spacing w:line="480" w:lineRule="auto"/>
        <w:ind w:firstLine="432" w:firstLineChars="200"/>
        <w:contextualSpacing/>
        <w:rPr>
          <w:rFonts w:hAnsi="宋体" w:cs="宋体"/>
          <w:color w:val="auto"/>
          <w:spacing w:val="8"/>
          <w:kern w:val="0"/>
          <w:szCs w:val="21"/>
          <w:highlight w:val="none"/>
        </w:rPr>
      </w:pPr>
      <w:r>
        <w:rPr>
          <w:rFonts w:hint="eastAsia" w:hAnsi="宋体" w:cs="宋体"/>
          <w:color w:val="auto"/>
          <w:spacing w:val="8"/>
          <w:kern w:val="0"/>
          <w:szCs w:val="21"/>
          <w:highlight w:val="none"/>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w:t>
      </w:r>
      <w:r>
        <w:rPr>
          <w:rFonts w:hint="eastAsia" w:hAnsi="宋体" w:cs="宋体"/>
          <w:color w:val="auto"/>
          <w:spacing w:val="8"/>
          <w:kern w:val="0"/>
          <w:szCs w:val="21"/>
          <w:highlight w:val="none"/>
          <w:lang w:eastAsia="zh-CN"/>
        </w:rPr>
        <w:t>；</w:t>
      </w:r>
      <w:r>
        <w:rPr>
          <w:rFonts w:hint="eastAsia" w:hAnsi="宋体" w:cs="宋体"/>
          <w:color w:val="auto"/>
          <w:spacing w:val="8"/>
          <w:kern w:val="0"/>
          <w:szCs w:val="21"/>
          <w:highlight w:val="none"/>
        </w:rPr>
        <w:t>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5F6B0AC9">
      <w:pPr>
        <w:pStyle w:val="17"/>
        <w:spacing w:line="480" w:lineRule="auto"/>
        <w:ind w:firstLine="432" w:firstLineChars="200"/>
        <w:rPr>
          <w:rFonts w:hAnsi="宋体" w:cs="宋体"/>
          <w:color w:val="auto"/>
          <w:spacing w:val="8"/>
          <w:kern w:val="0"/>
          <w:sz w:val="24"/>
          <w:szCs w:val="24"/>
          <w:highlight w:val="none"/>
        </w:rPr>
      </w:pPr>
      <w:r>
        <w:rPr>
          <w:rFonts w:hint="eastAsia" w:hAnsi="宋体" w:cs="宋体"/>
          <w:color w:val="auto"/>
          <w:spacing w:val="8"/>
          <w:kern w:val="0"/>
          <w:szCs w:val="21"/>
          <w:highlight w:val="none"/>
        </w:rPr>
        <w:t>3.企业划分指标以现行统计制度为准。（1）从业人员，是指期末从业人员数，没有期末从业人员数的，采用全年平均人员数代替。（2）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3）资产总额，采用资产总计代替。</w:t>
      </w:r>
    </w:p>
    <w:p w14:paraId="491B7248">
      <w:pPr>
        <w:pStyle w:val="3"/>
        <w:spacing w:line="480" w:lineRule="auto"/>
        <w:jc w:val="center"/>
        <w:rPr>
          <w:rFonts w:hint="eastAsia" w:ascii="Cambria" w:hAnsi="Cambria"/>
          <w:bCs w:val="0"/>
          <w:color w:val="auto"/>
          <w:sz w:val="32"/>
          <w:szCs w:val="32"/>
          <w:highlight w:val="none"/>
        </w:rPr>
        <w:sectPr>
          <w:pgSz w:w="11911" w:h="16838"/>
          <w:pgMar w:top="1134" w:right="1134" w:bottom="1134" w:left="1134" w:header="720" w:footer="720" w:gutter="0"/>
          <w:pgNumType w:fmt="decimal"/>
          <w:cols w:space="720" w:num="1"/>
        </w:sectPr>
      </w:pPr>
      <w:bookmarkStart w:id="47" w:name="_Toc3319"/>
      <w:bookmarkStart w:id="48" w:name="_Toc80886927"/>
    </w:p>
    <w:p w14:paraId="508E021B">
      <w:pPr>
        <w:pStyle w:val="3"/>
        <w:spacing w:line="480" w:lineRule="auto"/>
        <w:jc w:val="center"/>
        <w:rPr>
          <w:rFonts w:hint="eastAsia" w:ascii="Calibri" w:hAnsi="Calibri"/>
          <w:color w:val="auto"/>
          <w:highlight w:val="none"/>
        </w:rPr>
      </w:pPr>
      <w:bookmarkStart w:id="49" w:name="_Toc2072"/>
      <w:bookmarkStart w:id="50" w:name="_Toc24174"/>
      <w:bookmarkStart w:id="51" w:name="_Toc13614"/>
      <w:bookmarkStart w:id="52" w:name="_Toc19152"/>
      <w:bookmarkStart w:id="53" w:name="_Toc7704"/>
      <w:bookmarkStart w:id="54" w:name="_Toc9239"/>
      <w:r>
        <w:rPr>
          <w:rFonts w:hint="eastAsia" w:ascii="Cambria" w:hAnsi="Cambria"/>
          <w:bCs w:val="0"/>
          <w:color w:val="auto"/>
          <w:sz w:val="32"/>
          <w:szCs w:val="32"/>
          <w:highlight w:val="none"/>
        </w:rPr>
        <w:t>第三章 供应商须知</w:t>
      </w:r>
      <w:bookmarkEnd w:id="47"/>
      <w:bookmarkEnd w:id="48"/>
      <w:bookmarkEnd w:id="49"/>
      <w:bookmarkEnd w:id="50"/>
      <w:bookmarkEnd w:id="51"/>
      <w:bookmarkEnd w:id="52"/>
      <w:bookmarkEnd w:id="53"/>
      <w:bookmarkEnd w:id="54"/>
    </w:p>
    <w:p w14:paraId="2B59CEAB">
      <w:pPr>
        <w:pStyle w:val="4"/>
        <w:jc w:val="center"/>
        <w:rPr>
          <w:rFonts w:hint="eastAsia" w:ascii="宋体" w:hAnsi="宋体"/>
          <w:b w:val="0"/>
          <w:color w:val="auto"/>
          <w:highlight w:val="none"/>
        </w:rPr>
      </w:pPr>
      <w:bookmarkStart w:id="55" w:name="_Toc30660"/>
      <w:bookmarkStart w:id="56" w:name="_Toc9482"/>
      <w:bookmarkStart w:id="57" w:name="_Toc80886928"/>
      <w:r>
        <w:rPr>
          <w:rFonts w:hint="eastAsia" w:ascii="宋体" w:hAnsi="宋体"/>
          <w:b w:val="0"/>
          <w:color w:val="auto"/>
          <w:highlight w:val="none"/>
        </w:rPr>
        <w:t>第一节 供应商须知前附表</w:t>
      </w:r>
      <w:bookmarkEnd w:id="55"/>
      <w:bookmarkEnd w:id="56"/>
      <w:bookmarkEnd w:id="57"/>
    </w:p>
    <w:p w14:paraId="41AE6690">
      <w:pPr>
        <w:spacing w:line="400" w:lineRule="exact"/>
        <w:jc w:val="center"/>
        <w:rPr>
          <w:rFonts w:hint="eastAsia"/>
          <w:b/>
          <w:color w:val="auto"/>
          <w:sz w:val="32"/>
          <w:szCs w:val="32"/>
          <w:highlight w:val="none"/>
        </w:rPr>
      </w:pPr>
    </w:p>
    <w:tbl>
      <w:tblPr>
        <w:tblStyle w:val="28"/>
        <w:tblW w:w="10364"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963"/>
        <w:gridCol w:w="2548"/>
        <w:gridCol w:w="6853"/>
      </w:tblGrid>
      <w:tr w14:paraId="02A6AA0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93" w:hRule="atLeast"/>
          <w:jc w:val="center"/>
        </w:trPr>
        <w:tc>
          <w:tcPr>
            <w:tcW w:w="963" w:type="dxa"/>
            <w:noWrap w:val="0"/>
            <w:vAlign w:val="top"/>
          </w:tcPr>
          <w:p w14:paraId="5112054C">
            <w:pPr>
              <w:spacing w:line="360" w:lineRule="auto"/>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条款号</w:t>
            </w:r>
          </w:p>
        </w:tc>
        <w:tc>
          <w:tcPr>
            <w:tcW w:w="2548" w:type="dxa"/>
            <w:noWrap w:val="0"/>
            <w:vAlign w:val="center"/>
          </w:tcPr>
          <w:p w14:paraId="2ACF5988">
            <w:pPr>
              <w:spacing w:line="360" w:lineRule="auto"/>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条款内容</w:t>
            </w:r>
          </w:p>
        </w:tc>
        <w:tc>
          <w:tcPr>
            <w:tcW w:w="6853" w:type="dxa"/>
            <w:noWrap w:val="0"/>
            <w:vAlign w:val="top"/>
          </w:tcPr>
          <w:p w14:paraId="7167E4DB">
            <w:pPr>
              <w:spacing w:line="360" w:lineRule="auto"/>
              <w:jc w:val="cente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具体要求</w:t>
            </w:r>
          </w:p>
        </w:tc>
      </w:tr>
      <w:tr w14:paraId="6BD017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top"/>
          </w:tcPr>
          <w:p w14:paraId="0F03BC51">
            <w:pPr>
              <w:spacing w:line="360" w:lineRule="auto"/>
              <w:jc w:val="center"/>
              <w:rPr>
                <w:rFonts w:hint="eastAsia" w:ascii="宋体" w:hAnsi="宋体" w:eastAsia="宋体" w:cs="宋体"/>
                <w:b/>
                <w:color w:val="auto"/>
                <w:kern w:val="2"/>
                <w:sz w:val="21"/>
                <w:szCs w:val="21"/>
                <w:highlight w:val="none"/>
                <w:lang w:val="en-US" w:eastAsia="zh-CN" w:bidi="ar-SA"/>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7</w:t>
            </w:r>
            <w:r>
              <w:rPr>
                <w:rFonts w:hint="eastAsia" w:ascii="宋体" w:hAnsi="宋体" w:eastAsia="宋体" w:cs="宋体"/>
                <w:color w:val="auto"/>
                <w:szCs w:val="21"/>
                <w:highlight w:val="none"/>
              </w:rPr>
              <w:t xml:space="preserve"> </w:t>
            </w:r>
          </w:p>
        </w:tc>
        <w:tc>
          <w:tcPr>
            <w:tcW w:w="2548" w:type="dxa"/>
            <w:noWrap w:val="0"/>
            <w:vAlign w:val="center"/>
          </w:tcPr>
          <w:p w14:paraId="33CBEE1C">
            <w:pPr>
              <w:spacing w:line="360" w:lineRule="auto"/>
              <w:jc w:val="center"/>
              <w:rPr>
                <w:rFonts w:hint="eastAsia" w:ascii="宋体" w:hAnsi="宋体" w:eastAsia="宋体" w:cs="宋体"/>
                <w:b/>
                <w:color w:val="auto"/>
                <w:kern w:val="2"/>
                <w:sz w:val="21"/>
                <w:szCs w:val="21"/>
                <w:highlight w:val="none"/>
                <w:lang w:val="en-US" w:eastAsia="zh-CN" w:bidi="ar-SA"/>
              </w:rPr>
            </w:pPr>
            <w:r>
              <w:rPr>
                <w:rFonts w:hint="eastAsia" w:ascii="宋体" w:hAnsi="宋体" w:eastAsia="宋体" w:cs="宋体"/>
                <w:color w:val="auto"/>
                <w:szCs w:val="21"/>
                <w:highlight w:val="none"/>
              </w:rPr>
              <w:t>实质性要求</w:t>
            </w:r>
          </w:p>
        </w:tc>
        <w:tc>
          <w:tcPr>
            <w:tcW w:w="6853" w:type="dxa"/>
            <w:noWrap w:val="0"/>
            <w:vAlign w:val="top"/>
          </w:tcPr>
          <w:p w14:paraId="2BF9A438">
            <w:pPr>
              <w:spacing w:line="360" w:lineRule="auto"/>
              <w:jc w:val="left"/>
              <w:rPr>
                <w:rFonts w:hint="eastAsia" w:ascii="宋体" w:hAnsi="宋体" w:eastAsia="宋体" w:cs="宋体"/>
                <w:b/>
                <w:color w:val="auto"/>
                <w:kern w:val="2"/>
                <w:sz w:val="21"/>
                <w:szCs w:val="21"/>
                <w:highlight w:val="none"/>
                <w:lang w:val="en-US" w:eastAsia="zh-CN" w:bidi="ar-SA"/>
              </w:rPr>
            </w:pPr>
            <w:r>
              <w:rPr>
                <w:rFonts w:hint="eastAsia" w:ascii="宋体" w:hAnsi="宋体" w:eastAsia="宋体" w:cs="宋体"/>
                <w:color w:val="auto"/>
                <w:szCs w:val="21"/>
                <w:highlight w:val="none"/>
              </w:rPr>
              <w:t>指</w:t>
            </w:r>
            <w:r>
              <w:rPr>
                <w:rFonts w:hint="eastAsia" w:ascii="宋体" w:hAnsi="宋体" w:eastAsia="宋体" w:cs="宋体"/>
                <w:b w:val="0"/>
                <w:bCs w:val="0"/>
                <w:color w:val="auto"/>
                <w:szCs w:val="21"/>
                <w:highlight w:val="none"/>
                <w:lang w:eastAsia="zh-CN"/>
              </w:rPr>
              <w:t>竞争性</w:t>
            </w:r>
            <w:r>
              <w:rPr>
                <w:rFonts w:hint="eastAsia" w:ascii="宋体" w:hAnsi="宋体" w:eastAsia="宋体" w:cs="宋体"/>
                <w:b w:val="0"/>
                <w:bCs w:val="0"/>
                <w:color w:val="auto"/>
                <w:szCs w:val="21"/>
                <w:highlight w:val="none"/>
                <w:lang w:val="en-US" w:eastAsia="zh-CN"/>
              </w:rPr>
              <w:t>磋商</w:t>
            </w:r>
            <w:r>
              <w:rPr>
                <w:rFonts w:hint="eastAsia" w:ascii="宋体" w:hAnsi="宋体" w:eastAsia="宋体" w:cs="宋体"/>
                <w:b w:val="0"/>
                <w:bCs w:val="0"/>
                <w:color w:val="auto"/>
                <w:szCs w:val="21"/>
                <w:highlight w:val="none"/>
              </w:rPr>
              <w:t>文件中已经指明</w:t>
            </w:r>
            <w:r>
              <w:rPr>
                <w:rFonts w:hint="eastAsia" w:ascii="宋体" w:hAnsi="宋体" w:eastAsia="宋体" w:cs="宋体"/>
                <w:b w:val="0"/>
                <w:bCs w:val="0"/>
                <w:color w:val="auto"/>
                <w:szCs w:val="21"/>
                <w:highlight w:val="none"/>
                <w:lang w:eastAsia="zh-CN"/>
              </w:rPr>
              <w:t>不提供或</w:t>
            </w:r>
            <w:r>
              <w:rPr>
                <w:rFonts w:hint="eastAsia" w:ascii="宋体" w:hAnsi="宋体" w:eastAsia="宋体" w:cs="宋体"/>
                <w:b w:val="0"/>
                <w:bCs w:val="0"/>
                <w:color w:val="auto"/>
                <w:szCs w:val="21"/>
                <w:highlight w:val="none"/>
              </w:rPr>
              <w:t>不满足则响应文件</w:t>
            </w:r>
            <w:r>
              <w:rPr>
                <w:rFonts w:hint="eastAsia" w:ascii="宋体" w:hAnsi="宋体" w:eastAsia="宋体" w:cs="宋体"/>
                <w:b w:val="0"/>
                <w:bCs w:val="0"/>
                <w:color w:val="auto"/>
                <w:szCs w:val="21"/>
                <w:highlight w:val="none"/>
                <w:lang w:eastAsia="zh-CN"/>
              </w:rPr>
              <w:t>作</w:t>
            </w:r>
            <w:r>
              <w:rPr>
                <w:rFonts w:hint="eastAsia" w:ascii="宋体" w:hAnsi="宋体" w:eastAsia="宋体" w:cs="宋体"/>
                <w:b w:val="0"/>
                <w:bCs w:val="0"/>
                <w:color w:val="auto"/>
                <w:szCs w:val="21"/>
                <w:highlight w:val="none"/>
              </w:rPr>
              <w:t>无效响应处理的条款，或者</w:t>
            </w:r>
            <w:r>
              <w:rPr>
                <w:rFonts w:hint="eastAsia" w:ascii="宋体" w:hAnsi="宋体" w:eastAsia="宋体" w:cs="宋体"/>
                <w:color w:val="auto"/>
                <w:szCs w:val="21"/>
                <w:highlight w:val="none"/>
              </w:rPr>
              <w:t>第二章“采购需求”及第</w:t>
            </w:r>
            <w:r>
              <w:rPr>
                <w:rFonts w:hint="eastAsia" w:ascii="宋体" w:hAnsi="宋体" w:eastAsia="宋体" w:cs="宋体"/>
                <w:color w:val="auto"/>
                <w:szCs w:val="21"/>
                <w:highlight w:val="none"/>
                <w:lang w:eastAsia="zh-CN"/>
              </w:rPr>
              <w:t>五</w:t>
            </w:r>
            <w:r>
              <w:rPr>
                <w:rFonts w:hint="eastAsia" w:ascii="宋体" w:hAnsi="宋体" w:eastAsia="宋体" w:cs="宋体"/>
                <w:color w:val="auto"/>
                <w:szCs w:val="21"/>
                <w:highlight w:val="none"/>
              </w:rPr>
              <w:t>章“</w:t>
            </w:r>
            <w:r>
              <w:rPr>
                <w:rFonts w:hint="eastAsia" w:ascii="宋体" w:hAnsi="宋体" w:eastAsia="宋体" w:cs="宋体"/>
                <w:color w:val="auto"/>
                <w:szCs w:val="21"/>
                <w:highlight w:val="none"/>
                <w:lang w:val="en-US" w:eastAsia="zh-CN"/>
              </w:rPr>
              <w:t>响应</w:t>
            </w:r>
            <w:r>
              <w:rPr>
                <w:rFonts w:hint="eastAsia" w:ascii="宋体" w:hAnsi="宋体" w:eastAsia="宋体" w:cs="宋体"/>
                <w:color w:val="auto"/>
                <w:szCs w:val="21"/>
                <w:highlight w:val="none"/>
              </w:rPr>
              <w:t>文件格式”</w:t>
            </w:r>
            <w:r>
              <w:rPr>
                <w:rFonts w:hint="eastAsia" w:ascii="宋体" w:hAnsi="宋体" w:eastAsia="宋体" w:cs="宋体"/>
                <w:b w:val="0"/>
                <w:bCs w:val="0"/>
                <w:color w:val="auto"/>
                <w:szCs w:val="21"/>
                <w:highlight w:val="none"/>
              </w:rPr>
              <w:t>中带“▲”的条款</w:t>
            </w:r>
            <w:r>
              <w:rPr>
                <w:rFonts w:hint="eastAsia" w:ascii="宋体" w:hAnsi="宋体" w:eastAsia="宋体" w:cs="宋体"/>
                <w:color w:val="auto"/>
                <w:szCs w:val="21"/>
                <w:highlight w:val="none"/>
              </w:rPr>
              <w:t>。</w:t>
            </w:r>
          </w:p>
        </w:tc>
      </w:tr>
      <w:tr w14:paraId="3117682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66D18052">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3.1</w:t>
            </w:r>
          </w:p>
        </w:tc>
        <w:tc>
          <w:tcPr>
            <w:tcW w:w="2548" w:type="dxa"/>
            <w:noWrap w:val="0"/>
            <w:vAlign w:val="center"/>
          </w:tcPr>
          <w:p w14:paraId="3A87DA18">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供应商资格条件</w:t>
            </w:r>
          </w:p>
        </w:tc>
        <w:tc>
          <w:tcPr>
            <w:tcW w:w="6853" w:type="dxa"/>
            <w:noWrap w:val="0"/>
            <w:vAlign w:val="top"/>
          </w:tcPr>
          <w:p w14:paraId="7900030C">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详见竞争性磋商公告。</w:t>
            </w:r>
          </w:p>
        </w:tc>
      </w:tr>
      <w:tr w14:paraId="1290CBB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0D99EDDD">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5.1</w:t>
            </w:r>
          </w:p>
        </w:tc>
        <w:tc>
          <w:tcPr>
            <w:tcW w:w="2548" w:type="dxa"/>
            <w:noWrap w:val="0"/>
            <w:vAlign w:val="center"/>
          </w:tcPr>
          <w:p w14:paraId="7489F0EB">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是否接受联合体竞标</w:t>
            </w:r>
          </w:p>
        </w:tc>
        <w:tc>
          <w:tcPr>
            <w:tcW w:w="6853" w:type="dxa"/>
            <w:noWrap w:val="0"/>
            <w:vAlign w:val="center"/>
          </w:tcPr>
          <w:p w14:paraId="53A1A307">
            <w:pPr>
              <w:spacing w:line="360" w:lineRule="auto"/>
              <w:rPr>
                <w:rFonts w:hint="eastAsia" w:ascii="宋体" w:hAnsi="宋体" w:eastAsia="宋体" w:cs="宋体"/>
                <w:color w:val="auto"/>
                <w:szCs w:val="21"/>
                <w:highlight w:val="none"/>
              </w:rPr>
            </w:pPr>
            <w:bookmarkStart w:id="58" w:name="PO_3000001868_PM007"/>
            <w:r>
              <w:rPr>
                <w:rFonts w:hint="eastAsia" w:ascii="宋体" w:hAnsi="宋体" w:eastAsia="宋体" w:cs="宋体"/>
                <w:color w:val="auto"/>
                <w:szCs w:val="21"/>
                <w:highlight w:val="none"/>
              </w:rPr>
              <w:t>详见竞争性磋商公告</w:t>
            </w:r>
            <w:bookmarkEnd w:id="58"/>
          </w:p>
        </w:tc>
      </w:tr>
      <w:tr w14:paraId="7FD97F5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C695672">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5.2</w:t>
            </w:r>
          </w:p>
        </w:tc>
        <w:tc>
          <w:tcPr>
            <w:tcW w:w="2548" w:type="dxa"/>
            <w:noWrap w:val="0"/>
            <w:vAlign w:val="center"/>
          </w:tcPr>
          <w:p w14:paraId="0063161B">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联合体竞标要求</w:t>
            </w:r>
          </w:p>
        </w:tc>
        <w:tc>
          <w:tcPr>
            <w:tcW w:w="6853" w:type="dxa"/>
            <w:noWrap w:val="0"/>
            <w:vAlign w:val="center"/>
          </w:tcPr>
          <w:p w14:paraId="2936B708">
            <w:pPr>
              <w:pStyle w:val="11"/>
              <w:spacing w:line="380" w:lineRule="exac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☑不接受联合体。</w:t>
            </w:r>
          </w:p>
          <w:p w14:paraId="35D5167E">
            <w:pPr>
              <w:spacing w:line="360" w:lineRule="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接受联合体：</w:t>
            </w:r>
          </w:p>
          <w:p w14:paraId="43A89733">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1.两个以上供应商可以组成一个竞标联合体，以一个供应商的身份共同参加竞标。联合体竞标的，须提供《联合体竞标协议书》（格式后附）。</w:t>
            </w:r>
          </w:p>
          <w:p w14:paraId="7179A01F">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以联合体形式参加竞标的，联合体各方均必须具备《中华人民共和国政府采购法》第二十二条第一款规定的基本条件（涉及行政许可范围的内容，联合体各方均应具备相应资质）。本项目有特殊要求规定供应商特定条件的，联合体各方中至少有一方必须符合</w:t>
            </w:r>
            <w:r>
              <w:rPr>
                <w:rFonts w:hint="eastAsia" w:ascii="宋体" w:hAnsi="宋体" w:eastAsia="宋体" w:cs="宋体"/>
                <w:color w:val="auto"/>
                <w:szCs w:val="21"/>
                <w:highlight w:val="none"/>
                <w:lang w:eastAsia="zh-CN"/>
              </w:rPr>
              <w:t>竞争性</w:t>
            </w:r>
            <w:r>
              <w:rPr>
                <w:rFonts w:hint="eastAsia" w:ascii="宋体" w:hAnsi="宋体" w:eastAsia="宋体" w:cs="宋体"/>
                <w:color w:val="auto"/>
                <w:szCs w:val="21"/>
                <w:highlight w:val="none"/>
              </w:rPr>
              <w:t>磋商文件规定的特定条件。</w:t>
            </w:r>
          </w:p>
          <w:p w14:paraId="5845C139">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3.联合体各方之间必须签订联合竞标协议，协议书必须明确主体方（或者牵头方）并明确约定联合体各方承担的工作和相应的责任（各方承担责任与义务的分工必须符合采购需求，</w:t>
            </w:r>
            <w:r>
              <w:rPr>
                <w:rFonts w:hint="eastAsia" w:ascii="宋体" w:hAnsi="宋体" w:eastAsia="宋体" w:cs="宋体"/>
                <w:b/>
                <w:bCs/>
                <w:color w:val="auto"/>
                <w:szCs w:val="21"/>
                <w:highlight w:val="none"/>
              </w:rPr>
              <w:t>否则，联合体竞标无效</w:t>
            </w:r>
            <w:r>
              <w:rPr>
                <w:rFonts w:hint="eastAsia" w:ascii="宋体" w:hAnsi="宋体" w:eastAsia="宋体" w:cs="宋体"/>
                <w:color w:val="auto"/>
                <w:szCs w:val="21"/>
                <w:highlight w:val="none"/>
              </w:rPr>
              <w:t>），并将联合竞标协议放入响应文件。联合体各方必须共同与采购人签订采购合同，就采购合同约定的事项对采购人承担连带责任。</w:t>
            </w:r>
          </w:p>
          <w:p w14:paraId="400F7C02">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4.以联合体形式参加政府采购活动的，联合体各方不得再单独参加或者与</w:t>
            </w:r>
            <w:r>
              <w:rPr>
                <w:rFonts w:hint="eastAsia" w:ascii="宋体" w:hAnsi="宋体" w:eastAsia="宋体" w:cs="宋体"/>
                <w:color w:val="auto"/>
                <w:szCs w:val="21"/>
                <w:highlight w:val="none"/>
                <w:lang w:eastAsia="zh-CN"/>
              </w:rPr>
              <w:t>其他</w:t>
            </w:r>
            <w:r>
              <w:rPr>
                <w:rFonts w:hint="eastAsia" w:ascii="宋体" w:hAnsi="宋体" w:eastAsia="宋体" w:cs="宋体"/>
                <w:color w:val="auto"/>
                <w:szCs w:val="21"/>
                <w:highlight w:val="none"/>
              </w:rPr>
              <w:t>供应商另外组成联合体参加同一合同项下的政府采购活动。</w:t>
            </w:r>
          </w:p>
          <w:p w14:paraId="3F7D57B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5.联合体中有同类资质的供应商按照联合体分工承担相同工作的，应当按照资质等级较低的供应商确定资质等级。</w:t>
            </w:r>
          </w:p>
          <w:p w14:paraId="6FA58523">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6.联合体竞标业绩、履约能力按照联合体各方中较高的一方认定并计算（</w:t>
            </w:r>
            <w:r>
              <w:rPr>
                <w:rFonts w:hint="eastAsia" w:ascii="宋体" w:hAnsi="宋体" w:eastAsia="宋体" w:cs="宋体"/>
                <w:color w:val="auto"/>
                <w:szCs w:val="21"/>
                <w:highlight w:val="none"/>
                <w:lang w:eastAsia="zh-CN"/>
              </w:rPr>
              <w:t>竞争性</w:t>
            </w:r>
            <w:r>
              <w:rPr>
                <w:rFonts w:hint="eastAsia" w:ascii="宋体" w:hAnsi="宋体" w:eastAsia="宋体" w:cs="宋体"/>
                <w:color w:val="auto"/>
                <w:szCs w:val="21"/>
                <w:highlight w:val="none"/>
              </w:rPr>
              <w:t>磋商文件另有规定的除外）。</w:t>
            </w:r>
          </w:p>
          <w:p w14:paraId="0E4E0687">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7.供应商为联合体的，可以由联合体中的一方或者多方共同</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纳磋商保证金，其</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纳的磋商保证金对联合体各方均具有约束力。</w:t>
            </w:r>
          </w:p>
          <w:p w14:paraId="69769068">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8.联合体各方均应按照</w:t>
            </w:r>
            <w:r>
              <w:rPr>
                <w:rFonts w:hint="eastAsia" w:ascii="宋体" w:hAnsi="宋体" w:eastAsia="宋体" w:cs="宋体"/>
                <w:color w:val="auto"/>
                <w:szCs w:val="21"/>
                <w:highlight w:val="none"/>
                <w:lang w:eastAsia="zh-CN"/>
              </w:rPr>
              <w:t>竞争性</w:t>
            </w:r>
            <w:r>
              <w:rPr>
                <w:rFonts w:hint="eastAsia" w:ascii="宋体" w:hAnsi="宋体" w:eastAsia="宋体" w:cs="宋体"/>
                <w:color w:val="auto"/>
                <w:szCs w:val="21"/>
                <w:highlight w:val="none"/>
              </w:rPr>
              <w:t>磋商文件的规定提交资格文件。</w:t>
            </w:r>
          </w:p>
        </w:tc>
      </w:tr>
      <w:tr w14:paraId="04D8AC6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24F7A6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6.1</w:t>
            </w:r>
          </w:p>
        </w:tc>
        <w:tc>
          <w:tcPr>
            <w:tcW w:w="2548" w:type="dxa"/>
            <w:noWrap w:val="0"/>
            <w:vAlign w:val="center"/>
          </w:tcPr>
          <w:p w14:paraId="493B7DDE">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是否允许分包</w:t>
            </w:r>
          </w:p>
        </w:tc>
        <w:tc>
          <w:tcPr>
            <w:tcW w:w="6853" w:type="dxa"/>
            <w:noWrap w:val="0"/>
            <w:vAlign w:val="center"/>
          </w:tcPr>
          <w:p w14:paraId="14F3435B">
            <w:pPr>
              <w:pStyle w:val="11"/>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不允许分包</w:t>
            </w:r>
          </w:p>
          <w:p w14:paraId="0EB95A4E">
            <w:pPr>
              <w:pStyle w:val="11"/>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□允许分包</w:t>
            </w:r>
          </w:p>
          <w:p w14:paraId="2863C106">
            <w:pPr>
              <w:pStyle w:val="11"/>
              <w:spacing w:line="360" w:lineRule="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分包内容：</w:t>
            </w:r>
            <w:r>
              <w:rPr>
                <w:rFonts w:hint="eastAsia" w:ascii="宋体" w:hAnsi="宋体" w:eastAsia="宋体" w:cs="宋体"/>
                <w:color w:val="auto"/>
                <w:szCs w:val="21"/>
                <w:highlight w:val="none"/>
                <w:u w:val="single"/>
              </w:rPr>
              <w:t xml:space="preserve">                                     。</w:t>
            </w:r>
          </w:p>
          <w:p w14:paraId="425D0A25">
            <w:pPr>
              <w:pStyle w:val="11"/>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分包金额或者比例：</w:t>
            </w:r>
            <w:r>
              <w:rPr>
                <w:rFonts w:hint="eastAsia" w:ascii="宋体" w:hAnsi="宋体" w:eastAsia="宋体" w:cs="宋体"/>
                <w:color w:val="auto"/>
                <w:szCs w:val="21"/>
                <w:highlight w:val="none"/>
                <w:u w:val="single"/>
              </w:rPr>
              <w:t xml:space="preserve">                                     。</w:t>
            </w:r>
          </w:p>
        </w:tc>
      </w:tr>
      <w:tr w14:paraId="2D8C876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2DCB6407">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12.1.1</w:t>
            </w:r>
          </w:p>
        </w:tc>
        <w:tc>
          <w:tcPr>
            <w:tcW w:w="2548" w:type="dxa"/>
            <w:noWrap w:val="0"/>
            <w:vAlign w:val="center"/>
          </w:tcPr>
          <w:p w14:paraId="015B6818">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b/>
                <w:color w:val="auto"/>
                <w:szCs w:val="21"/>
                <w:highlight w:val="none"/>
              </w:rPr>
              <w:t>资格文件组成</w:t>
            </w:r>
          </w:p>
        </w:tc>
        <w:tc>
          <w:tcPr>
            <w:tcW w:w="6853" w:type="dxa"/>
            <w:noWrap w:val="0"/>
            <w:vAlign w:val="center"/>
          </w:tcPr>
          <w:p w14:paraId="70FD8F50">
            <w:pPr>
              <w:pStyle w:val="11"/>
              <w:numPr>
                <w:ilvl w:val="0"/>
                <w:numId w:val="0"/>
              </w:numPr>
              <w:spacing w:line="360" w:lineRule="auto"/>
              <w:rPr>
                <w:rFonts w:hint="eastAsia" w:ascii="宋体" w:hAnsi="宋体" w:eastAsia="宋体" w:cs="宋体"/>
                <w:color w:val="auto"/>
                <w:szCs w:val="21"/>
                <w:highlight w:val="none"/>
              </w:rPr>
            </w:pPr>
            <w:r>
              <w:rPr>
                <w:rFonts w:hint="eastAsia" w:ascii="宋体" w:hAnsi="宋体" w:eastAsia="宋体" w:cs="宋体"/>
                <w:color w:val="auto"/>
                <w:kern w:val="2"/>
                <w:sz w:val="21"/>
                <w:szCs w:val="21"/>
                <w:highlight w:val="none"/>
                <w:lang w:val="en-US" w:eastAsia="zh-CN" w:bidi="ar-SA"/>
              </w:rPr>
              <w:t>1.</w:t>
            </w:r>
            <w:r>
              <w:rPr>
                <w:rFonts w:hint="eastAsia" w:ascii="宋体" w:hAnsi="宋体" w:eastAsia="宋体" w:cs="宋体"/>
                <w:color w:val="auto"/>
                <w:sz w:val="21"/>
                <w:szCs w:val="21"/>
                <w:highlight w:val="none"/>
                <w:lang w:val="en-US" w:eastAsia="zh-CN"/>
              </w:rPr>
              <w:t>供应商为法人或者其他组织的，提供营业执照等证明文件复印件（如营业执照或者事业单位法人证书或者执业许可证等），供应商为自然人的，提供有效身份证正反面复印件；银行、保险、石油石化、电力、电信等有行业特殊情况的，法人的分支机构经法人授权后可以分支机构的身份参加政府采购。如供应商为分支机构的，必须在响应文件中同时提供经法人授权供应商以分支机构名义参加竞标的</w:t>
            </w:r>
            <w:r>
              <w:rPr>
                <w:rFonts w:hint="eastAsia" w:ascii="宋体" w:hAnsi="宋体" w:cs="宋体"/>
                <w:color w:val="auto"/>
                <w:sz w:val="21"/>
                <w:szCs w:val="21"/>
                <w:highlight w:val="none"/>
                <w:lang w:val="en-US" w:eastAsia="zh-CN"/>
              </w:rPr>
              <w:t>授权委托书、法人营业执照及分支机构营业执照的复印件</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579F1DFF">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2.供应商依法缴纳税收的相关材料（</w:t>
            </w:r>
            <w:r>
              <w:rPr>
                <w:rFonts w:hint="eastAsia" w:ascii="宋体" w:hAnsi="宋体" w:cs="宋体"/>
                <w:color w:val="auto"/>
                <w:szCs w:val="21"/>
                <w:highlight w:val="none"/>
                <w:u w:val="none"/>
                <w:lang w:val="en-US" w:eastAsia="zh-CN"/>
              </w:rPr>
              <w:t>提供税款所属时期为</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2025</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月至</w:t>
            </w:r>
            <w:r>
              <w:rPr>
                <w:rFonts w:hint="eastAsia" w:ascii="宋体" w:hAnsi="宋体" w:eastAsia="宋体" w:cs="宋体"/>
                <w:color w:val="auto"/>
                <w:sz w:val="21"/>
                <w:szCs w:val="21"/>
                <w:highlight w:val="none"/>
                <w:lang w:val="en-US" w:eastAsia="zh-CN"/>
              </w:rPr>
              <w:t>首次响应</w:t>
            </w:r>
            <w:r>
              <w:rPr>
                <w:rFonts w:hint="eastAsia" w:ascii="宋体" w:hAnsi="宋体" w:eastAsia="宋体" w:cs="宋体"/>
                <w:color w:val="auto"/>
                <w:sz w:val="21"/>
                <w:szCs w:val="21"/>
                <w:highlight w:val="none"/>
              </w:rPr>
              <w:t>文件提交截止时间止</w:t>
            </w:r>
            <w:r>
              <w:rPr>
                <w:rFonts w:hint="eastAsia" w:ascii="宋体" w:hAnsi="宋体" w:cs="宋体"/>
                <w:color w:val="auto"/>
                <w:sz w:val="21"/>
                <w:szCs w:val="21"/>
                <w:highlight w:val="none"/>
                <w:lang w:val="en-US" w:eastAsia="zh-CN"/>
              </w:rPr>
              <w:t>的</w:t>
            </w:r>
            <w:r>
              <w:rPr>
                <w:rFonts w:hint="eastAsia" w:ascii="宋体" w:hAnsi="宋体" w:eastAsia="宋体" w:cs="宋体"/>
                <w:color w:val="auto"/>
                <w:szCs w:val="21"/>
                <w:highlight w:val="none"/>
                <w:lang w:eastAsia="zh-CN"/>
              </w:rPr>
              <w:t>任意</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个月的依法缴纳税收的凭据复印件；依法免税的供应商，必须提供相应文件证明其依法免税。从取得营业执照时间起到首次响应文件提交截止时间为止不足要求月数的，只需提供从取得营业执照起的依法缴纳税收相应证明文件）；（</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54063652">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3.供应商依法缴纳社会保障资金的相关材料</w:t>
            </w:r>
            <w:r>
              <w:rPr>
                <w:rFonts w:hint="eastAsia" w:ascii="宋体" w:hAnsi="宋体" w:eastAsia="宋体" w:cs="宋体"/>
                <w:color w:val="auto"/>
                <w:szCs w:val="21"/>
                <w:highlight w:val="none"/>
                <w:lang w:eastAsia="zh-CN"/>
              </w:rPr>
              <w:t>（</w:t>
            </w:r>
            <w:r>
              <w:rPr>
                <w:rFonts w:hint="eastAsia" w:ascii="宋体" w:hAnsi="宋体" w:cs="宋体"/>
                <w:color w:val="auto"/>
                <w:szCs w:val="21"/>
                <w:highlight w:val="none"/>
                <w:u w:val="none"/>
                <w:lang w:val="en-US" w:eastAsia="zh-CN"/>
              </w:rPr>
              <w:t>提供税款所属时期或缴费起始时间为</w:t>
            </w:r>
            <w:r>
              <w:rPr>
                <w:rFonts w:hint="eastAsia" w:ascii="宋体" w:hAnsi="宋体" w:eastAsia="宋体" w:cs="宋体"/>
                <w:color w:val="auto"/>
                <w:szCs w:val="21"/>
                <w:highlight w:val="none"/>
                <w:u w:val="single"/>
                <w:lang w:val="en-US" w:eastAsia="zh-CN"/>
              </w:rPr>
              <w:t>2025</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月至</w:t>
            </w:r>
            <w:r>
              <w:rPr>
                <w:rFonts w:hint="eastAsia" w:ascii="宋体" w:hAnsi="宋体" w:eastAsia="宋体" w:cs="宋体"/>
                <w:color w:val="auto"/>
                <w:sz w:val="21"/>
                <w:szCs w:val="21"/>
                <w:highlight w:val="none"/>
                <w:lang w:val="en-US" w:eastAsia="zh-CN"/>
              </w:rPr>
              <w:t>首次响应</w:t>
            </w:r>
            <w:r>
              <w:rPr>
                <w:rFonts w:hint="eastAsia" w:ascii="宋体" w:hAnsi="宋体" w:eastAsia="宋体" w:cs="宋体"/>
                <w:color w:val="auto"/>
                <w:sz w:val="21"/>
                <w:szCs w:val="21"/>
                <w:highlight w:val="none"/>
              </w:rPr>
              <w:t>文件提交截止时间止</w:t>
            </w:r>
            <w:r>
              <w:rPr>
                <w:rFonts w:hint="eastAsia" w:ascii="宋体" w:hAnsi="宋体" w:cs="宋体"/>
                <w:color w:val="auto"/>
                <w:sz w:val="21"/>
                <w:szCs w:val="21"/>
                <w:highlight w:val="none"/>
                <w:lang w:val="en-US" w:eastAsia="zh-CN"/>
              </w:rPr>
              <w:t>的</w:t>
            </w:r>
            <w:r>
              <w:rPr>
                <w:rFonts w:hint="eastAsia" w:ascii="宋体" w:hAnsi="宋体" w:eastAsia="宋体" w:cs="宋体"/>
                <w:color w:val="auto"/>
                <w:szCs w:val="21"/>
                <w:highlight w:val="none"/>
                <w:lang w:eastAsia="zh-CN"/>
              </w:rPr>
              <w:t>任意</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1</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个月的依法缴纳社会保障资金的缴费凭证复印件；依法不需要缴纳社会保障资金的供应商，必须提供相应文件证明不需要缴纳社会保障资金。从取得营业执照时间起到首次响应文件提交截止时间为止不足要求月数的只需提供从取得营业执照起的依法缴纳社会保障资金的相应证明文件</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580FE1EB">
            <w:pPr>
              <w:snapToGrid w:val="0"/>
              <w:spacing w:line="360" w:lineRule="auto"/>
              <w:jc w:val="left"/>
              <w:rPr>
                <w:rFonts w:hint="eastAsia" w:ascii="宋体" w:hAnsi="宋体" w:eastAsia="宋体" w:cs="宋体"/>
                <w:b/>
                <w:color w:val="auto"/>
                <w:szCs w:val="21"/>
                <w:highlight w:val="none"/>
              </w:rPr>
            </w:pPr>
            <w:r>
              <w:rPr>
                <w:rFonts w:hint="eastAsia" w:ascii="宋体" w:hAnsi="宋体" w:eastAsia="宋体" w:cs="宋体"/>
                <w:color w:val="auto"/>
                <w:szCs w:val="21"/>
                <w:highlight w:val="none"/>
              </w:rPr>
              <w:t>4.供应商财务状况报告</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提供</w:t>
            </w:r>
            <w:r>
              <w:rPr>
                <w:rFonts w:hint="eastAsia" w:ascii="宋体" w:hAnsi="宋体" w:eastAsia="宋体" w:cs="宋体"/>
                <w:color w:val="auto"/>
                <w:szCs w:val="21"/>
                <w:highlight w:val="none"/>
                <w:u w:val="single"/>
                <w:lang w:val="en-US" w:eastAsia="zh-CN"/>
              </w:rPr>
              <w:t xml:space="preserve"> 2024或2025  </w:t>
            </w:r>
            <w:r>
              <w:rPr>
                <w:rFonts w:hint="eastAsia" w:ascii="宋体" w:hAnsi="宋体" w:eastAsia="宋体" w:cs="宋体"/>
                <w:color w:val="auto"/>
                <w:szCs w:val="21"/>
                <w:highlight w:val="none"/>
              </w:rPr>
              <w:t>年度经审计的财务报告</w:t>
            </w:r>
            <w:r>
              <w:rPr>
                <w:rFonts w:hint="eastAsia" w:ascii="宋体" w:hAnsi="宋体" w:eastAsia="宋体" w:cs="宋体"/>
                <w:color w:val="auto"/>
                <w:szCs w:val="21"/>
                <w:highlight w:val="none"/>
                <w:lang w:eastAsia="zh-CN"/>
              </w:rPr>
              <w:t>复印件</w:t>
            </w:r>
            <w:r>
              <w:rPr>
                <w:rFonts w:hint="eastAsia" w:ascii="宋体" w:hAnsi="宋体" w:eastAsia="宋体" w:cs="宋体"/>
                <w:color w:val="auto"/>
                <w:szCs w:val="21"/>
                <w:highlight w:val="none"/>
              </w:rPr>
              <w:t>或</w:t>
            </w:r>
            <w:r>
              <w:rPr>
                <w:rFonts w:hint="eastAsia" w:ascii="宋体" w:hAnsi="宋体" w:eastAsia="宋体" w:cs="宋体"/>
                <w:color w:val="auto"/>
                <w:szCs w:val="21"/>
                <w:highlight w:val="none"/>
                <w:lang w:eastAsia="zh-CN"/>
              </w:rPr>
              <w:t>者</w:t>
            </w:r>
            <w:r>
              <w:rPr>
                <w:rFonts w:hint="eastAsia" w:ascii="宋体" w:hAnsi="宋体" w:eastAsia="宋体" w:cs="宋体"/>
                <w:color w:val="auto"/>
                <w:szCs w:val="21"/>
                <w:highlight w:val="none"/>
              </w:rPr>
              <w:t>截标时间前半年内至少一个月能反映财务状况的报表或</w:t>
            </w:r>
            <w:r>
              <w:rPr>
                <w:rFonts w:hint="eastAsia" w:ascii="宋体" w:hAnsi="宋体" w:eastAsia="宋体" w:cs="宋体"/>
                <w:color w:val="auto"/>
                <w:szCs w:val="21"/>
                <w:highlight w:val="none"/>
                <w:lang w:eastAsia="zh-CN"/>
              </w:rPr>
              <w:t>者供应商</w:t>
            </w:r>
            <w:r>
              <w:rPr>
                <w:rFonts w:hint="eastAsia" w:ascii="宋体" w:hAnsi="宋体" w:eastAsia="宋体" w:cs="宋体"/>
                <w:color w:val="auto"/>
                <w:szCs w:val="21"/>
                <w:highlight w:val="none"/>
              </w:rPr>
              <w:t>自拟的截标时间前半年内至少一个月的财务情况说明</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w:t>
            </w:r>
            <w:r>
              <w:rPr>
                <w:rFonts w:hint="eastAsia" w:ascii="宋体" w:hAnsi="宋体" w:eastAsia="宋体" w:cs="宋体"/>
                <w:bCs/>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bCs/>
                <w:color w:val="auto"/>
                <w:szCs w:val="21"/>
                <w:highlight w:val="none"/>
              </w:rPr>
              <w:t>）</w:t>
            </w:r>
          </w:p>
          <w:p w14:paraId="6150D489">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5.本项目的特定资格要求</w:t>
            </w:r>
            <w:r>
              <w:rPr>
                <w:rFonts w:hint="eastAsia" w:ascii="宋体" w:hAnsi="宋体" w:eastAsia="宋体" w:cs="宋体"/>
                <w:color w:val="auto"/>
                <w:szCs w:val="21"/>
                <w:highlight w:val="none"/>
                <w:lang w:eastAsia="zh-CN"/>
              </w:rPr>
              <w:t>：</w:t>
            </w:r>
            <w:r>
              <w:rPr>
                <w:rFonts w:hint="eastAsia" w:ascii="宋体" w:hAnsi="宋体" w:cs="宋体"/>
                <w:color w:val="auto"/>
                <w:szCs w:val="21"/>
                <w:highlight w:val="none"/>
                <w:u w:val="single"/>
                <w:lang w:eastAsia="zh-CN"/>
              </w:rPr>
              <w:t>提供有效</w:t>
            </w:r>
            <w:r>
              <w:rPr>
                <w:rFonts w:hint="eastAsia" w:ascii="宋体" w:hAnsi="宋体" w:eastAsia="宋体" w:cs="宋体"/>
                <w:color w:val="auto"/>
                <w:szCs w:val="21"/>
                <w:highlight w:val="none"/>
                <w:u w:val="single"/>
              </w:rPr>
              <w:t>的《出版物经营许可证》</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21E27495">
            <w:pPr>
              <w:numPr>
                <w:ilvl w:val="0"/>
                <w:numId w:val="0"/>
              </w:numPr>
              <w:snapToGrid w:val="0"/>
              <w:spacing w:line="380" w:lineRule="exact"/>
              <w:ind w:left="0" w:firstLine="0"/>
              <w:jc w:val="left"/>
              <w:rPr>
                <w:rFonts w:hint="eastAsia" w:ascii="宋体" w:hAnsi="宋体" w:cs="宋体"/>
                <w:color w:val="auto"/>
                <w:szCs w:val="21"/>
                <w:highlight w:val="none"/>
              </w:rPr>
            </w:pPr>
            <w:r>
              <w:rPr>
                <w:rFonts w:hint="eastAsia" w:ascii="宋体" w:hAnsi="宋体" w:cs="宋体"/>
                <w:color w:val="auto"/>
                <w:szCs w:val="21"/>
                <w:highlight w:val="none"/>
                <w:lang w:val="en-US" w:eastAsia="zh-CN"/>
              </w:rPr>
              <w:t>6.</w:t>
            </w:r>
            <w:r>
              <w:rPr>
                <w:rFonts w:hint="eastAsia" w:ascii="宋体" w:hAnsi="宋体"/>
                <w:color w:val="auto"/>
                <w:szCs w:val="21"/>
                <w:highlight w:val="none"/>
                <w:lang w:eastAsia="zh-CN"/>
              </w:rPr>
              <w:t>供应商</w:t>
            </w:r>
            <w:r>
              <w:rPr>
                <w:rFonts w:hint="eastAsia" w:ascii="宋体" w:hAnsi="宋体"/>
                <w:color w:val="auto"/>
                <w:szCs w:val="21"/>
                <w:highlight w:val="none"/>
              </w:rPr>
              <w:t>直接控股股东信息表</w:t>
            </w:r>
            <w:r>
              <w:rPr>
                <w:rFonts w:hint="eastAsia" w:ascii="宋体" w:hAnsi="宋体" w:eastAsia="宋体" w:cs="宋体"/>
                <w:color w:val="auto"/>
                <w:szCs w:val="21"/>
                <w:highlight w:val="none"/>
              </w:rPr>
              <w:t>（格式后附）</w:t>
            </w:r>
            <w:r>
              <w:rPr>
                <w:rFonts w:hint="eastAsia" w:ascii="宋体" w:hAnsi="宋体" w:eastAsia="宋体"/>
                <w:color w:val="auto"/>
                <w:szCs w:val="21"/>
                <w:highlight w:val="none"/>
                <w:lang w:eastAsia="zh-CN"/>
              </w:rPr>
              <w:t>。</w:t>
            </w:r>
            <w:r>
              <w:rPr>
                <w:rFonts w:hint="eastAsia" w:ascii="宋体" w:hAnsi="宋体"/>
                <w:color w:val="auto"/>
                <w:szCs w:val="21"/>
                <w:highlight w:val="none"/>
              </w:rPr>
              <w:t>（</w:t>
            </w:r>
            <w:r>
              <w:rPr>
                <w:rFonts w:hint="eastAsia" w:ascii="宋体" w:hAnsi="宋体"/>
                <w:b/>
                <w:color w:val="auto"/>
                <w:szCs w:val="21"/>
                <w:highlight w:val="none"/>
              </w:rPr>
              <w:t>必须提供，</w:t>
            </w:r>
            <w:r>
              <w:rPr>
                <w:rFonts w:hint="eastAsia" w:ascii="宋体" w:hAnsi="宋体" w:eastAsia="宋体" w:cs="宋体"/>
                <w:b/>
                <w:color w:val="auto"/>
                <w:szCs w:val="21"/>
                <w:highlight w:val="none"/>
              </w:rPr>
              <w:t>否则响应文件按无效响应处理</w:t>
            </w:r>
            <w:r>
              <w:rPr>
                <w:rFonts w:hint="eastAsia" w:ascii="宋体" w:hAnsi="宋体"/>
                <w:color w:val="auto"/>
                <w:szCs w:val="21"/>
                <w:highlight w:val="none"/>
              </w:rPr>
              <w:t>）</w:t>
            </w:r>
          </w:p>
          <w:p w14:paraId="5752F8D5">
            <w:pPr>
              <w:spacing w:line="380" w:lineRule="exact"/>
              <w:rPr>
                <w:rFonts w:hint="eastAsia"/>
                <w:color w:val="auto"/>
                <w:highlight w:val="none"/>
              </w:rPr>
            </w:pPr>
            <w:r>
              <w:rPr>
                <w:rFonts w:hint="eastAsia" w:ascii="宋体" w:hAnsi="宋体"/>
                <w:color w:val="auto"/>
                <w:szCs w:val="21"/>
                <w:highlight w:val="none"/>
                <w:lang w:val="en-US" w:eastAsia="zh-CN"/>
              </w:rPr>
              <w:t>7.</w:t>
            </w:r>
            <w:r>
              <w:rPr>
                <w:rFonts w:hint="eastAsia" w:ascii="宋体" w:hAnsi="宋体"/>
                <w:color w:val="auto"/>
                <w:szCs w:val="21"/>
                <w:highlight w:val="none"/>
                <w:lang w:eastAsia="zh-CN"/>
              </w:rPr>
              <w:t>供应商</w:t>
            </w:r>
            <w:r>
              <w:rPr>
                <w:rFonts w:hint="eastAsia" w:ascii="宋体" w:hAnsi="宋体"/>
                <w:color w:val="auto"/>
                <w:szCs w:val="21"/>
                <w:highlight w:val="none"/>
              </w:rPr>
              <w:t>直接管理关系信息表</w:t>
            </w:r>
            <w:r>
              <w:rPr>
                <w:rFonts w:hint="eastAsia" w:ascii="宋体" w:hAnsi="宋体" w:eastAsia="宋体" w:cs="宋体"/>
                <w:color w:val="auto"/>
                <w:szCs w:val="21"/>
                <w:highlight w:val="none"/>
              </w:rPr>
              <w:t>（格式后附）</w:t>
            </w:r>
            <w:r>
              <w:rPr>
                <w:rFonts w:hint="eastAsia" w:ascii="宋体" w:hAnsi="宋体" w:eastAsia="宋体"/>
                <w:color w:val="auto"/>
                <w:szCs w:val="21"/>
                <w:highlight w:val="none"/>
                <w:lang w:eastAsia="zh-CN"/>
              </w:rPr>
              <w:t>。</w:t>
            </w:r>
            <w:r>
              <w:rPr>
                <w:rFonts w:hint="eastAsia" w:ascii="宋体" w:hAnsi="宋体" w:cs="宋体"/>
                <w:color w:val="auto"/>
                <w:szCs w:val="21"/>
                <w:highlight w:val="none"/>
              </w:rPr>
              <w:t>（</w:t>
            </w:r>
            <w:r>
              <w:rPr>
                <w:rFonts w:hint="eastAsia" w:ascii="宋体" w:hAnsi="宋体" w:cs="宋体"/>
                <w:b/>
                <w:color w:val="auto"/>
                <w:szCs w:val="21"/>
                <w:highlight w:val="none"/>
              </w:rPr>
              <w:t>必须提供，</w:t>
            </w:r>
            <w:r>
              <w:rPr>
                <w:rFonts w:hint="eastAsia" w:ascii="宋体" w:hAnsi="宋体" w:eastAsia="宋体" w:cs="宋体"/>
                <w:b/>
                <w:color w:val="auto"/>
                <w:szCs w:val="21"/>
                <w:highlight w:val="none"/>
              </w:rPr>
              <w:t>否则响应文件按无效响应处理</w:t>
            </w:r>
            <w:r>
              <w:rPr>
                <w:rFonts w:hint="eastAsia" w:ascii="宋体" w:hAnsi="宋体" w:cs="宋体"/>
                <w:color w:val="auto"/>
                <w:szCs w:val="21"/>
                <w:highlight w:val="none"/>
              </w:rPr>
              <w:t>）</w:t>
            </w:r>
          </w:p>
          <w:p w14:paraId="7DC06563">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.声明</w:t>
            </w:r>
            <w:r>
              <w:rPr>
                <w:rFonts w:hint="eastAsia" w:ascii="宋体" w:hAnsi="宋体" w:eastAsia="宋体" w:cs="宋体"/>
                <w:color w:val="auto"/>
                <w:szCs w:val="21"/>
                <w:highlight w:val="none"/>
                <w:lang w:eastAsia="zh-CN"/>
              </w:rPr>
              <w:t>函</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7EF80760">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9</w:t>
            </w:r>
            <w:r>
              <w:rPr>
                <w:rFonts w:hint="eastAsia" w:ascii="宋体" w:hAnsi="宋体" w:eastAsia="宋体" w:cs="宋体"/>
                <w:color w:val="auto"/>
                <w:szCs w:val="21"/>
                <w:highlight w:val="none"/>
              </w:rPr>
              <w:t>.联合体</w:t>
            </w:r>
            <w:r>
              <w:rPr>
                <w:rFonts w:hint="eastAsia" w:ascii="宋体" w:hAnsi="宋体" w:eastAsia="宋体" w:cs="宋体"/>
                <w:color w:val="auto"/>
                <w:szCs w:val="21"/>
                <w:highlight w:val="none"/>
                <w:lang w:eastAsia="zh-CN"/>
              </w:rPr>
              <w:t>竞标</w:t>
            </w:r>
            <w:r>
              <w:rPr>
                <w:rFonts w:hint="eastAsia" w:ascii="宋体" w:hAnsi="宋体" w:eastAsia="宋体" w:cs="宋体"/>
                <w:color w:val="auto"/>
                <w:szCs w:val="21"/>
                <w:highlight w:val="none"/>
              </w:rPr>
              <w:t>协议书</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联合体竞标时必须提供，否则响应文件按无效响应处理</w:t>
            </w:r>
            <w:r>
              <w:rPr>
                <w:rFonts w:hint="eastAsia" w:ascii="宋体" w:hAnsi="宋体" w:eastAsia="宋体" w:cs="宋体"/>
                <w:color w:val="auto"/>
                <w:szCs w:val="21"/>
                <w:highlight w:val="none"/>
              </w:rPr>
              <w:t>）</w:t>
            </w:r>
          </w:p>
          <w:p w14:paraId="18C26EF6">
            <w:pPr>
              <w:snapToGrid w:val="0"/>
              <w:spacing w:line="360" w:lineRule="auto"/>
              <w:jc w:val="lef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10</w:t>
            </w:r>
            <w:r>
              <w:rPr>
                <w:rFonts w:hint="eastAsia" w:ascii="宋体" w:hAnsi="宋体" w:eastAsia="宋体" w:cs="宋体"/>
                <w:color w:val="auto"/>
                <w:szCs w:val="21"/>
                <w:highlight w:val="none"/>
              </w:rPr>
              <w:t>.除</w:t>
            </w:r>
            <w:r>
              <w:rPr>
                <w:rFonts w:hint="eastAsia" w:ascii="宋体" w:hAnsi="宋体" w:eastAsia="宋体" w:cs="宋体"/>
                <w:color w:val="auto"/>
                <w:szCs w:val="21"/>
                <w:highlight w:val="none"/>
                <w:lang w:eastAsia="zh-CN"/>
              </w:rPr>
              <w:t>竞争性</w:t>
            </w:r>
            <w:r>
              <w:rPr>
                <w:rFonts w:hint="eastAsia" w:ascii="宋体" w:hAnsi="宋体" w:eastAsia="宋体" w:cs="宋体"/>
                <w:color w:val="auto"/>
                <w:szCs w:val="21"/>
                <w:highlight w:val="none"/>
              </w:rPr>
              <w:t>磋商文件规定必须提供以外，供应商认为需要提供的</w:t>
            </w:r>
            <w:r>
              <w:rPr>
                <w:rFonts w:hint="eastAsia" w:ascii="宋体" w:hAnsi="宋体" w:eastAsia="宋体" w:cs="宋体"/>
                <w:color w:val="auto"/>
                <w:szCs w:val="21"/>
                <w:highlight w:val="none"/>
                <w:lang w:eastAsia="zh-CN"/>
              </w:rPr>
              <w:t>其他</w:t>
            </w:r>
            <w:r>
              <w:rPr>
                <w:rFonts w:hint="eastAsia" w:ascii="宋体" w:hAnsi="宋体" w:eastAsia="宋体" w:cs="宋体"/>
                <w:color w:val="auto"/>
                <w:szCs w:val="21"/>
                <w:highlight w:val="none"/>
              </w:rPr>
              <w:t>证明材料</w:t>
            </w:r>
            <w:r>
              <w:rPr>
                <w:rFonts w:hint="eastAsia" w:ascii="宋体" w:hAnsi="宋体" w:eastAsia="宋体" w:cs="宋体"/>
                <w:color w:val="auto"/>
                <w:sz w:val="21"/>
                <w:szCs w:val="21"/>
                <w:highlight w:val="none"/>
              </w:rPr>
              <w:t>（格式自拟）</w:t>
            </w:r>
            <w:r>
              <w:rPr>
                <w:rFonts w:hint="eastAsia" w:ascii="宋体" w:hAnsi="宋体" w:eastAsia="宋体" w:cs="宋体"/>
                <w:color w:val="auto"/>
                <w:szCs w:val="21"/>
                <w:highlight w:val="none"/>
                <w:lang w:eastAsia="zh-CN"/>
              </w:rPr>
              <w:t>。</w:t>
            </w:r>
          </w:p>
          <w:p w14:paraId="768E1839">
            <w:pPr>
              <w:snapToGrid w:val="0"/>
              <w:spacing w:line="360" w:lineRule="auto"/>
              <w:jc w:val="left"/>
              <w:rPr>
                <w:rFonts w:hint="eastAsia" w:ascii="宋体" w:hAnsi="宋体" w:eastAsia="宋体" w:cs="宋体"/>
                <w:color w:val="auto"/>
                <w:szCs w:val="21"/>
                <w:highlight w:val="none"/>
              </w:rPr>
            </w:pPr>
          </w:p>
          <w:p w14:paraId="4AF8FCDF">
            <w:pPr>
              <w:pStyle w:val="11"/>
              <w:spacing w:line="360" w:lineRule="auto"/>
              <w:ind w:firstLine="0" w:firstLineChars="0"/>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注：</w:t>
            </w:r>
          </w:p>
          <w:p w14:paraId="2A54C66F">
            <w:pPr>
              <w:pStyle w:val="11"/>
              <w:spacing w:line="360" w:lineRule="auto"/>
              <w:ind w:firstLine="0" w:firstLineChars="0"/>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　　</w:t>
            </w:r>
            <w:r>
              <w:rPr>
                <w:rFonts w:hint="eastAsia" w:ascii="宋体" w:hAnsi="宋体" w:eastAsia="宋体" w:cs="宋体"/>
                <w:b/>
                <w:color w:val="auto"/>
                <w:szCs w:val="21"/>
                <w:highlight w:val="none"/>
                <w:lang w:val="en-US" w:eastAsia="zh-CN"/>
              </w:rPr>
              <w:t>1.</w:t>
            </w:r>
            <w:r>
              <w:rPr>
                <w:rFonts w:hint="eastAsia" w:ascii="宋体" w:hAnsi="宋体" w:eastAsia="宋体" w:cs="宋体"/>
                <w:b/>
                <w:color w:val="auto"/>
                <w:szCs w:val="21"/>
                <w:highlight w:val="none"/>
              </w:rPr>
              <w:t>以上标明“必须提供”的材料属于复印件的扫描件的，必须加盖供应商公章，否则响应文件按无效响应处理。</w:t>
            </w:r>
          </w:p>
          <w:p w14:paraId="4BE73CDC">
            <w:pPr>
              <w:pStyle w:val="11"/>
              <w:spacing w:line="360" w:lineRule="auto"/>
              <w:ind w:firstLine="422" w:firstLineChars="200"/>
              <w:rPr>
                <w:rFonts w:hint="eastAsia" w:ascii="宋体" w:hAnsi="宋体" w:eastAsia="宋体" w:cs="宋体"/>
                <w:b/>
                <w:color w:val="auto"/>
                <w:szCs w:val="21"/>
                <w:highlight w:val="none"/>
                <w:lang w:val="en-US" w:eastAsia="zh-CN"/>
              </w:rPr>
            </w:pPr>
            <w:r>
              <w:rPr>
                <w:rFonts w:hint="eastAsia" w:ascii="宋体" w:hAnsi="宋体" w:eastAsia="宋体" w:cs="宋体"/>
                <w:b/>
                <w:color w:val="auto"/>
                <w:szCs w:val="21"/>
                <w:highlight w:val="none"/>
                <w:lang w:val="en-US" w:eastAsia="zh-CN"/>
              </w:rPr>
              <w:t>2.联合体竞标时，第1-7项资格文件联合体各方均必须分别提供，联合体各方分别盖章，否则响应文件按无效响应处理。</w:t>
            </w:r>
          </w:p>
        </w:tc>
      </w:tr>
      <w:tr w14:paraId="601B6D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restart"/>
            <w:noWrap w:val="0"/>
            <w:vAlign w:val="center"/>
          </w:tcPr>
          <w:p w14:paraId="239BBCB4">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12.1.2</w:t>
            </w:r>
          </w:p>
        </w:tc>
        <w:tc>
          <w:tcPr>
            <w:tcW w:w="2548" w:type="dxa"/>
            <w:noWrap w:val="0"/>
            <w:vAlign w:val="center"/>
          </w:tcPr>
          <w:p w14:paraId="7FCDFF7E">
            <w:pPr>
              <w:spacing w:line="360"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商务文件组成</w:t>
            </w:r>
          </w:p>
        </w:tc>
        <w:tc>
          <w:tcPr>
            <w:tcW w:w="6853" w:type="dxa"/>
            <w:noWrap w:val="0"/>
            <w:vAlign w:val="center"/>
          </w:tcPr>
          <w:p w14:paraId="62473344">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1.无串通竞标行为的承诺函</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0C25D1EC">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法定代表人身份证明及法定代表人有效身份证正反面复印件</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除自然人竞标外</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473085EF">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.法定代表人授权委托书及委托代理人有效身份证正反面复印件</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委托时必须提供，否则响应文件按无效响应处理</w:t>
            </w:r>
            <w:r>
              <w:rPr>
                <w:rFonts w:hint="eastAsia" w:ascii="宋体" w:hAnsi="宋体" w:eastAsia="宋体" w:cs="宋体"/>
                <w:color w:val="auto"/>
                <w:szCs w:val="21"/>
                <w:highlight w:val="none"/>
              </w:rPr>
              <w:t>）</w:t>
            </w:r>
          </w:p>
          <w:p w14:paraId="1F419F8D">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磋商保证金提交凭证；（</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7D4AF0C2">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.商务条款偏离表</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00D8C35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供应商</w:t>
            </w:r>
            <w:r>
              <w:rPr>
                <w:rFonts w:hint="eastAsia" w:ascii="宋体" w:hAnsi="宋体" w:eastAsia="宋体" w:cs="宋体"/>
                <w:color w:val="auto"/>
                <w:szCs w:val="21"/>
                <w:highlight w:val="none"/>
              </w:rPr>
              <w:t>情况介绍</w:t>
            </w:r>
            <w:r>
              <w:rPr>
                <w:rFonts w:hint="eastAsia" w:ascii="宋体" w:hAnsi="宋体" w:eastAsia="宋体" w:cs="宋体"/>
                <w:color w:val="auto"/>
                <w:sz w:val="21"/>
                <w:szCs w:val="21"/>
                <w:highlight w:val="none"/>
              </w:rPr>
              <w:t>（格式自拟）</w:t>
            </w:r>
            <w:r>
              <w:rPr>
                <w:rFonts w:hint="eastAsia" w:ascii="宋体" w:hAnsi="宋体" w:eastAsia="宋体" w:cs="宋体"/>
                <w:color w:val="auto"/>
                <w:szCs w:val="21"/>
                <w:highlight w:val="none"/>
              </w:rPr>
              <w:t>；</w:t>
            </w:r>
          </w:p>
          <w:p w14:paraId="2DA1E7C2">
            <w:pPr>
              <w:spacing w:line="360" w:lineRule="auto"/>
              <w:ind w:firstLine="0" w:firstLineChars="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7</w:t>
            </w:r>
            <w:r>
              <w:rPr>
                <w:rFonts w:hint="eastAsia" w:ascii="宋体" w:hAnsi="宋体" w:eastAsia="宋体" w:cs="宋体"/>
                <w:color w:val="auto"/>
                <w:szCs w:val="21"/>
                <w:highlight w:val="none"/>
              </w:rPr>
              <w:t>.对应采购需求的商务条款提供的其他文件资料</w:t>
            </w:r>
            <w:r>
              <w:rPr>
                <w:rFonts w:hint="eastAsia" w:ascii="宋体" w:hAnsi="宋体" w:eastAsia="宋体" w:cs="宋体"/>
                <w:color w:val="auto"/>
                <w:sz w:val="21"/>
                <w:szCs w:val="21"/>
                <w:highlight w:val="none"/>
              </w:rPr>
              <w:t>（格式自拟）</w:t>
            </w:r>
            <w:r>
              <w:rPr>
                <w:rFonts w:hint="eastAsia" w:ascii="宋体" w:hAnsi="宋体" w:eastAsia="宋体" w:cs="宋体"/>
                <w:color w:val="auto"/>
                <w:szCs w:val="21"/>
                <w:highlight w:val="none"/>
              </w:rPr>
              <w:t>；</w:t>
            </w:r>
          </w:p>
          <w:p w14:paraId="3ACBF19C">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.供应商认为需要提供的其他有关资料</w:t>
            </w:r>
            <w:r>
              <w:rPr>
                <w:rFonts w:hint="eastAsia" w:ascii="宋体" w:hAnsi="宋体" w:eastAsia="宋体" w:cs="宋体"/>
                <w:color w:val="auto"/>
                <w:sz w:val="21"/>
                <w:szCs w:val="21"/>
                <w:highlight w:val="none"/>
              </w:rPr>
              <w:t>（格式自拟）</w:t>
            </w:r>
            <w:r>
              <w:rPr>
                <w:rFonts w:hint="eastAsia" w:ascii="宋体" w:hAnsi="宋体" w:eastAsia="宋体" w:cs="宋体"/>
                <w:color w:val="auto"/>
                <w:szCs w:val="21"/>
                <w:highlight w:val="none"/>
              </w:rPr>
              <w:t>。</w:t>
            </w:r>
          </w:p>
          <w:p w14:paraId="7D9D384F">
            <w:pPr>
              <w:snapToGrid w:val="0"/>
              <w:spacing w:line="360" w:lineRule="auto"/>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注： </w:t>
            </w:r>
          </w:p>
          <w:p w14:paraId="4A8F73DE">
            <w:pPr>
              <w:snapToGrid w:val="0"/>
              <w:spacing w:line="360" w:lineRule="auto"/>
              <w:ind w:firstLine="413" w:firstLineChars="196"/>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1.法定代表人授权委托书必须由法定代表人及</w:t>
            </w:r>
            <w:r>
              <w:rPr>
                <w:rFonts w:hint="eastAsia" w:ascii="宋体" w:hAnsi="宋体" w:eastAsia="宋体" w:cs="宋体"/>
                <w:b/>
                <w:color w:val="auto"/>
                <w:szCs w:val="21"/>
                <w:highlight w:val="none"/>
                <w:lang w:eastAsia="zh-CN"/>
              </w:rPr>
              <w:t>其</w:t>
            </w:r>
            <w:r>
              <w:rPr>
                <w:rFonts w:hint="eastAsia" w:ascii="宋体" w:hAnsi="宋体" w:eastAsia="宋体" w:cs="宋体"/>
                <w:b/>
                <w:color w:val="auto"/>
                <w:szCs w:val="21"/>
                <w:highlight w:val="none"/>
              </w:rPr>
              <w:t>委托代理人签字，并加盖供应商公章，否则响应文件按无效响应处理。</w:t>
            </w:r>
          </w:p>
          <w:p w14:paraId="1CB1675D">
            <w:pPr>
              <w:spacing w:line="360" w:lineRule="auto"/>
              <w:ind w:firstLine="413" w:firstLineChars="196"/>
              <w:rPr>
                <w:rFonts w:hint="eastAsia" w:ascii="宋体" w:hAnsi="宋体" w:eastAsia="宋体" w:cs="宋体"/>
                <w:b/>
                <w:color w:val="auto"/>
                <w:szCs w:val="21"/>
                <w:highlight w:val="none"/>
                <w:lang w:val="en-US" w:eastAsia="zh-CN"/>
              </w:rPr>
            </w:pPr>
            <w:r>
              <w:rPr>
                <w:rFonts w:hint="eastAsia" w:ascii="宋体" w:hAnsi="宋体" w:eastAsia="宋体" w:cs="宋体"/>
                <w:b/>
                <w:color w:val="auto"/>
                <w:szCs w:val="21"/>
                <w:highlight w:val="none"/>
              </w:rPr>
              <w:t>2.以上标明“必须提供”的材料属于复印件的扫描件的，必须加盖供应商公章，否则响应文件按无效响应处理。</w:t>
            </w:r>
          </w:p>
        </w:tc>
      </w:tr>
      <w:tr w14:paraId="3DEA43E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18" w:hRule="atLeast"/>
          <w:jc w:val="center"/>
        </w:trPr>
        <w:tc>
          <w:tcPr>
            <w:tcW w:w="963" w:type="dxa"/>
            <w:vMerge w:val="continue"/>
            <w:noWrap w:val="0"/>
            <w:vAlign w:val="center"/>
          </w:tcPr>
          <w:p w14:paraId="65C32F53">
            <w:pPr>
              <w:spacing w:line="360" w:lineRule="auto"/>
              <w:jc w:val="center"/>
              <w:rPr>
                <w:rFonts w:hint="eastAsia" w:ascii="宋体" w:hAnsi="宋体" w:eastAsia="宋体" w:cs="宋体"/>
                <w:color w:val="auto"/>
                <w:szCs w:val="21"/>
                <w:highlight w:val="none"/>
              </w:rPr>
            </w:pPr>
          </w:p>
        </w:tc>
        <w:tc>
          <w:tcPr>
            <w:tcW w:w="2548" w:type="dxa"/>
            <w:noWrap w:val="0"/>
            <w:vAlign w:val="center"/>
          </w:tcPr>
          <w:p w14:paraId="7C71F266">
            <w:pPr>
              <w:spacing w:line="360" w:lineRule="auto"/>
              <w:jc w:val="center"/>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技术文件组成</w:t>
            </w:r>
          </w:p>
        </w:tc>
        <w:tc>
          <w:tcPr>
            <w:tcW w:w="6853" w:type="dxa"/>
            <w:noWrap w:val="0"/>
            <w:vAlign w:val="center"/>
          </w:tcPr>
          <w:p w14:paraId="3E9DC958">
            <w:pPr>
              <w:spacing w:line="360" w:lineRule="auto"/>
              <w:ind w:firstLine="0" w:firstLineChars="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eastAsia="zh-CN"/>
              </w:rPr>
              <w:t>服务要求</w:t>
            </w:r>
            <w:r>
              <w:rPr>
                <w:rFonts w:hint="eastAsia" w:ascii="宋体" w:hAnsi="宋体" w:eastAsia="宋体" w:cs="宋体"/>
                <w:color w:val="auto"/>
                <w:szCs w:val="21"/>
                <w:highlight w:val="none"/>
              </w:rPr>
              <w:t>偏离表</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4F5ECDA7">
            <w:pPr>
              <w:spacing w:line="360" w:lineRule="auto"/>
              <w:ind w:firstLine="0" w:firstLineChars="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2.服务方案</w:t>
            </w:r>
            <w:r>
              <w:rPr>
                <w:rFonts w:hint="eastAsia" w:ascii="宋体" w:hAnsi="宋体" w:eastAsia="宋体" w:cs="宋体"/>
                <w:color w:val="auto"/>
                <w:sz w:val="21"/>
                <w:szCs w:val="21"/>
                <w:highlight w:val="none"/>
              </w:rPr>
              <w:t>（</w:t>
            </w:r>
            <w:r>
              <w:rPr>
                <w:rFonts w:hint="eastAsia" w:ascii="宋体" w:hAnsi="宋体" w:eastAsia="宋体" w:cs="宋体"/>
                <w:b/>
                <w:color w:val="auto"/>
                <w:sz w:val="21"/>
                <w:szCs w:val="21"/>
                <w:highlight w:val="none"/>
              </w:rPr>
              <w:t>必须提供，</w:t>
            </w:r>
            <w:r>
              <w:rPr>
                <w:rFonts w:hint="eastAsia" w:ascii="宋体" w:hAnsi="宋体" w:eastAsia="宋体" w:cs="宋体"/>
                <w:b/>
                <w:color w:val="auto"/>
                <w:szCs w:val="21"/>
                <w:highlight w:val="none"/>
              </w:rPr>
              <w:t>否则响应文件按无效响应处理</w:t>
            </w:r>
            <w:r>
              <w:rPr>
                <w:rFonts w:hint="eastAsia" w:ascii="宋体" w:hAnsi="宋体" w:eastAsia="宋体" w:cs="宋体"/>
                <w:color w:val="auto"/>
                <w:sz w:val="21"/>
                <w:szCs w:val="21"/>
                <w:highlight w:val="none"/>
              </w:rPr>
              <w:t>）</w:t>
            </w:r>
            <w:r>
              <w:rPr>
                <w:rFonts w:hint="eastAsia" w:ascii="宋体" w:hAnsi="宋体" w:eastAsia="宋体" w:cs="宋体"/>
                <w:color w:val="auto"/>
                <w:szCs w:val="21"/>
                <w:highlight w:val="none"/>
                <w:lang w:eastAsia="zh-CN"/>
              </w:rPr>
              <w:t>；</w:t>
            </w:r>
          </w:p>
          <w:p w14:paraId="55D72064">
            <w:pPr>
              <w:spacing w:line="360" w:lineRule="auto"/>
              <w:ind w:firstLine="0" w:firstLineChars="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.项目实施人员一览表</w:t>
            </w:r>
            <w:r>
              <w:rPr>
                <w:rFonts w:hint="eastAsia" w:ascii="宋体" w:hAnsi="宋体" w:eastAsia="宋体" w:cs="宋体"/>
                <w:color w:val="auto"/>
                <w:sz w:val="21"/>
                <w:szCs w:val="21"/>
                <w:highlight w:val="none"/>
              </w:rPr>
              <w:t>（</w:t>
            </w:r>
            <w:r>
              <w:rPr>
                <w:rFonts w:hint="eastAsia" w:ascii="宋体" w:hAnsi="宋体" w:eastAsia="宋体" w:cs="宋体"/>
                <w:b/>
                <w:color w:val="auto"/>
                <w:sz w:val="21"/>
                <w:szCs w:val="21"/>
                <w:highlight w:val="none"/>
              </w:rPr>
              <w:t>必须提供，</w:t>
            </w:r>
            <w:r>
              <w:rPr>
                <w:rFonts w:hint="eastAsia" w:ascii="宋体" w:hAnsi="宋体" w:eastAsia="宋体" w:cs="宋体"/>
                <w:b/>
                <w:color w:val="auto"/>
                <w:szCs w:val="21"/>
                <w:highlight w:val="none"/>
              </w:rPr>
              <w:t>否则响应文件按无效响应处理</w:t>
            </w:r>
            <w:r>
              <w:rPr>
                <w:rFonts w:hint="eastAsia" w:ascii="宋体" w:hAnsi="宋体" w:eastAsia="宋体" w:cs="宋体"/>
                <w:color w:val="auto"/>
                <w:sz w:val="21"/>
                <w:szCs w:val="21"/>
                <w:highlight w:val="none"/>
              </w:rPr>
              <w:t>）</w:t>
            </w:r>
            <w:r>
              <w:rPr>
                <w:rFonts w:hint="eastAsia" w:ascii="宋体" w:hAnsi="宋体" w:eastAsia="宋体" w:cs="宋体"/>
                <w:color w:val="auto"/>
                <w:szCs w:val="21"/>
                <w:highlight w:val="none"/>
              </w:rPr>
              <w:t xml:space="preserve">； </w:t>
            </w:r>
          </w:p>
          <w:p w14:paraId="02CE3D3C">
            <w:pPr>
              <w:spacing w:line="360" w:lineRule="auto"/>
              <w:ind w:firstLine="0" w:firstLineChars="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w:t>
            </w:r>
            <w:r>
              <w:rPr>
                <w:rFonts w:hint="eastAsia" w:ascii="宋体" w:hAnsi="宋体" w:eastAsia="宋体" w:cs="宋体"/>
                <w:color w:val="auto"/>
                <w:sz w:val="21"/>
                <w:szCs w:val="21"/>
                <w:highlight w:val="none"/>
              </w:rPr>
              <w:t>除</w:t>
            </w:r>
            <w:r>
              <w:rPr>
                <w:rFonts w:hint="eastAsia" w:ascii="宋体" w:hAnsi="宋体" w:eastAsia="宋体" w:cs="宋体"/>
                <w:color w:val="auto"/>
                <w:sz w:val="21"/>
                <w:szCs w:val="21"/>
                <w:highlight w:val="none"/>
                <w:lang w:eastAsia="zh-CN"/>
              </w:rPr>
              <w:t>磋商</w:t>
            </w:r>
            <w:r>
              <w:rPr>
                <w:rFonts w:hint="eastAsia" w:ascii="宋体" w:hAnsi="宋体" w:eastAsia="宋体" w:cs="宋体"/>
                <w:color w:val="auto"/>
                <w:sz w:val="21"/>
                <w:szCs w:val="21"/>
                <w:highlight w:val="none"/>
              </w:rPr>
              <w:t>文件规定必须提供以外，</w:t>
            </w:r>
            <w:r>
              <w:rPr>
                <w:rFonts w:hint="eastAsia" w:ascii="宋体" w:hAnsi="宋体" w:eastAsia="宋体" w:cs="宋体"/>
                <w:color w:val="auto"/>
                <w:szCs w:val="21"/>
                <w:highlight w:val="none"/>
              </w:rPr>
              <w:t>供应商认为需要提供的其他有关资料</w:t>
            </w:r>
            <w:r>
              <w:rPr>
                <w:rFonts w:hint="eastAsia" w:ascii="宋体" w:hAnsi="宋体" w:eastAsia="宋体" w:cs="宋体"/>
                <w:color w:val="auto"/>
                <w:sz w:val="21"/>
                <w:szCs w:val="21"/>
                <w:highlight w:val="none"/>
              </w:rPr>
              <w:t>（格式自拟）</w:t>
            </w:r>
            <w:r>
              <w:rPr>
                <w:rFonts w:hint="eastAsia" w:ascii="宋体" w:hAnsi="宋体" w:eastAsia="宋体" w:cs="宋体"/>
                <w:color w:val="auto"/>
                <w:szCs w:val="21"/>
                <w:highlight w:val="none"/>
              </w:rPr>
              <w:t>。</w:t>
            </w:r>
          </w:p>
          <w:p w14:paraId="701E1DE1">
            <w:pPr>
              <w:spacing w:line="360" w:lineRule="auto"/>
              <w:ind w:firstLine="0" w:firstLineChars="0"/>
              <w:rPr>
                <w:rFonts w:hint="eastAsia" w:ascii="宋体" w:hAnsi="宋体" w:eastAsia="宋体" w:cs="宋体"/>
                <w:b/>
                <w:color w:val="auto"/>
                <w:szCs w:val="21"/>
                <w:highlight w:val="none"/>
                <w:lang w:val="en-US" w:eastAsia="zh-CN"/>
              </w:rPr>
            </w:pPr>
            <w:r>
              <w:rPr>
                <w:rFonts w:hint="eastAsia" w:ascii="宋体" w:hAnsi="宋体" w:eastAsia="宋体" w:cs="宋体"/>
                <w:b/>
                <w:color w:val="auto"/>
                <w:szCs w:val="21"/>
                <w:highlight w:val="none"/>
              </w:rPr>
              <w:t>注：以上标明“必须提供”的材料属于复印件的扫描件的，必须加盖供应商公章，否则响应文件按无效响应处理。</w:t>
            </w:r>
          </w:p>
        </w:tc>
      </w:tr>
      <w:tr w14:paraId="68CD273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3251EDCC">
            <w:pPr>
              <w:spacing w:line="36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12.1.</w:t>
            </w:r>
            <w:r>
              <w:rPr>
                <w:rFonts w:hint="eastAsia" w:ascii="宋体" w:hAnsi="宋体" w:eastAsia="宋体" w:cs="宋体"/>
                <w:color w:val="auto"/>
                <w:szCs w:val="21"/>
                <w:highlight w:val="none"/>
                <w:lang w:val="en-US" w:eastAsia="zh-CN"/>
              </w:rPr>
              <w:t>3</w:t>
            </w:r>
          </w:p>
        </w:tc>
        <w:tc>
          <w:tcPr>
            <w:tcW w:w="2548" w:type="dxa"/>
            <w:noWrap w:val="0"/>
            <w:vAlign w:val="center"/>
          </w:tcPr>
          <w:p w14:paraId="56A3AB3D">
            <w:pPr>
              <w:spacing w:line="360" w:lineRule="auto"/>
              <w:jc w:val="center"/>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报价文件组成</w:t>
            </w:r>
          </w:p>
        </w:tc>
        <w:tc>
          <w:tcPr>
            <w:tcW w:w="6853" w:type="dxa"/>
            <w:noWrap w:val="0"/>
            <w:vAlign w:val="center"/>
          </w:tcPr>
          <w:p w14:paraId="629E216C">
            <w:pPr>
              <w:snapToGrid/>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1.响应函</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w:t>
            </w:r>
            <w:r>
              <w:rPr>
                <w:rFonts w:hint="eastAsia" w:ascii="宋体" w:hAnsi="宋体" w:eastAsia="宋体" w:cs="宋体"/>
                <w:b/>
                <w:color w:val="auto"/>
                <w:szCs w:val="21"/>
                <w:highlight w:val="none"/>
                <w:lang w:eastAsia="zh-CN"/>
              </w:rPr>
              <w:t>响应文件按</w:t>
            </w:r>
            <w:r>
              <w:rPr>
                <w:rFonts w:hint="eastAsia" w:ascii="宋体" w:hAnsi="宋体" w:eastAsia="宋体" w:cs="宋体"/>
                <w:b/>
                <w:color w:val="auto"/>
                <w:szCs w:val="21"/>
                <w:highlight w:val="none"/>
              </w:rPr>
              <w:t>无效响应处理）</w:t>
            </w:r>
          </w:p>
          <w:p w14:paraId="6C38552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default" w:ascii="宋体" w:hAnsi="宋体" w:eastAsia="宋体" w:cs="宋体"/>
                <w:color w:val="auto"/>
                <w:szCs w:val="21"/>
                <w:highlight w:val="none"/>
                <w:lang w:val="en-US"/>
              </w:rPr>
              <w:t>响应</w:t>
            </w:r>
            <w:r>
              <w:rPr>
                <w:rFonts w:hint="eastAsia" w:ascii="宋体" w:hAnsi="宋体" w:eastAsia="宋体" w:cs="宋体"/>
                <w:color w:val="auto"/>
                <w:szCs w:val="21"/>
                <w:highlight w:val="none"/>
              </w:rPr>
              <w:t>报价表</w:t>
            </w:r>
            <w:r>
              <w:rPr>
                <w:rFonts w:hint="eastAsia" w:ascii="宋体" w:hAnsi="宋体" w:eastAsia="宋体" w:cs="宋体"/>
                <w:color w:val="auto"/>
                <w:sz w:val="21"/>
                <w:szCs w:val="21"/>
                <w:highlight w:val="none"/>
              </w:rPr>
              <w:t>（格式后附）</w:t>
            </w:r>
            <w:r>
              <w:rPr>
                <w:rFonts w:hint="eastAsia" w:ascii="宋体" w:hAnsi="宋体" w:eastAsia="宋体" w:cs="宋体"/>
                <w:color w:val="auto"/>
                <w:szCs w:val="21"/>
                <w:highlight w:val="none"/>
              </w:rPr>
              <w:t>；（</w:t>
            </w:r>
            <w:r>
              <w:rPr>
                <w:rFonts w:hint="eastAsia" w:ascii="宋体" w:hAnsi="宋体" w:eastAsia="宋体" w:cs="宋体"/>
                <w:b/>
                <w:color w:val="auto"/>
                <w:szCs w:val="21"/>
                <w:highlight w:val="none"/>
              </w:rPr>
              <w:t>必须提供，否则响应文件按无效响应处理</w:t>
            </w:r>
            <w:r>
              <w:rPr>
                <w:rFonts w:hint="eastAsia" w:ascii="宋体" w:hAnsi="宋体" w:eastAsia="宋体" w:cs="宋体"/>
                <w:color w:val="auto"/>
                <w:szCs w:val="21"/>
                <w:highlight w:val="none"/>
              </w:rPr>
              <w:t>）</w:t>
            </w:r>
          </w:p>
          <w:p w14:paraId="7B47854B">
            <w:pPr>
              <w:pStyle w:val="20"/>
              <w:spacing w:line="360" w:lineRule="auto"/>
              <w:rPr>
                <w:rFonts w:hint="eastAsia" w:ascii="宋体" w:hAnsi="宋体" w:eastAsia="宋体" w:cs="宋体"/>
                <w:i/>
                <w:iCs/>
                <w:color w:val="auto"/>
                <w:sz w:val="21"/>
                <w:szCs w:val="21"/>
                <w:highlight w:val="none"/>
                <w:lang w:val="en-US" w:eastAsia="zh-CN"/>
              </w:rPr>
            </w:pPr>
            <w:r>
              <w:rPr>
                <w:rFonts w:hint="eastAsia" w:ascii="宋体" w:hAnsi="宋体" w:eastAsia="宋体" w:cs="宋体"/>
                <w:color w:val="auto"/>
                <w:sz w:val="21"/>
                <w:szCs w:val="21"/>
                <w:highlight w:val="none"/>
              </w:rPr>
              <w:t>3.</w:t>
            </w:r>
            <w:r>
              <w:rPr>
                <w:rFonts w:hint="eastAsia" w:ascii="宋体" w:hAnsi="宋体" w:cs="宋体"/>
                <w:color w:val="auto"/>
                <w:sz w:val="21"/>
                <w:szCs w:val="21"/>
                <w:highlight w:val="none"/>
              </w:rPr>
              <w:t>中小企业声明函或者残疾人福利性单位声明函（格式后附）或者</w:t>
            </w:r>
            <w:r>
              <w:rPr>
                <w:rFonts w:hint="eastAsia" w:ascii="宋体" w:hAnsi="宋体" w:eastAsia="宋体" w:cs="宋体"/>
                <w:i w:val="0"/>
                <w:iCs w:val="0"/>
                <w:color w:val="auto"/>
                <w:sz w:val="21"/>
                <w:szCs w:val="21"/>
                <w:highlight w:val="none"/>
                <w:lang w:eastAsia="zh-CN"/>
              </w:rPr>
              <w:t>供应商</w:t>
            </w:r>
            <w:r>
              <w:rPr>
                <w:rFonts w:hint="eastAsia" w:ascii="宋体" w:hAnsi="宋体" w:cs="宋体"/>
                <w:color w:val="auto"/>
                <w:sz w:val="21"/>
                <w:szCs w:val="21"/>
                <w:highlight w:val="none"/>
              </w:rPr>
              <w:t>属于监狱企业的</w:t>
            </w:r>
            <w:r>
              <w:rPr>
                <w:rFonts w:hint="eastAsia" w:ascii="宋体" w:hAnsi="宋体" w:cs="宋体"/>
                <w:color w:val="auto"/>
                <w:sz w:val="21"/>
                <w:szCs w:val="21"/>
                <w:highlight w:val="none"/>
                <w:lang w:eastAsia="zh-CN"/>
              </w:rPr>
              <w:t>，</w:t>
            </w:r>
            <w:r>
              <w:rPr>
                <w:rFonts w:hint="eastAsia" w:ascii="宋体" w:hAnsi="宋体" w:eastAsia="宋体" w:cs="宋体"/>
                <w:i w:val="0"/>
                <w:iCs w:val="0"/>
                <w:color w:val="auto"/>
                <w:sz w:val="21"/>
                <w:szCs w:val="21"/>
                <w:highlight w:val="none"/>
                <w:lang w:eastAsia="zh-CN"/>
              </w:rPr>
              <w:t>提供由省级以上监狱管理局、戒毒管理局（含新疆生产建设兵团）出具的属于监狱企业的证明文件</w:t>
            </w:r>
            <w:r>
              <w:rPr>
                <w:rFonts w:hint="eastAsia" w:ascii="宋体" w:hAnsi="宋体" w:cs="宋体"/>
                <w:color w:val="auto"/>
                <w:sz w:val="21"/>
                <w:szCs w:val="21"/>
                <w:highlight w:val="none"/>
              </w:rPr>
              <w:t>；</w:t>
            </w:r>
            <w:r>
              <w:rPr>
                <w:rFonts w:hint="eastAsia" w:ascii="宋体" w:hAnsi="宋体" w:cs="宋体"/>
                <w:b/>
                <w:bCs/>
                <w:color w:val="auto"/>
                <w:sz w:val="21"/>
                <w:szCs w:val="21"/>
                <w:highlight w:val="none"/>
              </w:rPr>
              <w:t>（如有请提供）</w:t>
            </w:r>
          </w:p>
          <w:p w14:paraId="388EB174">
            <w:pPr>
              <w:spacing w:line="360" w:lineRule="auto"/>
              <w:rPr>
                <w:rFonts w:hint="eastAsia" w:ascii="宋体" w:hAnsi="宋体" w:eastAsia="宋体" w:cs="宋体"/>
                <w:color w:val="auto"/>
                <w:szCs w:val="21"/>
                <w:highlight w:val="none"/>
              </w:rPr>
            </w:pPr>
            <w:r>
              <w:rPr>
                <w:rFonts w:hint="eastAsia" w:ascii="宋体" w:hAnsi="宋体" w:eastAsia="宋体" w:cs="宋体"/>
                <w:i w:val="0"/>
                <w:iCs w:val="0"/>
                <w:color w:val="auto"/>
                <w:kern w:val="0"/>
                <w:sz w:val="21"/>
                <w:szCs w:val="21"/>
                <w:highlight w:val="none"/>
                <w:lang w:val="en-US" w:eastAsia="zh-CN"/>
              </w:rPr>
              <w:t>4.</w:t>
            </w:r>
            <w:r>
              <w:rPr>
                <w:rFonts w:hint="eastAsia" w:ascii="宋体" w:hAnsi="宋体" w:cs="宋体"/>
                <w:color w:val="auto"/>
                <w:szCs w:val="21"/>
                <w:highlight w:val="none"/>
                <w:lang w:val="en-US" w:eastAsia="zh-CN"/>
              </w:rPr>
              <w:t>供应商</w:t>
            </w:r>
            <w:r>
              <w:rPr>
                <w:rFonts w:hint="eastAsia" w:ascii="宋体" w:hAnsi="宋体" w:cs="宋体"/>
                <w:color w:val="auto"/>
                <w:szCs w:val="21"/>
                <w:highlight w:val="none"/>
              </w:rPr>
              <w:t>针对报价需要说明的其他文件和说明</w:t>
            </w:r>
            <w:r>
              <w:rPr>
                <w:rFonts w:hint="eastAsia" w:ascii="宋体" w:hAnsi="宋体" w:eastAsia="宋体" w:cs="宋体"/>
                <w:color w:val="auto"/>
                <w:szCs w:val="21"/>
                <w:highlight w:val="none"/>
              </w:rPr>
              <w:t>（格式自拟）</w:t>
            </w:r>
            <w:r>
              <w:rPr>
                <w:rFonts w:hint="eastAsia" w:ascii="宋体" w:hAnsi="宋体" w:cs="宋体"/>
                <w:color w:val="auto"/>
                <w:szCs w:val="21"/>
                <w:highlight w:val="none"/>
              </w:rPr>
              <w:t>。</w:t>
            </w:r>
          </w:p>
        </w:tc>
      </w:tr>
      <w:tr w14:paraId="785B469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21B806C4">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12.2</w:t>
            </w:r>
          </w:p>
        </w:tc>
        <w:tc>
          <w:tcPr>
            <w:tcW w:w="2548" w:type="dxa"/>
            <w:noWrap w:val="0"/>
            <w:vAlign w:val="center"/>
          </w:tcPr>
          <w:p w14:paraId="039D4842">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响应文件电子版要求</w:t>
            </w:r>
          </w:p>
        </w:tc>
        <w:tc>
          <w:tcPr>
            <w:tcW w:w="6853" w:type="dxa"/>
            <w:noWrap w:val="0"/>
            <w:vAlign w:val="center"/>
          </w:tcPr>
          <w:p w14:paraId="65B49F0A">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1.响应文件电子版要求：按照本</w:t>
            </w:r>
            <w:r>
              <w:rPr>
                <w:rFonts w:hint="eastAsia" w:ascii="宋体" w:hAnsi="宋体" w:eastAsia="宋体" w:cs="宋体"/>
                <w:color w:val="auto"/>
                <w:szCs w:val="21"/>
                <w:highlight w:val="none"/>
                <w:lang w:val="en-US" w:eastAsia="zh-CN"/>
              </w:rPr>
              <w:t>竞争性磋商</w:t>
            </w:r>
            <w:r>
              <w:rPr>
                <w:rFonts w:hint="eastAsia" w:ascii="宋体" w:hAnsi="宋体" w:eastAsia="宋体" w:cs="宋体"/>
                <w:color w:val="auto"/>
                <w:szCs w:val="21"/>
                <w:highlight w:val="none"/>
              </w:rPr>
              <w:t>文件“第五章 响应文件格式”编写</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第五章未附格式的，由供应商自行拟定。</w:t>
            </w:r>
          </w:p>
          <w:p w14:paraId="26427403">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2.响应文件电子版</w:t>
            </w:r>
            <w:r>
              <w:rPr>
                <w:rFonts w:hint="eastAsia" w:ascii="宋体" w:hAnsi="宋体" w:eastAsia="宋体" w:cs="宋体"/>
                <w:color w:val="auto"/>
                <w:szCs w:val="21"/>
                <w:highlight w:val="none"/>
                <w:lang w:eastAsia="zh-CN"/>
              </w:rPr>
              <w:t>加密提交</w:t>
            </w:r>
            <w:r>
              <w:rPr>
                <w:rFonts w:hint="eastAsia" w:ascii="宋体" w:hAnsi="宋体" w:eastAsia="宋体" w:cs="宋体"/>
                <w:color w:val="auto"/>
                <w:szCs w:val="21"/>
                <w:highlight w:val="none"/>
              </w:rPr>
              <w:t>方式：电子响应文件通过平台有效CA加密后在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lang w:eastAsia="zh-CN"/>
              </w:rPr>
              <w:t>提交</w:t>
            </w:r>
            <w:r>
              <w:rPr>
                <w:rFonts w:hint="eastAsia" w:ascii="宋体" w:hAnsi="宋体" w:eastAsia="宋体" w:cs="宋体"/>
                <w:color w:val="auto"/>
                <w:szCs w:val="21"/>
                <w:highlight w:val="none"/>
              </w:rPr>
              <w:t>。</w:t>
            </w:r>
          </w:p>
        </w:tc>
      </w:tr>
      <w:tr w14:paraId="6D43D48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49CAE5D9">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15.2</w:t>
            </w:r>
          </w:p>
        </w:tc>
        <w:tc>
          <w:tcPr>
            <w:tcW w:w="2548" w:type="dxa"/>
            <w:noWrap w:val="0"/>
            <w:vAlign w:val="center"/>
          </w:tcPr>
          <w:p w14:paraId="23C62E5E">
            <w:pPr>
              <w:spacing w:line="360" w:lineRule="auto"/>
              <w:jc w:val="center"/>
              <w:rPr>
                <w:rFonts w:hint="eastAsia" w:ascii="宋体" w:hAnsi="宋体" w:eastAsia="宋体" w:cs="宋体"/>
                <w:color w:val="auto"/>
                <w:szCs w:val="21"/>
                <w:highlight w:val="none"/>
              </w:rPr>
            </w:pPr>
            <w:r>
              <w:rPr>
                <w:rFonts w:hint="default" w:ascii="宋体" w:hAnsi="宋体" w:eastAsia="宋体" w:cs="宋体"/>
                <w:color w:val="auto"/>
                <w:szCs w:val="21"/>
                <w:highlight w:val="none"/>
                <w:lang w:val="en-US"/>
              </w:rPr>
              <w:t>响应</w:t>
            </w:r>
            <w:r>
              <w:rPr>
                <w:rFonts w:hint="eastAsia" w:ascii="宋体" w:hAnsi="宋体" w:eastAsia="宋体" w:cs="宋体"/>
                <w:color w:val="auto"/>
                <w:szCs w:val="21"/>
                <w:highlight w:val="none"/>
              </w:rPr>
              <w:t>报价要求</w:t>
            </w:r>
          </w:p>
        </w:tc>
        <w:tc>
          <w:tcPr>
            <w:tcW w:w="6853" w:type="dxa"/>
            <w:noWrap w:val="0"/>
            <w:vAlign w:val="center"/>
          </w:tcPr>
          <w:p w14:paraId="390CF19A">
            <w:pPr>
              <w:snapToGrid w:val="0"/>
              <w:spacing w:line="360" w:lineRule="auto"/>
              <w:jc w:val="left"/>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详见各分标商务要求中的“报价要求”</w:t>
            </w:r>
          </w:p>
          <w:p w14:paraId="31828229">
            <w:pPr>
              <w:snapToGrid w:val="0"/>
              <w:spacing w:line="360" w:lineRule="auto"/>
              <w:jc w:val="left"/>
              <w:rPr>
                <w:rFonts w:hint="eastAsia" w:ascii="宋体" w:hAnsi="宋体" w:eastAsia="宋体" w:cs="宋体"/>
                <w:b/>
                <w:color w:val="auto"/>
                <w:szCs w:val="21"/>
                <w:highlight w:val="none"/>
              </w:rPr>
            </w:pPr>
            <w:r>
              <w:rPr>
                <w:rFonts w:hint="eastAsia" w:ascii="宋体" w:hAnsi="宋体" w:eastAsia="宋体" w:cs="宋体"/>
                <w:b/>
                <w:color w:val="auto"/>
                <w:szCs w:val="21"/>
                <w:highlight w:val="none"/>
                <w:lang w:eastAsia="zh-CN"/>
              </w:rPr>
              <w:t>☑响应</w:t>
            </w:r>
            <w:r>
              <w:rPr>
                <w:rFonts w:hint="eastAsia" w:ascii="宋体" w:hAnsi="宋体" w:eastAsia="宋体" w:cs="宋体"/>
                <w:b/>
                <w:color w:val="auto"/>
                <w:szCs w:val="21"/>
                <w:highlight w:val="none"/>
              </w:rPr>
              <w:t>报价包含验收费用</w:t>
            </w:r>
          </w:p>
          <w:p w14:paraId="7F804C04">
            <w:pPr>
              <w:pStyle w:val="13"/>
              <w:rPr>
                <w:rFonts w:hint="eastAsia" w:ascii="宋体" w:hAnsi="宋体" w:eastAsia="宋体" w:cs="宋体"/>
                <w:color w:val="auto"/>
                <w:highlight w:val="none"/>
              </w:rPr>
            </w:pPr>
            <w:r>
              <w:rPr>
                <w:rFonts w:hint="eastAsia" w:ascii="宋体" w:hAnsi="宋体" w:eastAsia="宋体" w:cs="宋体"/>
                <w:b/>
                <w:color w:val="auto"/>
                <w:szCs w:val="21"/>
                <w:highlight w:val="none"/>
              </w:rPr>
              <w:t>□</w:t>
            </w:r>
            <w:r>
              <w:rPr>
                <w:rFonts w:hint="default" w:ascii="宋体" w:hAnsi="宋体" w:eastAsia="宋体" w:cs="宋体"/>
                <w:b/>
                <w:color w:val="auto"/>
                <w:szCs w:val="21"/>
                <w:highlight w:val="none"/>
                <w:lang w:val="en-US" w:eastAsia="zh-CN"/>
              </w:rPr>
              <w:t>响应</w:t>
            </w:r>
            <w:r>
              <w:rPr>
                <w:rFonts w:hint="eastAsia" w:ascii="宋体" w:hAnsi="宋体" w:eastAsia="宋体" w:cs="宋体"/>
                <w:b/>
                <w:color w:val="auto"/>
                <w:szCs w:val="21"/>
                <w:highlight w:val="none"/>
              </w:rPr>
              <w:t>报价不包含验收费用</w:t>
            </w:r>
          </w:p>
        </w:tc>
      </w:tr>
      <w:tr w14:paraId="6F15FF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40ED525">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16.2</w:t>
            </w:r>
          </w:p>
        </w:tc>
        <w:tc>
          <w:tcPr>
            <w:tcW w:w="2548" w:type="dxa"/>
            <w:noWrap w:val="0"/>
            <w:vAlign w:val="center"/>
          </w:tcPr>
          <w:p w14:paraId="57D98E5E">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竞标有效期</w:t>
            </w:r>
          </w:p>
        </w:tc>
        <w:tc>
          <w:tcPr>
            <w:tcW w:w="6853" w:type="dxa"/>
            <w:noWrap w:val="0"/>
            <w:vAlign w:val="center"/>
          </w:tcPr>
          <w:p w14:paraId="7C0DC750">
            <w:pPr>
              <w:pStyle w:val="10"/>
              <w:widowControl w:val="0"/>
              <w:tabs>
                <w:tab w:val="clear" w:pos="454"/>
              </w:tabs>
              <w:snapToGrid w:val="0"/>
              <w:spacing w:afterLines="0" w:line="360" w:lineRule="auto"/>
              <w:ind w:left="283" w:hanging="283" w:hangingChars="135"/>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自首次响应文件提交截止之日起</w:t>
            </w:r>
            <w:r>
              <w:rPr>
                <w:rFonts w:hint="eastAsia" w:ascii="宋体" w:hAnsi="宋体" w:eastAsia="宋体" w:cs="宋体"/>
                <w:color w:val="auto"/>
                <w:kern w:val="2"/>
                <w:sz w:val="21"/>
                <w:szCs w:val="21"/>
                <w:highlight w:val="none"/>
                <w:u w:val="single"/>
                <w:lang w:val="en-US" w:eastAsia="zh-CN"/>
              </w:rPr>
              <w:t xml:space="preserve">  60   </w:t>
            </w:r>
            <w:r>
              <w:rPr>
                <w:rFonts w:hint="eastAsia" w:ascii="宋体" w:hAnsi="宋体" w:eastAsia="宋体" w:cs="宋体"/>
                <w:color w:val="auto"/>
                <w:kern w:val="2"/>
                <w:sz w:val="21"/>
                <w:szCs w:val="21"/>
                <w:highlight w:val="none"/>
              </w:rPr>
              <w:t>日。</w:t>
            </w:r>
          </w:p>
        </w:tc>
      </w:tr>
      <w:tr w14:paraId="0C51CED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251F8341">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17.1</w:t>
            </w:r>
          </w:p>
        </w:tc>
        <w:tc>
          <w:tcPr>
            <w:tcW w:w="2548" w:type="dxa"/>
            <w:noWrap w:val="0"/>
            <w:vAlign w:val="center"/>
          </w:tcPr>
          <w:p w14:paraId="3D800222">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磋商保证金</w:t>
            </w:r>
          </w:p>
        </w:tc>
        <w:tc>
          <w:tcPr>
            <w:tcW w:w="6853" w:type="dxa"/>
            <w:noWrap w:val="0"/>
            <w:vAlign w:val="center"/>
          </w:tcPr>
          <w:p w14:paraId="7D3466DA">
            <w:pPr>
              <w:spacing w:line="360" w:lineRule="auto"/>
              <w:ind w:firstLine="0" w:firstLineChars="0"/>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磋商保证金。</w:t>
            </w:r>
          </w:p>
          <w:p w14:paraId="2AD300A0">
            <w:pPr>
              <w:snapToGrid w:val="0"/>
              <w:spacing w:line="360" w:lineRule="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lang w:eastAsia="zh-CN"/>
              </w:rPr>
              <w:t>磋商保证金，</w:t>
            </w:r>
            <w:r>
              <w:rPr>
                <w:rFonts w:hint="eastAsia" w:ascii="宋体" w:hAnsi="宋体" w:eastAsia="宋体" w:cs="宋体"/>
                <w:b/>
                <w:bCs/>
                <w:color w:val="auto"/>
                <w:szCs w:val="21"/>
                <w:highlight w:val="none"/>
              </w:rPr>
              <w:t>相关要求</w:t>
            </w:r>
            <w:r>
              <w:rPr>
                <w:rFonts w:hint="eastAsia" w:ascii="宋体" w:hAnsi="宋体" w:eastAsia="宋体" w:cs="宋体"/>
                <w:b/>
                <w:bCs/>
                <w:color w:val="auto"/>
                <w:szCs w:val="21"/>
                <w:highlight w:val="none"/>
                <w:lang w:eastAsia="zh-CN"/>
              </w:rPr>
              <w:t>如下</w:t>
            </w:r>
            <w:r>
              <w:rPr>
                <w:rFonts w:hint="eastAsia" w:ascii="宋体" w:hAnsi="宋体" w:eastAsia="宋体" w:cs="宋体"/>
                <w:b/>
                <w:bCs/>
                <w:color w:val="auto"/>
                <w:szCs w:val="21"/>
                <w:highlight w:val="none"/>
              </w:rPr>
              <w:t>：</w:t>
            </w:r>
          </w:p>
          <w:p w14:paraId="378AD851">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磋商保证金的</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纳方式：详见竞争性磋商公告。</w:t>
            </w:r>
          </w:p>
          <w:p w14:paraId="001D1FAF">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磋商保证金的金额：详见竞争性磋商公告。</w:t>
            </w:r>
          </w:p>
          <w:p w14:paraId="66ACBAEA">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.磋商保证金采用银行转账</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纳方式的，在首次响应文件提交截止时间前交至采购代理机构指定账户并且到账，供应商应将银行转账底单的复印件作为磋商保证金提交凭证，放置于商务文件中，</w:t>
            </w:r>
            <w:r>
              <w:rPr>
                <w:rFonts w:hint="eastAsia" w:ascii="宋体" w:hAnsi="宋体" w:eastAsia="宋体" w:cs="宋体"/>
                <w:b/>
                <w:color w:val="auto"/>
                <w:szCs w:val="21"/>
                <w:highlight w:val="none"/>
              </w:rPr>
              <w:t>否则响应文件按无效响应处理</w:t>
            </w:r>
            <w:r>
              <w:rPr>
                <w:rFonts w:hint="eastAsia" w:ascii="宋体" w:hAnsi="宋体" w:eastAsia="宋体" w:cs="宋体"/>
                <w:color w:val="auto"/>
                <w:szCs w:val="21"/>
                <w:highlight w:val="none"/>
              </w:rPr>
              <w:t>。</w:t>
            </w:r>
          </w:p>
          <w:p w14:paraId="1443CB06">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.磋商保证金采用支票、汇票、本票或者金融机构、担保机构出具的保函</w:t>
            </w:r>
            <w:r>
              <w:rPr>
                <w:rFonts w:hint="eastAsia" w:ascii="宋体" w:hAnsi="宋体" w:eastAsia="宋体" w:cs="宋体"/>
                <w:color w:val="auto"/>
                <w:szCs w:val="21"/>
                <w:highlight w:val="none"/>
                <w:lang w:eastAsia="zh-CN"/>
              </w:rPr>
              <w:t>等缴</w:t>
            </w:r>
            <w:r>
              <w:rPr>
                <w:rFonts w:hint="eastAsia" w:ascii="宋体" w:hAnsi="宋体" w:eastAsia="宋体" w:cs="宋体"/>
                <w:color w:val="auto"/>
                <w:szCs w:val="21"/>
                <w:highlight w:val="none"/>
              </w:rPr>
              <w:t>纳方式的，供应商应将支票、汇票、本票或者金融</w:t>
            </w:r>
            <w:r>
              <w:rPr>
                <w:rFonts w:hint="eastAsia" w:ascii="宋体" w:hAnsi="宋体" w:eastAsia="宋体" w:cs="宋体"/>
                <w:color w:val="auto"/>
                <w:szCs w:val="21"/>
                <w:highlight w:val="none"/>
                <w:lang w:eastAsia="zh-CN"/>
              </w:rPr>
              <w:t>机构</w:t>
            </w:r>
            <w:r>
              <w:rPr>
                <w:rFonts w:hint="eastAsia" w:ascii="宋体" w:hAnsi="宋体" w:eastAsia="宋体" w:cs="宋体"/>
                <w:color w:val="auto"/>
                <w:szCs w:val="21"/>
                <w:highlight w:val="none"/>
              </w:rPr>
              <w:t>、担保机构出具的保函</w:t>
            </w:r>
            <w:r>
              <w:rPr>
                <w:rFonts w:hint="eastAsia" w:ascii="宋体" w:hAnsi="宋体" w:eastAsia="宋体" w:cs="宋体"/>
                <w:color w:val="auto"/>
                <w:szCs w:val="21"/>
                <w:highlight w:val="none"/>
                <w:lang w:eastAsia="zh-CN"/>
              </w:rPr>
              <w:t>等</w:t>
            </w:r>
            <w:r>
              <w:rPr>
                <w:rFonts w:hint="eastAsia" w:ascii="宋体" w:hAnsi="宋体" w:eastAsia="宋体" w:cs="宋体"/>
                <w:color w:val="auto"/>
                <w:szCs w:val="21"/>
                <w:highlight w:val="none"/>
              </w:rPr>
              <w:t>的复印件或者金融</w:t>
            </w:r>
            <w:r>
              <w:rPr>
                <w:rFonts w:hint="eastAsia" w:ascii="宋体" w:hAnsi="宋体" w:eastAsia="宋体" w:cs="宋体"/>
                <w:color w:val="auto"/>
                <w:szCs w:val="21"/>
                <w:highlight w:val="none"/>
                <w:lang w:eastAsia="zh-CN"/>
              </w:rPr>
              <w:t>机构</w:t>
            </w:r>
            <w:r>
              <w:rPr>
                <w:rFonts w:hint="eastAsia" w:ascii="宋体" w:hAnsi="宋体" w:eastAsia="宋体" w:cs="宋体"/>
                <w:color w:val="auto"/>
                <w:szCs w:val="21"/>
                <w:highlight w:val="none"/>
              </w:rPr>
              <w:t>、担保机构出具的</w:t>
            </w:r>
            <w:r>
              <w:rPr>
                <w:rFonts w:hint="eastAsia" w:ascii="宋体" w:hAnsi="宋体" w:cs="宋体"/>
                <w:color w:val="auto"/>
                <w:kern w:val="0"/>
                <w:szCs w:val="21"/>
                <w:highlight w:val="none"/>
                <w:lang w:val="en-US" w:eastAsia="zh-CN"/>
              </w:rPr>
              <w:t>电子保函</w:t>
            </w:r>
            <w:r>
              <w:rPr>
                <w:rFonts w:hint="eastAsia" w:ascii="宋体" w:hAnsi="宋体" w:eastAsia="宋体" w:cs="宋体"/>
                <w:color w:val="auto"/>
                <w:szCs w:val="21"/>
                <w:highlight w:val="none"/>
              </w:rPr>
              <w:t>作为磋商保证金提交凭证，放置于商务文件中，</w:t>
            </w:r>
            <w:r>
              <w:rPr>
                <w:rFonts w:hint="eastAsia" w:ascii="宋体" w:hAnsi="宋体" w:eastAsia="宋体" w:cs="宋体"/>
                <w:b/>
                <w:color w:val="auto"/>
                <w:szCs w:val="21"/>
                <w:highlight w:val="none"/>
              </w:rPr>
              <w:t>否则响应文件按无效响应处理</w:t>
            </w:r>
            <w:r>
              <w:rPr>
                <w:rFonts w:hint="eastAsia" w:ascii="宋体" w:hAnsi="宋体" w:eastAsia="宋体" w:cs="宋体"/>
                <w:color w:val="auto"/>
                <w:szCs w:val="21"/>
                <w:highlight w:val="none"/>
              </w:rPr>
              <w:t>。供应商必须</w:t>
            </w:r>
            <w:r>
              <w:rPr>
                <w:rFonts w:hint="eastAsia" w:ascii="宋体" w:hAnsi="宋体" w:eastAsia="宋体" w:cs="宋体"/>
                <w:color w:val="auto"/>
                <w:szCs w:val="21"/>
                <w:highlight w:val="none"/>
                <w:lang w:eastAsia="zh-CN"/>
              </w:rPr>
              <w:t>在</w:t>
            </w:r>
            <w:r>
              <w:rPr>
                <w:rFonts w:hint="eastAsia" w:ascii="宋体" w:hAnsi="宋体" w:eastAsia="宋体" w:cs="宋体"/>
                <w:color w:val="auto"/>
                <w:kern w:val="0"/>
                <w:szCs w:val="21"/>
                <w:highlight w:val="none"/>
              </w:rPr>
              <w:t>首次响应文件提交截止时间前</w:t>
            </w:r>
            <w:r>
              <w:rPr>
                <w:rFonts w:hint="eastAsia" w:ascii="宋体" w:hAnsi="宋体" w:eastAsia="宋体" w:cs="宋体"/>
                <w:color w:val="auto"/>
                <w:szCs w:val="21"/>
                <w:highlight w:val="none"/>
              </w:rPr>
              <w:t>将支票、汇票、本票或者金融</w:t>
            </w:r>
            <w:r>
              <w:rPr>
                <w:rFonts w:hint="eastAsia" w:ascii="宋体" w:hAnsi="宋体" w:eastAsia="宋体" w:cs="宋体"/>
                <w:color w:val="auto"/>
                <w:szCs w:val="21"/>
                <w:highlight w:val="none"/>
                <w:lang w:eastAsia="zh-CN"/>
              </w:rPr>
              <w:t>机构</w:t>
            </w:r>
            <w:r>
              <w:rPr>
                <w:rFonts w:hint="eastAsia" w:ascii="宋体" w:hAnsi="宋体" w:eastAsia="宋体" w:cs="宋体"/>
                <w:color w:val="auto"/>
                <w:szCs w:val="21"/>
                <w:highlight w:val="none"/>
              </w:rPr>
              <w:t>、担保机构出具的保函</w:t>
            </w:r>
            <w:r>
              <w:rPr>
                <w:rFonts w:hint="eastAsia" w:ascii="宋体" w:hAnsi="宋体" w:cs="宋体"/>
                <w:color w:val="auto"/>
                <w:szCs w:val="21"/>
                <w:highlight w:val="none"/>
                <w:lang w:eastAsia="zh-CN"/>
              </w:rPr>
              <w:t>（</w:t>
            </w:r>
            <w:r>
              <w:rPr>
                <w:rFonts w:hint="eastAsia" w:ascii="宋体" w:hAnsi="宋体" w:cs="宋体"/>
                <w:color w:val="auto"/>
                <w:kern w:val="0"/>
                <w:szCs w:val="21"/>
                <w:highlight w:val="none"/>
                <w:lang w:val="en-US" w:eastAsia="zh-CN"/>
              </w:rPr>
              <w:t>电子保函除外</w:t>
            </w:r>
            <w:r>
              <w:rPr>
                <w:rFonts w:hint="eastAsia" w:ascii="宋体" w:hAnsi="宋体" w:cs="宋体"/>
                <w:color w:val="auto"/>
                <w:szCs w:val="21"/>
                <w:highlight w:val="none"/>
                <w:lang w:eastAsia="zh-CN"/>
              </w:rPr>
              <w:t>）</w:t>
            </w:r>
            <w:r>
              <w:rPr>
                <w:rFonts w:hint="eastAsia" w:ascii="宋体" w:hAnsi="宋体" w:eastAsia="宋体" w:cs="宋体"/>
                <w:color w:val="auto"/>
                <w:szCs w:val="21"/>
                <w:highlight w:val="none"/>
                <w:lang w:eastAsia="zh-CN"/>
              </w:rPr>
              <w:t>等</w:t>
            </w:r>
            <w:r>
              <w:rPr>
                <w:rFonts w:hint="eastAsia" w:ascii="宋体" w:hAnsi="宋体" w:eastAsia="宋体" w:cs="宋体"/>
                <w:color w:val="auto"/>
                <w:szCs w:val="21"/>
                <w:highlight w:val="none"/>
              </w:rPr>
              <w:t>原件提交给采购代理机构，由采购代理机构向供应商出具回执，并妥善保管。</w:t>
            </w:r>
          </w:p>
          <w:p w14:paraId="01EA1DFB">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.磋商保证金指定</w:t>
            </w:r>
            <w:r>
              <w:rPr>
                <w:rFonts w:hint="eastAsia" w:ascii="宋体" w:hAnsi="宋体" w:eastAsia="宋体" w:cs="宋体"/>
                <w:color w:val="auto"/>
                <w:szCs w:val="21"/>
                <w:highlight w:val="none"/>
                <w:lang w:eastAsia="zh-CN"/>
              </w:rPr>
              <w:t>账</w:t>
            </w:r>
            <w:r>
              <w:rPr>
                <w:rFonts w:hint="eastAsia" w:ascii="宋体" w:hAnsi="宋体" w:eastAsia="宋体" w:cs="宋体"/>
                <w:color w:val="auto"/>
                <w:szCs w:val="21"/>
                <w:highlight w:val="none"/>
              </w:rPr>
              <w:t>户：详见竞争性磋商公告。</w:t>
            </w:r>
          </w:p>
          <w:p w14:paraId="165B861B">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.供应商为联合体的，可以由联合体中的一方或者多方共同</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纳磋商保证金，其</w:t>
            </w:r>
            <w:r>
              <w:rPr>
                <w:rFonts w:hint="eastAsia" w:ascii="宋体" w:hAnsi="宋体" w:eastAsia="宋体" w:cs="宋体"/>
                <w:color w:val="auto"/>
                <w:szCs w:val="21"/>
                <w:highlight w:val="none"/>
                <w:lang w:eastAsia="zh-CN"/>
              </w:rPr>
              <w:t>缴</w:t>
            </w:r>
            <w:r>
              <w:rPr>
                <w:rFonts w:hint="eastAsia" w:ascii="宋体" w:hAnsi="宋体" w:eastAsia="宋体" w:cs="宋体"/>
                <w:color w:val="auto"/>
                <w:szCs w:val="21"/>
                <w:highlight w:val="none"/>
              </w:rPr>
              <w:t>纳的磋商保证金对联合体各方均具有约束力。</w:t>
            </w:r>
          </w:p>
          <w:p w14:paraId="7ADE8583">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备注： </w:t>
            </w:r>
          </w:p>
          <w:p w14:paraId="514BFC10">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1.磋商保证金在首次响应文件提交截止时间后提交的，或者不按规定</w:t>
            </w:r>
            <w:r>
              <w:rPr>
                <w:rFonts w:hint="eastAsia" w:ascii="宋体" w:hAnsi="宋体" w:eastAsia="宋体" w:cs="宋体"/>
                <w:b/>
                <w:color w:val="auto"/>
                <w:szCs w:val="21"/>
                <w:highlight w:val="none"/>
                <w:lang w:eastAsia="zh-CN"/>
              </w:rPr>
              <w:t>缴</w:t>
            </w:r>
            <w:r>
              <w:rPr>
                <w:rFonts w:hint="eastAsia" w:ascii="宋体" w:hAnsi="宋体" w:eastAsia="宋体" w:cs="宋体"/>
                <w:b/>
                <w:color w:val="auto"/>
                <w:szCs w:val="21"/>
                <w:highlight w:val="none"/>
              </w:rPr>
              <w:t>纳方式</w:t>
            </w:r>
            <w:r>
              <w:rPr>
                <w:rFonts w:hint="eastAsia" w:ascii="宋体" w:hAnsi="宋体" w:eastAsia="宋体" w:cs="宋体"/>
                <w:b/>
                <w:color w:val="auto"/>
                <w:szCs w:val="21"/>
                <w:highlight w:val="none"/>
                <w:lang w:eastAsia="zh-CN"/>
              </w:rPr>
              <w:t>缴</w:t>
            </w:r>
            <w:r>
              <w:rPr>
                <w:rFonts w:hint="eastAsia" w:ascii="宋体" w:hAnsi="宋体" w:eastAsia="宋体" w:cs="宋体"/>
                <w:b/>
                <w:color w:val="auto"/>
                <w:szCs w:val="21"/>
                <w:highlight w:val="none"/>
              </w:rPr>
              <w:t>纳的，或者未足额</w:t>
            </w:r>
            <w:r>
              <w:rPr>
                <w:rFonts w:hint="eastAsia" w:ascii="宋体" w:hAnsi="宋体" w:eastAsia="宋体" w:cs="宋体"/>
                <w:b/>
                <w:color w:val="auto"/>
                <w:szCs w:val="21"/>
                <w:highlight w:val="none"/>
                <w:lang w:eastAsia="zh-CN"/>
              </w:rPr>
              <w:t>缴</w:t>
            </w:r>
            <w:r>
              <w:rPr>
                <w:rFonts w:hint="eastAsia" w:ascii="宋体" w:hAnsi="宋体" w:eastAsia="宋体" w:cs="宋体"/>
                <w:b/>
                <w:color w:val="auto"/>
                <w:szCs w:val="21"/>
                <w:highlight w:val="none"/>
              </w:rPr>
              <w:t>纳的（包含保函额度不足的），视为无效磋商保证金。</w:t>
            </w:r>
          </w:p>
          <w:p w14:paraId="522377B3">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2.供应商采用现</w:t>
            </w:r>
            <w:r>
              <w:rPr>
                <w:rFonts w:hint="eastAsia" w:ascii="宋体" w:hAnsi="宋体" w:eastAsia="宋体" w:cs="宋体"/>
                <w:b/>
                <w:color w:val="auto"/>
                <w:szCs w:val="21"/>
                <w:highlight w:val="none"/>
                <w:lang w:eastAsia="zh-CN"/>
              </w:rPr>
              <w:t>金</w:t>
            </w:r>
            <w:r>
              <w:rPr>
                <w:rFonts w:hint="eastAsia" w:ascii="宋体" w:hAnsi="宋体" w:eastAsia="宋体" w:cs="宋体"/>
                <w:b/>
                <w:color w:val="auto"/>
                <w:szCs w:val="21"/>
                <w:highlight w:val="none"/>
              </w:rPr>
              <w:t>方式或者从个人账户（自然人竞标除外）转出的磋商保证金，视为无效磋商保证金。</w:t>
            </w:r>
          </w:p>
          <w:p w14:paraId="1920CA53">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3.支票、汇票或者本票出现无效或者背书情形的，视为无效磋商保证金。</w:t>
            </w:r>
          </w:p>
          <w:p w14:paraId="49AE486D">
            <w:pPr>
              <w:snapToGrid w:val="0"/>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4.保函有效期低于竞标有效期的，视为无效磋商保证金。</w:t>
            </w:r>
          </w:p>
          <w:p w14:paraId="16625DF9">
            <w:pPr>
              <w:autoSpaceDE w:val="0"/>
              <w:autoSpaceDN w:val="0"/>
              <w:snapToGrid w:val="0"/>
              <w:spacing w:line="360" w:lineRule="auto"/>
              <w:textAlignment w:val="bottom"/>
              <w:rPr>
                <w:rFonts w:hint="eastAsia" w:ascii="宋体" w:hAnsi="宋体" w:eastAsia="宋体" w:cs="宋体"/>
                <w:color w:val="auto"/>
                <w:szCs w:val="21"/>
                <w:highlight w:val="none"/>
              </w:rPr>
            </w:pPr>
            <w:r>
              <w:rPr>
                <w:rFonts w:hint="eastAsia" w:ascii="宋体" w:hAnsi="宋体" w:eastAsia="宋体" w:cs="宋体"/>
                <w:b/>
                <w:color w:val="auto"/>
                <w:szCs w:val="21"/>
                <w:highlight w:val="none"/>
              </w:rPr>
              <w:t>5.采用金融、担保机构出具保函的，必须为无条件保函，否则视为无效磋商保证金。</w:t>
            </w:r>
          </w:p>
        </w:tc>
      </w:tr>
      <w:tr w14:paraId="3F6633B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63" w:type="dxa"/>
            <w:vMerge w:val="restart"/>
            <w:noWrap w:val="0"/>
            <w:vAlign w:val="center"/>
          </w:tcPr>
          <w:p w14:paraId="0F892877">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20.1</w:t>
            </w:r>
          </w:p>
        </w:tc>
        <w:tc>
          <w:tcPr>
            <w:tcW w:w="2548" w:type="dxa"/>
            <w:noWrap w:val="0"/>
            <w:vAlign w:val="center"/>
          </w:tcPr>
          <w:p w14:paraId="25E2A23E">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首次响应文件提交</w:t>
            </w:r>
            <w:r>
              <w:rPr>
                <w:rFonts w:hint="eastAsia" w:ascii="宋体" w:hAnsi="宋体" w:eastAsia="宋体" w:cs="宋体"/>
                <w:color w:val="auto"/>
                <w:szCs w:val="21"/>
                <w:highlight w:val="none"/>
                <w:lang w:eastAsia="zh-CN"/>
              </w:rPr>
              <w:t>截</w:t>
            </w:r>
            <w:r>
              <w:rPr>
                <w:rFonts w:hint="eastAsia" w:ascii="宋体" w:hAnsi="宋体" w:eastAsia="宋体" w:cs="宋体"/>
                <w:color w:val="auto"/>
                <w:szCs w:val="21"/>
                <w:highlight w:val="none"/>
              </w:rPr>
              <w:t>止</w:t>
            </w:r>
          </w:p>
          <w:p w14:paraId="7A863F8C">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时间</w:t>
            </w:r>
          </w:p>
        </w:tc>
        <w:tc>
          <w:tcPr>
            <w:tcW w:w="6853" w:type="dxa"/>
            <w:noWrap w:val="0"/>
            <w:vAlign w:val="center"/>
          </w:tcPr>
          <w:p w14:paraId="353D6CA1">
            <w:pPr>
              <w:snapToGrid w:val="0"/>
              <w:spacing w:line="360" w:lineRule="auto"/>
              <w:jc w:val="left"/>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详见竞争性磋商公告。</w:t>
            </w:r>
          </w:p>
        </w:tc>
      </w:tr>
      <w:tr w14:paraId="7C9E550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8" w:hRule="atLeast"/>
          <w:jc w:val="center"/>
        </w:trPr>
        <w:tc>
          <w:tcPr>
            <w:tcW w:w="963" w:type="dxa"/>
            <w:vMerge w:val="continue"/>
            <w:noWrap w:val="0"/>
            <w:vAlign w:val="center"/>
          </w:tcPr>
          <w:p w14:paraId="3D2482C1">
            <w:pPr>
              <w:spacing w:line="360" w:lineRule="auto"/>
              <w:jc w:val="center"/>
              <w:rPr>
                <w:rFonts w:hint="eastAsia" w:ascii="宋体" w:hAnsi="宋体" w:eastAsia="宋体" w:cs="宋体"/>
                <w:color w:val="auto"/>
                <w:szCs w:val="21"/>
                <w:highlight w:val="none"/>
              </w:rPr>
            </w:pPr>
          </w:p>
        </w:tc>
        <w:tc>
          <w:tcPr>
            <w:tcW w:w="2548" w:type="dxa"/>
            <w:noWrap w:val="0"/>
            <w:vAlign w:val="center"/>
          </w:tcPr>
          <w:p w14:paraId="70E3806F">
            <w:pPr>
              <w:spacing w:line="36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首次响应文件</w:t>
            </w:r>
            <w:r>
              <w:rPr>
                <w:rFonts w:hint="eastAsia" w:ascii="宋体" w:hAnsi="宋体" w:eastAsia="宋体" w:cs="宋体"/>
                <w:color w:val="auto"/>
                <w:szCs w:val="21"/>
                <w:highlight w:val="none"/>
                <w:lang w:eastAsia="zh-CN"/>
              </w:rPr>
              <w:t>开启</w:t>
            </w:r>
          </w:p>
          <w:p w14:paraId="1946AE68">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时间</w:t>
            </w:r>
          </w:p>
        </w:tc>
        <w:tc>
          <w:tcPr>
            <w:tcW w:w="6853" w:type="dxa"/>
            <w:noWrap w:val="0"/>
            <w:vAlign w:val="center"/>
          </w:tcPr>
          <w:p w14:paraId="49DC4277">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详见竞争性磋商公告。</w:t>
            </w:r>
          </w:p>
        </w:tc>
      </w:tr>
      <w:tr w14:paraId="6C828F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63" w:type="dxa"/>
            <w:vMerge w:val="continue"/>
            <w:noWrap w:val="0"/>
            <w:vAlign w:val="center"/>
          </w:tcPr>
          <w:p w14:paraId="2DF28917">
            <w:pPr>
              <w:spacing w:line="360" w:lineRule="auto"/>
              <w:jc w:val="center"/>
              <w:rPr>
                <w:rFonts w:hint="eastAsia" w:ascii="宋体" w:hAnsi="宋体" w:eastAsia="宋体" w:cs="宋体"/>
                <w:color w:val="auto"/>
                <w:szCs w:val="21"/>
                <w:highlight w:val="none"/>
              </w:rPr>
            </w:pPr>
          </w:p>
        </w:tc>
        <w:tc>
          <w:tcPr>
            <w:tcW w:w="2548" w:type="dxa"/>
            <w:noWrap w:val="0"/>
            <w:vAlign w:val="center"/>
          </w:tcPr>
          <w:p w14:paraId="33F9B5F4">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首次响应文件提交地点</w:t>
            </w:r>
          </w:p>
        </w:tc>
        <w:tc>
          <w:tcPr>
            <w:tcW w:w="6853" w:type="dxa"/>
            <w:noWrap w:val="0"/>
            <w:vAlign w:val="center"/>
          </w:tcPr>
          <w:p w14:paraId="55FDC386">
            <w:pPr>
              <w:snapToGrid w:val="0"/>
              <w:spacing w:line="360" w:lineRule="auto"/>
              <w:jc w:val="left"/>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详见竞争性磋商公告。</w:t>
            </w:r>
          </w:p>
        </w:tc>
      </w:tr>
      <w:tr w14:paraId="540C2FB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63" w:type="dxa"/>
            <w:noWrap w:val="0"/>
            <w:vAlign w:val="center"/>
          </w:tcPr>
          <w:p w14:paraId="6A945F44">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20.6</w:t>
            </w:r>
          </w:p>
        </w:tc>
        <w:tc>
          <w:tcPr>
            <w:tcW w:w="2548" w:type="dxa"/>
            <w:noWrap w:val="0"/>
            <w:vAlign w:val="center"/>
          </w:tcPr>
          <w:p w14:paraId="420AFAB6">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备份响应文件</w:t>
            </w:r>
          </w:p>
        </w:tc>
        <w:tc>
          <w:tcPr>
            <w:tcW w:w="6853" w:type="dxa"/>
            <w:noWrap w:val="0"/>
            <w:vAlign w:val="center"/>
          </w:tcPr>
          <w:p w14:paraId="62E29E01">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本项目不接受备份响应文件。</w:t>
            </w:r>
          </w:p>
        </w:tc>
      </w:tr>
      <w:tr w14:paraId="50BC962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22" w:hRule="atLeast"/>
          <w:jc w:val="center"/>
        </w:trPr>
        <w:tc>
          <w:tcPr>
            <w:tcW w:w="963" w:type="dxa"/>
            <w:noWrap w:val="0"/>
            <w:vAlign w:val="center"/>
          </w:tcPr>
          <w:p w14:paraId="7476C8F8">
            <w:pPr>
              <w:spacing w:line="36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2</w:t>
            </w:r>
            <w:r>
              <w:rPr>
                <w:rFonts w:hint="default" w:ascii="宋体" w:hAnsi="宋体" w:eastAsia="宋体" w:cs="宋体"/>
                <w:color w:val="auto"/>
                <w:szCs w:val="21"/>
                <w:highlight w:val="none"/>
                <w:lang w:val="en-US"/>
              </w:rPr>
              <w:t>1</w:t>
            </w:r>
          </w:p>
        </w:tc>
        <w:tc>
          <w:tcPr>
            <w:tcW w:w="2548" w:type="dxa"/>
            <w:noWrap w:val="0"/>
            <w:vAlign w:val="center"/>
          </w:tcPr>
          <w:p w14:paraId="28345F80">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首次响应文件的</w:t>
            </w:r>
            <w:r>
              <w:rPr>
                <w:rFonts w:hint="eastAsia" w:ascii="宋体" w:hAnsi="宋体" w:eastAsia="宋体" w:cs="宋体"/>
                <w:b w:val="0"/>
                <w:bCs w:val="0"/>
                <w:color w:val="auto"/>
                <w:sz w:val="21"/>
                <w:szCs w:val="21"/>
                <w:highlight w:val="none"/>
              </w:rPr>
              <w:t>补充、修改与撤回</w:t>
            </w:r>
          </w:p>
        </w:tc>
        <w:tc>
          <w:tcPr>
            <w:tcW w:w="6853" w:type="dxa"/>
            <w:noWrap w:val="0"/>
            <w:vAlign w:val="center"/>
          </w:tcPr>
          <w:p w14:paraId="0B3DA6E9">
            <w:pPr>
              <w:snapToGrid w:val="0"/>
              <w:spacing w:line="360" w:lineRule="auto"/>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详见</w:t>
            </w:r>
            <w:r>
              <w:rPr>
                <w:rFonts w:hint="eastAsia" w:ascii="宋体" w:hAnsi="宋体"/>
                <w:b w:val="0"/>
                <w:bCs/>
                <w:color w:val="auto"/>
                <w:highlight w:val="none"/>
              </w:rPr>
              <w:t>供应商须知正文</w:t>
            </w:r>
            <w:r>
              <w:rPr>
                <w:rFonts w:hint="eastAsia" w:ascii="宋体" w:hAnsi="宋体" w:eastAsia="宋体" w:cs="宋体"/>
                <w:color w:val="auto"/>
                <w:szCs w:val="21"/>
                <w:highlight w:val="none"/>
              </w:rPr>
              <w:t>。</w:t>
            </w:r>
          </w:p>
        </w:tc>
      </w:tr>
      <w:tr w14:paraId="381AE56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restart"/>
            <w:noWrap w:val="0"/>
            <w:vAlign w:val="center"/>
          </w:tcPr>
          <w:p w14:paraId="38ACB53D">
            <w:pPr>
              <w:spacing w:line="360" w:lineRule="auto"/>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25</w:t>
            </w:r>
          </w:p>
        </w:tc>
        <w:tc>
          <w:tcPr>
            <w:tcW w:w="2548" w:type="dxa"/>
            <w:noWrap w:val="0"/>
            <w:vAlign w:val="center"/>
          </w:tcPr>
          <w:p w14:paraId="2141C33B">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评</w:t>
            </w:r>
            <w:r>
              <w:rPr>
                <w:rFonts w:hint="eastAsia" w:ascii="宋体" w:hAnsi="宋体" w:eastAsia="宋体" w:cs="宋体"/>
                <w:color w:val="auto"/>
                <w:szCs w:val="21"/>
                <w:highlight w:val="none"/>
                <w:lang w:val="en-US" w:eastAsia="zh-CN"/>
              </w:rPr>
              <w:t>审</w:t>
            </w:r>
            <w:r>
              <w:rPr>
                <w:rFonts w:hint="eastAsia" w:ascii="宋体" w:hAnsi="宋体" w:eastAsia="宋体" w:cs="宋体"/>
                <w:color w:val="auto"/>
                <w:szCs w:val="21"/>
                <w:highlight w:val="none"/>
              </w:rPr>
              <w:t>方法</w:t>
            </w:r>
          </w:p>
        </w:tc>
        <w:tc>
          <w:tcPr>
            <w:tcW w:w="6853" w:type="dxa"/>
            <w:noWrap w:val="0"/>
            <w:vAlign w:val="center"/>
          </w:tcPr>
          <w:p w14:paraId="6A058009">
            <w:pPr>
              <w:pStyle w:val="11"/>
              <w:spacing w:line="360" w:lineRule="auto"/>
              <w:rPr>
                <w:rFonts w:hint="eastAsia" w:ascii="宋体" w:hAnsi="宋体" w:eastAsia="宋体" w:cs="宋体"/>
                <w:b/>
                <w:color w:val="auto"/>
                <w:szCs w:val="21"/>
                <w:highlight w:val="none"/>
              </w:rPr>
            </w:pPr>
            <w:r>
              <w:rPr>
                <w:rFonts w:hint="eastAsia"/>
                <w:color w:val="auto"/>
                <w:highlight w:val="none"/>
                <w:lang w:val="en-US" w:eastAsia="zh-CN"/>
              </w:rPr>
              <w:t>本项目采用综合评分法。综合评分法是指响应文件满足竞争性磋商文件全部实质性要求且按评审因素的量化指标评审得分最高的供应商为成交候选供应商的评审方法。</w:t>
            </w:r>
          </w:p>
        </w:tc>
      </w:tr>
      <w:tr w14:paraId="455D03D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continue"/>
            <w:noWrap w:val="0"/>
            <w:vAlign w:val="center"/>
          </w:tcPr>
          <w:p w14:paraId="7FCB5589">
            <w:pPr>
              <w:spacing w:line="360" w:lineRule="auto"/>
              <w:jc w:val="center"/>
              <w:rPr>
                <w:rFonts w:hint="default" w:ascii="宋体" w:hAnsi="宋体" w:eastAsia="宋体" w:cs="宋体"/>
                <w:color w:val="auto"/>
                <w:szCs w:val="21"/>
                <w:highlight w:val="none"/>
                <w:lang w:val="en-US" w:eastAsia="zh-CN"/>
              </w:rPr>
            </w:pPr>
          </w:p>
        </w:tc>
        <w:tc>
          <w:tcPr>
            <w:tcW w:w="2548" w:type="dxa"/>
            <w:noWrap w:val="0"/>
            <w:vAlign w:val="center"/>
          </w:tcPr>
          <w:p w14:paraId="5BE5583F">
            <w:pPr>
              <w:snapToGri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磋商的顺序</w:t>
            </w:r>
          </w:p>
        </w:tc>
        <w:tc>
          <w:tcPr>
            <w:tcW w:w="6853" w:type="dxa"/>
            <w:noWrap w:val="0"/>
            <w:vAlign w:val="center"/>
          </w:tcPr>
          <w:p w14:paraId="2CA250A0">
            <w:pPr>
              <w:pStyle w:val="11"/>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按照提交首次响应文件的顺序，通知磋商时，若某供应商不在通知现场时，该供应商排序到最后磋商，按照签到的顺序由其下一位供应商先参与磋商。</w:t>
            </w:r>
          </w:p>
          <w:p w14:paraId="35414EF4">
            <w:pPr>
              <w:snapToGrid w:val="0"/>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随机排序。</w:t>
            </w:r>
          </w:p>
          <w:p w14:paraId="1BAD6E49">
            <w:pPr>
              <w:pStyle w:val="11"/>
              <w:spacing w:line="360" w:lineRule="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参与磋商前，磋商小组</w:t>
            </w:r>
            <w:r>
              <w:rPr>
                <w:rFonts w:hint="eastAsia" w:ascii="宋体" w:hAnsi="宋体" w:eastAsia="宋体" w:cs="宋体"/>
                <w:b/>
                <w:color w:val="auto"/>
                <w:szCs w:val="21"/>
                <w:highlight w:val="none"/>
                <w:lang w:eastAsia="zh-CN"/>
              </w:rPr>
              <w:t>如有要求，</w:t>
            </w:r>
            <w:r>
              <w:rPr>
                <w:rFonts w:hint="eastAsia" w:ascii="宋体" w:hAnsi="宋体" w:eastAsia="宋体" w:cs="宋体"/>
                <w:b/>
                <w:color w:val="auto"/>
                <w:szCs w:val="21"/>
                <w:highlight w:val="none"/>
              </w:rPr>
              <w:t>供应商法定代表人或者委托代理人必须向磋商小组出示本人有效证件原件[有效证件可以是身份证（含临时身份证明）、机动车驾驶证、社会保障卡或者护照的其中一项]，若参与磋商的委托代理人不是响应文件中授权的委托代理人时，必须同时出示有效的法定代表人授权委托书原件，否则磋商小组将拒绝其参与磋商。</w:t>
            </w:r>
          </w:p>
        </w:tc>
      </w:tr>
      <w:tr w14:paraId="0DC8D63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B837237">
            <w:pPr>
              <w:spacing w:line="36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7</w:t>
            </w:r>
          </w:p>
        </w:tc>
        <w:tc>
          <w:tcPr>
            <w:tcW w:w="2548" w:type="dxa"/>
            <w:noWrap w:val="0"/>
            <w:vAlign w:val="center"/>
          </w:tcPr>
          <w:p w14:paraId="2D14A661">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履约保证金</w:t>
            </w:r>
          </w:p>
        </w:tc>
        <w:tc>
          <w:tcPr>
            <w:tcW w:w="6853" w:type="dxa"/>
            <w:noWrap w:val="0"/>
            <w:vAlign w:val="center"/>
          </w:tcPr>
          <w:p w14:paraId="34270FA0">
            <w:pPr>
              <w:spacing w:line="360" w:lineRule="auto"/>
              <w:ind w:firstLine="0" w:firstLineChars="0"/>
              <w:rPr>
                <w:rFonts w:hint="eastAsia" w:ascii="宋体" w:hAnsi="宋体" w:eastAsia="宋体" w:cs="宋体"/>
                <w:b/>
                <w:bCs/>
                <w:color w:val="auto"/>
                <w:szCs w:val="21"/>
                <w:highlight w:val="none"/>
                <w:lang w:eastAsia="zh-CN"/>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本项目不需要缴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rPr>
              <w:t>履约</w:t>
            </w:r>
            <w:r>
              <w:rPr>
                <w:rFonts w:hint="eastAsia" w:ascii="宋体" w:hAnsi="宋体" w:eastAsia="宋体" w:cs="宋体"/>
                <w:b/>
                <w:bCs/>
                <w:color w:val="auto"/>
                <w:szCs w:val="21"/>
                <w:highlight w:val="none"/>
                <w:lang w:eastAsia="zh-CN"/>
              </w:rPr>
              <w:t>保证金。</w:t>
            </w:r>
          </w:p>
          <w:p w14:paraId="77F896B1">
            <w:pPr>
              <w:spacing w:line="360" w:lineRule="auto"/>
              <w:ind w:firstLine="0" w:firstLineChars="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lang w:eastAsia="zh-CN"/>
              </w:rPr>
              <w:t>☑</w:t>
            </w:r>
            <w:r>
              <w:rPr>
                <w:rFonts w:hint="eastAsia" w:ascii="宋体" w:hAnsi="宋体" w:eastAsia="宋体" w:cs="宋体"/>
                <w:b/>
                <w:bCs/>
                <w:color w:val="auto"/>
                <w:szCs w:val="21"/>
                <w:highlight w:val="none"/>
              </w:rPr>
              <w:t xml:space="preserve"> </w:t>
            </w:r>
            <w:r>
              <w:rPr>
                <w:rFonts w:hint="eastAsia" w:ascii="宋体" w:hAnsi="宋体" w:eastAsia="宋体" w:cs="宋体"/>
                <w:b/>
                <w:bCs/>
                <w:color w:val="auto"/>
                <w:szCs w:val="21"/>
                <w:highlight w:val="none"/>
                <w:lang w:eastAsia="zh-CN"/>
              </w:rPr>
              <w:t>本项目需要缴</w:t>
            </w:r>
            <w:r>
              <w:rPr>
                <w:rFonts w:hint="eastAsia" w:ascii="宋体" w:hAnsi="宋体" w:eastAsia="宋体" w:cs="宋体"/>
                <w:b/>
                <w:bCs/>
                <w:color w:val="auto"/>
                <w:kern w:val="0"/>
                <w:szCs w:val="21"/>
                <w:highlight w:val="none"/>
              </w:rPr>
              <w:t>纳</w:t>
            </w:r>
            <w:r>
              <w:rPr>
                <w:rFonts w:hint="eastAsia" w:ascii="宋体" w:hAnsi="宋体" w:eastAsia="宋体" w:cs="宋体"/>
                <w:b/>
                <w:bCs/>
                <w:color w:val="auto"/>
                <w:szCs w:val="21"/>
                <w:highlight w:val="none"/>
              </w:rPr>
              <w:t>履约</w:t>
            </w:r>
            <w:r>
              <w:rPr>
                <w:rFonts w:hint="eastAsia" w:ascii="宋体" w:hAnsi="宋体" w:eastAsia="宋体" w:cs="宋体"/>
                <w:b/>
                <w:bCs/>
                <w:color w:val="auto"/>
                <w:szCs w:val="21"/>
                <w:highlight w:val="none"/>
                <w:lang w:eastAsia="zh-CN"/>
              </w:rPr>
              <w:t>保证金，</w:t>
            </w:r>
            <w:r>
              <w:rPr>
                <w:rFonts w:hint="eastAsia" w:ascii="宋体" w:hAnsi="宋体" w:eastAsia="宋体" w:cs="宋体"/>
                <w:b/>
                <w:bCs/>
                <w:color w:val="auto"/>
                <w:szCs w:val="21"/>
                <w:highlight w:val="none"/>
              </w:rPr>
              <w:t>相关要求</w:t>
            </w:r>
            <w:r>
              <w:rPr>
                <w:rFonts w:hint="eastAsia" w:ascii="宋体" w:hAnsi="宋体" w:eastAsia="宋体" w:cs="宋体"/>
                <w:b/>
                <w:bCs/>
                <w:color w:val="auto"/>
                <w:szCs w:val="21"/>
                <w:highlight w:val="none"/>
                <w:lang w:eastAsia="zh-CN"/>
              </w:rPr>
              <w:t>如下</w:t>
            </w:r>
            <w:r>
              <w:rPr>
                <w:rFonts w:hint="eastAsia" w:ascii="宋体" w:hAnsi="宋体" w:eastAsia="宋体" w:cs="宋体"/>
                <w:b/>
                <w:bCs/>
                <w:color w:val="auto"/>
                <w:szCs w:val="21"/>
                <w:highlight w:val="none"/>
              </w:rPr>
              <w:t>：</w:t>
            </w:r>
          </w:p>
          <w:p w14:paraId="50307326">
            <w:pPr>
              <w:numPr>
                <w:ilvl w:val="0"/>
                <w:numId w:val="0"/>
              </w:numPr>
              <w:spacing w:line="300" w:lineRule="exact"/>
              <w:ind w:left="0" w:leftChars="0" w:firstLine="0" w:firstLineChars="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履约保证金金额：按</w:t>
            </w:r>
            <w:r>
              <w:rPr>
                <w:rFonts w:hint="eastAsia" w:ascii="宋体" w:hAnsi="宋体" w:eastAsia="宋体" w:cs="宋体"/>
                <w:color w:val="auto"/>
                <w:szCs w:val="21"/>
                <w:highlight w:val="none"/>
                <w:lang w:eastAsia="zh-CN"/>
              </w:rPr>
              <w:t>项目</w:t>
            </w:r>
            <w:r>
              <w:rPr>
                <w:rFonts w:hint="eastAsia" w:ascii="宋体" w:hAnsi="宋体" w:eastAsia="宋体" w:cs="宋体"/>
                <w:color w:val="auto"/>
                <w:szCs w:val="21"/>
                <w:highlight w:val="none"/>
              </w:rPr>
              <w:t>每分标</w:t>
            </w:r>
            <w:r>
              <w:rPr>
                <w:rFonts w:hint="eastAsia" w:ascii="宋体" w:hAnsi="宋体" w:eastAsia="宋体" w:cs="宋体"/>
                <w:color w:val="auto"/>
                <w:szCs w:val="21"/>
                <w:highlight w:val="none"/>
                <w:lang w:eastAsia="zh-CN"/>
              </w:rPr>
              <w:t>采购预算</w:t>
            </w:r>
            <w:r>
              <w:rPr>
                <w:rFonts w:hint="eastAsia" w:ascii="宋体" w:hAnsi="宋体" w:eastAsia="宋体" w:cs="宋体"/>
                <w:color w:val="auto"/>
                <w:szCs w:val="21"/>
                <w:highlight w:val="none"/>
              </w:rPr>
              <w:t>金额的</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w:t>
            </w:r>
          </w:p>
          <w:p w14:paraId="27C3CBF3">
            <w:pPr>
              <w:numPr>
                <w:ilvl w:val="0"/>
                <w:numId w:val="0"/>
              </w:numPr>
              <w:spacing w:line="300" w:lineRule="exact"/>
              <w:ind w:left="0" w:leftChars="0" w:firstLine="0" w:firstLineChars="0"/>
              <w:jc w:val="left"/>
              <w:rPr>
                <w:rFonts w:ascii="宋体" w:hAnsi="宋体"/>
                <w:bCs/>
                <w:color w:val="auto"/>
                <w:szCs w:val="21"/>
                <w:highlight w:val="none"/>
              </w:rPr>
            </w:pPr>
            <w:r>
              <w:rPr>
                <w:rFonts w:hint="eastAsia" w:ascii="宋体" w:hAnsi="宋体"/>
                <w:bCs/>
                <w:color w:val="auto"/>
                <w:szCs w:val="21"/>
                <w:highlight w:val="none"/>
                <w:lang w:val="en-US" w:eastAsia="zh-CN"/>
              </w:rPr>
              <w:t>A分标</w:t>
            </w:r>
            <w:r>
              <w:rPr>
                <w:rFonts w:ascii="宋体" w:hAnsi="宋体"/>
                <w:bCs/>
                <w:color w:val="auto"/>
                <w:szCs w:val="21"/>
                <w:highlight w:val="none"/>
              </w:rPr>
              <w:t>收取履约保证金：人民币</w:t>
            </w:r>
            <w:r>
              <w:rPr>
                <w:rFonts w:ascii="宋体" w:hAnsi="宋体"/>
                <w:bCs/>
                <w:color w:val="auto"/>
                <w:szCs w:val="21"/>
                <w:highlight w:val="none"/>
                <w:u w:val="single"/>
              </w:rPr>
              <w:t xml:space="preserve"> </w:t>
            </w:r>
            <w:r>
              <w:rPr>
                <w:rFonts w:hint="eastAsia" w:ascii="宋体" w:hAnsi="宋体"/>
                <w:bCs/>
                <w:color w:val="auto"/>
                <w:szCs w:val="21"/>
                <w:highlight w:val="none"/>
                <w:u w:val="single"/>
                <w:lang w:val="en-US" w:eastAsia="zh-CN"/>
              </w:rPr>
              <w:t>23100</w:t>
            </w:r>
            <w:r>
              <w:rPr>
                <w:rFonts w:ascii="宋体" w:hAnsi="宋体"/>
                <w:bCs/>
                <w:color w:val="auto"/>
                <w:szCs w:val="21"/>
                <w:highlight w:val="none"/>
                <w:u w:val="single"/>
              </w:rPr>
              <w:t xml:space="preserve">  </w:t>
            </w:r>
            <w:r>
              <w:rPr>
                <w:rFonts w:ascii="宋体" w:hAnsi="宋体"/>
                <w:bCs/>
                <w:color w:val="auto"/>
                <w:szCs w:val="21"/>
                <w:highlight w:val="none"/>
              </w:rPr>
              <w:t>元。</w:t>
            </w:r>
          </w:p>
          <w:p w14:paraId="75F6E490">
            <w:pPr>
              <w:numPr>
                <w:ilvl w:val="0"/>
                <w:numId w:val="0"/>
              </w:numPr>
              <w:spacing w:line="300" w:lineRule="exact"/>
              <w:jc w:val="left"/>
              <w:rPr>
                <w:rFonts w:ascii="宋体" w:hAnsi="宋体"/>
                <w:bCs/>
                <w:color w:val="auto"/>
                <w:szCs w:val="21"/>
                <w:highlight w:val="none"/>
              </w:rPr>
            </w:pPr>
            <w:r>
              <w:rPr>
                <w:rFonts w:hint="eastAsia" w:ascii="宋体" w:hAnsi="宋体"/>
                <w:bCs/>
                <w:color w:val="auto"/>
                <w:szCs w:val="21"/>
                <w:highlight w:val="none"/>
                <w:lang w:val="en-US" w:eastAsia="zh-CN"/>
              </w:rPr>
              <w:t>B分标</w:t>
            </w:r>
            <w:r>
              <w:rPr>
                <w:rFonts w:ascii="宋体" w:hAnsi="宋体"/>
                <w:bCs/>
                <w:color w:val="auto"/>
                <w:szCs w:val="21"/>
                <w:highlight w:val="none"/>
              </w:rPr>
              <w:t>收取履约保证金：人民币</w:t>
            </w:r>
            <w:r>
              <w:rPr>
                <w:rFonts w:ascii="宋体" w:hAnsi="宋体"/>
                <w:bCs/>
                <w:color w:val="auto"/>
                <w:szCs w:val="21"/>
                <w:highlight w:val="none"/>
                <w:u w:val="single"/>
              </w:rPr>
              <w:t xml:space="preserve"> </w:t>
            </w:r>
            <w:r>
              <w:rPr>
                <w:rFonts w:hint="eastAsia" w:ascii="宋体" w:hAnsi="宋体"/>
                <w:bCs/>
                <w:color w:val="auto"/>
                <w:szCs w:val="21"/>
                <w:highlight w:val="none"/>
                <w:u w:val="single"/>
                <w:lang w:val="en-US" w:eastAsia="zh-CN"/>
              </w:rPr>
              <w:t>23100</w:t>
            </w:r>
            <w:r>
              <w:rPr>
                <w:rFonts w:ascii="宋体" w:hAnsi="宋体"/>
                <w:bCs/>
                <w:color w:val="auto"/>
                <w:szCs w:val="21"/>
                <w:highlight w:val="none"/>
                <w:u w:val="single"/>
              </w:rPr>
              <w:t xml:space="preserve">  </w:t>
            </w:r>
            <w:r>
              <w:rPr>
                <w:rFonts w:ascii="宋体" w:hAnsi="宋体"/>
                <w:bCs/>
                <w:color w:val="auto"/>
                <w:szCs w:val="21"/>
                <w:highlight w:val="none"/>
              </w:rPr>
              <w:t>元。</w:t>
            </w:r>
          </w:p>
          <w:p w14:paraId="673F5A51">
            <w:pPr>
              <w:numPr>
                <w:ilvl w:val="0"/>
                <w:numId w:val="0"/>
              </w:numPr>
              <w:spacing w:line="300" w:lineRule="exact"/>
              <w:ind w:leftChars="0"/>
              <w:jc w:val="left"/>
              <w:rPr>
                <w:rFonts w:ascii="宋体" w:hAnsi="宋体"/>
                <w:bCs/>
                <w:color w:val="auto"/>
                <w:szCs w:val="21"/>
                <w:highlight w:val="none"/>
              </w:rPr>
            </w:pPr>
            <w:r>
              <w:rPr>
                <w:rFonts w:hint="eastAsia" w:ascii="宋体" w:hAnsi="宋体"/>
                <w:bCs/>
                <w:color w:val="auto"/>
                <w:szCs w:val="21"/>
                <w:highlight w:val="none"/>
                <w:lang w:val="en-US" w:eastAsia="zh-CN"/>
              </w:rPr>
              <w:t>C分标</w:t>
            </w:r>
            <w:r>
              <w:rPr>
                <w:rFonts w:ascii="宋体" w:hAnsi="宋体"/>
                <w:bCs/>
                <w:color w:val="auto"/>
                <w:szCs w:val="21"/>
                <w:highlight w:val="none"/>
              </w:rPr>
              <w:t>收取履约保证金：人民币</w:t>
            </w:r>
            <w:r>
              <w:rPr>
                <w:rFonts w:ascii="宋体" w:hAnsi="宋体"/>
                <w:bCs/>
                <w:color w:val="auto"/>
                <w:szCs w:val="21"/>
                <w:highlight w:val="none"/>
                <w:u w:val="single"/>
              </w:rPr>
              <w:t xml:space="preserve"> </w:t>
            </w:r>
            <w:r>
              <w:rPr>
                <w:rFonts w:hint="eastAsia" w:ascii="宋体" w:hAnsi="宋体"/>
                <w:bCs/>
                <w:color w:val="auto"/>
                <w:szCs w:val="21"/>
                <w:highlight w:val="none"/>
                <w:u w:val="single"/>
                <w:lang w:val="en-US" w:eastAsia="zh-CN"/>
              </w:rPr>
              <w:t>11720</w:t>
            </w:r>
            <w:r>
              <w:rPr>
                <w:rFonts w:ascii="宋体" w:hAnsi="宋体"/>
                <w:bCs/>
                <w:color w:val="auto"/>
                <w:szCs w:val="21"/>
                <w:highlight w:val="none"/>
                <w:u w:val="single"/>
              </w:rPr>
              <w:t xml:space="preserve">  </w:t>
            </w:r>
            <w:r>
              <w:rPr>
                <w:rFonts w:ascii="宋体" w:hAnsi="宋体"/>
                <w:bCs/>
                <w:color w:val="auto"/>
                <w:szCs w:val="21"/>
                <w:highlight w:val="none"/>
              </w:rPr>
              <w:t>元。</w:t>
            </w:r>
          </w:p>
          <w:p w14:paraId="25EA9271">
            <w:pPr>
              <w:snapToGrid/>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履约保证金提交方式：</w:t>
            </w:r>
            <w:r>
              <w:rPr>
                <w:rFonts w:hint="eastAsia" w:ascii="宋体" w:hAnsi="宋体" w:eastAsia="宋体" w:cs="宋体"/>
                <w:color w:val="auto"/>
                <w:szCs w:val="21"/>
                <w:highlight w:val="none"/>
                <w:lang w:eastAsia="zh-CN"/>
              </w:rPr>
              <w:t>成交供应商在</w:t>
            </w:r>
            <w:r>
              <w:rPr>
                <w:rFonts w:hint="eastAsia" w:ascii="宋体" w:hAnsi="宋体" w:eastAsia="宋体" w:cs="宋体"/>
                <w:color w:val="auto"/>
                <w:kern w:val="0"/>
                <w:szCs w:val="21"/>
                <w:highlight w:val="none"/>
                <w:u w:val="single"/>
              </w:rPr>
              <w:t>签订合同</w:t>
            </w:r>
            <w:r>
              <w:rPr>
                <w:rFonts w:hint="eastAsia" w:ascii="宋体" w:hAnsi="宋体" w:eastAsia="宋体" w:cs="宋体"/>
                <w:color w:val="auto"/>
                <w:szCs w:val="21"/>
                <w:highlight w:val="none"/>
                <w:u w:val="single"/>
                <w:lang w:val="en-US" w:eastAsia="zh-CN"/>
              </w:rPr>
              <w:t>前</w:t>
            </w:r>
            <w:r>
              <w:rPr>
                <w:rFonts w:hint="eastAsia" w:ascii="宋体" w:hAnsi="宋体" w:eastAsia="宋体" w:cs="宋体"/>
                <w:color w:val="auto"/>
                <w:szCs w:val="21"/>
                <w:highlight w:val="none"/>
                <w:u w:val="none"/>
                <w:lang w:val="en-US" w:eastAsia="zh-CN"/>
              </w:rPr>
              <w:t>以</w:t>
            </w:r>
            <w:r>
              <w:rPr>
                <w:rFonts w:hint="eastAsia" w:ascii="宋体" w:hAnsi="宋体" w:eastAsia="宋体" w:cs="宋体"/>
                <w:color w:val="auto"/>
                <w:szCs w:val="21"/>
                <w:highlight w:val="none"/>
              </w:rPr>
              <w:t>银行转账、支票、汇票、本票或者金融机构、担保机构出具的保函等非现金方式</w:t>
            </w:r>
            <w:r>
              <w:rPr>
                <w:rFonts w:hint="eastAsia" w:ascii="宋体" w:hAnsi="宋体" w:eastAsia="宋体" w:cs="宋体"/>
                <w:color w:val="auto"/>
                <w:szCs w:val="21"/>
                <w:highlight w:val="none"/>
                <w:lang w:eastAsia="zh-CN"/>
              </w:rPr>
              <w:t>向</w:t>
            </w:r>
            <w:r>
              <w:rPr>
                <w:rFonts w:hint="eastAsia" w:ascii="宋体" w:hAnsi="宋体" w:eastAsia="宋体" w:cs="宋体"/>
                <w:color w:val="auto"/>
                <w:szCs w:val="21"/>
                <w:highlight w:val="none"/>
                <w:u w:val="single"/>
                <w:lang w:val="en-US" w:eastAsia="zh-CN"/>
              </w:rPr>
              <w:t>采购人</w:t>
            </w:r>
            <w:r>
              <w:rPr>
                <w:rFonts w:hint="eastAsia" w:ascii="宋体" w:hAnsi="宋体" w:eastAsia="宋体" w:cs="宋体"/>
                <w:color w:val="auto"/>
                <w:szCs w:val="21"/>
                <w:highlight w:val="none"/>
                <w:u w:val="none"/>
                <w:lang w:val="en-US" w:eastAsia="zh-CN"/>
              </w:rPr>
              <w:t>提交</w:t>
            </w:r>
            <w:r>
              <w:rPr>
                <w:rFonts w:hint="eastAsia" w:ascii="宋体" w:hAnsi="宋体" w:eastAsia="宋体" w:cs="宋体"/>
                <w:color w:val="auto"/>
                <w:szCs w:val="21"/>
                <w:highlight w:val="none"/>
              </w:rPr>
              <w:t>。</w:t>
            </w:r>
          </w:p>
          <w:p w14:paraId="7501FA99">
            <w:pPr>
              <w:autoSpaceDE/>
              <w:autoSpaceDN/>
              <w:snapToGrid/>
              <w:spacing w:line="360" w:lineRule="auto"/>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履约保证金退付方式、时间及条件：</w:t>
            </w:r>
            <w:r>
              <w:rPr>
                <w:rFonts w:hint="eastAsia" w:ascii="宋体" w:hAnsi="宋体" w:cs="宋体"/>
                <w:color w:val="auto"/>
                <w:szCs w:val="21"/>
                <w:highlight w:val="none"/>
              </w:rPr>
              <w:t>项目交付完成并验收合格，在</w:t>
            </w:r>
            <w:r>
              <w:rPr>
                <w:rFonts w:hint="eastAsia" w:ascii="宋体" w:hAnsi="宋体" w:cs="宋体"/>
                <w:color w:val="auto"/>
                <w:szCs w:val="21"/>
                <w:highlight w:val="none"/>
                <w:lang w:eastAsia="zh-CN"/>
              </w:rPr>
              <w:t>成交供应商</w:t>
            </w:r>
            <w:r>
              <w:rPr>
                <w:rFonts w:hint="eastAsia" w:ascii="宋体" w:hAnsi="宋体" w:cs="宋体"/>
                <w:color w:val="auto"/>
                <w:szCs w:val="21"/>
                <w:highlight w:val="none"/>
              </w:rPr>
              <w:t>履行完合同约定的权利义务事项后且无违约情形的，由</w:t>
            </w:r>
            <w:r>
              <w:rPr>
                <w:rFonts w:hint="eastAsia" w:ascii="宋体" w:hAnsi="宋体" w:cs="宋体"/>
                <w:color w:val="auto"/>
                <w:szCs w:val="21"/>
                <w:highlight w:val="none"/>
                <w:lang w:eastAsia="zh-CN"/>
              </w:rPr>
              <w:t>成交供应商</w:t>
            </w:r>
            <w:r>
              <w:rPr>
                <w:rFonts w:hint="eastAsia" w:ascii="宋体" w:hAnsi="宋体" w:cs="宋体"/>
                <w:color w:val="auto"/>
                <w:szCs w:val="21"/>
                <w:highlight w:val="none"/>
              </w:rPr>
              <w:t>向采购人财务部门提供审签完成的《</w:t>
            </w:r>
            <w:r>
              <w:rPr>
                <w:rFonts w:hint="eastAsia" w:ascii="宋体" w:hAnsi="宋体" w:cs="宋体"/>
                <w:color w:val="auto"/>
                <w:szCs w:val="21"/>
                <w:highlight w:val="none"/>
                <w:lang w:eastAsia="zh-CN"/>
              </w:rPr>
              <w:t>政府</w:t>
            </w:r>
            <w:r>
              <w:rPr>
                <w:rFonts w:hint="eastAsia" w:ascii="宋体" w:hAnsi="宋体" w:cs="宋体"/>
                <w:color w:val="auto"/>
                <w:szCs w:val="21"/>
                <w:highlight w:val="none"/>
              </w:rPr>
              <w:t>采购项目合同验收书》及《</w:t>
            </w:r>
            <w:r>
              <w:rPr>
                <w:rFonts w:hint="eastAsia" w:ascii="宋体" w:hAnsi="宋体" w:cs="宋体"/>
                <w:color w:val="auto"/>
                <w:szCs w:val="21"/>
                <w:highlight w:val="none"/>
                <w:lang w:eastAsia="zh-CN"/>
              </w:rPr>
              <w:t>政府</w:t>
            </w:r>
            <w:r>
              <w:rPr>
                <w:rFonts w:hint="eastAsia" w:ascii="宋体" w:hAnsi="宋体" w:cs="宋体"/>
                <w:color w:val="auto"/>
                <w:szCs w:val="21"/>
                <w:highlight w:val="none"/>
              </w:rPr>
              <w:t>采购项目履约保证金退付意见书》，采购人财务部门在收到合格材料后5个工作日内办理退还手续（不计利息）。如最终验收与合同不符，全部履约保证金不予退还，并承担采购人为此而支付的一切损失（包括但不限于律师费、公证费、鉴定费、诉讼费、保全费、公告费、诉讼财产保全责任险保费等一切费用）。</w:t>
            </w:r>
          </w:p>
          <w:p w14:paraId="348499A6">
            <w:pPr>
              <w:snapToGrid/>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lang w:eastAsia="zh-CN"/>
              </w:rPr>
              <w:t>缴纳</w:t>
            </w:r>
            <w:r>
              <w:rPr>
                <w:rFonts w:hint="eastAsia" w:ascii="宋体" w:hAnsi="宋体" w:eastAsia="宋体" w:cs="宋体"/>
                <w:color w:val="auto"/>
                <w:szCs w:val="21"/>
                <w:highlight w:val="none"/>
              </w:rPr>
              <w:t>履约保证金指定账户</w:t>
            </w:r>
            <w:r>
              <w:rPr>
                <w:rFonts w:hint="eastAsia" w:ascii="宋体" w:hAnsi="宋体" w:eastAsia="宋体" w:cs="宋体"/>
                <w:color w:val="auto"/>
                <w:szCs w:val="21"/>
                <w:highlight w:val="none"/>
                <w:lang w:eastAsia="zh-CN"/>
              </w:rPr>
              <w:t>的信息</w:t>
            </w:r>
            <w:r>
              <w:rPr>
                <w:rFonts w:hint="eastAsia" w:ascii="宋体" w:hAnsi="宋体" w:eastAsia="宋体" w:cs="宋体"/>
                <w:color w:val="auto"/>
                <w:szCs w:val="21"/>
                <w:highlight w:val="none"/>
              </w:rPr>
              <w:t>：</w:t>
            </w:r>
          </w:p>
          <w:p w14:paraId="600B3BC4">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开户名：广西农业职业技术大学</w:t>
            </w:r>
          </w:p>
          <w:p w14:paraId="7AC04072">
            <w:pPr>
              <w:autoSpaceDE/>
              <w:autoSpaceDN/>
              <w:snapToGrid w:val="0"/>
              <w:spacing w:line="360" w:lineRule="auto"/>
              <w:textAlignment w:val="auto"/>
              <w:rPr>
                <w:rFonts w:hint="eastAsia" w:ascii="宋体" w:hAnsi="宋体" w:cs="宋体"/>
                <w:color w:val="auto"/>
                <w:szCs w:val="21"/>
                <w:highlight w:val="none"/>
              </w:rPr>
            </w:pPr>
            <w:r>
              <w:rPr>
                <w:rFonts w:hint="eastAsia" w:ascii="宋体" w:hAnsi="宋体" w:cs="宋体"/>
                <w:color w:val="auto"/>
                <w:szCs w:val="21"/>
                <w:highlight w:val="none"/>
              </w:rPr>
              <w:t>开户行：交通银行南宁大学路支行</w:t>
            </w:r>
          </w:p>
          <w:p w14:paraId="4AE59888">
            <w:pPr>
              <w:spacing w:line="360" w:lineRule="auto"/>
              <w:rPr>
                <w:rFonts w:hint="eastAsia" w:ascii="宋体" w:hAnsi="宋体" w:eastAsia="宋体" w:cs="宋体"/>
                <w:color w:val="auto"/>
                <w:szCs w:val="21"/>
                <w:highlight w:val="none"/>
                <w:lang w:val="en-US" w:eastAsia="zh-CN"/>
              </w:rPr>
            </w:pPr>
            <w:r>
              <w:rPr>
                <w:rFonts w:hint="eastAsia" w:ascii="宋体" w:hAnsi="宋体" w:cs="宋体"/>
                <w:color w:val="auto"/>
                <w:szCs w:val="21"/>
                <w:highlight w:val="none"/>
              </w:rPr>
              <w:t>账  号：451060605013002182351</w:t>
            </w:r>
          </w:p>
          <w:p w14:paraId="6FF56D19">
            <w:pPr>
              <w:spacing w:line="360" w:lineRule="auto"/>
              <w:rPr>
                <w:rFonts w:hint="eastAsia" w:ascii="宋体" w:hAnsi="宋体" w:eastAsia="宋体" w:cs="宋体"/>
                <w:b/>
                <w:color w:val="auto"/>
                <w:szCs w:val="21"/>
                <w:highlight w:val="none"/>
                <w:lang w:val="en-US" w:eastAsia="zh-CN"/>
              </w:rPr>
            </w:pPr>
            <w:r>
              <w:rPr>
                <w:rFonts w:hint="eastAsia" w:ascii="宋体" w:hAnsi="宋体" w:eastAsia="宋体" w:cs="宋体"/>
                <w:color w:val="auto"/>
                <w:szCs w:val="21"/>
                <w:highlight w:val="none"/>
                <w:lang w:val="en-US" w:eastAsia="zh-CN"/>
              </w:rPr>
              <w:t>备注：</w:t>
            </w:r>
            <w:r>
              <w:rPr>
                <w:rFonts w:hint="eastAsia" w:ascii="宋体" w:hAnsi="宋体" w:eastAsia="宋体" w:cs="宋体"/>
                <w:color w:val="auto"/>
                <w:szCs w:val="21"/>
                <w:highlight w:val="none"/>
                <w:lang w:val="en-US" w:eastAsia="zh-CN"/>
              </w:rPr>
              <w:br w:type="textWrapping"/>
            </w:r>
            <w:r>
              <w:rPr>
                <w:rFonts w:hint="eastAsia" w:ascii="宋体" w:hAnsi="宋体" w:eastAsia="宋体" w:cs="宋体"/>
                <w:b/>
                <w:color w:val="auto"/>
                <w:szCs w:val="21"/>
                <w:highlight w:val="none"/>
                <w:lang w:val="en-US" w:eastAsia="zh-CN"/>
              </w:rPr>
              <w:t>1.履约保证金不足额缴纳的（包含保函额度不足的），或者不按规定提交方式提交的，或者保函有效期低于合同履行期限的（即合同中规定的当事人履行自己的义务，如交付标的物、价款或者报酬，履行劳务、完成工作的时间界限）的，视为未按规定提交履约保证金。</w:t>
            </w:r>
            <w:r>
              <w:rPr>
                <w:rFonts w:hint="eastAsia" w:ascii="宋体" w:hAnsi="宋体" w:eastAsia="宋体" w:cs="宋体"/>
                <w:b/>
                <w:color w:val="auto"/>
                <w:szCs w:val="21"/>
                <w:highlight w:val="none"/>
                <w:lang w:val="en-US" w:eastAsia="zh-CN"/>
              </w:rPr>
              <w:br w:type="textWrapping"/>
            </w:r>
            <w:r>
              <w:rPr>
                <w:rFonts w:hint="eastAsia" w:ascii="宋体" w:hAnsi="宋体" w:eastAsia="宋体" w:cs="宋体"/>
                <w:b/>
                <w:color w:val="auto"/>
                <w:szCs w:val="21"/>
                <w:highlight w:val="none"/>
                <w:lang w:val="en-US" w:eastAsia="zh-CN"/>
              </w:rPr>
              <w:t>2.采用金融、担保机构出具保函的，必须为无条件保函，否则视为未按规定提交履约保证金。</w:t>
            </w:r>
          </w:p>
          <w:p w14:paraId="3084EDBB">
            <w:pPr>
              <w:snapToGrid/>
              <w:spacing w:line="360" w:lineRule="auto"/>
              <w:rPr>
                <w:rFonts w:hint="eastAsia" w:ascii="宋体" w:hAnsi="宋体" w:eastAsia="宋体" w:cs="宋体"/>
                <w:color w:val="auto"/>
                <w:szCs w:val="21"/>
                <w:highlight w:val="none"/>
              </w:rPr>
            </w:pPr>
            <w:r>
              <w:rPr>
                <w:rFonts w:hint="eastAsia" w:ascii="宋体" w:hAnsi="宋体" w:eastAsia="宋体" w:cs="宋体"/>
                <w:b/>
                <w:color w:val="auto"/>
                <w:szCs w:val="21"/>
                <w:highlight w:val="none"/>
                <w:lang w:val="en-US" w:eastAsia="zh-CN"/>
              </w:rPr>
              <w:t>3</w:t>
            </w:r>
            <w:r>
              <w:rPr>
                <w:rFonts w:hint="eastAsia" w:ascii="宋体" w:hAnsi="宋体" w:eastAsia="宋体" w:cs="宋体"/>
                <w:b/>
                <w:color w:val="auto"/>
                <w:szCs w:val="21"/>
                <w:highlight w:val="none"/>
              </w:rPr>
              <w:t>.供应商为联合体的，可由联合体任意一方或者联合体各方共同提交的履约保证金，视为有效履约保证金。</w:t>
            </w:r>
            <w:r>
              <w:rPr>
                <w:rFonts w:hint="eastAsia" w:ascii="宋体" w:hAnsi="宋体" w:eastAsia="宋体" w:cs="宋体"/>
                <w:color w:val="auto"/>
                <w:szCs w:val="21"/>
                <w:highlight w:val="none"/>
              </w:rPr>
              <w:t xml:space="preserve"> </w:t>
            </w:r>
          </w:p>
        </w:tc>
      </w:tr>
      <w:tr w14:paraId="41CBD3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73C1B6A5">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.5</w:t>
            </w:r>
          </w:p>
        </w:tc>
        <w:tc>
          <w:tcPr>
            <w:tcW w:w="2548" w:type="dxa"/>
            <w:noWrap w:val="0"/>
            <w:vAlign w:val="center"/>
          </w:tcPr>
          <w:p w14:paraId="5B05AA20">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签订合同携带的材料</w:t>
            </w:r>
          </w:p>
        </w:tc>
        <w:tc>
          <w:tcPr>
            <w:tcW w:w="6853" w:type="dxa"/>
            <w:noWrap w:val="0"/>
            <w:vAlign w:val="center"/>
          </w:tcPr>
          <w:p w14:paraId="12C0D70D">
            <w:pPr>
              <w:autoSpaceDE w:val="0"/>
              <w:autoSpaceDN w:val="0"/>
              <w:snapToGrid w:val="0"/>
              <w:spacing w:line="360" w:lineRule="auto"/>
              <w:textAlignment w:val="bottom"/>
              <w:rPr>
                <w:rFonts w:hint="eastAsia" w:ascii="宋体" w:hAnsi="宋体" w:eastAsia="宋体" w:cs="宋体"/>
                <w:color w:val="auto"/>
                <w:szCs w:val="21"/>
                <w:highlight w:val="none"/>
              </w:rPr>
            </w:pPr>
            <w:r>
              <w:rPr>
                <w:rFonts w:hint="eastAsia" w:ascii="宋体" w:hAnsi="宋体" w:eastAsia="宋体" w:cs="宋体"/>
                <w:color w:val="auto"/>
                <w:szCs w:val="21"/>
                <w:highlight w:val="none"/>
              </w:rPr>
              <w:t>委托代理人负责签订合同的，须携带</w:t>
            </w:r>
            <w:r>
              <w:rPr>
                <w:rFonts w:hint="eastAsia" w:ascii="宋体" w:hAnsi="宋体" w:eastAsia="宋体" w:cs="宋体"/>
                <w:color w:val="auto"/>
                <w:szCs w:val="21"/>
                <w:highlight w:val="none"/>
                <w:lang w:eastAsia="zh-CN"/>
              </w:rPr>
              <w:t>有效的法定代表人</w:t>
            </w:r>
            <w:r>
              <w:rPr>
                <w:rFonts w:hint="eastAsia" w:ascii="宋体" w:hAnsi="宋体" w:eastAsia="宋体" w:cs="宋体"/>
                <w:color w:val="auto"/>
                <w:szCs w:val="21"/>
                <w:highlight w:val="none"/>
              </w:rPr>
              <w:t>授权委托书及</w:t>
            </w:r>
            <w:r>
              <w:rPr>
                <w:rFonts w:hint="eastAsia" w:ascii="宋体" w:hAnsi="宋体" w:eastAsia="宋体" w:cs="宋体"/>
                <w:color w:val="auto"/>
                <w:szCs w:val="21"/>
                <w:highlight w:val="none"/>
                <w:lang w:eastAsia="zh-CN"/>
              </w:rPr>
              <w:t>其</w:t>
            </w:r>
            <w:r>
              <w:rPr>
                <w:rFonts w:hint="eastAsia" w:ascii="宋体" w:hAnsi="宋体" w:eastAsia="宋体" w:cs="宋体"/>
                <w:color w:val="auto"/>
                <w:szCs w:val="21"/>
                <w:highlight w:val="none"/>
              </w:rPr>
              <w:t>委托代理人身份证原件等</w:t>
            </w:r>
            <w:r>
              <w:rPr>
                <w:rFonts w:hint="eastAsia" w:ascii="宋体" w:hAnsi="宋体" w:eastAsia="宋体" w:cs="宋体"/>
                <w:color w:val="auto"/>
                <w:szCs w:val="21"/>
                <w:highlight w:val="none"/>
                <w:lang w:eastAsia="zh-CN"/>
              </w:rPr>
              <w:t>其他</w:t>
            </w:r>
            <w:r>
              <w:rPr>
                <w:rFonts w:hint="eastAsia" w:ascii="宋体" w:hAnsi="宋体" w:eastAsia="宋体" w:cs="宋体"/>
                <w:color w:val="auto"/>
                <w:szCs w:val="21"/>
                <w:highlight w:val="none"/>
              </w:rPr>
              <w:t>资格证件。</w:t>
            </w:r>
          </w:p>
          <w:p w14:paraId="3023C289">
            <w:pPr>
              <w:snapToGrid w:val="0"/>
              <w:spacing w:line="360" w:lineRule="auto"/>
              <w:rPr>
                <w:rFonts w:hint="eastAsia" w:ascii="宋体" w:hAnsi="宋体" w:eastAsia="宋体" w:cs="宋体"/>
                <w:b/>
                <w:bCs/>
                <w:i/>
                <w:iCs/>
                <w:color w:val="auto"/>
                <w:szCs w:val="21"/>
                <w:highlight w:val="none"/>
                <w:lang w:eastAsia="zh-CN"/>
              </w:rPr>
            </w:pPr>
            <w:r>
              <w:rPr>
                <w:rFonts w:hint="eastAsia" w:ascii="宋体" w:hAnsi="宋体" w:eastAsia="宋体" w:cs="宋体"/>
                <w:color w:val="auto"/>
                <w:szCs w:val="21"/>
                <w:highlight w:val="none"/>
              </w:rPr>
              <w:t>法定代表人负责签订合同的，须携带法定代表人身份证明原件及身份证原件等</w:t>
            </w:r>
            <w:r>
              <w:rPr>
                <w:rFonts w:hint="eastAsia" w:ascii="宋体" w:hAnsi="宋体" w:eastAsia="宋体" w:cs="宋体"/>
                <w:color w:val="auto"/>
                <w:szCs w:val="21"/>
                <w:highlight w:val="none"/>
                <w:lang w:eastAsia="zh-CN"/>
              </w:rPr>
              <w:t>其他</w:t>
            </w:r>
            <w:r>
              <w:rPr>
                <w:rFonts w:hint="eastAsia" w:ascii="宋体" w:hAnsi="宋体" w:eastAsia="宋体" w:cs="宋体"/>
                <w:color w:val="auto"/>
                <w:szCs w:val="21"/>
                <w:highlight w:val="none"/>
              </w:rPr>
              <w:t>证明材料。</w:t>
            </w:r>
          </w:p>
        </w:tc>
      </w:tr>
      <w:tr w14:paraId="198F712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restart"/>
            <w:noWrap w:val="0"/>
            <w:vAlign w:val="center"/>
          </w:tcPr>
          <w:p w14:paraId="4286AEEF">
            <w:pPr>
              <w:spacing w:line="360" w:lineRule="auto"/>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0</w:t>
            </w:r>
            <w:r>
              <w:rPr>
                <w:rFonts w:hint="eastAsia" w:ascii="宋体" w:hAnsi="宋体" w:eastAsia="宋体" w:cs="宋体"/>
                <w:color w:val="auto"/>
                <w:szCs w:val="21"/>
                <w:highlight w:val="none"/>
              </w:rPr>
              <w:t>.2</w:t>
            </w:r>
          </w:p>
        </w:tc>
        <w:tc>
          <w:tcPr>
            <w:tcW w:w="2548" w:type="dxa"/>
            <w:noWrap w:val="0"/>
            <w:vAlign w:val="center"/>
          </w:tcPr>
          <w:p w14:paraId="3E7A065A">
            <w:pPr>
              <w:spacing w:line="38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接收质疑函方式</w:t>
            </w:r>
          </w:p>
        </w:tc>
        <w:tc>
          <w:tcPr>
            <w:tcW w:w="6853" w:type="dxa"/>
            <w:noWrap w:val="0"/>
            <w:vAlign w:val="center"/>
          </w:tcPr>
          <w:p w14:paraId="341CB3B5">
            <w:pPr>
              <w:snapToGrid w:val="0"/>
              <w:spacing w:line="380" w:lineRule="exact"/>
              <w:rPr>
                <w:rFonts w:hint="eastAsia" w:ascii="宋体" w:hAnsi="宋体" w:eastAsia="宋体" w:cs="宋体"/>
                <w:color w:val="auto"/>
                <w:szCs w:val="21"/>
                <w:highlight w:val="none"/>
              </w:rPr>
            </w:pPr>
            <w:r>
              <w:rPr>
                <w:rFonts w:hint="eastAsia" w:ascii="宋体" w:hAnsi="宋体" w:eastAsia="宋体" w:cs="宋体"/>
                <w:color w:val="auto"/>
                <w:szCs w:val="21"/>
                <w:highlight w:val="none"/>
              </w:rPr>
              <w:t>以书面形式</w:t>
            </w:r>
          </w:p>
        </w:tc>
      </w:tr>
      <w:tr w14:paraId="0238560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continue"/>
            <w:noWrap w:val="0"/>
            <w:vAlign w:val="center"/>
          </w:tcPr>
          <w:p w14:paraId="6638AC63">
            <w:pPr>
              <w:spacing w:line="360" w:lineRule="auto"/>
              <w:jc w:val="center"/>
              <w:rPr>
                <w:rFonts w:hint="eastAsia" w:ascii="宋体" w:hAnsi="宋体" w:eastAsia="宋体" w:cs="宋体"/>
                <w:color w:val="auto"/>
                <w:szCs w:val="21"/>
                <w:highlight w:val="none"/>
              </w:rPr>
            </w:pPr>
          </w:p>
        </w:tc>
        <w:tc>
          <w:tcPr>
            <w:tcW w:w="2548" w:type="dxa"/>
            <w:noWrap w:val="0"/>
            <w:vAlign w:val="center"/>
          </w:tcPr>
          <w:p w14:paraId="039912DF">
            <w:pPr>
              <w:spacing w:line="38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质疑联系部门及联系</w:t>
            </w:r>
          </w:p>
          <w:p w14:paraId="49AF6B5E">
            <w:pPr>
              <w:spacing w:line="38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方式</w:t>
            </w:r>
          </w:p>
        </w:tc>
        <w:tc>
          <w:tcPr>
            <w:tcW w:w="6853" w:type="dxa"/>
            <w:noWrap w:val="0"/>
            <w:vAlign w:val="center"/>
          </w:tcPr>
          <w:p w14:paraId="138E1CC3">
            <w:pPr>
              <w:snapToGrid w:val="0"/>
              <w:spacing w:line="360" w:lineRule="auto"/>
              <w:jc w:val="both"/>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lang w:eastAsia="zh-CN"/>
              </w:rPr>
              <w:t>名称：</w:t>
            </w:r>
            <w:r>
              <w:rPr>
                <w:rFonts w:hint="eastAsia" w:ascii="宋体" w:hAnsi="宋体" w:eastAsia="宋体" w:cs="宋体"/>
                <w:i w:val="0"/>
                <w:iCs w:val="0"/>
                <w:color w:val="auto"/>
                <w:szCs w:val="21"/>
                <w:highlight w:val="none"/>
                <w:lang w:eastAsia="zh-CN"/>
              </w:rPr>
              <w:t>广西农业职业技术大学</w:t>
            </w:r>
          </w:p>
          <w:p w14:paraId="55E78D63">
            <w:pPr>
              <w:snapToGrid w:val="0"/>
              <w:spacing w:line="360" w:lineRule="auto"/>
              <w:jc w:val="both"/>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联系电话：</w:t>
            </w:r>
            <w:r>
              <w:rPr>
                <w:rFonts w:hint="eastAsia" w:ascii="宋体" w:hAnsi="宋体" w:eastAsia="宋体" w:cs="宋体"/>
                <w:color w:val="auto"/>
                <w:kern w:val="0"/>
                <w:szCs w:val="21"/>
                <w:highlight w:val="none"/>
                <w:u w:val="single"/>
                <w:lang w:val="en-US" w:eastAsia="zh-CN"/>
              </w:rPr>
              <w:t>0771-4714891</w:t>
            </w:r>
          </w:p>
          <w:p w14:paraId="15C36B50">
            <w:pPr>
              <w:snapToGrid w:val="0"/>
              <w:spacing w:line="360" w:lineRule="auto"/>
              <w:jc w:val="both"/>
              <w:rPr>
                <w:rFonts w:hint="eastAsia" w:ascii="宋体" w:hAnsi="宋体" w:eastAsia="宋体" w:cs="宋体"/>
                <w:color w:val="auto"/>
                <w:szCs w:val="21"/>
                <w:highlight w:val="none"/>
              </w:rPr>
            </w:pPr>
            <w:r>
              <w:rPr>
                <w:rFonts w:hint="eastAsia" w:ascii="宋体" w:hAnsi="宋体" w:eastAsia="宋体" w:cs="宋体"/>
                <w:color w:val="auto"/>
                <w:szCs w:val="21"/>
                <w:highlight w:val="none"/>
              </w:rPr>
              <w:t>通讯地址：南宁市西乡塘区大学东路176号</w:t>
            </w:r>
          </w:p>
          <w:p w14:paraId="18B4009E">
            <w:pPr>
              <w:snapToGrid w:val="0"/>
              <w:spacing w:line="360" w:lineRule="auto"/>
              <w:jc w:val="both"/>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lang w:eastAsia="zh-CN"/>
              </w:rPr>
              <w:t>名称：</w:t>
            </w:r>
            <w:r>
              <w:rPr>
                <w:rFonts w:hint="eastAsia" w:ascii="宋体" w:hAnsi="宋体" w:eastAsia="宋体" w:cs="宋体"/>
                <w:color w:val="auto"/>
                <w:szCs w:val="21"/>
                <w:highlight w:val="none"/>
              </w:rPr>
              <w:t>广西科联招标中心有限公司</w:t>
            </w:r>
          </w:p>
          <w:p w14:paraId="52A0F904">
            <w:pPr>
              <w:snapToGrid w:val="0"/>
              <w:spacing w:line="360" w:lineRule="auto"/>
              <w:jc w:val="both"/>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联系电话：0771-3486228</w:t>
            </w:r>
          </w:p>
          <w:p w14:paraId="0E5F9B58">
            <w:pPr>
              <w:snapToGrid w:val="0"/>
              <w:spacing w:line="380" w:lineRule="exact"/>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通讯地址：广西南宁市大学东路170号（广西农业机械研究院内）广西科联招标中心有限公司一楼102室。</w:t>
            </w:r>
          </w:p>
        </w:tc>
      </w:tr>
      <w:tr w14:paraId="4CB701D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vMerge w:val="continue"/>
            <w:noWrap w:val="0"/>
            <w:vAlign w:val="center"/>
          </w:tcPr>
          <w:p w14:paraId="3400C2A0">
            <w:pPr>
              <w:spacing w:line="360" w:lineRule="auto"/>
              <w:jc w:val="center"/>
              <w:rPr>
                <w:rFonts w:hint="eastAsia" w:ascii="宋体" w:hAnsi="宋体" w:eastAsia="宋体" w:cs="宋体"/>
                <w:color w:val="auto"/>
                <w:szCs w:val="21"/>
                <w:highlight w:val="none"/>
              </w:rPr>
            </w:pPr>
          </w:p>
        </w:tc>
        <w:tc>
          <w:tcPr>
            <w:tcW w:w="2548" w:type="dxa"/>
            <w:noWrap w:val="0"/>
            <w:vAlign w:val="center"/>
          </w:tcPr>
          <w:p w14:paraId="651A5061">
            <w:pPr>
              <w:spacing w:line="380" w:lineRule="exact"/>
              <w:jc w:val="center"/>
              <w:rPr>
                <w:rFonts w:hint="eastAsia" w:ascii="宋体" w:hAnsi="宋体" w:eastAsia="宋体" w:cs="宋体"/>
                <w:color w:val="auto"/>
                <w:highlight w:val="none"/>
              </w:rPr>
            </w:pPr>
            <w:r>
              <w:rPr>
                <w:rFonts w:hint="eastAsia" w:ascii="宋体" w:hAnsi="宋体" w:eastAsia="宋体" w:cs="宋体"/>
                <w:color w:val="auto"/>
                <w:highlight w:val="none"/>
              </w:rPr>
              <w:t>现场提交质疑办理业务</w:t>
            </w:r>
          </w:p>
          <w:p w14:paraId="3D964A56">
            <w:pPr>
              <w:spacing w:line="380" w:lineRule="exact"/>
              <w:jc w:val="center"/>
              <w:rPr>
                <w:rFonts w:hint="eastAsia" w:ascii="宋体" w:hAnsi="宋体" w:eastAsia="宋体" w:cs="宋体"/>
                <w:color w:val="auto"/>
                <w:szCs w:val="21"/>
                <w:highlight w:val="none"/>
              </w:rPr>
            </w:pPr>
            <w:r>
              <w:rPr>
                <w:rFonts w:hint="eastAsia" w:ascii="宋体" w:hAnsi="宋体" w:eastAsia="宋体" w:cs="宋体"/>
                <w:color w:val="auto"/>
                <w:highlight w:val="none"/>
              </w:rPr>
              <w:t>时间</w:t>
            </w:r>
          </w:p>
        </w:tc>
        <w:tc>
          <w:tcPr>
            <w:tcW w:w="6853" w:type="dxa"/>
            <w:noWrap w:val="0"/>
            <w:vAlign w:val="center"/>
          </w:tcPr>
          <w:p w14:paraId="6D2FED7A">
            <w:pPr>
              <w:snapToGrid w:val="0"/>
              <w:spacing w:line="380" w:lineRule="exact"/>
              <w:rPr>
                <w:rFonts w:hint="eastAsia" w:ascii="宋体" w:hAnsi="宋体" w:eastAsia="宋体" w:cs="宋体"/>
                <w:color w:val="auto"/>
                <w:szCs w:val="21"/>
                <w:highlight w:val="none"/>
                <w:lang w:eastAsia="zh-CN"/>
              </w:rPr>
            </w:pPr>
            <w:r>
              <w:rPr>
                <w:rFonts w:hint="eastAsia" w:ascii="宋体" w:hAnsi="宋体" w:eastAsia="宋体" w:cs="宋体"/>
                <w:color w:val="auto"/>
                <w:highlight w:val="none"/>
              </w:rPr>
              <w:t>质疑期内每个工作日</w:t>
            </w:r>
            <w:r>
              <w:rPr>
                <w:rFonts w:hint="eastAsia" w:ascii="宋体" w:hAnsi="宋体" w:eastAsia="宋体" w:cs="宋体"/>
                <w:color w:val="auto"/>
                <w:sz w:val="21"/>
                <w:highlight w:val="none"/>
                <w:lang w:val="en-US" w:eastAsia="zh-CN"/>
              </w:rPr>
              <w:t>（北京时间）</w:t>
            </w:r>
            <w:r>
              <w:rPr>
                <w:rFonts w:hint="eastAsia" w:ascii="宋体" w:hAnsi="宋体" w:eastAsia="宋体" w:cs="宋体"/>
                <w:color w:val="auto"/>
                <w:highlight w:val="none"/>
              </w:rPr>
              <w:t>上午</w:t>
            </w:r>
            <w:r>
              <w:rPr>
                <w:rFonts w:hint="eastAsia" w:ascii="宋体" w:hAnsi="宋体" w:eastAsia="宋体" w:cs="宋体"/>
                <w:color w:val="auto"/>
                <w:highlight w:val="none"/>
                <w:u w:val="single"/>
                <w:lang w:val="en-US"/>
              </w:rPr>
              <w:t>8</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lang w:val="en-US"/>
              </w:rPr>
              <w:t>12</w:t>
            </w:r>
            <w:r>
              <w:rPr>
                <w:rFonts w:hint="eastAsia" w:ascii="宋体" w:hAnsi="宋体" w:eastAsia="宋体" w:cs="宋体"/>
                <w:color w:val="auto"/>
                <w:highlight w:val="none"/>
              </w:rPr>
              <w:t>时</w:t>
            </w:r>
            <w:r>
              <w:rPr>
                <w:rFonts w:hint="eastAsia" w:ascii="宋体" w:hAnsi="宋体" w:eastAsia="宋体" w:cs="宋体"/>
                <w:color w:val="auto"/>
                <w:highlight w:val="none"/>
                <w:u w:val="single"/>
                <w:lang w:val="en-US"/>
              </w:rPr>
              <w:t>00</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下午</w:t>
            </w:r>
            <w:r>
              <w:rPr>
                <w:rFonts w:hint="eastAsia" w:ascii="宋体" w:hAnsi="宋体" w:eastAsia="宋体" w:cs="宋体"/>
                <w:color w:val="auto"/>
                <w:highlight w:val="none"/>
                <w:u w:val="single"/>
                <w:lang w:val="en-US"/>
              </w:rPr>
              <w:t>15</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分到</w:t>
            </w:r>
            <w:r>
              <w:rPr>
                <w:rFonts w:hint="eastAsia" w:ascii="宋体" w:hAnsi="宋体" w:eastAsia="宋体" w:cs="宋体"/>
                <w:color w:val="auto"/>
                <w:highlight w:val="none"/>
                <w:u w:val="single"/>
              </w:rPr>
              <w:t>18</w:t>
            </w:r>
            <w:r>
              <w:rPr>
                <w:rFonts w:hint="eastAsia" w:ascii="宋体" w:hAnsi="宋体" w:eastAsia="宋体" w:cs="宋体"/>
                <w:color w:val="auto"/>
                <w:highlight w:val="none"/>
              </w:rPr>
              <w:t>时</w:t>
            </w:r>
            <w:r>
              <w:rPr>
                <w:rFonts w:hint="eastAsia" w:ascii="宋体" w:hAnsi="宋体" w:eastAsia="宋体" w:cs="宋体"/>
                <w:color w:val="auto"/>
                <w:highlight w:val="none"/>
                <w:u w:val="single"/>
              </w:rPr>
              <w:t>00</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w:t>
            </w:r>
          </w:p>
        </w:tc>
      </w:tr>
      <w:tr w14:paraId="022DE39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82B3D7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0</w:t>
            </w:r>
            <w:r>
              <w:rPr>
                <w:rFonts w:hint="eastAsia" w:ascii="宋体" w:hAnsi="宋体" w:eastAsia="宋体" w:cs="宋体"/>
                <w:color w:val="auto"/>
                <w:szCs w:val="21"/>
                <w:highlight w:val="none"/>
              </w:rPr>
              <w:t>.6</w:t>
            </w:r>
          </w:p>
        </w:tc>
        <w:tc>
          <w:tcPr>
            <w:tcW w:w="2548" w:type="dxa"/>
            <w:noWrap w:val="0"/>
            <w:vAlign w:val="center"/>
          </w:tcPr>
          <w:p w14:paraId="6670008F">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受理投诉方式</w:t>
            </w:r>
          </w:p>
        </w:tc>
        <w:tc>
          <w:tcPr>
            <w:tcW w:w="6853" w:type="dxa"/>
            <w:noWrap w:val="0"/>
            <w:vAlign w:val="center"/>
          </w:tcPr>
          <w:p w14:paraId="5702F9CC">
            <w:pPr>
              <w:snapToGrid w:val="0"/>
              <w:spacing w:line="380" w:lineRule="exact"/>
              <w:rPr>
                <w:rFonts w:hint="eastAsia" w:ascii="宋体" w:hAnsi="宋体" w:cs="宋体"/>
                <w:color w:val="auto"/>
                <w:highlight w:val="none"/>
              </w:rPr>
            </w:pPr>
            <w:r>
              <w:rPr>
                <w:rFonts w:hint="eastAsia" w:ascii="宋体" w:hAnsi="宋体" w:cs="宋体"/>
                <w:color w:val="auto"/>
                <w:highlight w:val="none"/>
              </w:rPr>
              <w:t>1</w:t>
            </w:r>
            <w:r>
              <w:rPr>
                <w:rFonts w:hint="eastAsia" w:ascii="宋体" w:hAnsi="宋体" w:cs="宋体"/>
                <w:color w:val="auto"/>
                <w:highlight w:val="none"/>
                <w:lang w:val="en-US" w:eastAsia="zh-CN"/>
              </w:rPr>
              <w:t>.</w:t>
            </w:r>
            <w:r>
              <w:rPr>
                <w:rFonts w:hint="eastAsia" w:ascii="宋体" w:hAnsi="宋体" w:cs="宋体"/>
                <w:color w:val="auto"/>
                <w:highlight w:val="none"/>
              </w:rPr>
              <w:t>受理方式：纸质方式受理，投诉书正、副本（经过质疑的事项才可投诉）。</w:t>
            </w:r>
          </w:p>
          <w:p w14:paraId="617ACFF6">
            <w:pPr>
              <w:snapToGrid w:val="0"/>
              <w:spacing w:line="380" w:lineRule="exact"/>
              <w:rPr>
                <w:rFonts w:hint="eastAsia" w:ascii="宋体" w:hAnsi="宋体" w:eastAsia="宋体" w:cs="宋体"/>
                <w:color w:val="auto"/>
                <w:highlight w:val="none"/>
                <w:lang w:eastAsia="zh-CN"/>
              </w:rPr>
            </w:pPr>
            <w:r>
              <w:rPr>
                <w:rFonts w:hint="eastAsia" w:ascii="宋体" w:hAnsi="宋体" w:cs="宋体"/>
                <w:color w:val="auto"/>
                <w:highlight w:val="none"/>
              </w:rPr>
              <w:t>2</w:t>
            </w:r>
            <w:r>
              <w:rPr>
                <w:rFonts w:hint="eastAsia" w:ascii="宋体" w:hAnsi="宋体" w:cs="宋体"/>
                <w:color w:val="auto"/>
                <w:highlight w:val="none"/>
                <w:lang w:val="en-US" w:eastAsia="zh-CN"/>
              </w:rPr>
              <w:t>.</w:t>
            </w:r>
            <w:r>
              <w:rPr>
                <w:rFonts w:hint="eastAsia" w:ascii="宋体" w:hAnsi="宋体" w:eastAsia="宋体" w:cs="宋体"/>
                <w:color w:val="auto"/>
                <w:szCs w:val="21"/>
                <w:highlight w:val="none"/>
                <w:lang w:eastAsia="zh-CN"/>
              </w:rPr>
              <w:t>通讯</w:t>
            </w:r>
            <w:r>
              <w:rPr>
                <w:rFonts w:hint="eastAsia" w:ascii="宋体" w:hAnsi="宋体" w:cs="宋体"/>
                <w:color w:val="auto"/>
                <w:highlight w:val="none"/>
                <w:lang w:eastAsia="zh-CN"/>
              </w:rPr>
              <w:t>方式</w:t>
            </w:r>
          </w:p>
          <w:p w14:paraId="3EF800E0">
            <w:pPr>
              <w:snapToGrid w:val="0"/>
              <w:spacing w:line="380" w:lineRule="exact"/>
              <w:rPr>
                <w:rFonts w:hint="eastAsia" w:ascii="宋体" w:hAnsi="宋体" w:cs="宋体"/>
                <w:color w:val="auto"/>
                <w:highlight w:val="none"/>
              </w:rPr>
            </w:pPr>
            <w:r>
              <w:rPr>
                <w:rFonts w:hint="eastAsia" w:ascii="宋体" w:hAnsi="宋体" w:cs="宋体"/>
                <w:color w:val="auto"/>
                <w:highlight w:val="none"/>
              </w:rPr>
              <w:t>名称：</w:t>
            </w:r>
            <w:bookmarkStart w:id="59" w:name="PO_3000001867_PM036"/>
            <w:r>
              <w:rPr>
                <w:rFonts w:hint="eastAsia" w:ascii="宋体" w:cs="宋体"/>
                <w:color w:val="auto"/>
                <w:szCs w:val="21"/>
                <w:highlight w:val="none"/>
              </w:rPr>
              <w:t>广西壮族自治区财政厅政府采购监督管理处</w:t>
            </w:r>
            <w:r>
              <w:rPr>
                <w:rFonts w:hint="eastAsia" w:ascii="宋体" w:hAnsi="宋体" w:cs="宋体"/>
                <w:color w:val="auto"/>
                <w:highlight w:val="none"/>
                <w:lang w:eastAsia="zh-CN"/>
              </w:rPr>
              <w:t xml:space="preserve"> </w:t>
            </w:r>
            <w:bookmarkEnd w:id="59"/>
            <w:r>
              <w:rPr>
                <w:rFonts w:hint="eastAsia" w:ascii="宋体" w:hAnsi="宋体" w:cs="宋体"/>
                <w:color w:val="auto"/>
                <w:highlight w:val="none"/>
              </w:rPr>
              <w:t xml:space="preserve"> </w:t>
            </w:r>
          </w:p>
          <w:p w14:paraId="7981B6FC">
            <w:pPr>
              <w:snapToGrid w:val="0"/>
              <w:spacing w:line="380" w:lineRule="exact"/>
              <w:rPr>
                <w:rFonts w:hint="eastAsia" w:ascii="宋体" w:hAnsi="宋体" w:cs="宋体"/>
                <w:color w:val="auto"/>
                <w:highlight w:val="none"/>
              </w:rPr>
            </w:pPr>
            <w:r>
              <w:rPr>
                <w:rFonts w:hint="eastAsia" w:ascii="宋体" w:hAnsi="宋体" w:cs="宋体"/>
                <w:color w:val="auto"/>
                <w:highlight w:val="none"/>
              </w:rPr>
              <w:t>地址：</w:t>
            </w:r>
            <w:bookmarkStart w:id="60" w:name="PO_3000001867_PM039"/>
            <w:r>
              <w:rPr>
                <w:rFonts w:hint="eastAsia" w:ascii="宋体" w:cs="宋体"/>
                <w:color w:val="auto"/>
                <w:szCs w:val="21"/>
                <w:highlight w:val="none"/>
              </w:rPr>
              <w:t>南宁市桃源路69号广西财政大厦7楼</w:t>
            </w:r>
            <w:r>
              <w:rPr>
                <w:rFonts w:hint="eastAsia" w:ascii="宋体" w:hAnsi="宋体" w:cs="宋体"/>
                <w:color w:val="auto"/>
                <w:highlight w:val="none"/>
                <w:lang w:eastAsia="zh-CN"/>
              </w:rPr>
              <w:t xml:space="preserve"> </w:t>
            </w:r>
            <w:bookmarkEnd w:id="60"/>
            <w:r>
              <w:rPr>
                <w:rFonts w:hint="eastAsia" w:ascii="宋体" w:hAnsi="宋体" w:cs="宋体"/>
                <w:color w:val="auto"/>
                <w:highlight w:val="none"/>
              </w:rPr>
              <w:t xml:space="preserve"> </w:t>
            </w:r>
          </w:p>
          <w:p w14:paraId="2833E63F">
            <w:pPr>
              <w:snapToGrid w:val="0"/>
              <w:spacing w:line="380" w:lineRule="exact"/>
              <w:rPr>
                <w:rFonts w:hint="eastAsia" w:ascii="宋体" w:hAnsi="宋体" w:eastAsia="宋体" w:cs="宋体"/>
                <w:color w:val="auto"/>
                <w:highlight w:val="none"/>
                <w:lang w:eastAsia="zh-CN"/>
              </w:rPr>
            </w:pPr>
            <w:r>
              <w:rPr>
                <w:rFonts w:hint="eastAsia" w:ascii="宋体" w:hAnsi="宋体" w:cs="宋体"/>
                <w:color w:val="auto"/>
                <w:highlight w:val="none"/>
              </w:rPr>
              <w:t>联系电话：</w:t>
            </w:r>
            <w:bookmarkStart w:id="61" w:name="PO_3000001867_PM038"/>
            <w:r>
              <w:rPr>
                <w:rFonts w:hint="eastAsia" w:ascii="宋体" w:cs="宋体"/>
                <w:color w:val="auto"/>
                <w:szCs w:val="21"/>
                <w:highlight w:val="none"/>
              </w:rPr>
              <w:t>0771-5331544</w:t>
            </w:r>
            <w:r>
              <w:rPr>
                <w:rFonts w:hint="eastAsia" w:ascii="宋体" w:hAnsi="宋体" w:cs="宋体"/>
                <w:color w:val="auto"/>
                <w:highlight w:val="none"/>
                <w:lang w:eastAsia="zh-CN"/>
              </w:rPr>
              <w:t xml:space="preserve"> </w:t>
            </w:r>
            <w:bookmarkEnd w:id="61"/>
          </w:p>
        </w:tc>
      </w:tr>
      <w:tr w14:paraId="74B1A6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602C8BF0">
            <w:pPr>
              <w:spacing w:line="360" w:lineRule="auto"/>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2</w:t>
            </w:r>
          </w:p>
        </w:tc>
        <w:tc>
          <w:tcPr>
            <w:tcW w:w="2548" w:type="dxa"/>
            <w:noWrap w:val="0"/>
            <w:vAlign w:val="center"/>
          </w:tcPr>
          <w:p w14:paraId="5C6BDD6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采购代理</w:t>
            </w:r>
            <w:r>
              <w:rPr>
                <w:rFonts w:hint="eastAsia" w:ascii="宋体" w:hAnsi="宋体" w:eastAsia="宋体" w:cs="宋体"/>
                <w:color w:val="auto"/>
                <w:szCs w:val="21"/>
                <w:highlight w:val="none"/>
                <w:lang w:eastAsia="zh-CN"/>
              </w:rPr>
              <w:t>服务</w:t>
            </w:r>
            <w:r>
              <w:rPr>
                <w:rFonts w:hint="eastAsia" w:ascii="宋体" w:hAnsi="宋体" w:eastAsia="宋体" w:cs="宋体"/>
                <w:color w:val="auto"/>
                <w:szCs w:val="21"/>
                <w:highlight w:val="none"/>
              </w:rPr>
              <w:t>费</w:t>
            </w:r>
          </w:p>
        </w:tc>
        <w:tc>
          <w:tcPr>
            <w:tcW w:w="6853" w:type="dxa"/>
            <w:noWrap w:val="0"/>
            <w:vAlign w:val="center"/>
          </w:tcPr>
          <w:p w14:paraId="3F76390F">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1.是否收取采购代理</w:t>
            </w:r>
            <w:r>
              <w:rPr>
                <w:rFonts w:hint="eastAsia" w:ascii="宋体" w:hAnsi="宋体" w:eastAsia="宋体" w:cs="宋体"/>
                <w:color w:val="auto"/>
                <w:kern w:val="0"/>
                <w:szCs w:val="21"/>
                <w:highlight w:val="none"/>
                <w:lang w:eastAsia="zh-CN"/>
              </w:rPr>
              <w:t>服务</w:t>
            </w:r>
            <w:r>
              <w:rPr>
                <w:rFonts w:hint="eastAsia" w:ascii="宋体" w:hAnsi="宋体" w:eastAsia="宋体" w:cs="宋体"/>
                <w:color w:val="auto"/>
                <w:kern w:val="0"/>
                <w:szCs w:val="21"/>
                <w:highlight w:val="none"/>
              </w:rPr>
              <w:t>费：</w:t>
            </w:r>
          </w:p>
          <w:p w14:paraId="4EC624E5">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是    □ 否</w:t>
            </w:r>
          </w:p>
          <w:p w14:paraId="580631D8">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2.采购代理</w:t>
            </w:r>
            <w:r>
              <w:rPr>
                <w:rFonts w:hint="eastAsia" w:ascii="宋体" w:hAnsi="宋体" w:eastAsia="宋体" w:cs="宋体"/>
                <w:color w:val="auto"/>
                <w:kern w:val="0"/>
                <w:szCs w:val="21"/>
                <w:highlight w:val="none"/>
                <w:lang w:eastAsia="zh-CN"/>
              </w:rPr>
              <w:t>服务</w:t>
            </w:r>
            <w:r>
              <w:rPr>
                <w:rFonts w:hint="eastAsia" w:ascii="宋体" w:hAnsi="宋体" w:eastAsia="宋体" w:cs="宋体"/>
                <w:color w:val="auto"/>
                <w:kern w:val="0"/>
                <w:szCs w:val="21"/>
                <w:highlight w:val="none"/>
              </w:rPr>
              <w:t>费支付方式：</w:t>
            </w:r>
          </w:p>
          <w:p w14:paraId="4DFBE8F4">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本项目</w:t>
            </w:r>
            <w:r>
              <w:rPr>
                <w:rFonts w:hint="eastAsia" w:ascii="宋体" w:hAnsi="宋体" w:eastAsia="宋体" w:cs="宋体"/>
                <w:color w:val="auto"/>
                <w:kern w:val="0"/>
                <w:szCs w:val="21"/>
                <w:highlight w:val="none"/>
                <w:lang w:eastAsia="zh-CN"/>
              </w:rPr>
              <w:t>采购</w:t>
            </w:r>
            <w:r>
              <w:rPr>
                <w:rFonts w:hint="eastAsia" w:ascii="宋体" w:hAnsi="宋体" w:eastAsia="宋体" w:cs="宋体"/>
                <w:color w:val="auto"/>
                <w:kern w:val="0"/>
                <w:szCs w:val="21"/>
                <w:highlight w:val="none"/>
              </w:rPr>
              <w:t>代理服务费由</w:t>
            </w:r>
            <w:r>
              <w:rPr>
                <w:rFonts w:hint="eastAsia" w:ascii="宋体" w:hAnsi="宋体" w:eastAsia="宋体" w:cs="宋体"/>
                <w:color w:val="auto"/>
                <w:kern w:val="0"/>
                <w:szCs w:val="21"/>
                <w:highlight w:val="none"/>
                <w:u w:val="single"/>
              </w:rPr>
              <w:t>成交供应商</w:t>
            </w:r>
            <w:r>
              <w:rPr>
                <w:rFonts w:hint="eastAsia" w:ascii="宋体" w:hAnsi="宋体" w:eastAsia="宋体" w:cs="宋体"/>
                <w:color w:val="auto"/>
                <w:kern w:val="0"/>
                <w:szCs w:val="21"/>
                <w:highlight w:val="none"/>
                <w:u w:val="none"/>
              </w:rPr>
              <w:t>在签订合同前</w:t>
            </w:r>
            <w:r>
              <w:rPr>
                <w:rFonts w:hint="eastAsia" w:ascii="宋体" w:hAnsi="宋体" w:eastAsia="宋体" w:cs="宋体"/>
                <w:color w:val="auto"/>
                <w:kern w:val="0"/>
                <w:szCs w:val="21"/>
                <w:highlight w:val="none"/>
                <w:u w:val="none"/>
                <w:lang w:eastAsia="zh-CN"/>
              </w:rPr>
              <w:t>，</w:t>
            </w:r>
            <w:r>
              <w:rPr>
                <w:rFonts w:hint="eastAsia" w:ascii="宋体" w:hAnsi="宋体" w:eastAsia="宋体" w:cs="宋体"/>
                <w:color w:val="auto"/>
                <w:sz w:val="21"/>
                <w:highlight w:val="none"/>
                <w:lang w:val="en-US" w:eastAsia="zh-CN"/>
              </w:rPr>
              <w:t>以银行转账、电汇等方式</w:t>
            </w:r>
            <w:r>
              <w:rPr>
                <w:rFonts w:hint="eastAsia" w:ascii="宋体" w:hAnsi="宋体" w:eastAsia="宋体" w:cs="宋体"/>
                <w:color w:val="auto"/>
                <w:kern w:val="0"/>
                <w:szCs w:val="21"/>
                <w:highlight w:val="none"/>
              </w:rPr>
              <w:t>一次性向采购代理机构支付。</w:t>
            </w:r>
          </w:p>
          <w:p w14:paraId="1C46D410">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□采购人支付</w:t>
            </w:r>
            <w:r>
              <w:rPr>
                <w:rFonts w:hint="eastAsia" w:ascii="宋体" w:hAnsi="宋体" w:eastAsia="宋体" w:cs="宋体"/>
                <w:color w:val="auto"/>
                <w:kern w:val="0"/>
                <w:szCs w:val="21"/>
                <w:highlight w:val="none"/>
                <w:lang w:eastAsia="zh-CN"/>
              </w:rPr>
              <w:t>：</w:t>
            </w:r>
            <w:r>
              <w:rPr>
                <w:rFonts w:hint="eastAsia" w:ascii="宋体" w:hAnsi="宋体" w:eastAsia="宋体" w:cs="宋体"/>
                <w:i/>
                <w:iCs/>
                <w:color w:val="auto"/>
                <w:sz w:val="21"/>
                <w:highlight w:val="none"/>
                <w:u w:val="single"/>
                <w:lang w:val="en-US" w:eastAsia="zh-CN"/>
              </w:rPr>
              <w:t>/。</w:t>
            </w:r>
          </w:p>
          <w:p w14:paraId="01146EC5">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3.采购代理</w:t>
            </w:r>
            <w:r>
              <w:rPr>
                <w:rFonts w:hint="eastAsia" w:ascii="宋体" w:hAnsi="宋体" w:eastAsia="宋体" w:cs="宋体"/>
                <w:color w:val="auto"/>
                <w:kern w:val="0"/>
                <w:szCs w:val="21"/>
                <w:highlight w:val="none"/>
                <w:lang w:eastAsia="zh-CN"/>
              </w:rPr>
              <w:t>服务</w:t>
            </w:r>
            <w:r>
              <w:rPr>
                <w:rFonts w:hint="eastAsia" w:ascii="宋体" w:hAnsi="宋体" w:eastAsia="宋体" w:cs="宋体"/>
                <w:color w:val="auto"/>
                <w:kern w:val="0"/>
                <w:szCs w:val="21"/>
                <w:highlight w:val="none"/>
              </w:rPr>
              <w:t>费收取标准：</w:t>
            </w:r>
          </w:p>
          <w:p w14:paraId="51E9B99C">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以分标（</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成交</w:t>
            </w:r>
            <w:r>
              <w:rPr>
                <w:rFonts w:hint="eastAsia" w:ascii="宋体" w:hAnsi="宋体" w:eastAsia="宋体" w:cs="宋体"/>
                <w:color w:val="auto"/>
                <w:kern w:val="0"/>
                <w:szCs w:val="21"/>
                <w:highlight w:val="none"/>
                <w:lang w:eastAsia="zh-CN"/>
              </w:rPr>
              <w:t>总</w:t>
            </w:r>
            <w:r>
              <w:rPr>
                <w:rFonts w:hint="eastAsia" w:ascii="宋体" w:hAnsi="宋体" w:eastAsia="宋体" w:cs="宋体"/>
                <w:color w:val="auto"/>
                <w:kern w:val="0"/>
                <w:szCs w:val="21"/>
                <w:highlight w:val="none"/>
              </w:rPr>
              <w:t>金额/</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采购预算/</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暂定成交金额/□其他</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）为计费额，按</w:t>
            </w:r>
            <w:r>
              <w:rPr>
                <w:rFonts w:hint="eastAsia" w:ascii="宋体" w:hAnsi="宋体" w:eastAsia="宋体" w:cs="宋体"/>
                <w:color w:val="auto"/>
                <w:sz w:val="21"/>
                <w:highlight w:val="none"/>
                <w:lang w:val="en-US" w:eastAsia="zh-CN"/>
              </w:rPr>
              <w:t>本须知正文第32.2条规定的收费计算标准（</w:t>
            </w:r>
            <w:r>
              <w:rPr>
                <w:rFonts w:hint="eastAsia" w:ascii="宋体" w:hAnsi="宋体" w:eastAsia="宋体" w:cs="宋体"/>
                <w:b/>
                <w:bCs/>
                <w:color w:val="auto"/>
                <w:kern w:val="0"/>
                <w:szCs w:val="21"/>
                <w:highlight w:val="none"/>
                <w:u w:val="single"/>
              </w:rPr>
              <w:t>服务类</w:t>
            </w:r>
            <w:r>
              <w:rPr>
                <w:rFonts w:hint="eastAsia" w:ascii="宋体" w:hAnsi="宋体" w:eastAsia="宋体" w:cs="宋体"/>
                <w:color w:val="auto"/>
                <w:sz w:val="21"/>
                <w:highlight w:val="none"/>
                <w:lang w:val="en-US" w:eastAsia="zh-CN"/>
              </w:rPr>
              <w:t>）</w:t>
            </w:r>
            <w:r>
              <w:rPr>
                <w:rFonts w:hint="eastAsia" w:ascii="宋体" w:hAnsi="宋体" w:eastAsia="宋体" w:cs="宋体"/>
                <w:color w:val="auto"/>
                <w:kern w:val="0"/>
                <w:szCs w:val="21"/>
                <w:highlight w:val="none"/>
              </w:rPr>
              <w:t>采用差额定率累进法计算出收费基准价格，采购代理</w:t>
            </w:r>
            <w:r>
              <w:rPr>
                <w:rFonts w:hint="eastAsia" w:ascii="宋体" w:hAnsi="宋体" w:eastAsia="宋体" w:cs="宋体"/>
                <w:color w:val="auto"/>
                <w:kern w:val="0"/>
                <w:szCs w:val="21"/>
                <w:highlight w:val="none"/>
                <w:lang w:eastAsia="zh-CN"/>
              </w:rPr>
              <w:t>机构</w:t>
            </w:r>
            <w:r>
              <w:rPr>
                <w:rFonts w:hint="eastAsia" w:ascii="宋体" w:hAnsi="宋体" w:eastAsia="宋体" w:cs="宋体"/>
                <w:color w:val="auto"/>
                <w:kern w:val="0"/>
                <w:szCs w:val="21"/>
                <w:highlight w:val="none"/>
              </w:rPr>
              <w:t>收费以（</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收费基准价格/□收费基准价格下浮</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/□收费基准价格上浮</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rPr>
              <w:t>）收取。</w:t>
            </w:r>
          </w:p>
          <w:p w14:paraId="5340EF70">
            <w:pPr>
              <w:snapToGrid w:val="0"/>
              <w:spacing w:line="360" w:lineRule="auto"/>
              <w:rPr>
                <w:rFonts w:hint="eastAsia" w:ascii="宋体" w:hAnsi="宋体" w:eastAsia="宋体" w:cs="宋体"/>
                <w:color w:val="auto"/>
                <w:kern w:val="0"/>
                <w:szCs w:val="21"/>
                <w:highlight w:val="none"/>
                <w:u w:val="single"/>
                <w:lang w:val="en-US"/>
              </w:rPr>
            </w:pP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固定采购代理收费：</w:t>
            </w:r>
            <w:r>
              <w:rPr>
                <w:rFonts w:hint="eastAsia" w:ascii="宋体" w:hAnsi="宋体" w:eastAsia="宋体" w:cs="宋体"/>
                <w:color w:val="auto"/>
                <w:kern w:val="0"/>
                <w:szCs w:val="21"/>
                <w:highlight w:val="none"/>
                <w:u w:val="single"/>
              </w:rPr>
              <w:t xml:space="preserve">  </w:t>
            </w:r>
            <w:r>
              <w:rPr>
                <w:rFonts w:hint="eastAsia" w:ascii="宋体" w:hAnsi="宋体" w:eastAsia="宋体" w:cs="宋体"/>
                <w:color w:val="auto"/>
                <w:kern w:val="0"/>
                <w:szCs w:val="21"/>
                <w:highlight w:val="none"/>
                <w:u w:val="single"/>
                <w:lang w:val="en-US" w:eastAsia="zh-CN"/>
              </w:rPr>
              <w:t xml:space="preserve">    /     。</w:t>
            </w:r>
          </w:p>
          <w:p w14:paraId="597CD282">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 采购代理</w:t>
            </w:r>
            <w:r>
              <w:rPr>
                <w:rFonts w:hint="eastAsia" w:ascii="宋体" w:hAnsi="宋体" w:eastAsia="宋体" w:cs="宋体"/>
                <w:color w:val="auto"/>
                <w:kern w:val="0"/>
                <w:szCs w:val="21"/>
                <w:highlight w:val="none"/>
                <w:lang w:eastAsia="zh-CN"/>
              </w:rPr>
              <w:t>服务</w:t>
            </w:r>
            <w:r>
              <w:rPr>
                <w:rFonts w:hint="eastAsia" w:ascii="宋体" w:hAnsi="宋体" w:eastAsia="宋体" w:cs="宋体"/>
                <w:color w:val="auto"/>
                <w:kern w:val="0"/>
                <w:szCs w:val="21"/>
                <w:highlight w:val="none"/>
              </w:rPr>
              <w:t>费收取银行账户</w:t>
            </w:r>
            <w:r>
              <w:rPr>
                <w:rFonts w:hint="eastAsia" w:ascii="宋体" w:hAnsi="宋体" w:eastAsia="宋体" w:cs="宋体"/>
                <w:color w:val="auto"/>
                <w:kern w:val="0"/>
                <w:szCs w:val="21"/>
                <w:highlight w:val="none"/>
                <w:lang w:eastAsia="zh-CN"/>
              </w:rPr>
              <w:t>的信息</w:t>
            </w:r>
          </w:p>
          <w:p w14:paraId="61B4215E">
            <w:pPr>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账户名称：广西科联招标中心有限公司 </w:t>
            </w:r>
          </w:p>
          <w:p w14:paraId="003F18E2">
            <w:pPr>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开户银行：中国工商银行南宁市高新科技支行 </w:t>
            </w:r>
          </w:p>
          <w:p w14:paraId="5B2CB335">
            <w:pPr>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 xml:space="preserve">银行账号：2102111229300032105 </w:t>
            </w:r>
          </w:p>
          <w:p w14:paraId="42CA5183">
            <w:pPr>
              <w:snapToGrid w:val="0"/>
              <w:spacing w:line="360" w:lineRule="auto"/>
              <w:rPr>
                <w:rFonts w:hint="eastAsia" w:ascii="宋体" w:hAnsi="宋体" w:eastAsia="宋体" w:cs="宋体"/>
                <w:color w:val="auto"/>
                <w:kern w:val="0"/>
                <w:szCs w:val="21"/>
                <w:highlight w:val="none"/>
                <w:lang w:eastAsia="zh-CN"/>
              </w:rPr>
            </w:pPr>
            <w:r>
              <w:rPr>
                <w:rFonts w:hint="eastAsia" w:ascii="宋体" w:hAnsi="宋体" w:eastAsia="宋体" w:cs="宋体"/>
                <w:color w:val="auto"/>
                <w:kern w:val="0"/>
                <w:szCs w:val="21"/>
                <w:highlight w:val="none"/>
              </w:rPr>
              <w:t>开户行行号：102611011101</w:t>
            </w:r>
          </w:p>
        </w:tc>
      </w:tr>
      <w:tr w14:paraId="3E248E4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187E0FEC">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.1</w:t>
            </w:r>
          </w:p>
        </w:tc>
        <w:tc>
          <w:tcPr>
            <w:tcW w:w="2548" w:type="dxa"/>
            <w:noWrap w:val="0"/>
            <w:vAlign w:val="center"/>
          </w:tcPr>
          <w:p w14:paraId="5EBA624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highlight w:val="none"/>
              </w:rPr>
              <w:t>解释</w:t>
            </w:r>
          </w:p>
        </w:tc>
        <w:tc>
          <w:tcPr>
            <w:tcW w:w="6853" w:type="dxa"/>
            <w:noWrap w:val="0"/>
            <w:vAlign w:val="center"/>
          </w:tcPr>
          <w:p w14:paraId="6DB15D33">
            <w:pPr>
              <w:snapToGrid w:val="0"/>
              <w:spacing w:line="360" w:lineRule="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解释：</w:t>
            </w:r>
            <w:r>
              <w:rPr>
                <w:rFonts w:hint="eastAsia" w:ascii="宋体" w:hAnsi="宋体" w:eastAsia="宋体" w:cs="宋体"/>
                <w:color w:val="auto"/>
                <w:kern w:val="0"/>
                <w:szCs w:val="21"/>
                <w:highlight w:val="none"/>
              </w:rPr>
              <w:t>构成本</w:t>
            </w:r>
            <w:r>
              <w:rPr>
                <w:rFonts w:hint="eastAsia" w:ascii="宋体" w:hAnsi="宋体" w:eastAsia="宋体" w:cs="宋体"/>
                <w:color w:val="auto"/>
                <w:kern w:val="0"/>
                <w:szCs w:val="21"/>
                <w:highlight w:val="none"/>
                <w:lang w:eastAsia="zh-CN"/>
              </w:rPr>
              <w:t>竞争性</w:t>
            </w:r>
            <w:r>
              <w:rPr>
                <w:rFonts w:hint="eastAsia" w:ascii="宋体" w:hAnsi="宋体" w:eastAsia="宋体" w:cs="宋体"/>
                <w:color w:val="auto"/>
                <w:kern w:val="0"/>
                <w:szCs w:val="21"/>
                <w:highlight w:val="none"/>
              </w:rPr>
              <w:t>磋商文件的各个组成文件应互为解释，互为说明；除</w:t>
            </w:r>
            <w:r>
              <w:rPr>
                <w:rFonts w:hint="eastAsia" w:ascii="宋体" w:hAnsi="宋体" w:eastAsia="宋体" w:cs="宋体"/>
                <w:color w:val="auto"/>
                <w:kern w:val="0"/>
                <w:szCs w:val="21"/>
                <w:highlight w:val="none"/>
                <w:lang w:eastAsia="zh-CN"/>
              </w:rPr>
              <w:t>竞争性</w:t>
            </w:r>
            <w:r>
              <w:rPr>
                <w:rFonts w:hint="eastAsia" w:ascii="宋体" w:hAnsi="宋体" w:eastAsia="宋体" w:cs="宋体"/>
                <w:color w:val="auto"/>
                <w:kern w:val="0"/>
                <w:szCs w:val="21"/>
                <w:highlight w:val="none"/>
              </w:rPr>
              <w:t>磋商文件中有特别规定外，仅适用于竞标阶段的规定，按更正公告（澄清公告）、竞争性磋商公告、采购需求、供应商须知、评审程序、评审方法和评审标准、响应文件格式、合同文本的先后顺序解释；同一组成文件中就同一事项的规定或者约定不一致的，以编排顺序在后者为准；同一组成文件不同版本之间有不一致的，以形成时间在后者为准；更正公告（澄清公告）与同步更新的磋商文件不一致时以更正公告（澄清公告）为准。按本款前述规定仍不能形成结论的，</w:t>
            </w:r>
            <w:r>
              <w:rPr>
                <w:rFonts w:hint="eastAsia" w:ascii="宋体" w:hAnsi="宋体" w:eastAsia="宋体" w:cs="宋体"/>
                <w:b/>
                <w:color w:val="auto"/>
                <w:kern w:val="0"/>
                <w:szCs w:val="21"/>
                <w:highlight w:val="none"/>
              </w:rPr>
              <w:t>由采购人或者采购代理机构负责解释。</w:t>
            </w:r>
          </w:p>
          <w:p w14:paraId="3C49EC88">
            <w:pPr>
              <w:snapToGrid w:val="0"/>
              <w:spacing w:line="360" w:lineRule="auto"/>
              <w:rPr>
                <w:rFonts w:hint="eastAsia" w:ascii="宋体" w:hAnsi="宋体" w:eastAsia="宋体" w:cs="宋体"/>
                <w:b/>
                <w:color w:val="auto"/>
                <w:kern w:val="0"/>
                <w:szCs w:val="21"/>
                <w:highlight w:val="none"/>
              </w:rPr>
            </w:pPr>
            <w:r>
              <w:rPr>
                <w:rFonts w:hint="eastAsia" w:ascii="宋体" w:hAnsi="宋体" w:eastAsia="宋体" w:cs="宋体"/>
                <w:b/>
                <w:color w:val="auto"/>
                <w:kern w:val="0"/>
                <w:szCs w:val="21"/>
                <w:highlight w:val="none"/>
              </w:rPr>
              <w:t>法律责任：</w:t>
            </w:r>
          </w:p>
          <w:p w14:paraId="051C8D85">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本采购文件根据《中华人民共和国政府采购法》、《中华人民共和国民法典》</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《中华人民共和国政府采购法实施条例》、《政府采购竞争性磋商采购方式管理暂行办法》等有关法律、法规编制，参与本项目的各政府采购当事人依法享有上述法律法规所赋予的权利与义务。</w:t>
            </w:r>
          </w:p>
        </w:tc>
      </w:tr>
      <w:tr w14:paraId="61E57A8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63" w:type="dxa"/>
            <w:noWrap w:val="0"/>
            <w:vAlign w:val="center"/>
          </w:tcPr>
          <w:p w14:paraId="70C53A9D">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.2</w:t>
            </w:r>
          </w:p>
        </w:tc>
        <w:tc>
          <w:tcPr>
            <w:tcW w:w="2548" w:type="dxa"/>
            <w:noWrap w:val="0"/>
            <w:vAlign w:val="center"/>
          </w:tcPr>
          <w:p w14:paraId="4B3472E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其他</w:t>
            </w:r>
          </w:p>
        </w:tc>
        <w:tc>
          <w:tcPr>
            <w:tcW w:w="6853" w:type="dxa"/>
            <w:noWrap w:val="0"/>
            <w:vAlign w:val="center"/>
          </w:tcPr>
          <w:p w14:paraId="7C9397BA">
            <w:pPr>
              <w:pStyle w:val="11"/>
              <w:spacing w:line="360" w:lineRule="auto"/>
              <w:ind w:firstLine="420" w:firstLineChars="200"/>
              <w:rPr>
                <w:rFonts w:hint="eastAsia" w:ascii="宋体" w:hAnsi="宋体" w:eastAsia="宋体" w:cs="宋体"/>
                <w:color w:val="auto"/>
                <w:kern w:val="2"/>
                <w:szCs w:val="21"/>
                <w:highlight w:val="none"/>
              </w:rPr>
            </w:pPr>
            <w:r>
              <w:rPr>
                <w:rFonts w:hint="eastAsia" w:ascii="宋体" w:hAnsi="宋体" w:eastAsia="宋体" w:cs="宋体"/>
                <w:color w:val="auto"/>
                <w:kern w:val="2"/>
                <w:szCs w:val="21"/>
                <w:highlight w:val="none"/>
              </w:rPr>
              <w:t>1.本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中描述</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的“公章”是指根据我国对公章的管理规定，用</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法定主体行为名称制作的</w:t>
            </w:r>
            <w:r>
              <w:rPr>
                <w:rFonts w:hint="eastAsia" w:ascii="宋体" w:hAnsi="宋体" w:eastAsia="宋体" w:cs="宋体"/>
                <w:color w:val="auto"/>
                <w:kern w:val="2"/>
                <w:szCs w:val="21"/>
                <w:highlight w:val="none"/>
                <w:lang w:eastAsia="zh-CN"/>
              </w:rPr>
              <w:t>实物</w:t>
            </w:r>
            <w:r>
              <w:rPr>
                <w:rFonts w:hint="eastAsia" w:ascii="宋体" w:hAnsi="宋体" w:eastAsia="宋体" w:cs="宋体"/>
                <w:color w:val="auto"/>
                <w:kern w:val="2"/>
                <w:szCs w:val="21"/>
                <w:highlight w:val="none"/>
              </w:rPr>
              <w:t>印章</w:t>
            </w:r>
            <w:r>
              <w:rPr>
                <w:rFonts w:hint="eastAsia" w:ascii="宋体" w:hAnsi="宋体" w:eastAsia="宋体" w:cs="宋体"/>
                <w:color w:val="auto"/>
                <w:kern w:val="2"/>
                <w:szCs w:val="21"/>
                <w:highlight w:val="none"/>
                <w:lang w:eastAsia="zh-CN"/>
              </w:rPr>
              <w:t>或供应商</w:t>
            </w:r>
            <w:r>
              <w:rPr>
                <w:rFonts w:hint="eastAsia" w:ascii="宋体" w:hAnsi="宋体" w:eastAsia="宋体" w:cs="宋体"/>
                <w:color w:val="auto"/>
                <w:kern w:val="2"/>
                <w:szCs w:val="21"/>
                <w:highlight w:val="none"/>
              </w:rPr>
              <w:t>通过指定电子化政府采购平台办理数字证书（CA认证）获得的以法定主体行为名称制作的电子印章。除本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有特殊规定外，</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的财务章、部门章、分公司章、工会章、合同章、</w:t>
            </w:r>
            <w:r>
              <w:rPr>
                <w:rFonts w:hint="eastAsia" w:ascii="宋体" w:hAnsi="宋体" w:eastAsia="宋体" w:cs="宋体"/>
                <w:color w:val="auto"/>
                <w:kern w:val="2"/>
                <w:szCs w:val="21"/>
                <w:highlight w:val="none"/>
                <w:lang w:val="en-US" w:eastAsia="zh-CN"/>
              </w:rPr>
              <w:t>竞标</w:t>
            </w:r>
            <w:r>
              <w:rPr>
                <w:rFonts w:hint="eastAsia" w:ascii="宋体" w:hAnsi="宋体" w:eastAsia="宋体" w:cs="宋体"/>
                <w:color w:val="auto"/>
                <w:kern w:val="2"/>
                <w:szCs w:val="21"/>
                <w:highlight w:val="none"/>
              </w:rPr>
              <w:t>专用章、业务专用章及银行的转账章、现金收讫章、现金付讫章等其他形式印章均不能代替公章。</w:t>
            </w:r>
          </w:p>
          <w:p w14:paraId="2E3B7494">
            <w:pPr>
              <w:pStyle w:val="11"/>
              <w:spacing w:line="360" w:lineRule="auto"/>
              <w:ind w:firstLine="420" w:firstLineChars="200"/>
              <w:rPr>
                <w:rFonts w:hint="eastAsia" w:ascii="宋体" w:hAnsi="宋体" w:eastAsia="宋体" w:cs="宋体"/>
                <w:color w:val="auto"/>
                <w:kern w:val="2"/>
                <w:szCs w:val="21"/>
                <w:highlight w:val="none"/>
              </w:rPr>
            </w:pPr>
            <w:r>
              <w:rPr>
                <w:rFonts w:hint="eastAsia" w:ascii="宋体" w:hAnsi="宋体" w:eastAsia="宋体" w:cs="宋体"/>
                <w:color w:val="auto"/>
                <w:kern w:val="2"/>
                <w:szCs w:val="21"/>
                <w:highlight w:val="none"/>
              </w:rPr>
              <w:t>2.本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中描述</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的“签字”是指</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通过指定电子化政府采购平台办理数字证书（CA认证）获得的以</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法定代表人或者委托代理人姓名制作的电子印章或手写签字。</w:t>
            </w:r>
          </w:p>
          <w:p w14:paraId="2F68A134">
            <w:pPr>
              <w:pStyle w:val="11"/>
              <w:tabs>
                <w:tab w:val="center" w:pos="4153"/>
                <w:tab w:val="right" w:pos="8306"/>
              </w:tabs>
              <w:spacing w:line="360" w:lineRule="auto"/>
              <w:ind w:firstLine="420" w:firstLineChars="200"/>
              <w:rPr>
                <w:rFonts w:hint="eastAsia" w:ascii="宋体" w:hAnsi="宋体" w:eastAsia="宋体" w:cs="宋体"/>
                <w:color w:val="auto"/>
                <w:szCs w:val="21"/>
                <w:highlight w:val="none"/>
                <w:lang w:val="en-US" w:eastAsia="zh-CN"/>
              </w:rPr>
            </w:pPr>
            <w:r>
              <w:rPr>
                <w:rFonts w:hint="eastAsia" w:ascii="宋体" w:hAnsi="宋体" w:eastAsia="宋体" w:cs="宋体"/>
                <w:color w:val="auto"/>
                <w:kern w:val="2"/>
                <w:szCs w:val="21"/>
                <w:highlight w:val="none"/>
                <w:lang w:val="en-US" w:eastAsia="zh-CN"/>
              </w:rPr>
              <w:t>3.本竞争性磋商文件所称的“电子签章”“电子签名”，是指经</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kern w:val="2"/>
                <w:szCs w:val="21"/>
                <w:highlight w:val="none"/>
                <w:lang w:val="en-US" w:eastAsia="zh-CN"/>
              </w:rPr>
              <w:t>认可的CA认证的电子签名数据为表现形式的印章，可用于签署电子响应文件，电子印章与实物印章具有同等法律效力，不因其采用电子化表现形式而否定其法律效力。</w:t>
            </w:r>
          </w:p>
          <w:p w14:paraId="36F8B612">
            <w:pPr>
              <w:pStyle w:val="11"/>
              <w:spacing w:line="360" w:lineRule="auto"/>
              <w:ind w:firstLine="420" w:firstLineChars="200"/>
              <w:rPr>
                <w:rFonts w:hint="eastAsia" w:ascii="宋体" w:hAnsi="宋体" w:eastAsia="宋体" w:cs="宋体"/>
                <w:color w:val="auto"/>
                <w:kern w:val="2"/>
                <w:szCs w:val="21"/>
                <w:highlight w:val="none"/>
              </w:rPr>
            </w:pPr>
            <w:r>
              <w:rPr>
                <w:rFonts w:hint="eastAsia" w:ascii="宋体" w:hAnsi="宋体" w:eastAsia="宋体" w:cs="宋体"/>
                <w:color w:val="auto"/>
                <w:kern w:val="2"/>
                <w:szCs w:val="21"/>
                <w:highlight w:val="none"/>
                <w:lang w:val="en-US" w:eastAsia="zh-CN"/>
              </w:rPr>
              <w:t>4</w:t>
            </w:r>
            <w:r>
              <w:rPr>
                <w:rFonts w:hint="eastAsia" w:ascii="宋体" w:hAnsi="宋体" w:eastAsia="宋体" w:cs="宋体"/>
                <w:color w:val="auto"/>
                <w:kern w:val="2"/>
                <w:szCs w:val="21"/>
                <w:highlight w:val="none"/>
              </w:rPr>
              <w:t>.</w:t>
            </w:r>
            <w:r>
              <w:rPr>
                <w:rFonts w:hint="eastAsia" w:ascii="宋体" w:hAnsi="宋体" w:eastAsia="宋体" w:cs="宋体"/>
                <w:color w:val="auto"/>
                <w:kern w:val="2"/>
                <w:szCs w:val="21"/>
                <w:highlight w:val="none"/>
                <w:lang w:eastAsia="zh-CN"/>
              </w:rPr>
              <w:t>供应商</w:t>
            </w:r>
            <w:r>
              <w:rPr>
                <w:rFonts w:hint="eastAsia" w:ascii="宋体" w:hAnsi="宋体" w:eastAsia="宋体" w:cs="宋体"/>
                <w:color w:val="auto"/>
                <w:kern w:val="2"/>
                <w:szCs w:val="21"/>
                <w:highlight w:val="none"/>
              </w:rPr>
              <w:t>为其他组织或者自然人时，本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规定的法定代表人指负责人或者自然人。本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所称负责人是指参加</w:t>
            </w:r>
            <w:r>
              <w:rPr>
                <w:rFonts w:hint="eastAsia" w:ascii="宋体" w:hAnsi="宋体" w:eastAsia="宋体" w:cs="宋体"/>
                <w:color w:val="auto"/>
                <w:kern w:val="2"/>
                <w:szCs w:val="21"/>
                <w:highlight w:val="none"/>
                <w:lang w:eastAsia="zh-CN"/>
              </w:rPr>
              <w:t>竞</w:t>
            </w:r>
            <w:r>
              <w:rPr>
                <w:rFonts w:hint="eastAsia" w:ascii="宋体" w:hAnsi="宋体" w:eastAsia="宋体" w:cs="宋体"/>
                <w:color w:val="auto"/>
                <w:kern w:val="2"/>
                <w:szCs w:val="21"/>
                <w:highlight w:val="none"/>
              </w:rPr>
              <w:t>标的其他组织营业执照上的负责人，本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所称自然人指参与</w:t>
            </w:r>
            <w:r>
              <w:rPr>
                <w:rFonts w:hint="eastAsia" w:ascii="宋体" w:hAnsi="宋体" w:eastAsia="宋体" w:cs="宋体"/>
                <w:color w:val="auto"/>
                <w:kern w:val="2"/>
                <w:szCs w:val="21"/>
                <w:highlight w:val="none"/>
                <w:lang w:eastAsia="zh-CN"/>
              </w:rPr>
              <w:t>竞</w:t>
            </w:r>
            <w:r>
              <w:rPr>
                <w:rFonts w:hint="eastAsia" w:ascii="宋体" w:hAnsi="宋体" w:eastAsia="宋体" w:cs="宋体"/>
                <w:color w:val="auto"/>
                <w:kern w:val="2"/>
                <w:szCs w:val="21"/>
                <w:highlight w:val="none"/>
              </w:rPr>
              <w:t>标的自然人本人。</w:t>
            </w:r>
          </w:p>
          <w:p w14:paraId="3EAFE981">
            <w:pPr>
              <w:pStyle w:val="11"/>
              <w:spacing w:line="360" w:lineRule="auto"/>
              <w:ind w:firstLine="420" w:firstLineChars="200"/>
              <w:rPr>
                <w:rFonts w:hint="eastAsia" w:ascii="宋体" w:hAnsi="宋体" w:eastAsia="宋体" w:cs="宋体"/>
                <w:color w:val="auto"/>
                <w:kern w:val="2"/>
                <w:szCs w:val="21"/>
                <w:highlight w:val="none"/>
              </w:rPr>
            </w:pPr>
            <w:r>
              <w:rPr>
                <w:rFonts w:hint="eastAsia" w:ascii="宋体" w:hAnsi="宋体" w:eastAsia="宋体" w:cs="宋体"/>
                <w:color w:val="auto"/>
                <w:kern w:val="2"/>
                <w:szCs w:val="21"/>
                <w:highlight w:val="none"/>
                <w:lang w:val="en-US" w:eastAsia="zh-CN"/>
              </w:rPr>
              <w:t>5</w:t>
            </w:r>
            <w:r>
              <w:rPr>
                <w:rFonts w:hint="eastAsia" w:ascii="宋体" w:hAnsi="宋体" w:eastAsia="宋体" w:cs="宋体"/>
                <w:color w:val="auto"/>
                <w:kern w:val="2"/>
                <w:szCs w:val="21"/>
                <w:highlight w:val="none"/>
              </w:rPr>
              <w:t>.自然人</w:t>
            </w:r>
            <w:r>
              <w:rPr>
                <w:rFonts w:hint="eastAsia" w:ascii="宋体" w:hAnsi="宋体" w:eastAsia="宋体" w:cs="宋体"/>
                <w:color w:val="auto"/>
                <w:kern w:val="2"/>
                <w:szCs w:val="21"/>
                <w:highlight w:val="none"/>
                <w:lang w:eastAsia="zh-CN"/>
              </w:rPr>
              <w:t>竞</w:t>
            </w:r>
            <w:r>
              <w:rPr>
                <w:rFonts w:hint="eastAsia" w:ascii="宋体" w:hAnsi="宋体" w:eastAsia="宋体" w:cs="宋体"/>
                <w:color w:val="auto"/>
                <w:kern w:val="2"/>
                <w:szCs w:val="21"/>
                <w:highlight w:val="none"/>
              </w:rPr>
              <w:t>标的，</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规定盖公章处由自然人摁手指指印。</w:t>
            </w:r>
          </w:p>
          <w:p w14:paraId="09FC7C84">
            <w:pPr>
              <w:snapToGrid w:val="0"/>
              <w:spacing w:line="360" w:lineRule="auto"/>
              <w:rPr>
                <w:rFonts w:hint="eastAsia" w:ascii="宋体" w:hAnsi="宋体" w:eastAsia="宋体" w:cs="宋体"/>
                <w:color w:val="auto"/>
                <w:kern w:val="0"/>
                <w:szCs w:val="21"/>
                <w:highlight w:val="none"/>
              </w:rPr>
            </w:pPr>
            <w:r>
              <w:rPr>
                <w:rFonts w:hint="eastAsia" w:ascii="宋体" w:hAnsi="宋体" w:eastAsia="宋体" w:cs="宋体"/>
                <w:color w:val="auto"/>
                <w:kern w:val="2"/>
                <w:szCs w:val="21"/>
                <w:highlight w:val="none"/>
                <w:lang w:val="en-US" w:eastAsia="zh-CN"/>
              </w:rPr>
              <w:t xml:space="preserve">    6.</w:t>
            </w:r>
            <w:r>
              <w:rPr>
                <w:rFonts w:hint="eastAsia" w:ascii="宋体" w:hAnsi="宋体" w:eastAsia="宋体" w:cs="宋体"/>
                <w:color w:val="auto"/>
                <w:kern w:val="2"/>
                <w:szCs w:val="21"/>
                <w:highlight w:val="none"/>
              </w:rPr>
              <w:t>本</w:t>
            </w:r>
            <w:r>
              <w:rPr>
                <w:rFonts w:hint="eastAsia" w:ascii="宋体" w:hAnsi="宋体" w:eastAsia="宋体" w:cs="宋体"/>
                <w:color w:val="auto"/>
                <w:kern w:val="2"/>
                <w:szCs w:val="21"/>
                <w:highlight w:val="none"/>
                <w:lang w:eastAsia="zh-CN"/>
              </w:rPr>
              <w:t>竞争性磋商文件</w:t>
            </w:r>
            <w:r>
              <w:rPr>
                <w:rFonts w:hint="eastAsia" w:ascii="宋体" w:hAnsi="宋体" w:eastAsia="宋体" w:cs="宋体"/>
                <w:color w:val="auto"/>
                <w:kern w:val="2"/>
                <w:szCs w:val="21"/>
                <w:highlight w:val="none"/>
              </w:rPr>
              <w:t>所称的“以上”“以下”“以内”“届满”，包括本数；所称的“不满”“超过”“以外”，不包括本数。</w:t>
            </w:r>
          </w:p>
        </w:tc>
      </w:tr>
    </w:tbl>
    <w:p w14:paraId="1FC6D535">
      <w:pPr>
        <w:pStyle w:val="4"/>
        <w:spacing w:line="420" w:lineRule="exact"/>
        <w:jc w:val="center"/>
        <w:rPr>
          <w:rFonts w:hint="eastAsia" w:ascii="宋体" w:hAnsi="宋体"/>
          <w:b w:val="0"/>
          <w:color w:val="auto"/>
          <w:highlight w:val="none"/>
        </w:rPr>
      </w:pPr>
      <w:r>
        <w:rPr>
          <w:rFonts w:ascii="宋体" w:hAnsi="宋体"/>
          <w:b w:val="0"/>
          <w:color w:val="auto"/>
          <w:highlight w:val="none"/>
        </w:rPr>
        <w:br w:type="page"/>
      </w:r>
      <w:bookmarkStart w:id="62" w:name="_Toc80886929"/>
      <w:bookmarkStart w:id="63" w:name="_Toc30957"/>
      <w:bookmarkStart w:id="64" w:name="_Toc27094"/>
      <w:r>
        <w:rPr>
          <w:rFonts w:hint="eastAsia" w:ascii="宋体" w:hAnsi="宋体"/>
          <w:b w:val="0"/>
          <w:color w:val="auto"/>
          <w:highlight w:val="none"/>
        </w:rPr>
        <w:t>第二节 供应商须知正文</w:t>
      </w:r>
      <w:bookmarkEnd w:id="62"/>
      <w:bookmarkEnd w:id="63"/>
      <w:bookmarkEnd w:id="64"/>
    </w:p>
    <w:p w14:paraId="76968C05">
      <w:pPr>
        <w:pStyle w:val="5"/>
        <w:spacing w:before="0" w:after="0" w:line="360" w:lineRule="auto"/>
        <w:ind w:firstLine="640" w:firstLineChars="200"/>
        <w:rPr>
          <w:rFonts w:hint="eastAsia"/>
          <w:b w:val="0"/>
          <w:color w:val="auto"/>
          <w:highlight w:val="none"/>
        </w:rPr>
      </w:pPr>
      <w:bookmarkStart w:id="65" w:name="_Toc80886930"/>
      <w:bookmarkStart w:id="66" w:name="_Toc6457"/>
      <w:bookmarkStart w:id="67" w:name="_Toc26166"/>
      <w:r>
        <w:rPr>
          <w:rFonts w:hint="eastAsia"/>
          <w:b w:val="0"/>
          <w:color w:val="auto"/>
          <w:highlight w:val="none"/>
        </w:rPr>
        <w:t>一、总则</w:t>
      </w:r>
      <w:bookmarkEnd w:id="65"/>
      <w:bookmarkEnd w:id="66"/>
      <w:bookmarkEnd w:id="67"/>
    </w:p>
    <w:p w14:paraId="1BC86DD1">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1.适用范围</w:t>
      </w:r>
    </w:p>
    <w:p w14:paraId="7B5CEBD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1.1本项目采购人、采购代理机构、供应商、磋商小组的相关行为均受《中华人民共和国政府采购法》《中华人民共和国政府采购法实施条例》《政府采购竞争性磋商采购方式管理暂行办法》《财政部关于政府采购竞争性磋商采购方式管理暂行办法有关问题的补充通知》及本项目本级和上级财政部门政府采购有关规定的约束和保护。</w:t>
      </w:r>
    </w:p>
    <w:p w14:paraId="5385103D">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w:t>
      </w:r>
      <w:r>
        <w:rPr>
          <w:rFonts w:hint="eastAsia" w:ascii="宋体" w:hAnsi="宋体" w:eastAsia="宋体" w:cs="宋体"/>
          <w:color w:val="auto"/>
          <w:spacing w:val="-6"/>
          <w:szCs w:val="21"/>
          <w:highlight w:val="none"/>
        </w:rPr>
        <w:t>本竞争性磋商文件（以下简称磋商文件）适用于本项目的所有采购程序和环节（法律、法规另有规定的，从其规定）。</w:t>
      </w:r>
    </w:p>
    <w:p w14:paraId="748F581B">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2.定义</w:t>
      </w:r>
    </w:p>
    <w:p w14:paraId="1B5C12C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2.1“采购人”是指依法进行政府采购的国家机关、事业单位、团体组织。</w:t>
      </w:r>
    </w:p>
    <w:p w14:paraId="50B96C66">
      <w:pPr>
        <w:spacing w:line="360" w:lineRule="auto"/>
        <w:ind w:firstLine="420" w:firstLineChars="200"/>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2.2“采购代理机构”是指政府采购集中采购机构和集中采购机构以外的采购代理机构。</w:t>
      </w:r>
    </w:p>
    <w:p w14:paraId="2DE1AB0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2.3“供应商”是指向采购人提供货物、工程或者服务的法人、其他组织或者自然人。</w:t>
      </w:r>
    </w:p>
    <w:p w14:paraId="2896D5A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2.4“服务”是指除货物和工程以外的其他政府采购对象。</w:t>
      </w:r>
    </w:p>
    <w:p w14:paraId="10375AE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2.5“竞标”是指供应商按照本项目竞争性磋商公告规定的方式获取磋商文件、提交响应文件并希望获得标的的行为。</w:t>
      </w:r>
    </w:p>
    <w:p w14:paraId="5FF217E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2.6“响应文件”</w:t>
      </w:r>
      <w:r>
        <w:rPr>
          <w:rFonts w:hint="eastAsia" w:ascii="宋体" w:hAnsi="宋体" w:eastAsia="宋体" w:cs="宋体"/>
          <w:color w:val="auto"/>
          <w:spacing w:val="-6"/>
          <w:szCs w:val="21"/>
          <w:highlight w:val="none"/>
        </w:rPr>
        <w:t>是指：供应商根据本磋商文件要求，编制包含资格</w:t>
      </w:r>
      <w:r>
        <w:rPr>
          <w:rFonts w:hint="eastAsia" w:ascii="宋体" w:hAnsi="宋体" w:eastAsia="宋体" w:cs="宋体"/>
          <w:color w:val="auto"/>
          <w:spacing w:val="-6"/>
          <w:szCs w:val="21"/>
          <w:highlight w:val="none"/>
          <w:lang w:val="en-US" w:eastAsia="zh-CN"/>
        </w:rPr>
        <w:t>文件</w:t>
      </w:r>
      <w:r>
        <w:rPr>
          <w:rFonts w:hint="eastAsia" w:ascii="宋体" w:hAnsi="宋体" w:eastAsia="宋体" w:cs="宋体"/>
          <w:color w:val="auto"/>
          <w:spacing w:val="-6"/>
          <w:szCs w:val="21"/>
          <w:highlight w:val="none"/>
        </w:rPr>
        <w:t>、</w:t>
      </w:r>
      <w:r>
        <w:rPr>
          <w:rFonts w:hint="eastAsia" w:ascii="宋体" w:hAnsi="宋体" w:eastAsia="宋体" w:cs="宋体"/>
          <w:color w:val="auto"/>
          <w:szCs w:val="21"/>
          <w:highlight w:val="none"/>
        </w:rPr>
        <w:t>报价文件、商务和技术文件</w:t>
      </w:r>
      <w:r>
        <w:rPr>
          <w:rFonts w:hint="eastAsia" w:ascii="宋体" w:hAnsi="宋体" w:eastAsia="宋体" w:cs="宋体"/>
          <w:color w:val="auto"/>
          <w:spacing w:val="-6"/>
          <w:szCs w:val="21"/>
          <w:highlight w:val="none"/>
        </w:rPr>
        <w:t>等所有内容的文件。</w:t>
      </w:r>
    </w:p>
    <w:p w14:paraId="138549A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2.7“实质性要求”</w:t>
      </w:r>
      <w:r>
        <w:rPr>
          <w:rFonts w:hint="eastAsia" w:ascii="宋体" w:hAnsi="宋体" w:eastAsia="宋体" w:cs="宋体"/>
          <w:color w:val="auto"/>
          <w:szCs w:val="21"/>
          <w:highlight w:val="none"/>
          <w:lang w:eastAsia="zh-CN"/>
        </w:rPr>
        <w:t>：</w:t>
      </w:r>
      <w:r>
        <w:rPr>
          <w:rFonts w:hint="eastAsia" w:ascii="宋体" w:hAnsi="宋体" w:eastAsia="宋体" w:cs="宋体"/>
          <w:color w:val="auto"/>
          <w:szCs w:val="21"/>
          <w:highlight w:val="none"/>
        </w:rPr>
        <w:t>详见</w:t>
      </w:r>
      <w:r>
        <w:rPr>
          <w:rFonts w:hint="eastAsia" w:ascii="宋体" w:hAnsi="宋体" w:eastAsia="宋体" w:cs="宋体"/>
          <w:color w:val="auto"/>
          <w:szCs w:val="21"/>
          <w:highlight w:val="none"/>
          <w:lang w:eastAsia="zh-CN"/>
        </w:rPr>
        <w:t>供应商</w:t>
      </w:r>
      <w:r>
        <w:rPr>
          <w:rFonts w:hint="eastAsia" w:ascii="宋体" w:hAnsi="宋体" w:eastAsia="宋体" w:cs="宋体"/>
          <w:color w:val="auto"/>
          <w:szCs w:val="21"/>
          <w:highlight w:val="none"/>
        </w:rPr>
        <w:t>须知前附表。</w:t>
      </w:r>
    </w:p>
    <w:p w14:paraId="08B37F5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2.8“正偏离”是指响应文件对磋商文件“采购需求”中有关条款作出的响应优于条款要求并有利于采购人的情形。</w:t>
      </w:r>
    </w:p>
    <w:p w14:paraId="6DB215C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2.9“负偏离”是指响应文件对磋商文件“采购需求”中有关条款作出的响应不满足条款要求，导致采购人要求不能得到满足的情形。</w:t>
      </w:r>
    </w:p>
    <w:p w14:paraId="292F58B1">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w:t>
      </w:r>
      <w:r>
        <w:rPr>
          <w:rFonts w:hint="eastAsia" w:ascii="宋体" w:hAnsi="宋体" w:eastAsia="宋体" w:cs="宋体"/>
          <w:color w:val="auto"/>
          <w:szCs w:val="21"/>
          <w:highlight w:val="none"/>
          <w:lang w:val="en-US" w:eastAsia="zh-CN"/>
        </w:rPr>
        <w:t>0</w:t>
      </w:r>
      <w:r>
        <w:rPr>
          <w:rFonts w:hint="eastAsia" w:ascii="宋体" w:hAnsi="宋体" w:eastAsia="宋体" w:cs="宋体"/>
          <w:color w:val="auto"/>
          <w:szCs w:val="21"/>
          <w:highlight w:val="none"/>
        </w:rPr>
        <w:t>“书面形式”是指合同书、信件和数据电文（包括电报、电传、传真、电子数据交换和电子邮件）等可以有形地表现所载内容的形式。</w:t>
      </w:r>
    </w:p>
    <w:p w14:paraId="0C3D883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“首次报价”是指供应商提交的首次响应文件中的报价。</w:t>
      </w:r>
    </w:p>
    <w:p w14:paraId="6C74F8E2">
      <w:pPr>
        <w:spacing w:line="360" w:lineRule="auto"/>
        <w:ind w:firstLine="420" w:firstLineChars="200"/>
        <w:rPr>
          <w:rFonts w:hint="eastAsia" w:cs="宋体"/>
          <w:color w:val="auto"/>
          <w:szCs w:val="21"/>
          <w:highlight w:val="none"/>
        </w:rPr>
      </w:pPr>
      <w:r>
        <w:rPr>
          <w:rFonts w:hint="eastAsia" w:ascii="宋体" w:hAnsi="宋体" w:eastAsia="宋体" w:cs="宋体"/>
          <w:color w:val="auto"/>
          <w:szCs w:val="21"/>
          <w:highlight w:val="none"/>
        </w:rPr>
        <w:t>2.1</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评审价</w:t>
      </w:r>
      <w:r>
        <w:rPr>
          <w:rFonts w:hint="eastAsia" w:ascii="宋体" w:hAnsi="宋体" w:eastAsia="宋体" w:cs="宋体"/>
          <w:color w:val="auto"/>
          <w:szCs w:val="21"/>
          <w:highlight w:val="none"/>
        </w:rPr>
        <w:t>”是指供应商提</w:t>
      </w:r>
      <w:r>
        <w:rPr>
          <w:rFonts w:hint="eastAsia" w:cs="宋体"/>
          <w:color w:val="auto"/>
          <w:szCs w:val="21"/>
          <w:highlight w:val="none"/>
        </w:rPr>
        <w:t>交的最后报价并经修正（如有）和政策功能价格扣除（如有）后的价格。</w:t>
      </w:r>
    </w:p>
    <w:p w14:paraId="1FC06F90">
      <w:pPr>
        <w:spacing w:line="360" w:lineRule="auto"/>
        <w:ind w:firstLine="482" w:firstLineChars="200"/>
        <w:rPr>
          <w:rFonts w:ascii="黑体" w:hAnsi="黑体" w:eastAsia="黑体" w:cs="宋体"/>
          <w:b/>
          <w:bCs/>
          <w:color w:val="auto"/>
          <w:sz w:val="24"/>
          <w:highlight w:val="none"/>
        </w:rPr>
      </w:pPr>
      <w:r>
        <w:rPr>
          <w:rFonts w:hint="eastAsia" w:ascii="黑体" w:hAnsi="黑体" w:eastAsia="黑体" w:cs="宋体"/>
          <w:b/>
          <w:bCs/>
          <w:color w:val="auto"/>
          <w:sz w:val="24"/>
          <w:highlight w:val="none"/>
        </w:rPr>
        <w:t>3.供应商的资格条件</w:t>
      </w:r>
    </w:p>
    <w:p w14:paraId="60721F81">
      <w:pPr>
        <w:spacing w:line="360" w:lineRule="auto"/>
        <w:ind w:firstLine="420" w:firstLineChars="200"/>
        <w:rPr>
          <w:rFonts w:hint="eastAsia" w:cs="宋体"/>
          <w:color w:val="auto"/>
          <w:szCs w:val="21"/>
          <w:highlight w:val="none"/>
        </w:rPr>
      </w:pPr>
      <w:r>
        <w:rPr>
          <w:rFonts w:hint="eastAsia" w:cs="宋体"/>
          <w:color w:val="auto"/>
          <w:szCs w:val="21"/>
          <w:highlight w:val="none"/>
        </w:rPr>
        <w:t>供应商的资格条件详见“供应商须知前附表”。</w:t>
      </w:r>
    </w:p>
    <w:p w14:paraId="1B73BFB7">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4.磋商费用</w:t>
      </w:r>
    </w:p>
    <w:p w14:paraId="603B60A5">
      <w:pPr>
        <w:spacing w:line="360" w:lineRule="auto"/>
        <w:ind w:firstLine="420" w:firstLineChars="200"/>
        <w:rPr>
          <w:rFonts w:hint="eastAsia" w:cs="宋体"/>
          <w:color w:val="auto"/>
          <w:szCs w:val="21"/>
          <w:highlight w:val="none"/>
        </w:rPr>
      </w:pPr>
      <w:r>
        <w:rPr>
          <w:rFonts w:hint="eastAsia" w:cs="宋体"/>
          <w:color w:val="auto"/>
          <w:szCs w:val="21"/>
          <w:highlight w:val="none"/>
        </w:rPr>
        <w:t>供应商应承担参与本次采购活动有关的所有费用，包括但不限于勘查现场、编制和提交响应文件、参加磋商与应答、签订合同等，不论竞标结果如何，均应自行承担。</w:t>
      </w:r>
    </w:p>
    <w:p w14:paraId="73A09375">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5.联合体竞标</w:t>
      </w:r>
    </w:p>
    <w:p w14:paraId="6BFA9AE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5.1本项目是否接受联合体竞标，详见“供应商须知前附表”。</w:t>
      </w:r>
    </w:p>
    <w:p w14:paraId="62EE01A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5.2</w:t>
      </w:r>
      <w:r>
        <w:rPr>
          <w:rFonts w:hint="eastAsia" w:ascii="宋体" w:hAnsi="宋体" w:eastAsia="宋体" w:cs="宋体"/>
          <w:color w:val="auto"/>
          <w:highlight w:val="none"/>
        </w:rPr>
        <w:t>如接受联合体竞标，</w:t>
      </w:r>
      <w:r>
        <w:rPr>
          <w:rFonts w:hint="eastAsia" w:ascii="宋体" w:hAnsi="宋体" w:eastAsia="宋体" w:cs="宋体"/>
          <w:color w:val="auto"/>
          <w:szCs w:val="21"/>
          <w:highlight w:val="none"/>
        </w:rPr>
        <w:t>联合体竞标要求详见“供应商须知前附表”。</w:t>
      </w:r>
    </w:p>
    <w:p w14:paraId="6C0B951C">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 xml:space="preserve">6.转包与分包             </w:t>
      </w:r>
    </w:p>
    <w:p w14:paraId="3422CA1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6.1本项目不允许转包。</w:t>
      </w:r>
    </w:p>
    <w:p w14:paraId="09F5EA0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本项目是否允许分包详见“供应商须知前附表”，本项目不允许违法分包。</w:t>
      </w:r>
    </w:p>
    <w:p w14:paraId="2FA061AF">
      <w:pPr>
        <w:spacing w:line="360" w:lineRule="auto"/>
        <w:ind w:firstLine="482" w:firstLineChars="200"/>
        <w:rPr>
          <w:rFonts w:hint="eastAsia" w:ascii="黑体" w:hAnsi="黑体" w:eastAsia="黑体" w:cs="宋体"/>
          <w:b/>
          <w:bCs/>
          <w:color w:val="auto"/>
          <w:sz w:val="24"/>
          <w:highlight w:val="none"/>
        </w:rPr>
      </w:pPr>
      <w:bookmarkStart w:id="68" w:name="_Toc254970673"/>
      <w:bookmarkStart w:id="69" w:name="_Toc254970532"/>
      <w:r>
        <w:rPr>
          <w:rFonts w:hint="eastAsia" w:ascii="黑体" w:hAnsi="黑体" w:eastAsia="黑体" w:cs="宋体"/>
          <w:b/>
          <w:bCs/>
          <w:color w:val="auto"/>
          <w:sz w:val="24"/>
          <w:highlight w:val="none"/>
        </w:rPr>
        <w:t>7.特别说明</w:t>
      </w:r>
      <w:bookmarkEnd w:id="68"/>
      <w:bookmarkEnd w:id="69"/>
    </w:p>
    <w:p w14:paraId="12B07416">
      <w:pPr>
        <w:spacing w:line="360" w:lineRule="auto"/>
        <w:ind w:firstLine="420" w:firstLineChars="200"/>
        <w:rPr>
          <w:rFonts w:hint="eastAsia" w:ascii="宋体" w:hAnsi="宋体" w:eastAsia="宋体" w:cs="宋体"/>
          <w:color w:val="auto"/>
          <w:szCs w:val="21"/>
          <w:highlight w:val="none"/>
        </w:rPr>
      </w:pPr>
      <w:bookmarkStart w:id="70" w:name="_8.1提供相同品牌产品且通过资格审查、符合性审查的不同投标人参加同一合"/>
      <w:bookmarkEnd w:id="70"/>
      <w:r>
        <w:rPr>
          <w:rFonts w:hint="eastAsia" w:ascii="宋体" w:hAnsi="宋体" w:eastAsia="宋体" w:cs="宋体"/>
          <w:color w:val="auto"/>
          <w:szCs w:val="21"/>
          <w:highlight w:val="none"/>
        </w:rPr>
        <w:t>7.1</w:t>
      </w:r>
      <w:bookmarkStart w:id="71" w:name="_Hlk65832145"/>
      <w:r>
        <w:rPr>
          <w:rFonts w:hint="eastAsia" w:ascii="宋体" w:hAnsi="宋体" w:eastAsia="宋体" w:cs="宋体"/>
          <w:color w:val="auto"/>
          <w:szCs w:val="21"/>
          <w:highlight w:val="none"/>
        </w:rPr>
        <w:t>如果本磋商文件要求提供供应商或制造商的资格、信誉、荣誉、业绩与企业认证等材料的，资格、信誉、荣誉、业绩与企业认证等必须为供应商或者制造商所拥有或自身获得 。</w:t>
      </w:r>
    </w:p>
    <w:bookmarkEnd w:id="71"/>
    <w:p w14:paraId="0D31FFE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7.2供应商应仔细阅读磋商文件的所有内容，按照磋商文件的要求提交响应文件，并对所提供的全部资料的真实性承担法律责任。</w:t>
      </w:r>
    </w:p>
    <w:p w14:paraId="0B0D281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7.3供应商在竞标活动中提供任何疑似虚假材料，</w:t>
      </w:r>
      <w:r>
        <w:rPr>
          <w:rFonts w:hint="eastAsia" w:ascii="宋体" w:hAnsi="宋体" w:eastAsia="宋体" w:cs="宋体"/>
          <w:b w:val="0"/>
          <w:bCs w:val="0"/>
          <w:color w:val="auto"/>
          <w:szCs w:val="21"/>
          <w:highlight w:val="none"/>
        </w:rPr>
        <w:t>其响应文件作无效处理</w:t>
      </w:r>
      <w:r>
        <w:rPr>
          <w:rFonts w:hint="eastAsia" w:ascii="宋体" w:hAnsi="宋体" w:eastAsia="宋体" w:cs="宋体"/>
          <w:color w:val="auto"/>
          <w:szCs w:val="21"/>
          <w:highlight w:val="none"/>
        </w:rPr>
        <w:t>，将报监管部门查处；签订合同后发现的，成交供应商须依照《</w:t>
      </w:r>
      <w:r>
        <w:rPr>
          <w:rFonts w:hint="eastAsia" w:ascii="宋体" w:hAnsi="宋体" w:eastAsia="宋体" w:cs="宋体"/>
          <w:color w:val="auto"/>
          <w:szCs w:val="21"/>
          <w:highlight w:val="none"/>
          <w:lang w:val="en-US" w:eastAsia="zh-CN"/>
        </w:rPr>
        <w:t>中华人民共和国民法典</w:t>
      </w:r>
      <w:r>
        <w:rPr>
          <w:rFonts w:hint="eastAsia" w:ascii="宋体" w:hAnsi="宋体" w:eastAsia="宋体" w:cs="宋体"/>
          <w:color w:val="auto"/>
          <w:szCs w:val="21"/>
          <w:highlight w:val="none"/>
        </w:rPr>
        <w:t>》规定赔偿采购人，且民事赔偿并不免除违法供应商的行政与刑事责任。</w:t>
      </w:r>
    </w:p>
    <w:p w14:paraId="67E9A333">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7.4在政府采购活动中，采购人员及相关人员与供应商有下列利害关系之一的，应当回避：</w:t>
      </w:r>
    </w:p>
    <w:p w14:paraId="4D4D4374">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（1）参加采购活动前3年内与供应商存在劳动关系；</w:t>
      </w:r>
    </w:p>
    <w:p w14:paraId="536DCF80">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（2）参加采购活动前3年内担任供应商的董事、监事；</w:t>
      </w:r>
    </w:p>
    <w:p w14:paraId="63830BE6">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（3）参加采购活动前3年内是供应商的控股股东或者实际控制人；</w:t>
      </w:r>
    </w:p>
    <w:p w14:paraId="0A6980F3">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（4）与供应商的法定代表人或者负责人有夫妻、直系血亲、三代以内旁系血亲或者近姻亲关系；</w:t>
      </w:r>
    </w:p>
    <w:p w14:paraId="498D0666">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（5）与供应商有其他可能影响政府采购活动公平、公正进行的关系。</w:t>
      </w:r>
    </w:p>
    <w:p w14:paraId="4F138043">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供应商认为采购人员及相关人员与其他供应商有利害关系的，可以向采购人或者采购代理机构书面提出回避申请，并说明理由。采购人或者采购代理机构应当及时询问被申请回避人员，有利害关系的被申请回避人员应当回避。</w:t>
      </w:r>
    </w:p>
    <w:p w14:paraId="553D8197">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7.5有下列情形之一的视为供应商相互串通竞标，响应文件将被视为无效：</w:t>
      </w:r>
    </w:p>
    <w:p w14:paraId="3E93E5F2">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（1）不同供应商的响应文件由同一单位或者个人编制；或不同</w:t>
      </w:r>
      <w:r>
        <w:rPr>
          <w:rFonts w:hint="eastAsia" w:ascii="宋体" w:hAnsi="宋体" w:eastAsia="宋体" w:cs="宋体"/>
          <w:b/>
          <w:bCs/>
          <w:color w:val="auto"/>
          <w:szCs w:val="21"/>
          <w:highlight w:val="none"/>
          <w:lang w:val="en-US" w:eastAsia="zh-CN"/>
        </w:rPr>
        <w:t>供应商</w:t>
      </w:r>
      <w:r>
        <w:rPr>
          <w:rFonts w:hint="eastAsia" w:ascii="宋体" w:hAnsi="宋体" w:eastAsia="宋体" w:cs="宋体"/>
          <w:b/>
          <w:bCs/>
          <w:color w:val="auto"/>
          <w:szCs w:val="21"/>
          <w:highlight w:val="none"/>
        </w:rPr>
        <w:t xml:space="preserve">报名的IP地址一致的； </w:t>
      </w:r>
    </w:p>
    <w:p w14:paraId="0596DAF9">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（2）不同供应商委托同一单位或者个人办理竞标事宜；</w:t>
      </w:r>
    </w:p>
    <w:p w14:paraId="7A4CA92A">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（3）不同的供应商的响应文件载明的项目管理员为同一个人；</w:t>
      </w:r>
    </w:p>
    <w:p w14:paraId="4C2F89F7">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（4）不同供应商的响应文件异常一致或者报价呈规律性差异；</w:t>
      </w:r>
    </w:p>
    <w:p w14:paraId="0BF52BC3">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（5）不同供应商的响应文件相互混装；</w:t>
      </w:r>
    </w:p>
    <w:p w14:paraId="72647887">
      <w:pPr>
        <w:tabs>
          <w:tab w:val="left" w:pos="6931"/>
        </w:tabs>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（6）不同供应商的磋商保证金从同一单位或者个人账户转出。</w:t>
      </w:r>
      <w:r>
        <w:rPr>
          <w:rFonts w:hint="eastAsia" w:ascii="宋体" w:hAnsi="宋体" w:eastAsia="宋体" w:cs="宋体"/>
          <w:b/>
          <w:bCs/>
          <w:color w:val="auto"/>
          <w:szCs w:val="21"/>
          <w:highlight w:val="none"/>
        </w:rPr>
        <w:tab/>
      </w:r>
    </w:p>
    <w:p w14:paraId="16E45A1C">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7.6供应商有下列情形之一的，属于恶意串通行为，将报同级监督管理部门：</w:t>
      </w:r>
    </w:p>
    <w:p w14:paraId="03D138BF">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（1）供应商直接或者间接从采购人或者采购代理机构处获得其他供应商的相关信息并修改其响应文件；</w:t>
      </w:r>
    </w:p>
    <w:p w14:paraId="3BE62F6B">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（2）供应商按照采购人或者采购代理机构的授意撤换、修改响应文件；</w:t>
      </w:r>
    </w:p>
    <w:p w14:paraId="04DC59B6">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（3）供应商之间协商报价、技术方案等响应文件的实质性内容；</w:t>
      </w:r>
    </w:p>
    <w:p w14:paraId="59D8B3BB">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（4）属于同一集团、协会、商会等组织成员的供应商按照该组织要求协同参加政府采购活动；</w:t>
      </w:r>
    </w:p>
    <w:p w14:paraId="6F7972E7">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（5）供应商之间事先约定一致抬高或者压低报价，或者在政府采购活动中事先约定轮流以高价位或者低价位成交，或者事先约定由某一特定供应商成交，然后再参加竞标；</w:t>
      </w:r>
    </w:p>
    <w:p w14:paraId="04057DFD">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（6）供应商之间商定部分供应商放弃参加政府采购活动或者放弃成交；</w:t>
      </w:r>
    </w:p>
    <w:p w14:paraId="52CCBC11">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（7）供应商与采购人或者采购代理机构之间、供应商相互之间，为谋求特定供应商成交或者排斥其他供应商的其他串通行为。</w:t>
      </w:r>
    </w:p>
    <w:p w14:paraId="57C6B362">
      <w:pPr>
        <w:pStyle w:val="5"/>
        <w:spacing w:before="0" w:after="0" w:line="360" w:lineRule="auto"/>
        <w:ind w:firstLine="640" w:firstLineChars="200"/>
        <w:rPr>
          <w:rFonts w:hint="eastAsia"/>
          <w:b w:val="0"/>
          <w:bCs w:val="0"/>
          <w:color w:val="auto"/>
          <w:highlight w:val="none"/>
        </w:rPr>
      </w:pPr>
      <w:bookmarkStart w:id="72" w:name="_Toc254970534"/>
      <w:bookmarkStart w:id="73" w:name="_Toc254970675"/>
      <w:bookmarkStart w:id="74" w:name="_Toc27583"/>
      <w:bookmarkStart w:id="75" w:name="_Toc12713"/>
      <w:bookmarkStart w:id="76" w:name="_Toc80886931"/>
      <w:r>
        <w:rPr>
          <w:rFonts w:hint="eastAsia"/>
          <w:b w:val="0"/>
          <w:bCs w:val="0"/>
          <w:color w:val="auto"/>
          <w:highlight w:val="none"/>
        </w:rPr>
        <w:t>二、磋商文件</w:t>
      </w:r>
      <w:bookmarkEnd w:id="72"/>
      <w:bookmarkEnd w:id="73"/>
      <w:bookmarkEnd w:id="74"/>
      <w:bookmarkEnd w:id="75"/>
      <w:bookmarkEnd w:id="76"/>
    </w:p>
    <w:p w14:paraId="079D7E6C">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8.磋商文件的构成</w:t>
      </w:r>
    </w:p>
    <w:p w14:paraId="78082D69">
      <w:pPr>
        <w:spacing w:line="360" w:lineRule="auto"/>
        <w:ind w:firstLine="420" w:firstLineChars="200"/>
        <w:jc w:val="left"/>
        <w:rPr>
          <w:rFonts w:hint="eastAsia"/>
          <w:color w:val="auto"/>
          <w:szCs w:val="21"/>
          <w:highlight w:val="none"/>
        </w:rPr>
      </w:pPr>
      <w:r>
        <w:rPr>
          <w:rFonts w:hint="eastAsia"/>
          <w:color w:val="auto"/>
          <w:szCs w:val="21"/>
          <w:highlight w:val="none"/>
        </w:rPr>
        <w:t>第一章 竞争性磋商公告；</w:t>
      </w:r>
    </w:p>
    <w:p w14:paraId="4714D8A9">
      <w:pPr>
        <w:spacing w:line="360" w:lineRule="auto"/>
        <w:ind w:firstLine="420" w:firstLineChars="200"/>
        <w:jc w:val="left"/>
        <w:rPr>
          <w:rFonts w:hint="eastAsia"/>
          <w:color w:val="auto"/>
          <w:szCs w:val="21"/>
          <w:highlight w:val="none"/>
        </w:rPr>
      </w:pPr>
      <w:r>
        <w:rPr>
          <w:rFonts w:hint="eastAsia"/>
          <w:color w:val="auto"/>
          <w:szCs w:val="21"/>
          <w:highlight w:val="none"/>
        </w:rPr>
        <w:t>第二章 采购需求；</w:t>
      </w:r>
    </w:p>
    <w:p w14:paraId="18382F99">
      <w:pPr>
        <w:spacing w:line="360" w:lineRule="auto"/>
        <w:ind w:firstLine="420" w:firstLineChars="200"/>
        <w:jc w:val="left"/>
        <w:rPr>
          <w:rFonts w:hint="eastAsia"/>
          <w:color w:val="auto"/>
          <w:szCs w:val="21"/>
          <w:highlight w:val="none"/>
        </w:rPr>
      </w:pPr>
      <w:r>
        <w:rPr>
          <w:rFonts w:hint="eastAsia"/>
          <w:color w:val="auto"/>
          <w:szCs w:val="21"/>
          <w:highlight w:val="none"/>
        </w:rPr>
        <w:t xml:space="preserve">第三章 供应商须知； </w:t>
      </w:r>
    </w:p>
    <w:p w14:paraId="303A7044">
      <w:pPr>
        <w:spacing w:line="360" w:lineRule="auto"/>
        <w:ind w:firstLine="420" w:firstLineChars="200"/>
        <w:jc w:val="left"/>
        <w:rPr>
          <w:rFonts w:hint="eastAsia"/>
          <w:color w:val="auto"/>
          <w:szCs w:val="21"/>
          <w:highlight w:val="none"/>
        </w:rPr>
      </w:pPr>
      <w:r>
        <w:rPr>
          <w:rFonts w:hint="eastAsia"/>
          <w:color w:val="auto"/>
          <w:szCs w:val="21"/>
          <w:highlight w:val="none"/>
        </w:rPr>
        <w:t>第四章 评审程序、评审方法和评审标准；</w:t>
      </w:r>
    </w:p>
    <w:p w14:paraId="2D602F77">
      <w:pPr>
        <w:spacing w:line="360" w:lineRule="auto"/>
        <w:ind w:firstLine="420" w:firstLineChars="200"/>
        <w:jc w:val="left"/>
        <w:rPr>
          <w:rFonts w:hint="eastAsia"/>
          <w:color w:val="auto"/>
          <w:szCs w:val="21"/>
          <w:highlight w:val="none"/>
        </w:rPr>
      </w:pPr>
      <w:r>
        <w:rPr>
          <w:rFonts w:hint="eastAsia"/>
          <w:color w:val="auto"/>
          <w:szCs w:val="21"/>
          <w:highlight w:val="none"/>
        </w:rPr>
        <w:t>第五章 响应文件格式；</w:t>
      </w:r>
    </w:p>
    <w:p w14:paraId="528BACFE">
      <w:pPr>
        <w:spacing w:line="360" w:lineRule="auto"/>
        <w:ind w:firstLine="420" w:firstLineChars="200"/>
        <w:jc w:val="left"/>
        <w:rPr>
          <w:rFonts w:hint="eastAsia"/>
          <w:color w:val="auto"/>
          <w:szCs w:val="21"/>
          <w:highlight w:val="none"/>
        </w:rPr>
      </w:pPr>
      <w:r>
        <w:rPr>
          <w:rFonts w:hint="eastAsia"/>
          <w:color w:val="auto"/>
          <w:szCs w:val="21"/>
          <w:highlight w:val="none"/>
        </w:rPr>
        <w:t>第六章 合同文本；</w:t>
      </w:r>
    </w:p>
    <w:p w14:paraId="7FB07E3D">
      <w:pPr>
        <w:spacing w:line="360" w:lineRule="auto"/>
        <w:ind w:firstLine="420" w:firstLineChars="200"/>
        <w:jc w:val="left"/>
        <w:rPr>
          <w:rFonts w:hint="eastAsia"/>
          <w:color w:val="auto"/>
          <w:szCs w:val="21"/>
          <w:highlight w:val="none"/>
        </w:rPr>
      </w:pPr>
      <w:r>
        <w:rPr>
          <w:rFonts w:hint="eastAsia"/>
          <w:color w:val="auto"/>
          <w:szCs w:val="21"/>
          <w:highlight w:val="none"/>
        </w:rPr>
        <w:t>第七章 质疑、投诉材料格式。</w:t>
      </w:r>
    </w:p>
    <w:p w14:paraId="2967E465">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9.供应商的询问</w:t>
      </w:r>
    </w:p>
    <w:p w14:paraId="18CCEFB1">
      <w:pPr>
        <w:spacing w:line="360" w:lineRule="auto"/>
        <w:ind w:firstLine="420" w:firstLineChars="200"/>
        <w:rPr>
          <w:rFonts w:hint="eastAsia"/>
          <w:color w:val="auto"/>
          <w:szCs w:val="21"/>
          <w:highlight w:val="none"/>
        </w:rPr>
      </w:pPr>
      <w:r>
        <w:rPr>
          <w:rFonts w:hint="eastAsia"/>
          <w:color w:val="auto"/>
          <w:szCs w:val="21"/>
          <w:highlight w:val="none"/>
        </w:rPr>
        <w:t>供应商应认真阅读磋商文件的采购需求，如供应商对磋商文件有疑问的，如要求采购人作出澄清或者修改的，供应商尽应在</w:t>
      </w:r>
      <w:r>
        <w:rPr>
          <w:color w:val="auto"/>
          <w:szCs w:val="21"/>
          <w:highlight w:val="none"/>
        </w:rPr>
        <w:t>提交首次响应文件截止之日前</w:t>
      </w:r>
      <w:r>
        <w:rPr>
          <w:rFonts w:hint="eastAsia"/>
          <w:color w:val="auto"/>
          <w:szCs w:val="21"/>
          <w:highlight w:val="none"/>
        </w:rPr>
        <w:t>，以书面形式向</w:t>
      </w:r>
      <w:r>
        <w:rPr>
          <w:color w:val="auto"/>
          <w:szCs w:val="21"/>
          <w:highlight w:val="none"/>
        </w:rPr>
        <w:t>采购人、采购代理机构</w:t>
      </w:r>
      <w:r>
        <w:rPr>
          <w:rFonts w:hint="eastAsia"/>
          <w:color w:val="auto"/>
          <w:szCs w:val="21"/>
          <w:highlight w:val="none"/>
        </w:rPr>
        <w:t>提出。</w:t>
      </w:r>
    </w:p>
    <w:p w14:paraId="3FF73FBC">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10.磋商文件的澄清和修改</w:t>
      </w:r>
    </w:p>
    <w:p w14:paraId="6734F48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10.1已获取磋商文件的潜在供应商，若有问题需要澄清，应于应标截止时间前，以书面形式向采购代理机构提出，采购代理机构与采购人研究后，对认为有必要回答的问题，按照本章10.3的内容处理。</w:t>
      </w:r>
    </w:p>
    <w:p w14:paraId="45C26DBA">
      <w:pPr>
        <w:spacing w:line="360" w:lineRule="auto"/>
        <w:ind w:firstLine="422" w:firstLineChars="200"/>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10.2采购人或者采购代理机构可以对已发出的磋商文件进行必要的澄清或者修改，但不得改变采购标的和资格条件。澄清或者修改应当在原公告发布媒体上发布澄清公告。澄清或者修改的内容为磋商文件的组成部分。</w:t>
      </w:r>
    </w:p>
    <w:p w14:paraId="5702DED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10.3提交首次响应文件截止之日前，采购人、采购代理机构或者磋商小组可以对已发出的磋商文件进行必要的澄清或者修改，澄清或者修改的内容作为磋商文件的组成部分。澄清或者修改的内容可能影响响应文件编制的，采购人、采购代理机构或者磋商小组在提交首次响应文件截止之日5日前，以书面形式（目前为网上公告和系统短信等形式）通知所有获取磋商文件的供应商，不足5日的，应当顺延提交首次响应文件截止</w:t>
      </w:r>
      <w:r>
        <w:rPr>
          <w:rFonts w:hint="eastAsia" w:ascii="宋体" w:hAnsi="宋体" w:eastAsia="宋体" w:cs="宋体"/>
          <w:color w:val="auto"/>
          <w:szCs w:val="21"/>
          <w:highlight w:val="none"/>
          <w:lang w:eastAsia="zh-CN"/>
        </w:rPr>
        <w:t>时间</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eastAsia="zh-CN"/>
        </w:rPr>
        <w:t>澄清或者</w:t>
      </w:r>
      <w:r>
        <w:rPr>
          <w:rFonts w:hint="eastAsia" w:ascii="宋体" w:hAnsi="宋体" w:eastAsia="宋体" w:cs="宋体"/>
          <w:color w:val="auto"/>
          <w:szCs w:val="21"/>
          <w:highlight w:val="none"/>
          <w:lang w:val="en-US" w:eastAsia="zh-CN"/>
        </w:rPr>
        <w:t>更正公告</w:t>
      </w:r>
      <w:r>
        <w:rPr>
          <w:rFonts w:hint="eastAsia" w:ascii="宋体" w:hAnsi="宋体" w:eastAsia="宋体" w:cs="宋体"/>
          <w:color w:val="auto"/>
          <w:szCs w:val="21"/>
          <w:highlight w:val="none"/>
          <w:lang w:eastAsia="zh-CN"/>
        </w:rPr>
        <w:t>在竞争性磋商公告发布媒体上发布</w:t>
      </w:r>
      <w:r>
        <w:rPr>
          <w:rFonts w:hint="eastAsia" w:ascii="宋体" w:hAnsi="宋体" w:eastAsia="宋体" w:cs="宋体"/>
          <w:color w:val="auto"/>
          <w:szCs w:val="21"/>
          <w:highlight w:val="none"/>
        </w:rPr>
        <w:t>，一经发布，视作已以书面形式通知所有获取竞争性磋商文件的潜在供应商，不再另行通知，所有潜在供应商应密切关注竞争性磋商公告发布媒体，因未能及时获知，由此产生的后果均应自行承担。</w:t>
      </w:r>
    </w:p>
    <w:p w14:paraId="7602672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10.4</w:t>
      </w:r>
      <w:r>
        <w:rPr>
          <w:rFonts w:hint="eastAsia" w:ascii="宋体" w:hAnsi="宋体" w:eastAsia="宋体" w:cs="宋体"/>
          <w:color w:val="auto"/>
          <w:highlight w:val="none"/>
          <w:shd w:val="clear" w:color="auto" w:fill="FFFFFF"/>
        </w:rPr>
        <w:t>采购信息更正公告的内容应当包括采购人和采购代理机构名称、地址、联系方式，原公告的采购项目名称及首次公告日期，更正事项、内容及日期，采购项目联系人和电话。</w:t>
      </w:r>
    </w:p>
    <w:p w14:paraId="7DEAA1BE">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10.5  采购人和采购代理机构可以视采购具体情况，变更提交首次响应文件截止时间和竞谈时间，将变更时间将在</w:t>
      </w:r>
      <w:r>
        <w:rPr>
          <w:rFonts w:hint="eastAsia" w:ascii="宋体" w:hAnsi="宋体" w:eastAsia="宋体" w:cs="宋体"/>
          <w:color w:val="auto"/>
          <w:highlight w:val="none"/>
          <w:lang w:eastAsia="zh-CN"/>
        </w:rPr>
        <w:t>竞争性磋商</w:t>
      </w:r>
      <w:r>
        <w:rPr>
          <w:rFonts w:hint="eastAsia" w:ascii="宋体" w:hAnsi="宋体" w:eastAsia="宋体" w:cs="宋体"/>
          <w:color w:val="auto"/>
          <w:highlight w:val="none"/>
        </w:rPr>
        <w:t>公告中“七、其他补充事宜</w:t>
      </w: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.网上查询地址”规定的政府采购信息发布媒体上发布更正公告。</w:t>
      </w:r>
    </w:p>
    <w:p w14:paraId="12750EE1">
      <w:pPr>
        <w:spacing w:line="360" w:lineRule="auto"/>
        <w:ind w:firstLine="420" w:firstLineChars="20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w:t>
      </w:r>
      <w:r>
        <w:rPr>
          <w:rFonts w:hint="eastAsia" w:ascii="宋体" w:hAnsi="宋体" w:eastAsia="宋体" w:cs="宋体"/>
          <w:b/>
          <w:color w:val="auto"/>
          <w:kern w:val="0"/>
          <w:sz w:val="21"/>
          <w:szCs w:val="21"/>
          <w:highlight w:val="none"/>
        </w:rPr>
        <w:t>响应文件未按磋商文件的澄清、修改的内容编制，又不符合实质性要求的，其响应文件</w:t>
      </w:r>
      <w:r>
        <w:rPr>
          <w:rFonts w:hint="eastAsia" w:ascii="宋体" w:hAnsi="宋体" w:eastAsia="宋体" w:cs="宋体"/>
          <w:b/>
          <w:color w:val="auto"/>
          <w:kern w:val="0"/>
          <w:sz w:val="21"/>
          <w:szCs w:val="21"/>
          <w:highlight w:val="none"/>
          <w:lang w:eastAsia="zh-CN"/>
        </w:rPr>
        <w:t>按无效</w:t>
      </w:r>
      <w:r>
        <w:rPr>
          <w:rFonts w:hint="eastAsia" w:ascii="宋体" w:hAnsi="宋体" w:eastAsia="宋体" w:cs="宋体"/>
          <w:b/>
          <w:color w:val="auto"/>
          <w:kern w:val="0"/>
          <w:sz w:val="21"/>
          <w:szCs w:val="21"/>
          <w:highlight w:val="none"/>
        </w:rPr>
        <w:t>处理。</w:t>
      </w:r>
    </w:p>
    <w:p w14:paraId="386186F0">
      <w:pPr>
        <w:pStyle w:val="5"/>
        <w:spacing w:before="0" w:after="0" w:line="360" w:lineRule="auto"/>
        <w:ind w:firstLine="320" w:firstLineChars="100"/>
        <w:rPr>
          <w:rFonts w:hint="eastAsia"/>
          <w:b w:val="0"/>
          <w:bCs w:val="0"/>
          <w:color w:val="auto"/>
          <w:highlight w:val="none"/>
        </w:rPr>
      </w:pPr>
      <w:r>
        <w:rPr>
          <w:rFonts w:hint="eastAsia"/>
          <w:b w:val="0"/>
          <w:bCs w:val="0"/>
          <w:color w:val="auto"/>
          <w:highlight w:val="none"/>
        </w:rPr>
        <w:t xml:space="preserve">  </w:t>
      </w:r>
      <w:bookmarkStart w:id="77" w:name="_Toc21690"/>
      <w:bookmarkStart w:id="78" w:name="_Toc80886932"/>
      <w:bookmarkStart w:id="79" w:name="_Toc21480"/>
      <w:r>
        <w:rPr>
          <w:rFonts w:hint="eastAsia"/>
          <w:b w:val="0"/>
          <w:bCs w:val="0"/>
          <w:color w:val="auto"/>
          <w:highlight w:val="none"/>
        </w:rPr>
        <w:t>三、响应文件的编制</w:t>
      </w:r>
      <w:bookmarkEnd w:id="77"/>
      <w:bookmarkEnd w:id="78"/>
      <w:bookmarkEnd w:id="79"/>
    </w:p>
    <w:p w14:paraId="46C993A4">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11.响应文件的编制原则</w:t>
      </w:r>
    </w:p>
    <w:p w14:paraId="0F10C319">
      <w:pPr>
        <w:spacing w:line="360" w:lineRule="auto"/>
        <w:ind w:firstLine="420" w:firstLineChars="200"/>
        <w:rPr>
          <w:rFonts w:hint="eastAsia" w:cs="宋体"/>
          <w:color w:val="auto"/>
          <w:szCs w:val="21"/>
          <w:highlight w:val="none"/>
        </w:rPr>
      </w:pPr>
      <w:r>
        <w:rPr>
          <w:rFonts w:hint="eastAsia" w:cs="宋体"/>
          <w:color w:val="auto"/>
          <w:szCs w:val="21"/>
          <w:highlight w:val="none"/>
        </w:rPr>
        <w:t>供应商必须按照磋商文件的要求编制响应文件，并对其提交的响应文件的真实性、合法性承担法律责任。响应文件必须对磋商文件作出实质性响应。</w:t>
      </w:r>
    </w:p>
    <w:p w14:paraId="02BA0F4E">
      <w:pPr>
        <w:spacing w:line="360" w:lineRule="auto"/>
        <w:ind w:firstLine="482" w:firstLineChars="200"/>
        <w:rPr>
          <w:rFonts w:ascii="黑体" w:hAnsi="黑体" w:eastAsia="黑体" w:cs="宋体"/>
          <w:b/>
          <w:bCs/>
          <w:color w:val="auto"/>
          <w:sz w:val="24"/>
          <w:highlight w:val="none"/>
        </w:rPr>
      </w:pPr>
      <w:r>
        <w:rPr>
          <w:rFonts w:hint="eastAsia" w:ascii="黑体" w:hAnsi="黑体" w:eastAsia="黑体" w:cs="宋体"/>
          <w:b/>
          <w:bCs/>
          <w:color w:val="auto"/>
          <w:sz w:val="24"/>
          <w:highlight w:val="none"/>
        </w:rPr>
        <w:t>12.响应文件的组成</w:t>
      </w:r>
    </w:p>
    <w:p w14:paraId="417FB05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12.1响应文件由资格文件、报价文件、商务技术文件三部分组成。</w:t>
      </w:r>
    </w:p>
    <w:p w14:paraId="4B997D54">
      <w:pPr>
        <w:spacing w:line="360" w:lineRule="auto"/>
        <w:ind w:left="0" w:leftChars="0"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12.1.1资格文件：详见供应商须知前附表</w:t>
      </w:r>
    </w:p>
    <w:p w14:paraId="5960E6B5">
      <w:pPr>
        <w:spacing w:line="360" w:lineRule="auto"/>
        <w:ind w:left="0" w:leftChars="0"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12.1.2商务技术文件：详见供应商须知前附表</w:t>
      </w:r>
    </w:p>
    <w:p w14:paraId="774C45DD">
      <w:pPr>
        <w:spacing w:line="360" w:lineRule="auto"/>
        <w:ind w:left="0" w:leftChars="0"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12.1.3报价文件：详见供应商须知前附表</w:t>
      </w:r>
    </w:p>
    <w:p w14:paraId="174144D4">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12.2响应文件电子版：详见供应商须知前附表</w:t>
      </w:r>
    </w:p>
    <w:p w14:paraId="3705CB66">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13.计量单位</w:t>
      </w:r>
    </w:p>
    <w:p w14:paraId="0C2F4F40">
      <w:pPr>
        <w:spacing w:line="360" w:lineRule="auto"/>
        <w:ind w:firstLine="420" w:firstLineChars="200"/>
        <w:rPr>
          <w:rFonts w:hint="eastAsia" w:cs="宋体"/>
          <w:color w:val="auto"/>
          <w:szCs w:val="21"/>
          <w:highlight w:val="none"/>
        </w:rPr>
      </w:pPr>
      <w:r>
        <w:rPr>
          <w:rFonts w:hint="eastAsia" w:cs="宋体"/>
          <w:color w:val="auto"/>
          <w:szCs w:val="21"/>
          <w:highlight w:val="none"/>
        </w:rPr>
        <w:t>磋商文件已有明确规定的，使用磋商文件规定的计量单位；磋商文件没有规定的，应采用中华人民共和国法定计量单位，货币种类为人民币，否则视同未响应。</w:t>
      </w:r>
    </w:p>
    <w:p w14:paraId="2F683766">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14.竞标的风险</w:t>
      </w:r>
    </w:p>
    <w:p w14:paraId="034B96AC">
      <w:pPr>
        <w:spacing w:line="360" w:lineRule="auto"/>
        <w:ind w:firstLine="420" w:firstLineChars="200"/>
        <w:rPr>
          <w:rFonts w:hint="eastAsia" w:cs="宋体"/>
          <w:color w:val="auto"/>
          <w:szCs w:val="21"/>
          <w:highlight w:val="none"/>
        </w:rPr>
      </w:pPr>
      <w:r>
        <w:rPr>
          <w:rFonts w:hint="eastAsia" w:cs="宋体"/>
          <w:color w:val="auto"/>
          <w:szCs w:val="21"/>
          <w:highlight w:val="none"/>
        </w:rPr>
        <w:t>供应商没有按照磋商文件要求提供全部资料，或者供应商没有对磋商文件在各方面作出实质性响应可能导致其响应无效，是供应商应当考虑的风险。</w:t>
      </w:r>
    </w:p>
    <w:p w14:paraId="56C6CE71">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15.</w:t>
      </w:r>
      <w:r>
        <w:rPr>
          <w:rFonts w:hint="default" w:ascii="黑体" w:hAnsi="黑体" w:eastAsia="黑体" w:cs="宋体"/>
          <w:b/>
          <w:bCs/>
          <w:color w:val="auto"/>
          <w:sz w:val="24"/>
          <w:highlight w:val="none"/>
          <w:lang w:val="en-US"/>
        </w:rPr>
        <w:t>响应</w:t>
      </w:r>
      <w:r>
        <w:rPr>
          <w:rFonts w:hint="eastAsia" w:ascii="黑体" w:hAnsi="黑体" w:eastAsia="黑体" w:cs="宋体"/>
          <w:b/>
          <w:bCs/>
          <w:color w:val="auto"/>
          <w:sz w:val="24"/>
          <w:highlight w:val="none"/>
        </w:rPr>
        <w:t>报价要求和构成</w:t>
      </w:r>
    </w:p>
    <w:p w14:paraId="1546C6BB">
      <w:pPr>
        <w:tabs>
          <w:tab w:val="left" w:pos="2492"/>
        </w:tabs>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15.1</w:t>
      </w:r>
      <w:r>
        <w:rPr>
          <w:rFonts w:hint="default" w:ascii="宋体" w:hAnsi="宋体" w:eastAsia="宋体" w:cs="宋体"/>
          <w:color w:val="auto"/>
          <w:szCs w:val="21"/>
          <w:highlight w:val="none"/>
          <w:lang w:val="en-US"/>
        </w:rPr>
        <w:t>响应</w:t>
      </w:r>
      <w:r>
        <w:rPr>
          <w:rFonts w:hint="eastAsia" w:ascii="宋体" w:hAnsi="宋体" w:eastAsia="宋体" w:cs="宋体"/>
          <w:color w:val="auto"/>
          <w:szCs w:val="21"/>
          <w:highlight w:val="none"/>
        </w:rPr>
        <w:t>报价应按“第五章 响应文件格式”中“响应报价表”格式填写。</w:t>
      </w:r>
    </w:p>
    <w:p w14:paraId="39E98549">
      <w:pPr>
        <w:tabs>
          <w:tab w:val="left" w:pos="2492"/>
        </w:tabs>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15.2响应报价的价格构成见“供应商须知前附表”。</w:t>
      </w:r>
    </w:p>
    <w:p w14:paraId="6EF7848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15.3响应报价要求</w:t>
      </w:r>
    </w:p>
    <w:p w14:paraId="2707E2D4">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15.3.1供应商的响应报价应符合以下要求，否则响应文件按无效响应处理：</w:t>
      </w:r>
    </w:p>
    <w:p w14:paraId="437666A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（1）供应商必须就“采购需求”中所竞标的分标的全部内容分别作完整唯一总价报价，不得存在漏项报价；</w:t>
      </w:r>
    </w:p>
    <w:p w14:paraId="511A2AE4">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（2）供应商必须就所竞标的分标的单项内容作唯一报价。</w:t>
      </w:r>
    </w:p>
    <w:p w14:paraId="3CA4322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15.3.2响应报价（包含首次报价、最后报价）超过所竞标分标规定的采购预算金额或者最高限价的（如本项目公布了最高限价），其响应文件将</w:t>
      </w:r>
      <w:r>
        <w:rPr>
          <w:rFonts w:hint="eastAsia" w:ascii="宋体" w:hAnsi="宋体" w:eastAsia="宋体" w:cs="宋体"/>
          <w:color w:val="auto"/>
          <w:szCs w:val="21"/>
          <w:highlight w:val="none"/>
          <w:lang w:eastAsia="zh-CN"/>
        </w:rPr>
        <w:t>按无效</w:t>
      </w:r>
      <w:r>
        <w:rPr>
          <w:rFonts w:hint="eastAsia" w:ascii="宋体" w:hAnsi="宋体" w:eastAsia="宋体" w:cs="宋体"/>
          <w:color w:val="auto"/>
          <w:szCs w:val="21"/>
          <w:highlight w:val="none"/>
        </w:rPr>
        <w:t>处理。</w:t>
      </w:r>
    </w:p>
    <w:p w14:paraId="185A0FE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15.3.3</w:t>
      </w:r>
      <w:bookmarkStart w:id="80" w:name="_Hlk42592874"/>
      <w:r>
        <w:rPr>
          <w:rFonts w:hint="eastAsia" w:ascii="宋体" w:hAnsi="宋体" w:eastAsia="宋体" w:cs="宋体"/>
          <w:color w:val="auto"/>
          <w:szCs w:val="21"/>
          <w:highlight w:val="none"/>
        </w:rPr>
        <w:t>响应报价（包含首次报价、最后报价）超过分项采购预算金额或者最高限价的（如本项目公布了最高限价），其响应文件将</w:t>
      </w:r>
      <w:r>
        <w:rPr>
          <w:rFonts w:hint="eastAsia" w:ascii="宋体" w:hAnsi="宋体" w:eastAsia="宋体" w:cs="宋体"/>
          <w:color w:val="auto"/>
          <w:szCs w:val="21"/>
          <w:highlight w:val="none"/>
          <w:lang w:eastAsia="zh-CN"/>
        </w:rPr>
        <w:t>按无效</w:t>
      </w:r>
      <w:r>
        <w:rPr>
          <w:rFonts w:hint="eastAsia" w:ascii="宋体" w:hAnsi="宋体" w:eastAsia="宋体" w:cs="宋体"/>
          <w:color w:val="auto"/>
          <w:szCs w:val="21"/>
          <w:highlight w:val="none"/>
        </w:rPr>
        <w:t>处理。</w:t>
      </w:r>
    </w:p>
    <w:bookmarkEnd w:id="80"/>
    <w:p w14:paraId="7D3F03A6">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16.竞标有效期</w:t>
      </w:r>
    </w:p>
    <w:p w14:paraId="29B6730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16.1竞标有效期是指为保证采购人有足够的时间在提交响应文件后完成评审、确定成交供应商、合同签订等工作而要求供应商提交的响应文件在一定时间内保持有效的期限。</w:t>
      </w:r>
    </w:p>
    <w:p w14:paraId="71318E7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16.2 竞标有效期应由供应商按“供应商须知前附表”规定的期限作出响应。</w:t>
      </w:r>
    </w:p>
    <w:p w14:paraId="32A7CDA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16.3供应商的响应文件在竞标有效期内均保持有效。</w:t>
      </w:r>
    </w:p>
    <w:p w14:paraId="44B27D23">
      <w:pPr>
        <w:spacing w:line="360" w:lineRule="auto"/>
        <w:ind w:firstLine="0" w:firstLineChars="0"/>
        <w:rPr>
          <w:rFonts w:hint="eastAsia" w:ascii="黑体" w:hAnsi="黑体" w:eastAsia="黑体" w:cs="宋体"/>
          <w:b/>
          <w:bCs/>
          <w:i/>
          <w:iCs/>
          <w:color w:val="auto"/>
          <w:sz w:val="24"/>
          <w:highlight w:val="none"/>
          <w:lang w:eastAsia="zh-CN"/>
        </w:rPr>
      </w:pPr>
      <w:r>
        <w:rPr>
          <w:rFonts w:hint="eastAsia" w:ascii="黑体" w:hAnsi="黑体" w:eastAsia="黑体" w:cs="宋体"/>
          <w:b/>
          <w:bCs/>
          <w:color w:val="auto"/>
          <w:sz w:val="24"/>
          <w:highlight w:val="none"/>
        </w:rPr>
        <w:t>17.磋商保证金</w:t>
      </w:r>
    </w:p>
    <w:p w14:paraId="434F5428">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17.1供应商须按“供应商须知前附表”的规定提交磋商保证金。</w:t>
      </w:r>
    </w:p>
    <w:p w14:paraId="439850EA">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17.2磋商保证金的退还</w:t>
      </w:r>
    </w:p>
    <w:p w14:paraId="2FB98ED1">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17.2.1未</w:t>
      </w:r>
      <w:r>
        <w:rPr>
          <w:rFonts w:hint="eastAsia" w:ascii="宋体" w:hAnsi="宋体" w:cs="宋体"/>
          <w:color w:val="auto"/>
          <w:spacing w:val="-6"/>
          <w:szCs w:val="21"/>
          <w:highlight w:val="none"/>
        </w:rPr>
        <w:t>成交供应商的磋商保证金自成交通知书发出之日起</w:t>
      </w:r>
      <w:r>
        <w:rPr>
          <w:rFonts w:hint="eastAsia" w:ascii="宋体" w:hAnsi="宋体" w:cs="宋体"/>
          <w:color w:val="auto"/>
          <w:spacing w:val="-6"/>
          <w:szCs w:val="21"/>
          <w:highlight w:val="none"/>
          <w:lang w:val="en-US" w:eastAsia="zh-CN"/>
        </w:rPr>
        <w:t>5</w:t>
      </w:r>
      <w:r>
        <w:rPr>
          <w:rFonts w:hint="eastAsia" w:ascii="宋体" w:hAnsi="宋体" w:cs="宋体"/>
          <w:color w:val="auto"/>
          <w:spacing w:val="-6"/>
          <w:szCs w:val="21"/>
          <w:highlight w:val="none"/>
        </w:rPr>
        <w:t>个工作日内退还，退还方式如下：</w:t>
      </w:r>
    </w:p>
    <w:p w14:paraId="32345716">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（1）采用银行转账方式的，以转账方式退回到供应商银行账户。</w:t>
      </w:r>
    </w:p>
    <w:p w14:paraId="64E0C567">
      <w:pPr>
        <w:pStyle w:val="7"/>
        <w:spacing w:line="360" w:lineRule="auto"/>
        <w:ind w:firstLine="315" w:firstLineChars="150"/>
        <w:rPr>
          <w:rFonts w:hint="eastAsia" w:ascii="宋体" w:hAnsi="宋体"/>
          <w:color w:val="auto"/>
          <w:szCs w:val="21"/>
          <w:highlight w:val="none"/>
        </w:rPr>
      </w:pPr>
      <w:r>
        <w:rPr>
          <w:rFonts w:hint="eastAsia" w:ascii="宋体" w:hAnsi="宋体" w:cs="宋体"/>
          <w:color w:val="auto"/>
          <w:szCs w:val="21"/>
          <w:highlight w:val="none"/>
        </w:rPr>
        <w:t>（2）</w:t>
      </w:r>
      <w:r>
        <w:rPr>
          <w:rFonts w:hint="eastAsia" w:ascii="宋体" w:hAnsi="宋体"/>
          <w:color w:val="auto"/>
          <w:szCs w:val="21"/>
          <w:highlight w:val="none"/>
        </w:rPr>
        <w:t>采用支票、汇票、本票或者金融机构、担保机构出具的保函</w:t>
      </w:r>
      <w:r>
        <w:rPr>
          <w:rFonts w:hint="eastAsia" w:ascii="宋体" w:hAnsi="宋体"/>
          <w:color w:val="auto"/>
          <w:szCs w:val="21"/>
          <w:highlight w:val="none"/>
          <w:lang w:eastAsia="zh-CN"/>
        </w:rPr>
        <w:t>等</w:t>
      </w:r>
      <w:r>
        <w:rPr>
          <w:rFonts w:hint="eastAsia" w:ascii="宋体" w:hAnsi="宋体"/>
          <w:color w:val="auto"/>
          <w:szCs w:val="21"/>
          <w:highlight w:val="none"/>
        </w:rPr>
        <w:t>方式的，由供应商代表持相关授权证明材料至采购代理机构办理支票、汇票、本票或者金融机构、担保机构出具的保函</w:t>
      </w:r>
      <w:r>
        <w:rPr>
          <w:rFonts w:hint="eastAsia" w:ascii="宋体" w:hAnsi="宋体"/>
          <w:color w:val="auto"/>
          <w:szCs w:val="21"/>
          <w:highlight w:val="none"/>
          <w:lang w:eastAsia="zh-CN"/>
        </w:rPr>
        <w:t>等</w:t>
      </w:r>
      <w:r>
        <w:rPr>
          <w:rFonts w:hint="eastAsia" w:ascii="宋体" w:hAnsi="宋体"/>
          <w:color w:val="auto"/>
          <w:szCs w:val="21"/>
          <w:highlight w:val="none"/>
        </w:rPr>
        <w:t>原件退还手续。</w:t>
      </w:r>
    </w:p>
    <w:p w14:paraId="64AF106C">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17.2.2成交供应商的磋商保证金自签订合同之日起</w:t>
      </w: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 xml:space="preserve">个工作日内退还，退还方式同未成交供应商的磋商保证金的退还方式。 </w:t>
      </w:r>
    </w:p>
    <w:p w14:paraId="343A0E4E">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17.3磋商保证金不计息。</w:t>
      </w:r>
    </w:p>
    <w:p w14:paraId="2ADD8DBC">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 xml:space="preserve">17.4供应商有下列情形之一的，磋商保证金将不予退还： </w:t>
      </w:r>
    </w:p>
    <w:p w14:paraId="6B9E8438">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（1）供应商在提交响应文件截止时间后撤回响应文件的；</w:t>
      </w:r>
    </w:p>
    <w:p w14:paraId="3FB24CE0">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（2）供应商在响应文件中提供虚假材料的；</w:t>
      </w:r>
    </w:p>
    <w:p w14:paraId="2644D314">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（3）除因不可抗力或者磋商文件认可的情形以外，成交供应商不与采购人签订合同的；</w:t>
      </w:r>
    </w:p>
    <w:p w14:paraId="09BC7E3E">
      <w:pPr>
        <w:spacing w:line="360" w:lineRule="auto"/>
        <w:ind w:left="420" w:leftChars="200"/>
        <w:rPr>
          <w:rFonts w:hint="eastAsia" w:ascii="宋体" w:hAnsi="宋体" w:cs="宋体"/>
          <w:color w:val="auto"/>
          <w:szCs w:val="21"/>
          <w:highlight w:val="none"/>
        </w:rPr>
      </w:pPr>
      <w:r>
        <w:rPr>
          <w:rFonts w:hint="eastAsia" w:ascii="宋体" w:hAnsi="宋体" w:cs="宋体"/>
          <w:color w:val="auto"/>
          <w:szCs w:val="21"/>
          <w:highlight w:val="none"/>
        </w:rPr>
        <w:t>（4）供应商与采购人、</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供应商或者采购代理机构恶意串通的；</w:t>
      </w:r>
    </w:p>
    <w:p w14:paraId="617FB012">
      <w:pPr>
        <w:spacing w:line="360" w:lineRule="auto"/>
        <w:ind w:left="420" w:leftChars="200" w:firstLine="0" w:firstLineChars="0"/>
        <w:rPr>
          <w:rFonts w:cs="宋体"/>
          <w:color w:val="auto"/>
          <w:szCs w:val="21"/>
          <w:highlight w:val="none"/>
        </w:rPr>
      </w:pPr>
      <w:r>
        <w:rPr>
          <w:rFonts w:hint="eastAsia" w:ascii="宋体" w:hAnsi="宋体" w:cs="宋体"/>
          <w:color w:val="auto"/>
          <w:szCs w:val="21"/>
          <w:highlight w:val="none"/>
        </w:rPr>
        <w:t>（5）磋商文件规定的</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情形。</w:t>
      </w:r>
    </w:p>
    <w:p w14:paraId="60A71EDA">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18.响应文件编制的要求</w:t>
      </w:r>
    </w:p>
    <w:p w14:paraId="128B3C7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18.1各供应商在编制响应文件时请按照磋商文件“第五章 响应文件格式”规定的格式进行，混乱的编排导致响应文件被误读或磋商小组查找不到有效文件是供应商的风险。不完整、编排混乱导致响应文件被误读、漏读或者查找不到相关内容的，</w:t>
      </w:r>
      <w:r>
        <w:rPr>
          <w:rFonts w:hint="eastAsia" w:ascii="宋体" w:hAnsi="宋体" w:eastAsia="宋体" w:cs="宋体"/>
          <w:color w:val="auto"/>
          <w:highlight w:val="none"/>
        </w:rPr>
        <w:t>由此引发的</w:t>
      </w:r>
      <w:r>
        <w:rPr>
          <w:rFonts w:hint="eastAsia" w:ascii="宋体" w:hAnsi="宋体" w:eastAsia="宋体" w:cs="宋体"/>
          <w:color w:val="auto"/>
          <w:szCs w:val="21"/>
          <w:highlight w:val="none"/>
        </w:rPr>
        <w:t>后果由供应商承担。</w:t>
      </w:r>
    </w:p>
    <w:p w14:paraId="7E3E11C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18.2响应文件应按资格文件、报价</w:t>
      </w:r>
      <w:r>
        <w:rPr>
          <w:rFonts w:hint="eastAsia" w:ascii="宋体" w:hAnsi="宋体" w:eastAsia="宋体" w:cs="宋体"/>
          <w:color w:val="auto"/>
          <w:szCs w:val="21"/>
          <w:highlight w:val="none"/>
          <w:lang w:eastAsia="zh-CN"/>
        </w:rPr>
        <w:t>文件</w:t>
      </w:r>
      <w:r>
        <w:rPr>
          <w:rFonts w:hint="eastAsia" w:ascii="宋体" w:hAnsi="宋体" w:eastAsia="宋体" w:cs="宋体"/>
          <w:color w:val="auto"/>
          <w:szCs w:val="21"/>
          <w:highlight w:val="none"/>
        </w:rPr>
        <w:t>分别编制，商务</w:t>
      </w:r>
      <w:r>
        <w:rPr>
          <w:rFonts w:hint="eastAsia" w:ascii="宋体" w:hAnsi="宋体" w:eastAsia="宋体" w:cs="宋体"/>
          <w:color w:val="auto"/>
          <w:szCs w:val="21"/>
          <w:highlight w:val="none"/>
          <w:lang w:eastAsia="zh-CN"/>
        </w:rPr>
        <w:t>文件与</w:t>
      </w:r>
      <w:r>
        <w:rPr>
          <w:rFonts w:hint="eastAsia" w:ascii="宋体" w:hAnsi="宋体" w:eastAsia="宋体" w:cs="宋体"/>
          <w:color w:val="auto"/>
          <w:szCs w:val="21"/>
          <w:highlight w:val="none"/>
        </w:rPr>
        <w:t>技术文件合并编制，本磋商只接受电子版响应文件，要求见本章“12.2响应文件电子版要求”。</w:t>
      </w:r>
    </w:p>
    <w:p w14:paraId="7B93E17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18.</w:t>
      </w:r>
      <w:bookmarkStart w:id="81" w:name="_Hlk65832699"/>
      <w:r>
        <w:rPr>
          <w:rFonts w:hint="eastAsia" w:ascii="宋体" w:hAnsi="宋体" w:eastAsia="宋体" w:cs="宋体"/>
          <w:color w:val="auto"/>
          <w:szCs w:val="21"/>
          <w:highlight w:val="none"/>
        </w:rPr>
        <w:t>3响应文件须由供应商</w:t>
      </w:r>
      <w:r>
        <w:rPr>
          <w:rFonts w:hint="eastAsia" w:ascii="宋体" w:hAnsi="宋体" w:eastAsia="宋体" w:cs="宋体"/>
          <w:color w:val="auto"/>
          <w:szCs w:val="21"/>
          <w:highlight w:val="none"/>
          <w:lang w:eastAsia="zh-CN"/>
        </w:rPr>
        <w:t>按</w:t>
      </w:r>
      <w:r>
        <w:rPr>
          <w:rFonts w:hint="eastAsia" w:ascii="宋体" w:hAnsi="宋体" w:eastAsia="宋体" w:cs="宋体"/>
          <w:color w:val="auto"/>
          <w:kern w:val="0"/>
          <w:szCs w:val="21"/>
          <w:highlight w:val="none"/>
          <w:lang w:val="zh-CN"/>
        </w:rPr>
        <w:t>“</w:t>
      </w:r>
      <w:r>
        <w:rPr>
          <w:rFonts w:hint="eastAsia" w:ascii="宋体" w:hAnsi="宋体" w:eastAsia="宋体" w:cs="宋体"/>
          <w:color w:val="auto"/>
          <w:szCs w:val="21"/>
          <w:highlight w:val="none"/>
        </w:rPr>
        <w:t>第五章 响应文件格式</w:t>
      </w:r>
      <w:r>
        <w:rPr>
          <w:rFonts w:hint="eastAsia" w:ascii="宋体" w:hAnsi="宋体" w:eastAsia="宋体" w:cs="宋体"/>
          <w:color w:val="auto"/>
          <w:kern w:val="0"/>
          <w:szCs w:val="21"/>
          <w:highlight w:val="none"/>
          <w:lang w:val="zh-CN"/>
        </w:rPr>
        <w:t>”</w:t>
      </w:r>
      <w:r>
        <w:rPr>
          <w:rFonts w:hint="eastAsia" w:ascii="宋体" w:hAnsi="宋体" w:eastAsia="宋体" w:cs="宋体"/>
          <w:color w:val="auto"/>
          <w:szCs w:val="21"/>
          <w:highlight w:val="none"/>
          <w:lang w:eastAsia="zh-CN"/>
        </w:rPr>
        <w:t>要求</w:t>
      </w:r>
      <w:r>
        <w:rPr>
          <w:rFonts w:hint="eastAsia" w:ascii="宋体" w:hAnsi="宋体" w:eastAsia="宋体" w:cs="宋体"/>
          <w:color w:val="auto"/>
          <w:szCs w:val="21"/>
          <w:highlight w:val="none"/>
        </w:rPr>
        <w:t>进行签署、盖章</w:t>
      </w:r>
      <w:bookmarkEnd w:id="81"/>
      <w:r>
        <w:rPr>
          <w:rFonts w:hint="eastAsia" w:ascii="宋体" w:hAnsi="宋体" w:eastAsia="宋体" w:cs="宋体"/>
          <w:color w:val="auto"/>
          <w:szCs w:val="21"/>
          <w:highlight w:val="none"/>
        </w:rPr>
        <w:t>，</w:t>
      </w:r>
      <w:r>
        <w:rPr>
          <w:rFonts w:hint="eastAsia" w:ascii="宋体" w:hAnsi="宋体" w:eastAsia="宋体" w:cs="宋体"/>
          <w:b/>
          <w:bCs/>
          <w:color w:val="auto"/>
          <w:szCs w:val="21"/>
          <w:highlight w:val="none"/>
        </w:rPr>
        <w:t>否则其响应文件按无效响应处理</w:t>
      </w:r>
      <w:r>
        <w:rPr>
          <w:rFonts w:hint="eastAsia" w:ascii="宋体" w:hAnsi="宋体" w:eastAsia="宋体" w:cs="宋体"/>
          <w:color w:val="auto"/>
          <w:szCs w:val="21"/>
          <w:highlight w:val="none"/>
        </w:rPr>
        <w:t>。</w:t>
      </w:r>
    </w:p>
    <w:p w14:paraId="61734EA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18.4响应文件中标注的供应商名称应与营业执照（事业单位法人证书、执业许可证、自然人身份证）及</w:t>
      </w:r>
      <w:r>
        <w:rPr>
          <w:rFonts w:hint="eastAsia" w:ascii="宋体" w:hAnsi="宋体" w:eastAsia="宋体" w:cs="宋体"/>
          <w:color w:val="auto"/>
          <w:szCs w:val="21"/>
          <w:highlight w:val="none"/>
          <w:lang w:eastAsia="zh-CN"/>
        </w:rPr>
        <w:t>供应商</w:t>
      </w:r>
      <w:r>
        <w:rPr>
          <w:rFonts w:hint="eastAsia" w:ascii="宋体" w:hAnsi="宋体" w:eastAsia="宋体" w:cs="宋体"/>
          <w:color w:val="auto"/>
          <w:szCs w:val="21"/>
          <w:highlight w:val="none"/>
        </w:rPr>
        <w:t>公章一致，</w:t>
      </w:r>
      <w:r>
        <w:rPr>
          <w:rFonts w:hint="eastAsia" w:ascii="宋体" w:hAnsi="宋体" w:eastAsia="宋体" w:cs="宋体"/>
          <w:b/>
          <w:bCs/>
          <w:color w:val="auto"/>
          <w:szCs w:val="21"/>
          <w:highlight w:val="none"/>
        </w:rPr>
        <w:t>否则其响应文件按无效响应处理。</w:t>
      </w:r>
    </w:p>
    <w:p w14:paraId="1800C82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18.5响应文件应避免涂改、行间插字或者删除。</w:t>
      </w:r>
    </w:p>
    <w:p w14:paraId="32EE6536">
      <w:pPr>
        <w:spacing w:line="360" w:lineRule="auto"/>
        <w:ind w:firstLine="482" w:firstLineChars="200"/>
        <w:rPr>
          <w:rFonts w:hint="eastAsia" w:ascii="黑体" w:hAnsi="黑体" w:eastAsia="黑体" w:cs="宋体"/>
          <w:b/>
          <w:bCs/>
          <w:color w:val="auto"/>
          <w:sz w:val="24"/>
          <w:highlight w:val="none"/>
          <w:lang w:eastAsia="zh-CN"/>
        </w:rPr>
      </w:pPr>
      <w:r>
        <w:rPr>
          <w:rFonts w:hint="eastAsia" w:ascii="黑体" w:hAnsi="黑体" w:eastAsia="黑体" w:cs="宋体"/>
          <w:b/>
          <w:bCs/>
          <w:color w:val="auto"/>
          <w:sz w:val="24"/>
          <w:highlight w:val="none"/>
        </w:rPr>
        <w:t>19.响应文件的</w:t>
      </w:r>
      <w:r>
        <w:rPr>
          <w:rFonts w:hint="eastAsia" w:ascii="黑体" w:hAnsi="黑体" w:eastAsia="黑体" w:cs="宋体"/>
          <w:b/>
          <w:bCs/>
          <w:color w:val="auto"/>
          <w:sz w:val="24"/>
          <w:highlight w:val="none"/>
          <w:lang w:eastAsia="zh-CN"/>
        </w:rPr>
        <w:t>加密</w:t>
      </w:r>
    </w:p>
    <w:p w14:paraId="552E35B5">
      <w:pPr>
        <w:spacing w:line="360" w:lineRule="auto"/>
        <w:ind w:firstLine="420" w:firstLineChars="20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19.1供应商进行电子交易应安装客户端软件—“</w:t>
      </w:r>
      <w:r>
        <w:rPr>
          <w:rFonts w:hint="eastAsia" w:ascii="宋体" w:hAnsi="宋体" w:cs="宋体"/>
          <w:b w:val="0"/>
          <w:bCs w:val="0"/>
          <w:color w:val="auto"/>
          <w:sz w:val="21"/>
          <w:szCs w:val="21"/>
          <w:highlight w:val="none"/>
          <w:lang w:val="en-US" w:eastAsia="zh-CN"/>
        </w:rPr>
        <w:t>广西政府采购云平台新版客户端</w:t>
      </w:r>
      <w:r>
        <w:rPr>
          <w:rFonts w:hint="eastAsia" w:ascii="宋体" w:hAnsi="宋体" w:eastAsia="宋体" w:cs="宋体"/>
          <w:color w:val="auto"/>
          <w:kern w:val="0"/>
          <w:szCs w:val="21"/>
          <w:highlight w:val="none"/>
          <w:lang w:val="zh-CN"/>
        </w:rPr>
        <w:t>”，并按照磋商文件和电子交易平台的要求编制并加密响应文件。供应商未按规定加密的响应文件，电子交易平台将拒收并提示。</w:t>
      </w:r>
    </w:p>
    <w:p w14:paraId="3BCB589E">
      <w:pPr>
        <w:spacing w:line="360" w:lineRule="auto"/>
        <w:ind w:firstLine="420" w:firstLineChars="200"/>
        <w:rPr>
          <w:rFonts w:hint="eastAsia" w:ascii="宋体" w:hAnsi="宋体" w:eastAsia="宋体" w:cs="宋体"/>
          <w:color w:val="auto"/>
          <w:kern w:val="0"/>
          <w:szCs w:val="21"/>
          <w:highlight w:val="none"/>
          <w:lang w:val="zh-CN"/>
        </w:rPr>
      </w:pPr>
      <w:r>
        <w:rPr>
          <w:rFonts w:hint="eastAsia" w:ascii="宋体" w:hAnsi="宋体" w:eastAsia="宋体" w:cs="宋体"/>
          <w:color w:val="auto"/>
          <w:kern w:val="0"/>
          <w:szCs w:val="21"/>
          <w:highlight w:val="none"/>
          <w:lang w:val="zh-CN"/>
        </w:rPr>
        <w:t>19.2使用“</w:t>
      </w:r>
      <w:r>
        <w:rPr>
          <w:rFonts w:hint="eastAsia" w:ascii="宋体" w:hAnsi="宋体" w:eastAsia="宋体" w:cs="宋体"/>
          <w:color w:val="auto"/>
          <w:kern w:val="0"/>
          <w:szCs w:val="21"/>
          <w:highlight w:val="none"/>
          <w:lang w:val="en-US" w:eastAsia="zh-CN"/>
        </w:rPr>
        <w:t>广西政府采购云平台</w:t>
      </w:r>
      <w:r>
        <w:rPr>
          <w:rFonts w:hint="eastAsia" w:ascii="宋体" w:hAnsi="宋体" w:eastAsia="宋体" w:cs="宋体"/>
          <w:color w:val="auto"/>
          <w:kern w:val="0"/>
          <w:szCs w:val="21"/>
          <w:highlight w:val="none"/>
          <w:lang w:val="zh-CN"/>
        </w:rPr>
        <w:t>电子交易客户端”需要提前申领CA数字证书。</w:t>
      </w:r>
    </w:p>
    <w:p w14:paraId="717E51FD">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19.3为确保网上操作合法、有效和安全，供应商应当在响应文件提交截止时间前完成在“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kern w:val="0"/>
          <w:szCs w:val="21"/>
          <w:highlight w:val="none"/>
        </w:rPr>
        <w:t>”的身份认证，确保在电子交易过程中能够对相关数据电文进行加密和使用电子签名。</w:t>
      </w:r>
    </w:p>
    <w:p w14:paraId="4196D6AE">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20.响应文件的提交</w:t>
      </w:r>
    </w:p>
    <w:p w14:paraId="6FA3110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20.1供应商必须在“供应商须知前附表”规定的时间和地点提交响应文件。</w:t>
      </w:r>
    </w:p>
    <w:p w14:paraId="6F7A8B1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20.2 在响应文件提交截止时间以后，不能补充、修改响应文件。</w:t>
      </w:r>
    </w:p>
    <w:p w14:paraId="5BF15D0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20.3 在提交“最后报价”后，供应商不能退出</w:t>
      </w:r>
      <w:r>
        <w:rPr>
          <w:rFonts w:hint="eastAsia" w:ascii="宋体" w:hAnsi="宋体" w:eastAsia="宋体" w:cs="宋体"/>
          <w:color w:val="auto"/>
          <w:szCs w:val="21"/>
          <w:highlight w:val="none"/>
          <w:lang w:eastAsia="zh-CN"/>
        </w:rPr>
        <w:t>磋商</w:t>
      </w:r>
      <w:r>
        <w:rPr>
          <w:rFonts w:hint="eastAsia" w:ascii="宋体" w:hAnsi="宋体" w:eastAsia="宋体" w:cs="宋体"/>
          <w:color w:val="auto"/>
          <w:szCs w:val="21"/>
          <w:highlight w:val="none"/>
        </w:rPr>
        <w:t>。</w:t>
      </w:r>
    </w:p>
    <w:p w14:paraId="6C81A2C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20.4 电子交易平台收到响应文件，将妥善保存并即时向供应商发出确认回执通知。在响应文件提交截止时间前，除供应商补充、修改或者撤回响应文件外，任何单位和个人不得解密或提取响应文件。</w:t>
      </w:r>
    </w:p>
    <w:p w14:paraId="6EB9EA6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20.5 采购机构不可视情况延长提交响应文件的截止时间。</w:t>
      </w:r>
    </w:p>
    <w:p w14:paraId="61AFC536">
      <w:pPr>
        <w:spacing w:line="360" w:lineRule="auto"/>
        <w:ind w:firstLine="420" w:firstLineChars="200"/>
        <w:rPr>
          <w:rFonts w:hint="eastAsia" w:ascii="宋体" w:hAnsi="宋体" w:eastAsia="宋体" w:cs="宋体"/>
          <w:color w:val="auto"/>
          <w:sz w:val="24"/>
          <w:highlight w:val="none"/>
        </w:rPr>
      </w:pPr>
      <w:r>
        <w:rPr>
          <w:rFonts w:hint="eastAsia" w:ascii="宋体" w:hAnsi="宋体" w:eastAsia="宋体" w:cs="宋体"/>
          <w:color w:val="auto"/>
          <w:szCs w:val="21"/>
          <w:highlight w:val="none"/>
        </w:rPr>
        <w:t>20.6备份响应文件。</w:t>
      </w:r>
      <w:r>
        <w:rPr>
          <w:rFonts w:hint="eastAsia" w:ascii="宋体" w:hAnsi="宋体" w:eastAsia="宋体" w:cs="宋体"/>
          <w:bCs/>
          <w:color w:val="auto"/>
          <w:szCs w:val="21"/>
          <w:highlight w:val="none"/>
        </w:rPr>
        <w:t>详见“供应商须知前附表”。</w:t>
      </w:r>
    </w:p>
    <w:p w14:paraId="772B9559">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21.首次响应文件的补充、修改与撤回</w:t>
      </w:r>
    </w:p>
    <w:p w14:paraId="74B39D97">
      <w:pPr>
        <w:adjustRightInd w:val="0"/>
        <w:spacing w:line="360" w:lineRule="auto"/>
        <w:ind w:firstLine="420" w:firstLineChars="200"/>
        <w:rPr>
          <w:rFonts w:hint="eastAsia" w:cs="宋体"/>
          <w:color w:val="auto"/>
          <w:szCs w:val="21"/>
          <w:highlight w:val="none"/>
        </w:rPr>
      </w:pPr>
      <w:r>
        <w:rPr>
          <w:rFonts w:hint="eastAsia" w:ascii="宋体" w:hAnsi="宋体" w:eastAsia="宋体" w:cs="仿宋_GB2312"/>
          <w:color w:val="auto"/>
          <w:kern w:val="0"/>
          <w:szCs w:val="21"/>
          <w:highlight w:val="none"/>
        </w:rPr>
        <w:t>供应商应当在提交响应文件截止时间前完成响应文件的传输提交，并可以补充、修改或者撤回响应文件。补充或者修改响应文件的，应当先行撤回原文件，补充、修改后重新传输提交。提交响应文件截止时间前未完成传输的，视为撤回响应文件。响应文件提交截止时间后提交的响应文件，电子交易平台将拒收</w:t>
      </w:r>
      <w:r>
        <w:rPr>
          <w:rFonts w:hint="eastAsia" w:cs="宋体"/>
          <w:color w:val="auto"/>
          <w:szCs w:val="21"/>
          <w:highlight w:val="none"/>
        </w:rPr>
        <w:t>。</w:t>
      </w:r>
      <w:bookmarkStart w:id="82" w:name="_Hlk45702405"/>
    </w:p>
    <w:p w14:paraId="6B7E6DE1">
      <w:pPr>
        <w:spacing w:line="360" w:lineRule="auto"/>
        <w:ind w:firstLine="482" w:firstLineChars="200"/>
        <w:rPr>
          <w:rFonts w:ascii="黑体" w:hAnsi="黑体" w:eastAsia="黑体" w:cs="宋体"/>
          <w:b/>
          <w:bCs/>
          <w:color w:val="auto"/>
          <w:sz w:val="24"/>
          <w:highlight w:val="none"/>
        </w:rPr>
      </w:pPr>
      <w:r>
        <w:rPr>
          <w:rFonts w:hint="eastAsia"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2</w:t>
      </w:r>
      <w:r>
        <w:rPr>
          <w:rFonts w:hint="eastAsia" w:ascii="黑体" w:hAnsi="黑体" w:eastAsia="黑体" w:cs="宋体"/>
          <w:b/>
          <w:bCs/>
          <w:color w:val="auto"/>
          <w:sz w:val="24"/>
          <w:highlight w:val="none"/>
        </w:rPr>
        <w:t>. 截止时间后的撤回</w:t>
      </w:r>
    </w:p>
    <w:bookmarkEnd w:id="82"/>
    <w:p w14:paraId="03FB7A1D">
      <w:pPr>
        <w:pStyle w:val="27"/>
        <w:rPr>
          <w:rFonts w:hint="eastAsia"/>
          <w:b/>
          <w:bCs/>
          <w:color w:val="auto"/>
          <w:highlight w:val="none"/>
        </w:rPr>
      </w:pPr>
      <w:r>
        <w:rPr>
          <w:rFonts w:hint="eastAsia"/>
          <w:color w:val="auto"/>
          <w:highlight w:val="none"/>
        </w:rPr>
        <w:t>供应商在首次响应文件提交截止时间后向采购人、采购代理机构书面申请撤回</w:t>
      </w:r>
      <w:r>
        <w:rPr>
          <w:rFonts w:hint="eastAsia"/>
          <w:color w:val="auto"/>
          <w:highlight w:val="none"/>
          <w:lang w:eastAsia="zh-CN"/>
        </w:rPr>
        <w:t>电子</w:t>
      </w:r>
      <w:r>
        <w:rPr>
          <w:rFonts w:hint="eastAsia"/>
          <w:color w:val="auto"/>
          <w:highlight w:val="none"/>
        </w:rPr>
        <w:t>响应文件的，将根据本须知正文17.4的规定不予退还其磋商保证金</w:t>
      </w:r>
      <w:r>
        <w:rPr>
          <w:rFonts w:hint="eastAsia"/>
          <w:color w:val="auto"/>
          <w:highlight w:val="none"/>
          <w:lang w:eastAsia="zh-CN"/>
        </w:rPr>
        <w:t>（</w:t>
      </w:r>
      <w:r>
        <w:rPr>
          <w:rFonts w:hint="eastAsia"/>
          <w:color w:val="auto"/>
          <w:highlight w:val="none"/>
          <w:lang w:val="en-US" w:eastAsia="zh-CN"/>
        </w:rPr>
        <w:t>如有</w:t>
      </w:r>
      <w:r>
        <w:rPr>
          <w:rFonts w:hint="eastAsia"/>
          <w:color w:val="auto"/>
          <w:highlight w:val="none"/>
          <w:lang w:eastAsia="zh-CN"/>
        </w:rPr>
        <w:t>）</w:t>
      </w:r>
      <w:r>
        <w:rPr>
          <w:rFonts w:hint="eastAsia"/>
          <w:color w:val="auto"/>
          <w:highlight w:val="none"/>
        </w:rPr>
        <w:t>。</w:t>
      </w:r>
    </w:p>
    <w:p w14:paraId="34EEFC65">
      <w:pPr>
        <w:pStyle w:val="5"/>
        <w:spacing w:before="0" w:after="0" w:line="360" w:lineRule="auto"/>
        <w:ind w:firstLine="640" w:firstLineChars="200"/>
        <w:rPr>
          <w:rFonts w:hint="eastAsia"/>
          <w:b w:val="0"/>
          <w:bCs w:val="0"/>
          <w:color w:val="auto"/>
          <w:highlight w:val="none"/>
        </w:rPr>
      </w:pPr>
      <w:r>
        <w:rPr>
          <w:rFonts w:hint="eastAsia"/>
          <w:b w:val="0"/>
          <w:bCs w:val="0"/>
          <w:color w:val="auto"/>
          <w:highlight w:val="none"/>
        </w:rPr>
        <w:t xml:space="preserve">  </w:t>
      </w:r>
      <w:bookmarkStart w:id="83" w:name="_Toc80886933"/>
      <w:bookmarkStart w:id="84" w:name="_Toc17876"/>
      <w:bookmarkStart w:id="85" w:name="_Toc20044"/>
      <w:r>
        <w:rPr>
          <w:rFonts w:hint="eastAsia"/>
          <w:b w:val="0"/>
          <w:bCs w:val="0"/>
          <w:color w:val="auto"/>
          <w:highlight w:val="none"/>
        </w:rPr>
        <w:t>四、评审及磋商</w:t>
      </w:r>
      <w:bookmarkEnd w:id="83"/>
      <w:bookmarkEnd w:id="84"/>
      <w:bookmarkEnd w:id="85"/>
    </w:p>
    <w:p w14:paraId="6C5F688E">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3</w:t>
      </w:r>
      <w:r>
        <w:rPr>
          <w:rFonts w:hint="eastAsia" w:ascii="黑体" w:hAnsi="黑体" w:eastAsia="黑体" w:cs="宋体"/>
          <w:b/>
          <w:bCs/>
          <w:color w:val="auto"/>
          <w:sz w:val="24"/>
          <w:highlight w:val="none"/>
        </w:rPr>
        <w:t>.磋商小组成立</w:t>
      </w:r>
    </w:p>
    <w:p w14:paraId="4774E9F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1磋商小组由采购人代表和评审专家共3人以上单数组成，其中评审专家人数不得少于磋商小组成员总数的2/3。采购人代表不得以评审专家身份参加本部门或者本单位采购项目的评审。采购代理机构人员不得参加本机构代理的采购项目的评审。达到公开招标数额标准的货物或者服务采购项目，或者达到公开招标规模标准的政府采购工程，经批准采用竞争性磋商方式采购的，磋商小组由5人以上单数组成。</w:t>
      </w:r>
    </w:p>
    <w:p w14:paraId="05BACB7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2评审专家应当从政府采购评审专家库内相关专业的专家名单中随机抽取。市场竞争不充分的科研项目，以及需要扶持的科技成果转化项目，以及情况特殊、通过随机方式难以确定合适的评审专家的项目，经主管预算单位同意，可以自行选定评审专家。</w:t>
      </w:r>
    </w:p>
    <w:p w14:paraId="4A29CA91">
      <w:pPr>
        <w:spacing w:line="360" w:lineRule="auto"/>
        <w:ind w:firstLine="482" w:firstLineChars="200"/>
        <w:rPr>
          <w:rFonts w:ascii="黑体" w:hAnsi="黑体" w:eastAsia="黑体" w:cs="宋体"/>
          <w:b/>
          <w:bCs/>
          <w:color w:val="auto"/>
          <w:sz w:val="24"/>
          <w:highlight w:val="none"/>
        </w:rPr>
      </w:pPr>
      <w:r>
        <w:rPr>
          <w:rFonts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4</w:t>
      </w:r>
      <w:r>
        <w:rPr>
          <w:rFonts w:ascii="黑体" w:hAnsi="黑体" w:eastAsia="黑体" w:cs="宋体"/>
          <w:b/>
          <w:bCs/>
          <w:color w:val="auto"/>
          <w:sz w:val="24"/>
          <w:highlight w:val="none"/>
        </w:rPr>
        <w:t>.</w:t>
      </w:r>
      <w:r>
        <w:rPr>
          <w:rFonts w:hint="eastAsia" w:ascii="黑体" w:hAnsi="黑体" w:eastAsia="黑体" w:cs="宋体"/>
          <w:b/>
          <w:bCs/>
          <w:color w:val="auto"/>
          <w:sz w:val="24"/>
          <w:highlight w:val="none"/>
        </w:rPr>
        <w:t>首次响应文件的开启</w:t>
      </w:r>
    </w:p>
    <w:p w14:paraId="154ACA3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.1首次响应文件由磋商小组或者采购代理机构在“供应商须知前附表”规定的时间开启。</w:t>
      </w:r>
    </w:p>
    <w:p w14:paraId="1144D01E">
      <w:pPr>
        <w:spacing w:line="360" w:lineRule="auto"/>
        <w:ind w:firstLine="420" w:firstLineChars="200"/>
        <w:rPr>
          <w:rFonts w:hint="eastAsia" w:ascii="宋体" w:hAnsi="宋体" w:eastAsia="宋体" w:cs="宋体"/>
          <w:bCs/>
          <w:color w:val="auto"/>
          <w:kern w:val="0"/>
          <w:szCs w:val="21"/>
          <w:highlight w:val="none"/>
        </w:rPr>
      </w:pPr>
      <w:r>
        <w:rPr>
          <w:rFonts w:hint="eastAsia" w:ascii="宋体" w:hAnsi="宋体" w:eastAsia="宋体" w:cs="宋体"/>
          <w:color w:val="auto"/>
          <w:kern w:val="0"/>
          <w:szCs w:val="21"/>
          <w:highlight w:val="none"/>
        </w:rPr>
        <w:t>2</w:t>
      </w: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rPr>
        <w:t xml:space="preserve">.2 </w:t>
      </w:r>
      <w:r>
        <w:rPr>
          <w:rFonts w:hint="eastAsia" w:ascii="宋体" w:hAnsi="宋体" w:eastAsia="宋体" w:cs="宋体"/>
          <w:bCs/>
          <w:color w:val="auto"/>
          <w:kern w:val="0"/>
          <w:szCs w:val="21"/>
          <w:highlight w:val="none"/>
        </w:rPr>
        <w:t>响应文件解密</w:t>
      </w:r>
    </w:p>
    <w:p w14:paraId="150C29FB">
      <w:pPr>
        <w:snapToGrid w:val="0"/>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bCs/>
          <w:color w:val="auto"/>
          <w:kern w:val="0"/>
          <w:szCs w:val="21"/>
          <w:highlight w:val="none"/>
        </w:rPr>
        <w:t>采购代理机构将在“供应商须知前附表”规定的时</w:t>
      </w:r>
      <w:r>
        <w:rPr>
          <w:rFonts w:hint="eastAsia" w:ascii="宋体" w:hAnsi="宋体" w:eastAsia="宋体" w:cs="宋体"/>
          <w:color w:val="auto"/>
          <w:kern w:val="0"/>
          <w:szCs w:val="21"/>
          <w:highlight w:val="none"/>
        </w:rPr>
        <w:t>间通过电子交易平台组织响应文件开启，采购机构依托电子交易平台发起开始解密指令，供应商的法定代表人或其委托代理人</w:t>
      </w:r>
      <w:r>
        <w:rPr>
          <w:rFonts w:hint="eastAsia" w:ascii="宋体" w:hAnsi="宋体" w:eastAsia="宋体" w:cs="宋体"/>
          <w:b/>
          <w:color w:val="auto"/>
          <w:kern w:val="0"/>
          <w:szCs w:val="21"/>
          <w:highlight w:val="none"/>
        </w:rPr>
        <w:t>须携带加密时所用的CA锁按平台提示和采购文件的规定登录到</w:t>
      </w:r>
      <w:r>
        <w:rPr>
          <w:rFonts w:hint="eastAsia" w:ascii="宋体" w:hAnsi="宋体" w:eastAsia="宋体" w:cs="宋体"/>
          <w:b/>
          <w:bCs w:val="0"/>
          <w:color w:val="auto"/>
          <w:kern w:val="0"/>
          <w:sz w:val="21"/>
          <w:szCs w:val="21"/>
          <w:highlight w:val="none"/>
          <w:lang w:val="en-US" w:eastAsia="zh-CN"/>
        </w:rPr>
        <w:t>广西政府采购云平台</w:t>
      </w:r>
      <w:r>
        <w:rPr>
          <w:rFonts w:hint="eastAsia" w:ascii="宋体" w:hAnsi="宋体" w:eastAsia="宋体" w:cs="宋体"/>
          <w:b/>
          <w:color w:val="auto"/>
          <w:kern w:val="0"/>
          <w:szCs w:val="21"/>
          <w:highlight w:val="none"/>
        </w:rPr>
        <w:t>电子开标大厅签到并在规定的时间内完成对电子响应文件在线解密</w:t>
      </w:r>
      <w:r>
        <w:rPr>
          <w:rFonts w:hint="eastAsia" w:ascii="宋体" w:hAnsi="宋体" w:eastAsia="宋体" w:cs="宋体"/>
          <w:color w:val="auto"/>
          <w:kern w:val="0"/>
          <w:szCs w:val="21"/>
          <w:highlight w:val="none"/>
        </w:rPr>
        <w:t>。</w:t>
      </w:r>
      <w:r>
        <w:rPr>
          <w:rFonts w:hint="eastAsia" w:ascii="宋体" w:hAnsi="宋体" w:eastAsia="宋体" w:cs="宋体"/>
          <w:color w:val="auto"/>
          <w:kern w:val="1"/>
          <w:szCs w:val="21"/>
          <w:highlight w:val="none"/>
          <w:lang w:eastAsia="zh-CN"/>
        </w:rPr>
        <w:t>响应</w:t>
      </w:r>
      <w:r>
        <w:rPr>
          <w:rFonts w:hint="eastAsia" w:ascii="宋体" w:hAnsi="宋体" w:eastAsia="宋体" w:cs="宋体"/>
          <w:color w:val="auto"/>
          <w:kern w:val="1"/>
          <w:szCs w:val="21"/>
          <w:highlight w:val="none"/>
        </w:rPr>
        <w:t>文件未按时解密的</w:t>
      </w:r>
      <w:r>
        <w:rPr>
          <w:rFonts w:hint="eastAsia" w:ascii="宋体" w:hAnsi="宋体" w:eastAsia="宋体" w:cs="宋体"/>
          <w:color w:val="auto"/>
          <w:kern w:val="0"/>
          <w:szCs w:val="21"/>
          <w:highlight w:val="none"/>
        </w:rPr>
        <w:t>，</w:t>
      </w:r>
      <w:r>
        <w:rPr>
          <w:rFonts w:hint="eastAsia" w:ascii="宋体" w:hAnsi="宋体" w:eastAsia="宋体" w:cs="宋体"/>
          <w:b/>
          <w:color w:val="auto"/>
          <w:kern w:val="0"/>
          <w:szCs w:val="21"/>
          <w:highlight w:val="none"/>
        </w:rPr>
        <w:t>视为响应文件无效。</w:t>
      </w:r>
      <w:r>
        <w:rPr>
          <w:rFonts w:hint="eastAsia" w:ascii="宋体" w:hAnsi="宋体" w:eastAsia="宋体" w:cs="宋体"/>
          <w:color w:val="auto"/>
          <w:kern w:val="0"/>
          <w:szCs w:val="21"/>
          <w:highlight w:val="none"/>
        </w:rPr>
        <w:t>（解密</w:t>
      </w:r>
      <w:r>
        <w:rPr>
          <w:rFonts w:hint="eastAsia" w:ascii="宋体" w:hAnsi="宋体" w:eastAsia="宋体" w:cs="宋体"/>
          <w:bCs/>
          <w:color w:val="auto"/>
          <w:kern w:val="0"/>
          <w:szCs w:val="21"/>
          <w:highlight w:val="none"/>
        </w:rPr>
        <w:t>异常情况处理：详见本章</w:t>
      </w:r>
      <w:r>
        <w:rPr>
          <w:rFonts w:hint="eastAsia" w:ascii="宋体" w:hAnsi="宋体" w:eastAsia="宋体" w:cs="宋体"/>
          <w:color w:val="auto"/>
          <w:kern w:val="0"/>
          <w:szCs w:val="21"/>
          <w:highlight w:val="none"/>
        </w:rPr>
        <w:t>2</w:t>
      </w: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rPr>
        <w:t>.</w:t>
      </w:r>
      <w:r>
        <w:rPr>
          <w:rFonts w:hint="eastAsia" w:ascii="宋体" w:hAnsi="宋体" w:eastAsia="宋体" w:cs="宋体"/>
          <w:color w:val="auto"/>
          <w:kern w:val="0"/>
          <w:szCs w:val="21"/>
          <w:highlight w:val="none"/>
          <w:lang w:val="en-US" w:eastAsia="zh-CN"/>
        </w:rPr>
        <w:t>4</w:t>
      </w:r>
      <w:r>
        <w:rPr>
          <w:rFonts w:hint="eastAsia" w:ascii="宋体" w:hAnsi="宋体" w:eastAsia="宋体" w:cs="宋体"/>
          <w:color w:val="auto"/>
          <w:kern w:val="0"/>
          <w:szCs w:val="21"/>
          <w:highlight w:val="none"/>
        </w:rPr>
        <w:t>电子交易活动的中止。）</w:t>
      </w:r>
    </w:p>
    <w:p w14:paraId="385D1063">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如</w:t>
      </w:r>
      <w:r>
        <w:rPr>
          <w:rFonts w:hint="eastAsia" w:ascii="宋体" w:hAnsi="宋体" w:eastAsia="宋体" w:cs="宋体"/>
          <w:bCs/>
          <w:color w:val="auto"/>
          <w:kern w:val="0"/>
          <w:szCs w:val="21"/>
          <w:highlight w:val="none"/>
        </w:rPr>
        <w:t>供应商成功解密响应文件，但未在“</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bCs/>
          <w:color w:val="auto"/>
          <w:kern w:val="0"/>
          <w:szCs w:val="21"/>
          <w:highlight w:val="none"/>
        </w:rPr>
        <w:t>”电子开标大厅参加</w:t>
      </w:r>
      <w:r>
        <w:rPr>
          <w:rFonts w:hint="eastAsia" w:ascii="宋体" w:hAnsi="宋体" w:eastAsia="宋体" w:cs="宋体"/>
          <w:bCs/>
          <w:color w:val="auto"/>
          <w:kern w:val="0"/>
          <w:szCs w:val="21"/>
          <w:highlight w:val="none"/>
          <w:lang w:eastAsia="zh-CN"/>
        </w:rPr>
        <w:t>磋商</w:t>
      </w:r>
      <w:r>
        <w:rPr>
          <w:rFonts w:hint="eastAsia" w:ascii="宋体" w:hAnsi="宋体" w:eastAsia="宋体" w:cs="宋体"/>
          <w:bCs/>
          <w:color w:val="auto"/>
          <w:kern w:val="0"/>
          <w:szCs w:val="21"/>
          <w:highlight w:val="none"/>
        </w:rPr>
        <w:t>的，视同认可</w:t>
      </w:r>
      <w:r>
        <w:rPr>
          <w:rFonts w:hint="eastAsia" w:ascii="宋体" w:hAnsi="宋体" w:eastAsia="宋体" w:cs="宋体"/>
          <w:bCs/>
          <w:color w:val="auto"/>
          <w:kern w:val="0"/>
          <w:szCs w:val="21"/>
          <w:highlight w:val="none"/>
          <w:lang w:eastAsia="zh-CN"/>
        </w:rPr>
        <w:t>磋商</w:t>
      </w:r>
      <w:r>
        <w:rPr>
          <w:rFonts w:hint="eastAsia" w:ascii="宋体" w:hAnsi="宋体" w:eastAsia="宋体" w:cs="宋体"/>
          <w:bCs/>
          <w:color w:val="auto"/>
          <w:kern w:val="0"/>
          <w:szCs w:val="21"/>
          <w:highlight w:val="none"/>
        </w:rPr>
        <w:t>过程和结果，</w:t>
      </w:r>
      <w:r>
        <w:rPr>
          <w:rFonts w:hint="eastAsia" w:ascii="宋体" w:hAnsi="宋体" w:eastAsia="宋体" w:cs="宋体"/>
          <w:color w:val="auto"/>
          <w:kern w:val="0"/>
          <w:szCs w:val="21"/>
          <w:highlight w:val="none"/>
        </w:rPr>
        <w:t>由此产生的后果由供应商自行负责。 参与</w:t>
      </w:r>
      <w:r>
        <w:rPr>
          <w:rFonts w:hint="eastAsia" w:ascii="宋体" w:hAnsi="宋体" w:eastAsia="宋体" w:cs="宋体"/>
          <w:color w:val="auto"/>
          <w:kern w:val="0"/>
          <w:szCs w:val="21"/>
          <w:highlight w:val="none"/>
          <w:lang w:eastAsia="zh-CN"/>
        </w:rPr>
        <w:t>磋商</w:t>
      </w:r>
      <w:r>
        <w:rPr>
          <w:rFonts w:hint="eastAsia" w:ascii="宋体" w:hAnsi="宋体" w:eastAsia="宋体" w:cs="宋体"/>
          <w:color w:val="auto"/>
          <w:kern w:val="0"/>
          <w:szCs w:val="21"/>
          <w:highlight w:val="none"/>
        </w:rPr>
        <w:t>的供应商不足3家的，不得</w:t>
      </w:r>
      <w:r>
        <w:rPr>
          <w:rFonts w:hint="eastAsia" w:ascii="宋体" w:hAnsi="宋体" w:eastAsia="宋体" w:cs="宋体"/>
          <w:color w:val="auto"/>
          <w:kern w:val="0"/>
          <w:szCs w:val="21"/>
          <w:highlight w:val="none"/>
          <w:lang w:eastAsia="zh-CN"/>
        </w:rPr>
        <w:t>磋商</w:t>
      </w:r>
      <w:r>
        <w:rPr>
          <w:rFonts w:hint="eastAsia" w:ascii="宋体" w:hAnsi="宋体" w:eastAsia="宋体" w:cs="宋体"/>
          <w:color w:val="auto"/>
          <w:kern w:val="0"/>
          <w:szCs w:val="21"/>
          <w:highlight w:val="none"/>
        </w:rPr>
        <w:t>。</w:t>
      </w:r>
    </w:p>
    <w:p w14:paraId="7C39EC47">
      <w:pPr>
        <w:spacing w:line="360" w:lineRule="auto"/>
        <w:ind w:firstLine="482" w:firstLineChars="200"/>
        <w:rPr>
          <w:rFonts w:hint="eastAsia" w:ascii="黑体" w:hAnsi="黑体" w:eastAsia="黑体" w:cs="宋体"/>
          <w:b/>
          <w:bCs/>
          <w:color w:val="auto"/>
          <w:sz w:val="24"/>
          <w:highlight w:val="none"/>
        </w:rPr>
      </w:pPr>
      <w:r>
        <w:rPr>
          <w:rFonts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5</w:t>
      </w:r>
      <w:r>
        <w:rPr>
          <w:rFonts w:hint="eastAsia" w:ascii="黑体" w:hAnsi="黑体" w:eastAsia="黑体" w:cs="宋体"/>
          <w:b/>
          <w:bCs/>
          <w:color w:val="auto"/>
          <w:sz w:val="24"/>
          <w:highlight w:val="none"/>
        </w:rPr>
        <w:t>.评审程序、评审方法和评审标准</w:t>
      </w:r>
    </w:p>
    <w:p w14:paraId="667D4F6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.1</w:t>
      </w:r>
      <w:r>
        <w:rPr>
          <w:rFonts w:hint="eastAsia" w:ascii="宋体" w:hAnsi="宋体" w:eastAsia="宋体" w:cs="宋体"/>
          <w:color w:val="auto"/>
          <w:highlight w:val="none"/>
        </w:rPr>
        <w:t>本项目的</w:t>
      </w:r>
      <w:r>
        <w:rPr>
          <w:rFonts w:hint="eastAsia" w:ascii="宋体" w:hAnsi="宋体" w:eastAsia="宋体" w:cs="宋体"/>
          <w:color w:val="auto"/>
          <w:highlight w:val="none"/>
          <w:lang w:eastAsia="zh-CN"/>
        </w:rPr>
        <w:t>评审方法</w:t>
      </w:r>
      <w:r>
        <w:rPr>
          <w:rFonts w:hint="eastAsia" w:ascii="宋体" w:hAnsi="宋体" w:eastAsia="宋体" w:cs="宋体"/>
          <w:color w:val="auto"/>
          <w:highlight w:val="none"/>
        </w:rPr>
        <w:t>详见“</w:t>
      </w:r>
      <w:r>
        <w:rPr>
          <w:rFonts w:hint="eastAsia" w:ascii="宋体" w:hAnsi="宋体" w:eastAsia="宋体" w:cs="宋体"/>
          <w:color w:val="auto"/>
          <w:highlight w:val="none"/>
          <w:lang w:val="en-US" w:eastAsia="zh-CN"/>
        </w:rPr>
        <w:t>供应商</w:t>
      </w:r>
      <w:r>
        <w:rPr>
          <w:rFonts w:hint="eastAsia" w:ascii="宋体" w:hAnsi="宋体" w:eastAsia="宋体" w:cs="宋体"/>
          <w:color w:val="auto"/>
          <w:highlight w:val="none"/>
        </w:rPr>
        <w:t>须知前附表”</w:t>
      </w:r>
      <w:r>
        <w:rPr>
          <w:rFonts w:hint="eastAsia" w:ascii="宋体" w:hAnsi="宋体" w:eastAsia="宋体" w:cs="宋体"/>
          <w:color w:val="auto"/>
          <w:highlight w:val="none"/>
          <w:lang w:eastAsia="zh-CN"/>
        </w:rPr>
        <w:t>。</w:t>
      </w:r>
      <w:r>
        <w:rPr>
          <w:rFonts w:hint="eastAsia" w:ascii="宋体" w:hAnsi="宋体" w:eastAsia="宋体" w:cs="宋体"/>
          <w:color w:val="auto"/>
          <w:szCs w:val="21"/>
          <w:highlight w:val="none"/>
        </w:rPr>
        <w:t>磋商小组按照“第四章 评审程序、评审方法和评审标准”规定的方法、评审因素、标准和程序对响应文件进行评审。</w:t>
      </w:r>
    </w:p>
    <w:p w14:paraId="6977E0E0">
      <w:pPr>
        <w:pStyle w:val="13"/>
        <w:ind w:firstLine="420" w:firstLineChars="200"/>
        <w:rPr>
          <w:rFonts w:hint="eastAsia" w:ascii="宋体" w:hAnsi="宋体" w:eastAsia="宋体" w:cs="宋体"/>
          <w:color w:val="auto"/>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.2磋商文件内容违反国家有关强制性规定的，磋商小组应当停止评审并向采购人或者采购代理机构说明情况，并在评审报告中书面体现。</w:t>
      </w:r>
    </w:p>
    <w:p w14:paraId="60516D2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 xml:space="preserve"> 磋商顺序详见“供应商须知前附表”。</w:t>
      </w:r>
    </w:p>
    <w:p w14:paraId="68F05BB0">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电子交易活动的中止。采购过程中出现以下情形，导致电子交易平台无法正常运行，或者无法保证电子交易的公平、公正和安全时，采购机构可中止电子交易活动：</w:t>
      </w:r>
    </w:p>
    <w:p w14:paraId="63435D7C">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 xml:space="preserve">（1）电子交易平台发生故障而无法登录访问的； </w:t>
      </w:r>
    </w:p>
    <w:p w14:paraId="2FC4AA0E">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（2）电子交易平台应用或数据库出现错误，不能进行正常操作的；</w:t>
      </w:r>
    </w:p>
    <w:p w14:paraId="352CADDF">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（3）电子交易平台发现严重安全漏洞，有潜在泄密危险的；</w:t>
      </w:r>
    </w:p>
    <w:p w14:paraId="06D852F9">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 xml:space="preserve">（4）病毒发作导致不能进行正常操作的； </w:t>
      </w:r>
    </w:p>
    <w:p w14:paraId="7D2EC8C8">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）其他无法保证电子交易的公平、公正和安全的情况。</w:t>
      </w:r>
    </w:p>
    <w:p w14:paraId="06161183">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2</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5</w:t>
      </w:r>
      <w:r>
        <w:rPr>
          <w:rFonts w:hint="eastAsia" w:ascii="宋体" w:hAnsi="宋体" w:eastAsia="宋体" w:cs="宋体"/>
          <w:color w:val="auto"/>
          <w:highlight w:val="none"/>
        </w:rPr>
        <w:t>出现以上情形，不影响采购公平、公正性的，采购组织机构可以待上述情形消除后继续组织电子交易活动；影响或可能影响采购公平、公正性的，经采购代理机构确认后，应当重新采购。采购代理机构必须对原有的资料及信息作出妥善保密处理，并报财政部门备案。</w:t>
      </w:r>
    </w:p>
    <w:p w14:paraId="2FE41604">
      <w:pPr>
        <w:pStyle w:val="5"/>
        <w:spacing w:before="0" w:after="0" w:line="360" w:lineRule="auto"/>
        <w:ind w:firstLine="480" w:firstLineChars="150"/>
        <w:rPr>
          <w:rFonts w:hint="eastAsia"/>
          <w:b w:val="0"/>
          <w:bCs w:val="0"/>
          <w:color w:val="auto"/>
          <w:highlight w:val="none"/>
        </w:rPr>
      </w:pPr>
      <w:bookmarkStart w:id="86" w:name="_Toc17745"/>
      <w:bookmarkStart w:id="87" w:name="_Toc80886934"/>
      <w:bookmarkStart w:id="88" w:name="_Toc12018"/>
      <w:r>
        <w:rPr>
          <w:rFonts w:hint="eastAsia"/>
          <w:b w:val="0"/>
          <w:bCs w:val="0"/>
          <w:color w:val="auto"/>
          <w:highlight w:val="none"/>
        </w:rPr>
        <w:t>五、成交及合同</w:t>
      </w:r>
      <w:bookmarkEnd w:id="86"/>
      <w:bookmarkEnd w:id="87"/>
      <w:bookmarkEnd w:id="88"/>
    </w:p>
    <w:p w14:paraId="6D0B7BA2">
      <w:pPr>
        <w:spacing w:line="360" w:lineRule="auto"/>
        <w:ind w:firstLine="482" w:firstLineChars="200"/>
        <w:rPr>
          <w:rFonts w:hint="eastAsia" w:ascii="黑体" w:hAnsi="黑体" w:eastAsia="黑体" w:cs="宋体"/>
          <w:b/>
          <w:bCs/>
          <w:color w:val="auto"/>
          <w:sz w:val="24"/>
          <w:highlight w:val="none"/>
          <w:lang w:eastAsia="zh-CN"/>
        </w:rPr>
      </w:pPr>
      <w:r>
        <w:rPr>
          <w:rFonts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6</w:t>
      </w:r>
      <w:r>
        <w:rPr>
          <w:rFonts w:hint="eastAsia" w:ascii="黑体" w:hAnsi="黑体" w:eastAsia="黑体" w:cs="宋体"/>
          <w:b/>
          <w:bCs/>
          <w:color w:val="auto"/>
          <w:sz w:val="24"/>
          <w:highlight w:val="none"/>
        </w:rPr>
        <w:t>.确定成交供应商及结果公告</w:t>
      </w:r>
      <w:r>
        <w:rPr>
          <w:rFonts w:hint="eastAsia" w:ascii="黑体" w:hAnsi="黑体" w:eastAsia="黑体" w:cs="宋体"/>
          <w:b/>
          <w:bCs/>
          <w:color w:val="auto"/>
          <w:sz w:val="24"/>
          <w:highlight w:val="none"/>
          <w:lang w:eastAsia="zh-CN"/>
        </w:rPr>
        <w:tab/>
      </w:r>
    </w:p>
    <w:p w14:paraId="61184A7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1确定成交供应商。采购代理机构应当在评审结束后2个工作日内将评审报告送采购人确认。采购人应当在收到评审报告后5个工作日内，从评审报告提出的成交候选供应商中，按照排序由高到低的原则确定成交供应商，也可以书面授权磋商小组直接确定成交供应商。采购人逾期未确定成交供应商且不提出异议的，视为确定评审报告提出的排序第一的供应商为成交供应商。</w:t>
      </w:r>
    </w:p>
    <w:p w14:paraId="35B051BA">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.2成交通知及成交结果公告。采购代理机构应当在</w:t>
      </w:r>
      <w:r>
        <w:rPr>
          <w:rFonts w:hint="eastAsia" w:ascii="宋体" w:hAnsi="宋体" w:eastAsia="宋体" w:cs="宋体"/>
          <w:color w:val="auto"/>
          <w:kern w:val="0"/>
          <w:szCs w:val="21"/>
          <w:highlight w:val="none"/>
        </w:rPr>
        <w:t>成交</w:t>
      </w:r>
      <w:r>
        <w:rPr>
          <w:rFonts w:hint="eastAsia" w:ascii="宋体" w:hAnsi="宋体" w:eastAsia="宋体" w:cs="宋体"/>
          <w:color w:val="auto"/>
          <w:szCs w:val="21"/>
          <w:highlight w:val="none"/>
        </w:rPr>
        <w:t>供应商确定后2个工作日内，在省级以上财政部门指定的媒体上公告成交结果，同时向成交供应商发出成交通知书。</w:t>
      </w:r>
    </w:p>
    <w:p w14:paraId="7618480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.3采购人或者采购代理机构发出成交通知书前，应当对成交供应商信用进行查询核实，对列入失信被执行人、</w:t>
      </w:r>
      <w:r>
        <w:rPr>
          <w:rFonts w:hint="eastAsia" w:ascii="宋体" w:hAnsi="宋体" w:eastAsia="宋体" w:cs="宋体"/>
          <w:color w:val="auto"/>
          <w:szCs w:val="21"/>
          <w:highlight w:val="none"/>
          <w:lang w:eastAsia="zh-CN"/>
        </w:rPr>
        <w:t>重大税收违法失信主体</w:t>
      </w:r>
      <w:r>
        <w:rPr>
          <w:rFonts w:hint="eastAsia" w:ascii="宋体" w:hAnsi="宋体" w:eastAsia="宋体" w:cs="宋体"/>
          <w:color w:val="auto"/>
          <w:szCs w:val="21"/>
          <w:highlight w:val="none"/>
        </w:rPr>
        <w:t>、政府采购严重违法失信行为记录名单及其他不符合《中华人民共和国政府采购法》第二十二条规定条件的供应商，取消其成交资格，并</w:t>
      </w:r>
      <w:r>
        <w:rPr>
          <w:rFonts w:hint="eastAsia" w:ascii="宋体" w:hAnsi="宋体" w:eastAsia="宋体" w:cs="宋体"/>
          <w:color w:val="auto"/>
          <w:szCs w:val="21"/>
          <w:highlight w:val="none"/>
          <w:lang w:eastAsia="zh-CN"/>
        </w:rPr>
        <w:t>依法</w:t>
      </w:r>
      <w:r>
        <w:rPr>
          <w:rFonts w:hint="eastAsia" w:ascii="宋体" w:hAnsi="宋体" w:eastAsia="宋体" w:cs="宋体"/>
          <w:color w:val="auto"/>
          <w:szCs w:val="21"/>
          <w:highlight w:val="none"/>
        </w:rPr>
        <w:t>确定排名第二的成交候选人为成交供应商。排名第二的成交候选人因上述规定的同样原因被取消成交资格的，采购人可以</w:t>
      </w:r>
      <w:r>
        <w:rPr>
          <w:rFonts w:hint="eastAsia" w:ascii="宋体" w:hAnsi="宋体" w:eastAsia="宋体" w:cs="宋体"/>
          <w:color w:val="auto"/>
          <w:szCs w:val="21"/>
          <w:highlight w:val="none"/>
          <w:lang w:eastAsia="zh-CN"/>
        </w:rPr>
        <w:t>依法</w:t>
      </w:r>
      <w:r>
        <w:rPr>
          <w:rFonts w:hint="eastAsia" w:ascii="宋体" w:hAnsi="宋体" w:eastAsia="宋体" w:cs="宋体"/>
          <w:color w:val="auto"/>
          <w:szCs w:val="21"/>
          <w:highlight w:val="none"/>
        </w:rPr>
        <w:t>确定排名第三的成交候选人为成交供应商，以此类推。以上信息查询记录及相关证据与</w:t>
      </w:r>
      <w:r>
        <w:rPr>
          <w:rFonts w:hint="eastAsia" w:ascii="宋体" w:hAnsi="宋体" w:eastAsia="宋体" w:cs="宋体"/>
          <w:color w:val="auto"/>
          <w:szCs w:val="21"/>
          <w:highlight w:val="none"/>
          <w:lang w:eastAsia="zh-CN"/>
        </w:rPr>
        <w:t>磋商</w:t>
      </w:r>
      <w:r>
        <w:rPr>
          <w:rFonts w:hint="eastAsia" w:ascii="宋体" w:hAnsi="宋体" w:eastAsia="宋体" w:cs="宋体"/>
          <w:color w:val="auto"/>
          <w:szCs w:val="21"/>
          <w:highlight w:val="none"/>
        </w:rPr>
        <w:t>文件一并保存。成交供应商享受《政府采购促进中小企业发展管理办法》（财库〔2020〕46号）规定的中小企业扶持政策的，采购人、采购代理机构应当随成交结果公开成交供应商的《中小企业声明函》。</w:t>
      </w:r>
    </w:p>
    <w:p w14:paraId="7041F10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4采购人、采购代理机构认为供应商对采购过程、成交结果提出的质疑成立且影响或者可能影响成交结果的，合格供应商符合法定数量时，可以从合格的成交候选人中另行确定成交供应商的，应当依法另行确定成交供应商；否则应当重新开展采购活动。</w:t>
      </w:r>
    </w:p>
    <w:p w14:paraId="3D7715C1">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bCs/>
          <w:color w:val="auto"/>
          <w:szCs w:val="21"/>
          <w:highlight w:val="none"/>
        </w:rPr>
        <w:t>2</w:t>
      </w:r>
      <w:r>
        <w:rPr>
          <w:rFonts w:hint="eastAsia" w:ascii="宋体" w:hAnsi="宋体" w:eastAsia="宋体" w:cs="宋体"/>
          <w:bCs/>
          <w:color w:val="auto"/>
          <w:szCs w:val="21"/>
          <w:highlight w:val="none"/>
          <w:lang w:val="en-US" w:eastAsia="zh-CN"/>
        </w:rPr>
        <w:t>6</w:t>
      </w:r>
      <w:r>
        <w:rPr>
          <w:rFonts w:hint="eastAsia" w:ascii="宋体" w:hAnsi="宋体" w:eastAsia="宋体" w:cs="宋体"/>
          <w:bCs/>
          <w:color w:val="auto"/>
          <w:szCs w:val="21"/>
          <w:highlight w:val="none"/>
        </w:rPr>
        <w:t>.5排名第一的成交候选人放弃成交，</w:t>
      </w:r>
      <w:r>
        <w:rPr>
          <w:rFonts w:hint="eastAsia" w:ascii="宋体" w:hAnsi="宋体" w:eastAsia="宋体" w:cs="宋体"/>
          <w:b w:val="0"/>
          <w:bCs/>
          <w:color w:val="auto"/>
          <w:sz w:val="21"/>
          <w:szCs w:val="21"/>
          <w:highlight w:val="none"/>
        </w:rPr>
        <w:t>采购人可以按照评审报告推荐的</w:t>
      </w:r>
      <w:r>
        <w:rPr>
          <w:rFonts w:hint="eastAsia" w:ascii="宋体" w:hAnsi="宋体" w:eastAsia="宋体" w:cs="宋体"/>
          <w:b w:val="0"/>
          <w:bCs/>
          <w:color w:val="auto"/>
          <w:sz w:val="21"/>
          <w:szCs w:val="21"/>
          <w:highlight w:val="none"/>
          <w:lang w:eastAsia="zh-CN"/>
        </w:rPr>
        <w:t>成交</w:t>
      </w:r>
      <w:r>
        <w:rPr>
          <w:rFonts w:hint="eastAsia" w:ascii="宋体" w:hAnsi="宋体" w:eastAsia="宋体" w:cs="宋体"/>
          <w:b w:val="0"/>
          <w:bCs/>
          <w:color w:val="auto"/>
          <w:sz w:val="21"/>
          <w:szCs w:val="21"/>
          <w:highlight w:val="none"/>
        </w:rPr>
        <w:t>候选人名单排序，</w:t>
      </w:r>
      <w:r>
        <w:rPr>
          <w:rFonts w:hint="eastAsia" w:ascii="宋体" w:hAnsi="宋体" w:eastAsia="宋体" w:cs="宋体"/>
          <w:b w:val="0"/>
          <w:bCs/>
          <w:color w:val="auto"/>
          <w:sz w:val="21"/>
          <w:szCs w:val="21"/>
          <w:highlight w:val="none"/>
          <w:lang w:eastAsia="zh-CN"/>
        </w:rPr>
        <w:t>依法</w:t>
      </w:r>
      <w:r>
        <w:rPr>
          <w:rFonts w:hint="eastAsia" w:ascii="宋体" w:hAnsi="宋体" w:eastAsia="宋体" w:cs="宋体"/>
          <w:b w:val="0"/>
          <w:bCs/>
          <w:color w:val="auto"/>
          <w:sz w:val="21"/>
          <w:szCs w:val="21"/>
          <w:highlight w:val="none"/>
        </w:rPr>
        <w:t>确定下一候选人为</w:t>
      </w:r>
      <w:r>
        <w:rPr>
          <w:rFonts w:hint="eastAsia" w:ascii="宋体" w:hAnsi="宋体" w:eastAsia="宋体" w:cs="宋体"/>
          <w:b w:val="0"/>
          <w:bCs/>
          <w:color w:val="auto"/>
          <w:sz w:val="21"/>
          <w:szCs w:val="21"/>
          <w:highlight w:val="none"/>
          <w:lang w:eastAsia="zh-CN"/>
        </w:rPr>
        <w:t>成交</w:t>
      </w:r>
      <w:r>
        <w:rPr>
          <w:rFonts w:hint="eastAsia" w:ascii="宋体" w:hAnsi="宋体" w:eastAsia="宋体" w:cs="宋体"/>
          <w:color w:val="auto"/>
          <w:szCs w:val="21"/>
          <w:highlight w:val="none"/>
        </w:rPr>
        <w:t>供应商</w:t>
      </w:r>
      <w:r>
        <w:rPr>
          <w:rFonts w:hint="eastAsia" w:ascii="宋体" w:hAnsi="宋体" w:eastAsia="宋体" w:cs="宋体"/>
          <w:b w:val="0"/>
          <w:bCs/>
          <w:color w:val="auto"/>
          <w:sz w:val="21"/>
          <w:szCs w:val="21"/>
          <w:highlight w:val="none"/>
        </w:rPr>
        <w:t>，也可以重新开展政府采购活动</w:t>
      </w:r>
      <w:r>
        <w:rPr>
          <w:rFonts w:hint="eastAsia" w:ascii="宋体" w:hAnsi="宋体" w:eastAsia="宋体" w:cs="宋体"/>
          <w:color w:val="auto"/>
          <w:szCs w:val="21"/>
          <w:highlight w:val="none"/>
        </w:rPr>
        <w:t>。</w:t>
      </w:r>
    </w:p>
    <w:p w14:paraId="79A291F7">
      <w:pPr>
        <w:spacing w:line="360" w:lineRule="auto"/>
        <w:ind w:firstLine="482" w:firstLineChars="200"/>
        <w:rPr>
          <w:rFonts w:hint="eastAsia" w:ascii="黑体" w:hAnsi="黑体" w:eastAsia="黑体" w:cs="宋体"/>
          <w:b/>
          <w:bCs/>
          <w:color w:val="auto"/>
          <w:sz w:val="24"/>
          <w:highlight w:val="none"/>
        </w:rPr>
      </w:pPr>
      <w:r>
        <w:rPr>
          <w:rFonts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7</w:t>
      </w:r>
      <w:r>
        <w:rPr>
          <w:rFonts w:hint="eastAsia" w:ascii="黑体" w:hAnsi="黑体" w:eastAsia="黑体" w:cs="宋体"/>
          <w:b/>
          <w:bCs/>
          <w:color w:val="auto"/>
          <w:sz w:val="24"/>
          <w:highlight w:val="none"/>
        </w:rPr>
        <w:t>.履约保证金</w:t>
      </w:r>
    </w:p>
    <w:p w14:paraId="362F76BB">
      <w:pPr>
        <w:spacing w:line="360" w:lineRule="auto"/>
        <w:ind w:firstLine="424" w:firstLineChars="202"/>
        <w:rPr>
          <w:rFonts w:hint="eastAsia" w:ascii="宋体" w:hAnsi="宋体" w:cs="宋体"/>
          <w:color w:val="auto"/>
          <w:szCs w:val="21"/>
          <w:highlight w:val="none"/>
        </w:rPr>
      </w:pPr>
      <w:r>
        <w:rPr>
          <w:rFonts w:ascii="宋体" w:hAnsi="宋体" w:cs="宋体"/>
          <w:color w:val="auto"/>
          <w:szCs w:val="21"/>
          <w:highlight w:val="none"/>
        </w:rPr>
        <w:t>2</w:t>
      </w:r>
      <w:r>
        <w:rPr>
          <w:rFonts w:hint="eastAsia" w:ascii="宋体" w:hAnsi="宋体" w:cs="宋体"/>
          <w:color w:val="auto"/>
          <w:szCs w:val="21"/>
          <w:highlight w:val="none"/>
          <w:lang w:val="en-US" w:eastAsia="zh-CN"/>
        </w:rPr>
        <w:t>7</w:t>
      </w:r>
      <w:r>
        <w:rPr>
          <w:rFonts w:hint="eastAsia" w:ascii="宋体" w:hAnsi="宋体" w:cs="宋体"/>
          <w:color w:val="auto"/>
          <w:szCs w:val="21"/>
          <w:highlight w:val="none"/>
        </w:rPr>
        <w:t>.1</w:t>
      </w:r>
      <w:r>
        <w:rPr>
          <w:rFonts w:ascii="宋体" w:hAnsi="宋体" w:cs="宋体"/>
          <w:color w:val="auto"/>
          <w:szCs w:val="21"/>
          <w:highlight w:val="none"/>
        </w:rPr>
        <w:t xml:space="preserve"> </w:t>
      </w:r>
      <w:r>
        <w:rPr>
          <w:rFonts w:hint="eastAsia" w:ascii="宋体" w:hAnsi="宋体" w:cs="宋体"/>
          <w:color w:val="auto"/>
          <w:szCs w:val="21"/>
          <w:highlight w:val="none"/>
        </w:rPr>
        <w:t>履约保证金的金额、提交方式、退付的时间和条件详见 “供应商须知前附表”。成交供应商未按规定提交履约保证金的，视为拒绝</w:t>
      </w:r>
      <w:r>
        <w:rPr>
          <w:rFonts w:ascii="宋体" w:hAnsi="宋体"/>
          <w:color w:val="auto"/>
          <w:highlight w:val="none"/>
        </w:rPr>
        <w:t>与采购人</w:t>
      </w:r>
      <w:r>
        <w:rPr>
          <w:rFonts w:hint="eastAsia" w:ascii="宋体" w:hAnsi="宋体" w:cs="宋体"/>
          <w:color w:val="auto"/>
          <w:szCs w:val="21"/>
          <w:highlight w:val="none"/>
        </w:rPr>
        <w:t>签订合同，采购人可以按照评审报告推荐的成交候选人名单排序，</w:t>
      </w:r>
      <w:r>
        <w:rPr>
          <w:rFonts w:hint="eastAsia" w:ascii="宋体" w:hAnsi="宋体" w:cs="宋体"/>
          <w:color w:val="auto"/>
          <w:szCs w:val="21"/>
          <w:highlight w:val="none"/>
          <w:lang w:eastAsia="zh-CN"/>
        </w:rPr>
        <w:t>依法</w:t>
      </w:r>
      <w:r>
        <w:rPr>
          <w:rFonts w:hint="eastAsia" w:ascii="宋体" w:hAnsi="宋体" w:cs="宋体"/>
          <w:color w:val="auto"/>
          <w:szCs w:val="21"/>
          <w:highlight w:val="none"/>
        </w:rPr>
        <w:t>确定下一候选人为成交供应商，也可以重新开展政府采购活动。</w:t>
      </w:r>
    </w:p>
    <w:p w14:paraId="31247CEB">
      <w:pPr>
        <w:spacing w:line="360" w:lineRule="auto"/>
        <w:ind w:firstLine="424" w:firstLineChars="202"/>
        <w:rPr>
          <w:rFonts w:hint="eastAsia" w:ascii="宋体" w:hAnsi="宋体" w:cs="宋体"/>
          <w:color w:val="auto"/>
          <w:szCs w:val="21"/>
          <w:highlight w:val="none"/>
        </w:rPr>
      </w:pPr>
      <w:r>
        <w:rPr>
          <w:rFonts w:ascii="宋体" w:hAnsi="宋体" w:cs="宋体"/>
          <w:color w:val="auto"/>
          <w:szCs w:val="21"/>
          <w:highlight w:val="none"/>
        </w:rPr>
        <w:t>2</w:t>
      </w:r>
      <w:r>
        <w:rPr>
          <w:rFonts w:hint="eastAsia" w:ascii="宋体" w:hAnsi="宋体" w:cs="宋体"/>
          <w:color w:val="auto"/>
          <w:szCs w:val="21"/>
          <w:highlight w:val="none"/>
          <w:lang w:val="en-US" w:eastAsia="zh-CN"/>
        </w:rPr>
        <w:t>7</w:t>
      </w:r>
      <w:r>
        <w:rPr>
          <w:rFonts w:hint="eastAsia" w:ascii="宋体" w:hAnsi="宋体" w:cs="宋体"/>
          <w:color w:val="auto"/>
          <w:szCs w:val="21"/>
          <w:highlight w:val="none"/>
        </w:rPr>
        <w:t>.2签订合同后，如成交供应商不按双方签订的合同规定履约，则没收其全部履约保证金，履约保证金不足以赔偿损失的，按实际损失赔偿。</w:t>
      </w:r>
    </w:p>
    <w:p w14:paraId="2AA3F120">
      <w:pPr>
        <w:spacing w:line="360" w:lineRule="auto"/>
        <w:ind w:firstLine="424" w:firstLineChars="202"/>
        <w:rPr>
          <w:rFonts w:hint="eastAsia" w:ascii="宋体" w:hAnsi="宋体" w:cs="宋体"/>
          <w:color w:val="auto"/>
          <w:szCs w:val="21"/>
          <w:highlight w:val="none"/>
        </w:rPr>
      </w:pPr>
      <w:r>
        <w:rPr>
          <w:rFonts w:ascii="宋体" w:hAnsi="宋体" w:cs="宋体"/>
          <w:color w:val="auto"/>
          <w:szCs w:val="21"/>
          <w:highlight w:val="none"/>
        </w:rPr>
        <w:t>2</w:t>
      </w:r>
      <w:r>
        <w:rPr>
          <w:rFonts w:hint="eastAsia" w:ascii="宋体" w:hAnsi="宋体" w:cs="宋体"/>
          <w:color w:val="auto"/>
          <w:szCs w:val="21"/>
          <w:highlight w:val="none"/>
          <w:lang w:val="en-US" w:eastAsia="zh-CN"/>
        </w:rPr>
        <w:t>7</w:t>
      </w:r>
      <w:r>
        <w:rPr>
          <w:rFonts w:hint="eastAsia" w:ascii="宋体" w:hAnsi="宋体" w:cs="宋体"/>
          <w:color w:val="auto"/>
          <w:szCs w:val="21"/>
          <w:highlight w:val="none"/>
        </w:rPr>
        <w:t>.</w:t>
      </w:r>
      <w:r>
        <w:rPr>
          <w:rFonts w:ascii="宋体" w:hAnsi="宋体" w:cs="宋体"/>
          <w:color w:val="auto"/>
          <w:szCs w:val="21"/>
          <w:highlight w:val="none"/>
        </w:rPr>
        <w:t>3</w:t>
      </w:r>
      <w:r>
        <w:rPr>
          <w:rFonts w:hint="eastAsia" w:ascii="宋体" w:hAnsi="宋体" w:cs="宋体"/>
          <w:color w:val="auto"/>
          <w:szCs w:val="21"/>
          <w:highlight w:val="none"/>
        </w:rPr>
        <w:t>在履约保证金退还日期前，若成交供应商的开户名称、开户银行、</w:t>
      </w:r>
      <w:r>
        <w:rPr>
          <w:rFonts w:hint="eastAsia" w:ascii="宋体" w:hAnsi="宋体" w:cs="宋体"/>
          <w:color w:val="auto"/>
          <w:szCs w:val="21"/>
          <w:highlight w:val="none"/>
          <w:lang w:eastAsia="zh-CN"/>
        </w:rPr>
        <w:t>账</w:t>
      </w:r>
      <w:r>
        <w:rPr>
          <w:rFonts w:hint="eastAsia" w:ascii="宋体" w:hAnsi="宋体" w:cs="宋体"/>
          <w:color w:val="auto"/>
          <w:szCs w:val="21"/>
          <w:highlight w:val="none"/>
        </w:rPr>
        <w:t>号有变动的，请以书面形式通知履约保证金收取单位，否则由此产生的后果由成交供应商自行承担。</w:t>
      </w:r>
    </w:p>
    <w:p w14:paraId="223386B4">
      <w:pPr>
        <w:spacing w:line="360" w:lineRule="auto"/>
        <w:ind w:firstLine="482" w:firstLineChars="200"/>
        <w:rPr>
          <w:rFonts w:hint="eastAsia" w:ascii="黑体" w:hAnsi="黑体" w:eastAsia="黑体" w:cs="宋体"/>
          <w:b/>
          <w:bCs/>
          <w:color w:val="auto"/>
          <w:sz w:val="24"/>
          <w:highlight w:val="none"/>
        </w:rPr>
      </w:pPr>
      <w:r>
        <w:rPr>
          <w:rFonts w:ascii="黑体" w:hAnsi="黑体" w:eastAsia="黑体" w:cs="宋体"/>
          <w:b/>
          <w:bCs/>
          <w:color w:val="auto"/>
          <w:sz w:val="24"/>
          <w:highlight w:val="none"/>
        </w:rPr>
        <w:t>2</w:t>
      </w:r>
      <w:r>
        <w:rPr>
          <w:rFonts w:hint="eastAsia" w:ascii="黑体" w:hAnsi="黑体" w:eastAsia="黑体" w:cs="宋体"/>
          <w:b/>
          <w:bCs/>
          <w:color w:val="auto"/>
          <w:sz w:val="24"/>
          <w:highlight w:val="none"/>
          <w:lang w:val="en-US" w:eastAsia="zh-CN"/>
        </w:rPr>
        <w:t>8</w:t>
      </w:r>
      <w:r>
        <w:rPr>
          <w:rFonts w:hint="eastAsia" w:ascii="黑体" w:hAnsi="黑体" w:eastAsia="黑体" w:cs="宋体"/>
          <w:b/>
          <w:bCs/>
          <w:color w:val="auto"/>
          <w:sz w:val="24"/>
          <w:highlight w:val="none"/>
        </w:rPr>
        <w:t>.签订合同</w:t>
      </w:r>
    </w:p>
    <w:p w14:paraId="791F2599">
      <w:pPr>
        <w:pStyle w:val="59"/>
        <w:snapToGrid w:val="0"/>
        <w:spacing w:before="0"/>
        <w:ind w:firstLine="420"/>
        <w:rPr>
          <w:rFonts w:hint="eastAsia" w:ascii="宋体" w:hAnsi="宋体" w:eastAsia="宋体" w:cs="宋体"/>
          <w:color w:val="auto"/>
          <w:sz w:val="21"/>
          <w:szCs w:val="21"/>
          <w:highlight w:val="none"/>
          <w:lang w:val="zh-CN"/>
        </w:rPr>
      </w:pPr>
      <w:r>
        <w:rPr>
          <w:rFonts w:hint="eastAsia" w:ascii="宋体" w:hAnsi="宋体" w:eastAsia="宋体" w:cs="宋体"/>
          <w:color w:val="auto"/>
          <w:sz w:val="21"/>
          <w:szCs w:val="21"/>
          <w:highlight w:val="none"/>
        </w:rPr>
        <w:t>2</w:t>
      </w:r>
      <w:r>
        <w:rPr>
          <w:rFonts w:hint="eastAsia" w:ascii="宋体" w:hAnsi="宋体" w:eastAsia="宋体" w:cs="宋体"/>
          <w:color w:val="auto"/>
          <w:sz w:val="21"/>
          <w:szCs w:val="21"/>
          <w:highlight w:val="none"/>
          <w:lang w:val="en-US" w:eastAsia="zh-CN"/>
        </w:rPr>
        <w:t>8</w:t>
      </w:r>
      <w:r>
        <w:rPr>
          <w:rFonts w:hint="eastAsia" w:ascii="宋体" w:hAnsi="宋体" w:eastAsia="宋体" w:cs="宋体"/>
          <w:color w:val="auto"/>
          <w:sz w:val="21"/>
          <w:szCs w:val="21"/>
          <w:highlight w:val="none"/>
        </w:rPr>
        <w:t>.1采购人与成交供应商应当在成交通知书规定的时间内，按照磋商文件确定的合同文本以及采购标的、服务技术、采购金额、采购数量、</w:t>
      </w:r>
      <w:r>
        <w:rPr>
          <w:rFonts w:hint="eastAsia" w:ascii="宋体" w:hAnsi="宋体" w:eastAsia="宋体" w:cs="宋体"/>
          <w:color w:val="auto"/>
          <w:sz w:val="21"/>
          <w:szCs w:val="21"/>
          <w:highlight w:val="none"/>
          <w:lang w:eastAsia="zh-CN"/>
        </w:rPr>
        <w:t>商务</w:t>
      </w:r>
      <w:r>
        <w:rPr>
          <w:rFonts w:hint="eastAsia" w:ascii="宋体" w:hAnsi="宋体" w:eastAsia="宋体" w:cs="宋体"/>
          <w:color w:val="auto"/>
          <w:sz w:val="21"/>
          <w:szCs w:val="21"/>
          <w:highlight w:val="none"/>
        </w:rPr>
        <w:t>和服务要求等事项签订政府采购合同。</w:t>
      </w:r>
      <w:r>
        <w:rPr>
          <w:rFonts w:hint="eastAsia" w:ascii="宋体" w:hAnsi="宋体" w:eastAsia="宋体" w:cs="宋体"/>
          <w:color w:val="auto"/>
          <w:sz w:val="21"/>
          <w:szCs w:val="21"/>
          <w:highlight w:val="none"/>
          <w:lang w:val="zh-CN"/>
        </w:rPr>
        <w:t>如成交供应商为联合体的，由联合体成员各方法定代表人或其授权代表与采购人代表签订合同。</w:t>
      </w:r>
    </w:p>
    <w:p w14:paraId="79E6B46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.2采购人不得向成交供应商提出超出磋商文件以外的任何要求作为签订合同的条件，不得与成交供应商订立背离磋商文件确定的合同文本以及采购标的、服务技术、采购金额、采购数量、</w:t>
      </w:r>
      <w:r>
        <w:rPr>
          <w:rFonts w:hint="eastAsia" w:ascii="宋体" w:hAnsi="宋体" w:eastAsia="宋体" w:cs="宋体"/>
          <w:color w:val="auto"/>
          <w:szCs w:val="21"/>
          <w:highlight w:val="none"/>
          <w:lang w:eastAsia="zh-CN"/>
        </w:rPr>
        <w:t>商务</w:t>
      </w:r>
      <w:r>
        <w:rPr>
          <w:rFonts w:hint="eastAsia" w:ascii="宋体" w:hAnsi="宋体" w:eastAsia="宋体" w:cs="宋体"/>
          <w:color w:val="auto"/>
          <w:szCs w:val="21"/>
          <w:highlight w:val="none"/>
        </w:rPr>
        <w:t>和服务要求等实质性内容的协议。</w:t>
      </w:r>
    </w:p>
    <w:p w14:paraId="7E0F5034">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.3成交供应商拒绝签订政府采购合同的，采购人可以按照评审报告推荐的成交候选人名单排序，</w:t>
      </w:r>
      <w:r>
        <w:rPr>
          <w:rFonts w:hint="eastAsia" w:ascii="宋体" w:hAnsi="宋体" w:eastAsia="宋体" w:cs="宋体"/>
          <w:color w:val="auto"/>
          <w:szCs w:val="21"/>
          <w:highlight w:val="none"/>
          <w:lang w:eastAsia="zh-CN"/>
        </w:rPr>
        <w:t>依法</w:t>
      </w:r>
      <w:r>
        <w:rPr>
          <w:rFonts w:hint="eastAsia" w:ascii="宋体" w:hAnsi="宋体" w:eastAsia="宋体" w:cs="宋体"/>
          <w:color w:val="auto"/>
          <w:szCs w:val="21"/>
          <w:highlight w:val="none"/>
        </w:rPr>
        <w:t>确定下一候选人为成交供应商，也可以重新开展采购活动。拒绝签订政府采购合同的成交供应商不得参加对该项目重新开展的采购活动。</w:t>
      </w:r>
    </w:p>
    <w:p w14:paraId="702AEAC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.4如签订合同并生效后，供应商无故拒绝或延期，除按照合同条款处理外，列入不良行为记录，并给予通报。</w:t>
      </w:r>
    </w:p>
    <w:p w14:paraId="0BA51D73">
      <w:pPr>
        <w:spacing w:line="360" w:lineRule="auto"/>
        <w:ind w:firstLine="420" w:firstLineChars="200"/>
        <w:rPr>
          <w:rFonts w:hint="eastAsia" w:ascii="宋体" w:hAnsi="宋体" w:eastAsia="宋体" w:cs="宋体"/>
          <w:b/>
          <w:bCs/>
          <w:i/>
          <w:iCs/>
          <w:color w:val="auto"/>
          <w:szCs w:val="21"/>
          <w:highlight w:val="none"/>
          <w:lang w:eastAsia="zh-CN"/>
        </w:rPr>
      </w:pPr>
      <w:r>
        <w:rPr>
          <w:rFonts w:hint="eastAsia" w:ascii="宋体" w:hAnsi="宋体" w:eastAsia="宋体" w:cs="宋体"/>
          <w:color w:val="auto"/>
          <w:sz w:val="21"/>
          <w:szCs w:val="21"/>
          <w:highlight w:val="none"/>
          <w:lang w:val="en-US" w:eastAsia="zh-CN"/>
        </w:rPr>
        <w:t>28.5</w:t>
      </w:r>
      <w:r>
        <w:rPr>
          <w:rFonts w:hint="eastAsia" w:ascii="宋体" w:hAnsi="宋体" w:eastAsia="宋体" w:cs="宋体"/>
          <w:color w:val="auto"/>
          <w:sz w:val="21"/>
          <w:szCs w:val="21"/>
          <w:highlight w:val="none"/>
        </w:rPr>
        <w:t>采购合同由采购人与成交供应商根据磋商文件、响应文件等内容签订，成交供应商应当在签订合同时向采购人出示相关证明材料，具体内容详见 “供应商须知前附表”，经采购人核验合格后方可签订合同</w:t>
      </w:r>
      <w:r>
        <w:rPr>
          <w:rFonts w:hint="eastAsia" w:ascii="宋体" w:hAnsi="宋体" w:eastAsia="宋体" w:cs="宋体"/>
          <w:color w:val="auto"/>
          <w:sz w:val="21"/>
          <w:szCs w:val="21"/>
          <w:highlight w:val="none"/>
          <w:lang w:eastAsia="zh-CN"/>
        </w:rPr>
        <w:t>。</w:t>
      </w:r>
    </w:p>
    <w:p w14:paraId="3B05445A">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lang w:val="en-US" w:eastAsia="zh-CN"/>
        </w:rPr>
        <w:t>29</w:t>
      </w:r>
      <w:r>
        <w:rPr>
          <w:rFonts w:hint="eastAsia" w:ascii="黑体" w:hAnsi="黑体" w:eastAsia="黑体" w:cs="宋体"/>
          <w:b/>
          <w:bCs/>
          <w:color w:val="auto"/>
          <w:sz w:val="24"/>
          <w:highlight w:val="none"/>
        </w:rPr>
        <w:t>.政府采购合同公告</w:t>
      </w:r>
    </w:p>
    <w:p w14:paraId="63BEAFC1">
      <w:pPr>
        <w:spacing w:line="360" w:lineRule="auto"/>
        <w:ind w:firstLine="420" w:firstLineChars="200"/>
        <w:rPr>
          <w:rFonts w:hint="eastAsia" w:ascii="Calibri"/>
          <w:color w:val="auto"/>
          <w:highlight w:val="none"/>
        </w:rPr>
      </w:pPr>
      <w:r>
        <w:rPr>
          <w:rFonts w:hint="eastAsia" w:ascii="宋体" w:hAnsi="宋体" w:cs="宋体"/>
          <w:color w:val="auto"/>
          <w:szCs w:val="21"/>
          <w:highlight w:val="none"/>
        </w:rPr>
        <w:t>采购人应当自政府采购合同签订之日起2个工作日内，将政府采购合同在省级以上人民政府财政部门指定的媒体上公告，但政府采购合同中涉及国家秘密、商业秘密的内容除外</w:t>
      </w:r>
      <w:r>
        <w:rPr>
          <w:rFonts w:ascii="Calibri"/>
          <w:color w:val="auto"/>
          <w:highlight w:val="none"/>
        </w:rPr>
        <w:t>。</w:t>
      </w:r>
    </w:p>
    <w:p w14:paraId="42E1530C">
      <w:pPr>
        <w:spacing w:line="360" w:lineRule="auto"/>
        <w:ind w:firstLine="482" w:firstLineChars="200"/>
        <w:rPr>
          <w:rFonts w:hint="eastAsia" w:ascii="黑体" w:hAnsi="黑体" w:eastAsia="黑体" w:cs="宋体"/>
          <w:b/>
          <w:bCs/>
          <w:color w:val="auto"/>
          <w:sz w:val="24"/>
          <w:highlight w:val="none"/>
        </w:rPr>
      </w:pPr>
      <w:r>
        <w:rPr>
          <w:rFonts w:ascii="黑体" w:hAnsi="黑体" w:eastAsia="黑体" w:cs="宋体"/>
          <w:b/>
          <w:bCs/>
          <w:color w:val="auto"/>
          <w:sz w:val="24"/>
          <w:highlight w:val="none"/>
        </w:rPr>
        <w:t>3</w:t>
      </w:r>
      <w:r>
        <w:rPr>
          <w:rFonts w:hint="eastAsia" w:ascii="黑体" w:hAnsi="黑体" w:eastAsia="黑体" w:cs="宋体"/>
          <w:b/>
          <w:bCs/>
          <w:color w:val="auto"/>
          <w:sz w:val="24"/>
          <w:highlight w:val="none"/>
          <w:lang w:val="en-US" w:eastAsia="zh-CN"/>
        </w:rPr>
        <w:t>0</w:t>
      </w:r>
      <w:r>
        <w:rPr>
          <w:rFonts w:hint="eastAsia" w:ascii="黑体" w:hAnsi="黑体" w:eastAsia="黑体" w:cs="宋体"/>
          <w:b/>
          <w:bCs/>
          <w:color w:val="auto"/>
          <w:sz w:val="24"/>
          <w:highlight w:val="none"/>
        </w:rPr>
        <w:t>. 询问、质疑和投诉</w:t>
      </w:r>
    </w:p>
    <w:p w14:paraId="235360AE">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eastAsia" w:ascii="宋体" w:hAnsi="宋体" w:eastAsia="宋体" w:cs="宋体"/>
          <w:color w:val="auto"/>
          <w:highlight w:val="none"/>
          <w:lang w:val="en-US" w:eastAsia="zh-CN"/>
        </w:rPr>
        <w:t>0</w:t>
      </w:r>
      <w:r>
        <w:rPr>
          <w:rFonts w:hint="eastAsia" w:ascii="宋体" w:hAnsi="宋体" w:eastAsia="宋体" w:cs="宋体"/>
          <w:color w:val="auto"/>
          <w:highlight w:val="none"/>
        </w:rPr>
        <w:t>.1供应商对政府采购活动事项有疑问的，可以向采购人</w:t>
      </w:r>
      <w:r>
        <w:rPr>
          <w:rFonts w:hint="eastAsia" w:ascii="宋体" w:hAnsi="宋体" w:eastAsia="宋体" w:cs="宋体"/>
          <w:color w:val="auto"/>
          <w:highlight w:val="none"/>
          <w:lang w:eastAsia="zh-CN"/>
        </w:rPr>
        <w:t>或者</w:t>
      </w:r>
      <w:r>
        <w:rPr>
          <w:rFonts w:hint="eastAsia" w:ascii="宋体" w:hAnsi="宋体" w:eastAsia="宋体" w:cs="宋体"/>
          <w:color w:val="auto"/>
          <w:highlight w:val="none"/>
        </w:rPr>
        <w:t>采购代理机构提出询问，采购人或者采购代理机构应当在3个工作日内对供应商依法提出的询问作出答复。</w:t>
      </w:r>
    </w:p>
    <w:p w14:paraId="407D1394">
      <w:pPr>
        <w:spacing w:line="360" w:lineRule="auto"/>
        <w:ind w:firstLine="420" w:firstLineChars="200"/>
        <w:rPr>
          <w:rFonts w:hint="eastAsia" w:ascii="宋体" w:hAnsi="宋体" w:eastAsia="宋体" w:cs="宋体"/>
          <w:b/>
          <w:color w:val="auto"/>
          <w:szCs w:val="21"/>
          <w:highlight w:val="none"/>
        </w:rPr>
      </w:pPr>
      <w:r>
        <w:rPr>
          <w:rFonts w:hint="eastAsia" w:ascii="宋体" w:hAnsi="宋体" w:eastAsia="宋体" w:cs="宋体"/>
          <w:color w:val="auto"/>
          <w:highlight w:val="none"/>
        </w:rPr>
        <w:t>3</w:t>
      </w:r>
      <w:r>
        <w:rPr>
          <w:rFonts w:hint="eastAsia" w:ascii="宋体" w:hAnsi="宋体" w:eastAsia="宋体" w:cs="宋体"/>
          <w:color w:val="auto"/>
          <w:highlight w:val="none"/>
          <w:lang w:val="en-US" w:eastAsia="zh-CN"/>
        </w:rPr>
        <w:t>0</w:t>
      </w:r>
      <w:r>
        <w:rPr>
          <w:rFonts w:hint="eastAsia" w:ascii="宋体" w:hAnsi="宋体" w:eastAsia="宋体" w:cs="宋体"/>
          <w:color w:val="auto"/>
          <w:highlight w:val="none"/>
        </w:rPr>
        <w:t>.2供应商认为磋商文件、采购过程或者成交结果使自己的合法权益受到损害的，应当在知道或者应知其权益受到损害之日起7个工作日内，以书面形式向采购人</w:t>
      </w:r>
      <w:r>
        <w:rPr>
          <w:rFonts w:hint="eastAsia" w:ascii="宋体" w:hAnsi="宋体" w:eastAsia="宋体" w:cs="宋体"/>
          <w:color w:val="auto"/>
          <w:highlight w:val="none"/>
          <w:lang w:eastAsia="zh-CN"/>
        </w:rPr>
        <w:t>或者</w:t>
      </w:r>
      <w:r>
        <w:rPr>
          <w:rFonts w:hint="eastAsia" w:ascii="宋体" w:hAnsi="宋体" w:eastAsia="宋体" w:cs="宋体"/>
          <w:color w:val="auto"/>
          <w:highlight w:val="none"/>
        </w:rPr>
        <w:t>采购代理机构提出质疑，</w:t>
      </w:r>
      <w:r>
        <w:rPr>
          <w:rFonts w:hint="eastAsia" w:ascii="宋体" w:hAnsi="宋体" w:eastAsia="宋体" w:cs="宋体"/>
          <w:color w:val="auto"/>
          <w:szCs w:val="24"/>
          <w:highlight w:val="none"/>
        </w:rPr>
        <w:t>采购人或者采购代理机构应当在</w:t>
      </w:r>
      <w:r>
        <w:rPr>
          <w:rFonts w:hint="eastAsia" w:ascii="宋体" w:hAnsi="宋体" w:eastAsia="宋体" w:cs="宋体"/>
          <w:color w:val="auto"/>
          <w:szCs w:val="24"/>
          <w:highlight w:val="none"/>
          <w:lang w:val="en-US" w:eastAsia="zh-CN"/>
        </w:rPr>
        <w:t>7</w:t>
      </w:r>
      <w:r>
        <w:rPr>
          <w:rFonts w:hint="eastAsia" w:ascii="宋体" w:hAnsi="宋体" w:eastAsia="宋体" w:cs="宋体"/>
          <w:color w:val="auto"/>
          <w:szCs w:val="24"/>
          <w:highlight w:val="none"/>
        </w:rPr>
        <w:t>个工作日内对供应商依法提出的</w:t>
      </w:r>
      <w:r>
        <w:rPr>
          <w:rFonts w:hint="eastAsia" w:ascii="宋体" w:hAnsi="宋体" w:eastAsia="宋体" w:cs="宋体"/>
          <w:color w:val="auto"/>
          <w:szCs w:val="24"/>
          <w:highlight w:val="none"/>
          <w:lang w:eastAsia="zh-CN"/>
        </w:rPr>
        <w:t>质疑</w:t>
      </w:r>
      <w:r>
        <w:rPr>
          <w:rFonts w:hint="eastAsia" w:ascii="宋体" w:hAnsi="宋体" w:eastAsia="宋体" w:cs="宋体"/>
          <w:color w:val="auto"/>
          <w:szCs w:val="24"/>
          <w:highlight w:val="none"/>
        </w:rPr>
        <w:t>作出答复。</w:t>
      </w:r>
      <w:r>
        <w:rPr>
          <w:rFonts w:hint="eastAsia" w:ascii="宋体" w:hAnsi="宋体" w:eastAsia="宋体" w:cs="宋体"/>
          <w:color w:val="auto"/>
          <w:highlight w:val="none"/>
          <w:shd w:val="clear" w:color="auto" w:fill="FFFFFF"/>
        </w:rPr>
        <w:t>接收质疑函的方式、联系部门、联系电话和通讯地址等信息详见</w:t>
      </w:r>
      <w:r>
        <w:rPr>
          <w:rFonts w:hint="eastAsia" w:ascii="宋体" w:hAnsi="宋体" w:eastAsia="宋体" w:cs="宋体"/>
          <w:color w:val="auto"/>
          <w:szCs w:val="21"/>
          <w:highlight w:val="none"/>
        </w:rPr>
        <w:t>“供应商须知前附表”</w:t>
      </w:r>
      <w:r>
        <w:rPr>
          <w:rFonts w:hint="eastAsia" w:ascii="宋体" w:hAnsi="宋体" w:eastAsia="宋体" w:cs="宋体"/>
          <w:color w:val="auto"/>
          <w:highlight w:val="none"/>
        </w:rPr>
        <w:t>。</w:t>
      </w:r>
      <w:r>
        <w:rPr>
          <w:rFonts w:hint="eastAsia" w:ascii="宋体" w:hAnsi="宋体" w:eastAsia="宋体" w:cs="宋体"/>
          <w:b/>
          <w:color w:val="auto"/>
          <w:szCs w:val="21"/>
          <w:highlight w:val="none"/>
        </w:rPr>
        <w:t xml:space="preserve">具体质疑起算时间及处理方式如下： </w:t>
      </w:r>
    </w:p>
    <w:p w14:paraId="7F6A68D1">
      <w:pPr>
        <w:spacing w:line="360" w:lineRule="auto"/>
        <w:ind w:firstLine="420" w:firstLineChars="200"/>
        <w:rPr>
          <w:rFonts w:hint="eastAsia" w:ascii="宋体" w:hAnsi="宋体" w:eastAsia="宋体" w:cs="宋体"/>
          <w:bCs/>
          <w:color w:val="auto"/>
          <w:highlight w:val="none"/>
        </w:rPr>
      </w:pPr>
      <w:r>
        <w:rPr>
          <w:rFonts w:hint="eastAsia" w:ascii="宋体" w:hAnsi="宋体" w:eastAsia="宋体" w:cs="宋体"/>
          <w:bCs/>
          <w:color w:val="auto"/>
          <w:highlight w:val="none"/>
        </w:rPr>
        <w:t>（1）潜在供应商依法获取采购文件后，认为采购文件使自己的权益受到损害的，应当在竞争性磋商文件公告期限届满之日起7个工作日内提出质疑。</w:t>
      </w:r>
    </w:p>
    <w:p w14:paraId="1A9065F1">
      <w:pPr>
        <w:spacing w:line="360" w:lineRule="auto"/>
        <w:ind w:firstLine="420" w:firstLineChars="200"/>
        <w:rPr>
          <w:rFonts w:hint="eastAsia" w:ascii="宋体" w:hAnsi="宋体" w:eastAsia="宋体" w:cs="宋体"/>
          <w:bCs/>
          <w:color w:val="auto"/>
          <w:highlight w:val="none"/>
        </w:rPr>
      </w:pPr>
      <w:r>
        <w:rPr>
          <w:rFonts w:hint="eastAsia" w:ascii="宋体" w:hAnsi="宋体" w:eastAsia="宋体" w:cs="宋体"/>
          <w:bCs/>
          <w:color w:val="auto"/>
          <w:highlight w:val="none"/>
        </w:rPr>
        <w:t>（2）供应商认为采购过程使自己的权益受到损害的，应当在各采购程序环节结束之日起7个工作日内提出质疑。对采购过程中资格审查、符合性审查等具体评审情况的质疑应向采购人或</w:t>
      </w:r>
      <w:r>
        <w:rPr>
          <w:rFonts w:hint="eastAsia" w:ascii="宋体" w:hAnsi="宋体" w:eastAsia="宋体" w:cs="宋体"/>
          <w:bCs/>
          <w:color w:val="auto"/>
          <w:highlight w:val="none"/>
          <w:lang w:eastAsia="zh-CN"/>
        </w:rPr>
        <w:t>者采购</w:t>
      </w:r>
      <w:r>
        <w:rPr>
          <w:rFonts w:hint="eastAsia" w:ascii="宋体" w:hAnsi="宋体" w:eastAsia="宋体" w:cs="宋体"/>
          <w:bCs/>
          <w:color w:val="auto"/>
          <w:highlight w:val="none"/>
        </w:rPr>
        <w:t>代理机构提出，由采购人或</w:t>
      </w:r>
      <w:r>
        <w:rPr>
          <w:rFonts w:hint="eastAsia" w:ascii="宋体" w:hAnsi="宋体" w:eastAsia="宋体" w:cs="宋体"/>
          <w:bCs/>
          <w:color w:val="auto"/>
          <w:highlight w:val="none"/>
          <w:lang w:eastAsia="zh-CN"/>
        </w:rPr>
        <w:t>者采购</w:t>
      </w:r>
      <w:r>
        <w:rPr>
          <w:rFonts w:hint="eastAsia" w:ascii="宋体" w:hAnsi="宋体" w:eastAsia="宋体" w:cs="宋体"/>
          <w:bCs/>
          <w:color w:val="auto"/>
          <w:highlight w:val="none"/>
        </w:rPr>
        <w:t>代理机构受理并负责答复；对采购过程中采购执行程序的质疑由采购代理机构受理并负责答复。</w:t>
      </w:r>
    </w:p>
    <w:p w14:paraId="7B1362FA">
      <w:pPr>
        <w:spacing w:line="360" w:lineRule="auto"/>
        <w:ind w:firstLine="420" w:firstLineChars="200"/>
        <w:rPr>
          <w:rFonts w:hint="eastAsia" w:ascii="宋体" w:hAnsi="宋体" w:eastAsia="宋体" w:cs="宋体"/>
          <w:bCs/>
          <w:color w:val="auto"/>
          <w:highlight w:val="none"/>
        </w:rPr>
      </w:pPr>
      <w:r>
        <w:rPr>
          <w:rFonts w:hint="eastAsia" w:ascii="宋体" w:hAnsi="宋体" w:eastAsia="宋体" w:cs="宋体"/>
          <w:bCs/>
          <w:color w:val="auto"/>
          <w:highlight w:val="none"/>
        </w:rPr>
        <w:t>（3）供应商认为成交结果使自己的权益受到损害的，应当在成交结果公告期限届满之日起7个工作日内提出质疑，由采购人受理并负责答复。</w:t>
      </w:r>
    </w:p>
    <w:p w14:paraId="5C7314A8">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eastAsia" w:ascii="宋体" w:hAnsi="宋体" w:eastAsia="宋体" w:cs="宋体"/>
          <w:color w:val="auto"/>
          <w:highlight w:val="none"/>
          <w:lang w:val="en-US" w:eastAsia="zh-CN"/>
        </w:rPr>
        <w:t>0</w:t>
      </w:r>
      <w:r>
        <w:rPr>
          <w:rFonts w:hint="eastAsia" w:ascii="宋体" w:hAnsi="宋体" w:eastAsia="宋体" w:cs="宋体"/>
          <w:color w:val="auto"/>
          <w:highlight w:val="none"/>
        </w:rPr>
        <w:t>.3供应商提出的询问或者质疑超出采购人对采购代理机构委托授权范围的，采购代理机构应当告知供应商向采购人提出。政府采购评审专家应当配合采购人或者采购代理机构答复供应商的询问和质疑。</w:t>
      </w:r>
    </w:p>
    <w:p w14:paraId="264C019A">
      <w:pPr>
        <w:spacing w:line="360" w:lineRule="auto"/>
        <w:ind w:firstLine="422" w:firstLineChars="200"/>
        <w:rPr>
          <w:rFonts w:hint="eastAsia" w:ascii="宋体" w:hAnsi="宋体" w:eastAsia="宋体" w:cs="宋体"/>
          <w:color w:val="auto"/>
          <w:highlight w:val="none"/>
        </w:rPr>
      </w:pPr>
      <w:r>
        <w:rPr>
          <w:rFonts w:hint="eastAsia" w:ascii="宋体" w:hAnsi="宋体" w:eastAsia="宋体" w:cs="宋体"/>
          <w:b/>
          <w:bCs/>
          <w:color w:val="auto"/>
          <w:highlight w:val="none"/>
        </w:rPr>
        <w:t>3</w:t>
      </w:r>
      <w:r>
        <w:rPr>
          <w:rFonts w:hint="eastAsia" w:ascii="宋体" w:hAnsi="宋体" w:eastAsia="宋体" w:cs="宋体"/>
          <w:b/>
          <w:bCs/>
          <w:color w:val="auto"/>
          <w:highlight w:val="none"/>
          <w:lang w:val="en-US" w:eastAsia="zh-CN"/>
        </w:rPr>
        <w:t>0</w:t>
      </w:r>
      <w:r>
        <w:rPr>
          <w:rFonts w:hint="eastAsia" w:ascii="宋体" w:hAnsi="宋体" w:eastAsia="宋体" w:cs="宋体"/>
          <w:b/>
          <w:bCs/>
          <w:color w:val="auto"/>
          <w:highlight w:val="none"/>
        </w:rPr>
        <w:t>.4 供应商提出质疑应当提交质疑函和必要的证明材料，针对同一采购程序环节的质疑必须在法定质疑期内一次性提出。质疑函应当包括下列内容（质疑函格式后附）：</w:t>
      </w:r>
    </w:p>
    <w:p w14:paraId="6903DF01">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（1）供应商的姓名或者名称、地址、邮编、联系人及联系电话；</w:t>
      </w:r>
    </w:p>
    <w:p w14:paraId="5EBD0797">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（2）质疑项目的名称、编号；</w:t>
      </w:r>
    </w:p>
    <w:p w14:paraId="42358843">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（3）具体、明确的质疑事项和与质疑事项相关的请求；</w:t>
      </w:r>
    </w:p>
    <w:p w14:paraId="4B929F24">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（4）事实依据；</w:t>
      </w:r>
    </w:p>
    <w:p w14:paraId="65B467B2">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（5）必要的法律依据；</w:t>
      </w:r>
    </w:p>
    <w:p w14:paraId="341D2F5C">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（6）提出质疑的日期。</w:t>
      </w:r>
    </w:p>
    <w:p w14:paraId="22DB0524">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供应商为自然人的，应当由本人签字；供应商为法人或者其他组织的，应当由法定代表人、主要负责人，或者其委托代理人签字或者盖章，并加盖公章。</w:t>
      </w:r>
    </w:p>
    <w:p w14:paraId="766A72F7">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3</w:t>
      </w:r>
      <w:r>
        <w:rPr>
          <w:rFonts w:hint="eastAsia" w:ascii="宋体" w:hAnsi="宋体" w:eastAsia="宋体" w:cs="宋体"/>
          <w:color w:val="auto"/>
          <w:highlight w:val="none"/>
          <w:lang w:val="en-US" w:eastAsia="zh-CN"/>
        </w:rPr>
        <w:t>0</w:t>
      </w:r>
      <w:r>
        <w:rPr>
          <w:rFonts w:hint="eastAsia" w:ascii="宋体" w:hAnsi="宋体" w:eastAsia="宋体" w:cs="宋体"/>
          <w:color w:val="auto"/>
          <w:highlight w:val="none"/>
        </w:rPr>
        <w:t>.5采购人、采购代理机构认为供应商质疑不成立，或者成立但未对成交结果构成影响的，继续开展采购活动；认为供应商质疑成立且影响或者可能影响成交结果的，按照下列情况处理：</w:t>
      </w:r>
    </w:p>
    <w:p w14:paraId="335BC4E6">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（一）对采购文件提出的质疑，依法通过澄清或者修改可以继续开展采购活动的，澄清或者修改采购文件后继续开展采购活动；否则应当修改采购文件后重新开展采购活动。</w:t>
      </w:r>
    </w:p>
    <w:p w14:paraId="0D840FC0">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（二）对采购过程或者成交结果提出的质疑，合格供应商符合法定数量时，可以从合格的成交候选人中另行确定成交供应商的，应当依法另行确定成交供应商；否则应当重新开展采购活动。</w:t>
      </w:r>
    </w:p>
    <w:p w14:paraId="10840A7F">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质疑答复导致成交结果改变的，采购人或者采购代理机构应当将有关情况书面报告本级财政部门。</w:t>
      </w:r>
    </w:p>
    <w:p w14:paraId="4A0A715C">
      <w:pPr>
        <w:spacing w:line="360" w:lineRule="auto"/>
        <w:ind w:firstLine="422" w:firstLineChars="200"/>
        <w:rPr>
          <w:rFonts w:hint="eastAsia" w:ascii="宋体" w:hAnsi="宋体" w:eastAsia="宋体" w:cs="宋体"/>
          <w:color w:val="auto"/>
          <w:highlight w:val="none"/>
        </w:rPr>
      </w:pPr>
      <w:r>
        <w:rPr>
          <w:rFonts w:hint="eastAsia" w:ascii="宋体" w:hAnsi="宋体" w:eastAsia="宋体" w:cs="宋体"/>
          <w:b/>
          <w:bCs/>
          <w:color w:val="auto"/>
          <w:highlight w:val="none"/>
        </w:rPr>
        <w:t>3</w:t>
      </w:r>
      <w:r>
        <w:rPr>
          <w:rFonts w:hint="eastAsia" w:ascii="宋体" w:hAnsi="宋体" w:eastAsia="宋体" w:cs="宋体"/>
          <w:b/>
          <w:bCs/>
          <w:color w:val="auto"/>
          <w:highlight w:val="none"/>
          <w:lang w:val="en-US" w:eastAsia="zh-CN"/>
        </w:rPr>
        <w:t>0</w:t>
      </w:r>
      <w:r>
        <w:rPr>
          <w:rFonts w:hint="eastAsia" w:ascii="宋体" w:hAnsi="宋体" w:eastAsia="宋体" w:cs="宋体"/>
          <w:b/>
          <w:bCs/>
          <w:color w:val="auto"/>
          <w:highlight w:val="none"/>
        </w:rPr>
        <w:t>.6投诉的权利。质疑供应商对采购人</w:t>
      </w:r>
      <w:r>
        <w:rPr>
          <w:rFonts w:hint="eastAsia" w:ascii="宋体" w:hAnsi="宋体" w:eastAsia="宋体" w:cs="宋体"/>
          <w:b/>
          <w:bCs/>
          <w:color w:val="auto"/>
          <w:highlight w:val="none"/>
          <w:lang w:eastAsia="zh-CN"/>
        </w:rPr>
        <w:t>或</w:t>
      </w:r>
      <w:r>
        <w:rPr>
          <w:rFonts w:hint="eastAsia" w:ascii="宋体" w:hAnsi="宋体" w:eastAsia="宋体" w:cs="宋体"/>
          <w:b/>
          <w:bCs/>
          <w:color w:val="auto"/>
          <w:highlight w:val="none"/>
        </w:rPr>
        <w:t>采购代理机构的答复不满意，或者采购人</w:t>
      </w:r>
      <w:r>
        <w:rPr>
          <w:rFonts w:hint="eastAsia" w:ascii="宋体" w:hAnsi="宋体" w:eastAsia="宋体" w:cs="宋体"/>
          <w:b/>
          <w:bCs/>
          <w:color w:val="auto"/>
          <w:highlight w:val="none"/>
          <w:lang w:eastAsia="zh-CN"/>
        </w:rPr>
        <w:t>或</w:t>
      </w:r>
      <w:r>
        <w:rPr>
          <w:rFonts w:hint="eastAsia" w:ascii="宋体" w:hAnsi="宋体" w:eastAsia="宋体" w:cs="宋体"/>
          <w:b/>
          <w:bCs/>
          <w:color w:val="auto"/>
          <w:highlight w:val="none"/>
        </w:rPr>
        <w:t>采购代理机构未在规定时间内作出答复的，可以在答复期满后15个工作日内向《政府采购质疑和投诉办法》（财政部令第94号）第六条规定的财政部门提起投诉（投诉书格式后附），受理投诉方式见“供应商须知前附表”</w:t>
      </w:r>
      <w:r>
        <w:rPr>
          <w:rFonts w:hint="eastAsia" w:ascii="宋体" w:hAnsi="宋体" w:eastAsia="宋体" w:cs="宋体"/>
          <w:color w:val="auto"/>
          <w:highlight w:val="none"/>
        </w:rPr>
        <w:t>。</w:t>
      </w:r>
      <w:bookmarkStart w:id="89" w:name="_Toc80205930"/>
    </w:p>
    <w:p w14:paraId="0103B311">
      <w:pPr>
        <w:pStyle w:val="5"/>
        <w:spacing w:before="0" w:after="0" w:line="360" w:lineRule="auto"/>
        <w:ind w:firstLine="315" w:firstLineChars="98"/>
        <w:rPr>
          <w:b w:val="0"/>
          <w:color w:val="auto"/>
          <w:highlight w:val="none"/>
        </w:rPr>
      </w:pPr>
      <w:bookmarkStart w:id="90" w:name="_Toc26989"/>
      <w:bookmarkStart w:id="91" w:name="_Toc9275"/>
      <w:bookmarkStart w:id="92" w:name="_Toc80886935"/>
      <w:r>
        <w:rPr>
          <w:rFonts w:hint="eastAsia"/>
          <w:color w:val="auto"/>
          <w:highlight w:val="none"/>
        </w:rPr>
        <w:t>六</w:t>
      </w:r>
      <w:r>
        <w:rPr>
          <w:rFonts w:hint="eastAsia"/>
          <w:b w:val="0"/>
          <w:color w:val="auto"/>
          <w:highlight w:val="none"/>
        </w:rPr>
        <w:t>、验收</w:t>
      </w:r>
      <w:bookmarkEnd w:id="89"/>
      <w:bookmarkEnd w:id="90"/>
      <w:bookmarkEnd w:id="91"/>
      <w:bookmarkEnd w:id="92"/>
    </w:p>
    <w:p w14:paraId="7F6B053C">
      <w:pPr>
        <w:tabs>
          <w:tab w:val="left" w:pos="0"/>
        </w:tabs>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3</w:t>
      </w:r>
      <w:r>
        <w:rPr>
          <w:rFonts w:hint="eastAsia" w:ascii="黑体" w:hAnsi="黑体" w:eastAsia="黑体" w:cs="宋体"/>
          <w:b/>
          <w:bCs/>
          <w:color w:val="auto"/>
          <w:sz w:val="24"/>
          <w:highlight w:val="none"/>
          <w:lang w:val="en-US" w:eastAsia="zh-CN"/>
        </w:rPr>
        <w:t>1</w:t>
      </w:r>
      <w:r>
        <w:rPr>
          <w:rFonts w:hint="eastAsia" w:ascii="黑体" w:hAnsi="黑体" w:eastAsia="黑体" w:cs="宋体"/>
          <w:b/>
          <w:bCs/>
          <w:color w:val="auto"/>
          <w:sz w:val="24"/>
          <w:highlight w:val="none"/>
        </w:rPr>
        <w:t>.验收</w:t>
      </w:r>
    </w:p>
    <w:p w14:paraId="76402A49">
      <w:pPr>
        <w:tabs>
          <w:tab w:val="left" w:pos="0"/>
        </w:tabs>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kern w:val="0"/>
          <w:szCs w:val="21"/>
          <w:highlight w:val="none"/>
          <w:lang w:val="en-US" w:eastAsia="zh-CN"/>
        </w:rPr>
        <w:t>1</w:t>
      </w:r>
      <w:r>
        <w:rPr>
          <w:rFonts w:hint="eastAsia" w:ascii="宋体" w:hAnsi="宋体" w:eastAsia="宋体" w:cs="宋体"/>
          <w:color w:val="auto"/>
          <w:kern w:val="0"/>
          <w:szCs w:val="21"/>
          <w:highlight w:val="none"/>
        </w:rPr>
        <w:t>.1采购人会同实际使用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5D1964E0">
      <w:pPr>
        <w:tabs>
          <w:tab w:val="left" w:pos="0"/>
        </w:tabs>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kern w:val="0"/>
          <w:szCs w:val="21"/>
          <w:highlight w:val="none"/>
          <w:lang w:val="en-US" w:eastAsia="zh-CN"/>
        </w:rPr>
        <w:t>1</w:t>
      </w:r>
      <w:r>
        <w:rPr>
          <w:rFonts w:hint="eastAsia" w:ascii="宋体" w:hAnsi="宋体" w:eastAsia="宋体" w:cs="宋体"/>
          <w:color w:val="auto"/>
          <w:kern w:val="0"/>
          <w:szCs w:val="21"/>
          <w:highlight w:val="none"/>
        </w:rPr>
        <w:t>.2采购人可以邀请第三方机构参与验收。第三方机构的意见作为验收书的参考资料一并存档。</w:t>
      </w:r>
    </w:p>
    <w:p w14:paraId="1F2ABD89">
      <w:pPr>
        <w:tabs>
          <w:tab w:val="left" w:pos="0"/>
        </w:tabs>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kern w:val="0"/>
          <w:szCs w:val="21"/>
          <w:highlight w:val="none"/>
          <w:lang w:val="en-US" w:eastAsia="zh-CN"/>
        </w:rPr>
        <w:t>1</w:t>
      </w:r>
      <w:r>
        <w:rPr>
          <w:rFonts w:hint="eastAsia" w:ascii="宋体" w:hAnsi="宋体" w:eastAsia="宋体" w:cs="宋体"/>
          <w:color w:val="auto"/>
          <w:kern w:val="0"/>
          <w:szCs w:val="21"/>
          <w:highlight w:val="none"/>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lang w:val="en-US" w:eastAsia="zh-CN"/>
        </w:rPr>
        <w:t>如有</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Cs w:val="21"/>
          <w:highlight w:val="none"/>
        </w:rPr>
        <w:t>返还条件挂钩。履约验收的各项资料应当存档备查。</w:t>
      </w:r>
    </w:p>
    <w:p w14:paraId="0DB2A16D">
      <w:pPr>
        <w:tabs>
          <w:tab w:val="left" w:pos="0"/>
        </w:tabs>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3</w:t>
      </w:r>
      <w:r>
        <w:rPr>
          <w:rFonts w:hint="eastAsia" w:ascii="宋体" w:hAnsi="宋体" w:eastAsia="宋体" w:cs="宋体"/>
          <w:color w:val="auto"/>
          <w:kern w:val="0"/>
          <w:szCs w:val="21"/>
          <w:highlight w:val="none"/>
          <w:lang w:val="en-US" w:eastAsia="zh-CN"/>
        </w:rPr>
        <w:t>1</w:t>
      </w:r>
      <w:r>
        <w:rPr>
          <w:rFonts w:hint="eastAsia" w:ascii="宋体" w:hAnsi="宋体" w:eastAsia="宋体" w:cs="宋体"/>
          <w:color w:val="auto"/>
          <w:kern w:val="0"/>
          <w:szCs w:val="21"/>
          <w:highlight w:val="none"/>
        </w:rPr>
        <w:t>.4验收合格的项目，实际使用人将根据采购合同的约定及时向供应商支付采购资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4EA3A838">
      <w:pPr>
        <w:pStyle w:val="5"/>
        <w:spacing w:before="0" w:after="0" w:line="360" w:lineRule="auto"/>
        <w:ind w:firstLine="320" w:firstLineChars="100"/>
        <w:rPr>
          <w:rFonts w:hint="eastAsia"/>
          <w:b w:val="0"/>
          <w:bCs w:val="0"/>
          <w:color w:val="auto"/>
          <w:highlight w:val="none"/>
        </w:rPr>
      </w:pPr>
      <w:bookmarkStart w:id="93" w:name="_Toc10913"/>
      <w:bookmarkStart w:id="94" w:name="_Toc80886936"/>
      <w:bookmarkStart w:id="95" w:name="_Toc1170"/>
      <w:r>
        <w:rPr>
          <w:rFonts w:hint="eastAsia"/>
          <w:b w:val="0"/>
          <w:bCs w:val="0"/>
          <w:color w:val="auto"/>
          <w:highlight w:val="none"/>
        </w:rPr>
        <w:t>七、其他事项</w:t>
      </w:r>
      <w:bookmarkEnd w:id="93"/>
      <w:bookmarkEnd w:id="94"/>
      <w:bookmarkEnd w:id="95"/>
    </w:p>
    <w:p w14:paraId="2433A474">
      <w:pPr>
        <w:spacing w:line="360" w:lineRule="auto"/>
        <w:ind w:firstLine="482" w:firstLineChars="200"/>
        <w:rPr>
          <w:rFonts w:hint="eastAsia" w:ascii="黑体" w:hAnsi="黑体" w:eastAsia="黑体" w:cs="宋体"/>
          <w:b/>
          <w:bCs/>
          <w:color w:val="auto"/>
          <w:sz w:val="24"/>
          <w:highlight w:val="none"/>
        </w:rPr>
      </w:pPr>
      <w:r>
        <w:rPr>
          <w:rFonts w:ascii="黑体" w:hAnsi="黑体" w:eastAsia="黑体" w:cs="宋体"/>
          <w:b/>
          <w:bCs/>
          <w:color w:val="auto"/>
          <w:sz w:val="24"/>
          <w:highlight w:val="none"/>
        </w:rPr>
        <w:t>3</w:t>
      </w:r>
      <w:r>
        <w:rPr>
          <w:rFonts w:hint="eastAsia" w:ascii="黑体" w:hAnsi="黑体" w:eastAsia="黑体" w:cs="宋体"/>
          <w:b/>
          <w:bCs/>
          <w:color w:val="auto"/>
          <w:sz w:val="24"/>
          <w:highlight w:val="none"/>
          <w:lang w:val="en-US" w:eastAsia="zh-CN"/>
        </w:rPr>
        <w:t>2</w:t>
      </w:r>
      <w:r>
        <w:rPr>
          <w:rFonts w:hint="eastAsia" w:ascii="黑体" w:hAnsi="黑体" w:eastAsia="黑体" w:cs="宋体"/>
          <w:b/>
          <w:bCs/>
          <w:color w:val="auto"/>
          <w:sz w:val="24"/>
          <w:highlight w:val="none"/>
        </w:rPr>
        <w:t>.</w:t>
      </w:r>
      <w:r>
        <w:rPr>
          <w:rFonts w:hint="eastAsia" w:ascii="黑体" w:hAnsi="黑体" w:eastAsia="黑体" w:cs="宋体"/>
          <w:b/>
          <w:bCs/>
          <w:color w:val="auto"/>
          <w:sz w:val="24"/>
          <w:highlight w:val="none"/>
          <w:lang w:eastAsia="zh-CN"/>
        </w:rPr>
        <w:t>采购</w:t>
      </w:r>
      <w:r>
        <w:rPr>
          <w:rFonts w:hint="eastAsia" w:ascii="黑体" w:hAnsi="黑体" w:eastAsia="黑体" w:cs="宋体"/>
          <w:b/>
          <w:bCs/>
          <w:color w:val="auto"/>
          <w:sz w:val="24"/>
          <w:highlight w:val="none"/>
        </w:rPr>
        <w:t>代理服务费</w:t>
      </w:r>
    </w:p>
    <w:p w14:paraId="16BCDC0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 xml:space="preserve">32.1 </w:t>
      </w:r>
      <w:r>
        <w:rPr>
          <w:rFonts w:hint="eastAsia" w:ascii="宋体" w:hAnsi="宋体" w:eastAsia="宋体" w:cs="宋体"/>
          <w:color w:val="auto"/>
          <w:szCs w:val="21"/>
          <w:highlight w:val="none"/>
          <w:lang w:eastAsia="zh-CN"/>
        </w:rPr>
        <w:t>采购</w:t>
      </w:r>
      <w:r>
        <w:rPr>
          <w:rFonts w:hint="eastAsia" w:ascii="宋体" w:hAnsi="宋体" w:eastAsia="宋体" w:cs="宋体"/>
          <w:color w:val="auto"/>
          <w:szCs w:val="21"/>
          <w:highlight w:val="none"/>
        </w:rPr>
        <w:t>代理服务</w:t>
      </w:r>
      <w:r>
        <w:rPr>
          <w:rFonts w:hint="eastAsia" w:ascii="宋体" w:hAnsi="宋体" w:eastAsia="宋体" w:cs="宋体"/>
          <w:color w:val="auto"/>
          <w:szCs w:val="21"/>
          <w:highlight w:val="none"/>
          <w:lang w:eastAsia="zh-CN"/>
        </w:rPr>
        <w:t>费</w:t>
      </w:r>
      <w:r>
        <w:rPr>
          <w:rFonts w:hint="eastAsia" w:ascii="宋体" w:hAnsi="宋体" w:eastAsia="宋体" w:cs="宋体"/>
          <w:color w:val="auto"/>
          <w:szCs w:val="21"/>
          <w:highlight w:val="none"/>
        </w:rPr>
        <w:t>收费标准及缴费账户详见“供应商须知前附表”，供应商为联合体的，可以由联合体中的一方或者多方共同缴纳采购代理服务费。</w:t>
      </w:r>
    </w:p>
    <w:p w14:paraId="5CA5089F">
      <w:pPr>
        <w:pStyle w:val="13"/>
        <w:ind w:firstLine="420" w:firstLineChars="200"/>
        <w:rPr>
          <w:rFonts w:hint="eastAsia" w:ascii="宋体" w:hAnsi="宋体" w:eastAsia="宋体" w:cs="宋体"/>
          <w:color w:val="auto"/>
          <w:highlight w:val="none"/>
          <w:lang w:val="en-US" w:eastAsia="zh-CN"/>
        </w:rPr>
      </w:pPr>
      <w:r>
        <w:rPr>
          <w:rFonts w:hint="eastAsia" w:ascii="宋体" w:hAnsi="宋体" w:eastAsia="宋体" w:cs="宋体"/>
          <w:color w:val="auto"/>
          <w:szCs w:val="21"/>
          <w:highlight w:val="none"/>
          <w:lang w:val="en-US" w:eastAsia="zh-CN"/>
        </w:rPr>
        <w:t>32.2</w:t>
      </w:r>
      <w:r>
        <w:rPr>
          <w:rFonts w:hint="eastAsia" w:ascii="宋体" w:hAnsi="宋体" w:eastAsia="宋体" w:cs="宋体"/>
          <w:color w:val="auto"/>
          <w:szCs w:val="21"/>
          <w:highlight w:val="none"/>
          <w:lang w:eastAsia="zh-CN"/>
        </w:rPr>
        <w:t>采购</w:t>
      </w:r>
      <w:r>
        <w:rPr>
          <w:rFonts w:hint="eastAsia" w:ascii="宋体" w:hAnsi="宋体" w:eastAsia="宋体" w:cs="宋体"/>
          <w:color w:val="auto"/>
          <w:szCs w:val="21"/>
          <w:highlight w:val="none"/>
        </w:rPr>
        <w:t>代理服务费收费计算标准</w:t>
      </w:r>
      <w:r>
        <w:rPr>
          <w:rFonts w:hint="eastAsia" w:ascii="宋体" w:hAnsi="宋体" w:eastAsia="宋体" w:cs="宋体"/>
          <w:color w:val="auto"/>
          <w:szCs w:val="21"/>
          <w:highlight w:val="none"/>
          <w:lang w:eastAsia="zh-CN"/>
        </w:rPr>
        <w:t>：</w:t>
      </w:r>
    </w:p>
    <w:tbl>
      <w:tblPr>
        <w:tblStyle w:val="28"/>
        <w:tblW w:w="0" w:type="auto"/>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72"/>
        <w:gridCol w:w="1659"/>
        <w:gridCol w:w="1532"/>
        <w:gridCol w:w="1546"/>
      </w:tblGrid>
      <w:tr w14:paraId="632BEE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tcBorders>
              <w:tl2br w:val="single" w:color="auto" w:sz="4" w:space="0"/>
            </w:tcBorders>
            <w:noWrap w:val="0"/>
            <w:vAlign w:val="top"/>
          </w:tcPr>
          <w:p w14:paraId="0EAC32F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费率</w:t>
            </w:r>
          </w:p>
          <w:p w14:paraId="3073C4C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金额</w:t>
            </w:r>
          </w:p>
        </w:tc>
        <w:tc>
          <w:tcPr>
            <w:tcW w:w="1659" w:type="dxa"/>
            <w:noWrap w:val="0"/>
            <w:vAlign w:val="center"/>
          </w:tcPr>
          <w:p w14:paraId="59E1459B">
            <w:pPr>
              <w:spacing w:line="360" w:lineRule="auto"/>
              <w:ind w:firstLine="105" w:firstLineChars="50"/>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货物类</w:t>
            </w:r>
          </w:p>
        </w:tc>
        <w:tc>
          <w:tcPr>
            <w:tcW w:w="1532" w:type="dxa"/>
            <w:noWrap w:val="0"/>
            <w:vAlign w:val="center"/>
          </w:tcPr>
          <w:p w14:paraId="41091D4F">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服务类</w:t>
            </w:r>
          </w:p>
        </w:tc>
        <w:tc>
          <w:tcPr>
            <w:tcW w:w="1546" w:type="dxa"/>
            <w:noWrap w:val="0"/>
            <w:vAlign w:val="center"/>
          </w:tcPr>
          <w:p w14:paraId="1B59B5AD">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工程类</w:t>
            </w:r>
          </w:p>
        </w:tc>
      </w:tr>
      <w:tr w14:paraId="26CDF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72A02A8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100万元以下</w:t>
            </w:r>
          </w:p>
        </w:tc>
        <w:tc>
          <w:tcPr>
            <w:tcW w:w="1659" w:type="dxa"/>
            <w:noWrap w:val="0"/>
            <w:vAlign w:val="top"/>
          </w:tcPr>
          <w:p w14:paraId="383220F8">
            <w:pPr>
              <w:spacing w:line="360" w:lineRule="auto"/>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  1.5%                </w:t>
            </w:r>
          </w:p>
        </w:tc>
        <w:tc>
          <w:tcPr>
            <w:tcW w:w="1532" w:type="dxa"/>
            <w:noWrap w:val="0"/>
            <w:vAlign w:val="top"/>
          </w:tcPr>
          <w:p w14:paraId="63A6109C">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1.5%</w:t>
            </w:r>
          </w:p>
        </w:tc>
        <w:tc>
          <w:tcPr>
            <w:tcW w:w="1546" w:type="dxa"/>
            <w:noWrap w:val="0"/>
            <w:vAlign w:val="top"/>
          </w:tcPr>
          <w:p w14:paraId="3BF93F36">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1.0% </w:t>
            </w:r>
          </w:p>
        </w:tc>
      </w:tr>
      <w:tr w14:paraId="30B24F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6B9565B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100～500万元</w:t>
            </w:r>
          </w:p>
        </w:tc>
        <w:tc>
          <w:tcPr>
            <w:tcW w:w="1659" w:type="dxa"/>
            <w:noWrap w:val="0"/>
            <w:vAlign w:val="top"/>
          </w:tcPr>
          <w:p w14:paraId="5AF934CB">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1.1%                 </w:t>
            </w:r>
          </w:p>
        </w:tc>
        <w:tc>
          <w:tcPr>
            <w:tcW w:w="1532" w:type="dxa"/>
            <w:noWrap w:val="0"/>
            <w:vAlign w:val="top"/>
          </w:tcPr>
          <w:p w14:paraId="5CCFC49D">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0.8%</w:t>
            </w:r>
          </w:p>
        </w:tc>
        <w:tc>
          <w:tcPr>
            <w:tcW w:w="1546" w:type="dxa"/>
            <w:noWrap w:val="0"/>
            <w:vAlign w:val="top"/>
          </w:tcPr>
          <w:p w14:paraId="71468595">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0.7% </w:t>
            </w:r>
          </w:p>
        </w:tc>
      </w:tr>
      <w:tr w14:paraId="5087C5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348D01FE">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500～1000万元</w:t>
            </w:r>
          </w:p>
        </w:tc>
        <w:tc>
          <w:tcPr>
            <w:tcW w:w="1659" w:type="dxa"/>
            <w:noWrap w:val="0"/>
            <w:vAlign w:val="top"/>
          </w:tcPr>
          <w:p w14:paraId="241C39CB">
            <w:pPr>
              <w:spacing w:line="360" w:lineRule="auto"/>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  0.8%                </w:t>
            </w:r>
          </w:p>
        </w:tc>
        <w:tc>
          <w:tcPr>
            <w:tcW w:w="1532" w:type="dxa"/>
            <w:noWrap w:val="0"/>
            <w:vAlign w:val="top"/>
          </w:tcPr>
          <w:p w14:paraId="6C681700">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0.45%</w:t>
            </w:r>
          </w:p>
        </w:tc>
        <w:tc>
          <w:tcPr>
            <w:tcW w:w="1546" w:type="dxa"/>
            <w:noWrap w:val="0"/>
            <w:vAlign w:val="top"/>
          </w:tcPr>
          <w:p w14:paraId="4B7AA700">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0.55%</w:t>
            </w:r>
          </w:p>
        </w:tc>
      </w:tr>
      <w:tr w14:paraId="7BB3E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11BADE4E">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1000～5000万元</w:t>
            </w:r>
          </w:p>
        </w:tc>
        <w:tc>
          <w:tcPr>
            <w:tcW w:w="1659" w:type="dxa"/>
            <w:noWrap w:val="0"/>
            <w:vAlign w:val="top"/>
          </w:tcPr>
          <w:p w14:paraId="70DC6B9E">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0.5%                </w:t>
            </w:r>
          </w:p>
        </w:tc>
        <w:tc>
          <w:tcPr>
            <w:tcW w:w="1532" w:type="dxa"/>
            <w:noWrap w:val="0"/>
            <w:vAlign w:val="top"/>
          </w:tcPr>
          <w:p w14:paraId="2DC40E61">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0.25%</w:t>
            </w:r>
          </w:p>
        </w:tc>
        <w:tc>
          <w:tcPr>
            <w:tcW w:w="1546" w:type="dxa"/>
            <w:noWrap w:val="0"/>
            <w:vAlign w:val="top"/>
          </w:tcPr>
          <w:p w14:paraId="55F2C1A1">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0.35% </w:t>
            </w:r>
          </w:p>
        </w:tc>
      </w:tr>
      <w:tr w14:paraId="1C1414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99EDA4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5000万元～1亿元</w:t>
            </w:r>
          </w:p>
        </w:tc>
        <w:tc>
          <w:tcPr>
            <w:tcW w:w="1659" w:type="dxa"/>
            <w:noWrap w:val="0"/>
            <w:vAlign w:val="top"/>
          </w:tcPr>
          <w:p w14:paraId="351D0570">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 xml:space="preserve">0.25%                 </w:t>
            </w:r>
          </w:p>
        </w:tc>
        <w:tc>
          <w:tcPr>
            <w:tcW w:w="1532" w:type="dxa"/>
            <w:noWrap w:val="0"/>
            <w:vAlign w:val="top"/>
          </w:tcPr>
          <w:p w14:paraId="1711C49B">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0.1%</w:t>
            </w:r>
          </w:p>
        </w:tc>
        <w:tc>
          <w:tcPr>
            <w:tcW w:w="1546" w:type="dxa"/>
            <w:noWrap w:val="0"/>
            <w:vAlign w:val="top"/>
          </w:tcPr>
          <w:p w14:paraId="48A0FAFD">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0.2%</w:t>
            </w:r>
          </w:p>
        </w:tc>
      </w:tr>
      <w:tr w14:paraId="17166C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78704B34">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1～5亿元</w:t>
            </w:r>
          </w:p>
        </w:tc>
        <w:tc>
          <w:tcPr>
            <w:tcW w:w="1659" w:type="dxa"/>
            <w:noWrap w:val="0"/>
            <w:vAlign w:val="top"/>
          </w:tcPr>
          <w:p w14:paraId="66980B7F">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0.05%</w:t>
            </w:r>
          </w:p>
        </w:tc>
        <w:tc>
          <w:tcPr>
            <w:tcW w:w="1532" w:type="dxa"/>
            <w:noWrap w:val="0"/>
            <w:vAlign w:val="top"/>
          </w:tcPr>
          <w:p w14:paraId="06FF7618">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0.05%</w:t>
            </w:r>
          </w:p>
        </w:tc>
        <w:tc>
          <w:tcPr>
            <w:tcW w:w="1546" w:type="dxa"/>
            <w:noWrap w:val="0"/>
            <w:vAlign w:val="top"/>
          </w:tcPr>
          <w:p w14:paraId="1E41A272">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0.05%</w:t>
            </w:r>
          </w:p>
        </w:tc>
      </w:tr>
      <w:tr w14:paraId="0464A3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3FCF45F3">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5～10亿元</w:t>
            </w:r>
          </w:p>
        </w:tc>
        <w:tc>
          <w:tcPr>
            <w:tcW w:w="1659" w:type="dxa"/>
            <w:noWrap w:val="0"/>
            <w:vAlign w:val="top"/>
          </w:tcPr>
          <w:p w14:paraId="0FF83C37">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0.035%</w:t>
            </w:r>
          </w:p>
        </w:tc>
        <w:tc>
          <w:tcPr>
            <w:tcW w:w="1532" w:type="dxa"/>
            <w:noWrap w:val="0"/>
            <w:vAlign w:val="top"/>
          </w:tcPr>
          <w:p w14:paraId="5A567077">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0.035%</w:t>
            </w:r>
          </w:p>
        </w:tc>
        <w:tc>
          <w:tcPr>
            <w:tcW w:w="1546" w:type="dxa"/>
            <w:noWrap w:val="0"/>
            <w:vAlign w:val="top"/>
          </w:tcPr>
          <w:p w14:paraId="4A534EE9">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0.035%</w:t>
            </w:r>
          </w:p>
        </w:tc>
      </w:tr>
      <w:tr w14:paraId="04FB0C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13176A0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10～50亿元</w:t>
            </w:r>
          </w:p>
        </w:tc>
        <w:tc>
          <w:tcPr>
            <w:tcW w:w="1659" w:type="dxa"/>
            <w:noWrap w:val="0"/>
            <w:vAlign w:val="top"/>
          </w:tcPr>
          <w:p w14:paraId="7956B61B">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0.008%</w:t>
            </w:r>
          </w:p>
        </w:tc>
        <w:tc>
          <w:tcPr>
            <w:tcW w:w="1532" w:type="dxa"/>
            <w:noWrap w:val="0"/>
            <w:vAlign w:val="top"/>
          </w:tcPr>
          <w:p w14:paraId="323AE650">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0.008%</w:t>
            </w:r>
          </w:p>
        </w:tc>
        <w:tc>
          <w:tcPr>
            <w:tcW w:w="1546" w:type="dxa"/>
            <w:noWrap w:val="0"/>
            <w:vAlign w:val="top"/>
          </w:tcPr>
          <w:p w14:paraId="72B3094C">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0.008%</w:t>
            </w:r>
          </w:p>
        </w:tc>
      </w:tr>
      <w:tr w14:paraId="712A82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56365E3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50～100亿元</w:t>
            </w:r>
          </w:p>
        </w:tc>
        <w:tc>
          <w:tcPr>
            <w:tcW w:w="1659" w:type="dxa"/>
            <w:noWrap w:val="0"/>
            <w:vAlign w:val="top"/>
          </w:tcPr>
          <w:p w14:paraId="3A8C7C76">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0.006%</w:t>
            </w:r>
          </w:p>
        </w:tc>
        <w:tc>
          <w:tcPr>
            <w:tcW w:w="1532" w:type="dxa"/>
            <w:noWrap w:val="0"/>
            <w:vAlign w:val="top"/>
          </w:tcPr>
          <w:p w14:paraId="7846B19F">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0.006%</w:t>
            </w:r>
          </w:p>
        </w:tc>
        <w:tc>
          <w:tcPr>
            <w:tcW w:w="1546" w:type="dxa"/>
            <w:noWrap w:val="0"/>
            <w:vAlign w:val="top"/>
          </w:tcPr>
          <w:p w14:paraId="3358F52B">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0.006%</w:t>
            </w:r>
          </w:p>
        </w:tc>
      </w:tr>
      <w:tr w14:paraId="4339F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472" w:type="dxa"/>
            <w:noWrap w:val="0"/>
            <w:vAlign w:val="top"/>
          </w:tcPr>
          <w:p w14:paraId="07B059A0">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100亿</w:t>
            </w:r>
            <w:r>
              <w:rPr>
                <w:rFonts w:hint="eastAsia" w:ascii="宋体" w:hAnsi="宋体" w:eastAsia="宋体" w:cs="宋体"/>
                <w:color w:val="auto"/>
                <w:szCs w:val="21"/>
                <w:highlight w:val="none"/>
                <w:lang w:val="en-US" w:eastAsia="zh-CN"/>
              </w:rPr>
              <w:t>元</w:t>
            </w:r>
            <w:r>
              <w:rPr>
                <w:rFonts w:hint="eastAsia" w:ascii="宋体" w:hAnsi="宋体" w:eastAsia="宋体" w:cs="宋体"/>
                <w:color w:val="auto"/>
                <w:szCs w:val="21"/>
                <w:highlight w:val="none"/>
              </w:rPr>
              <w:t>以上</w:t>
            </w:r>
          </w:p>
        </w:tc>
        <w:tc>
          <w:tcPr>
            <w:tcW w:w="1659" w:type="dxa"/>
            <w:noWrap w:val="0"/>
            <w:vAlign w:val="top"/>
          </w:tcPr>
          <w:p w14:paraId="6768A634">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0.004%</w:t>
            </w:r>
          </w:p>
        </w:tc>
        <w:tc>
          <w:tcPr>
            <w:tcW w:w="1532" w:type="dxa"/>
            <w:noWrap w:val="0"/>
            <w:vAlign w:val="top"/>
          </w:tcPr>
          <w:p w14:paraId="35C50519">
            <w:pPr>
              <w:spacing w:line="360" w:lineRule="auto"/>
              <w:ind w:firstLine="210" w:firstLineChars="10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0.004%</w:t>
            </w:r>
          </w:p>
        </w:tc>
        <w:tc>
          <w:tcPr>
            <w:tcW w:w="1546" w:type="dxa"/>
            <w:noWrap w:val="0"/>
            <w:vAlign w:val="top"/>
          </w:tcPr>
          <w:p w14:paraId="04AAB3A1">
            <w:pPr>
              <w:spacing w:line="360" w:lineRule="auto"/>
              <w:ind w:firstLine="105" w:firstLineChars="50"/>
              <w:rPr>
                <w:rFonts w:hint="eastAsia" w:ascii="宋体" w:hAnsi="宋体" w:eastAsia="宋体" w:cs="宋体"/>
                <w:color w:val="auto"/>
                <w:szCs w:val="21"/>
                <w:highlight w:val="none"/>
              </w:rPr>
            </w:pPr>
            <w:r>
              <w:rPr>
                <w:rFonts w:hint="eastAsia" w:ascii="宋体" w:hAnsi="宋体" w:eastAsia="宋体" w:cs="宋体"/>
                <w:color w:val="auto"/>
                <w:szCs w:val="21"/>
                <w:highlight w:val="none"/>
              </w:rPr>
              <w:t>0.004%</w:t>
            </w:r>
          </w:p>
        </w:tc>
      </w:tr>
    </w:tbl>
    <w:p w14:paraId="6C0DEE4C">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注：</w:t>
      </w:r>
    </w:p>
    <w:p w14:paraId="0B6E6D81">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（1）按本表费率计算的收费为采购代理的收费基准价格；</w:t>
      </w:r>
    </w:p>
    <w:p w14:paraId="714A92E1">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（2）采购代理收费按差额定率累进法计算。</w:t>
      </w:r>
    </w:p>
    <w:p w14:paraId="43096BB3">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例如：某服务采购代理业务成交金额或者暂定价为150万元，计算采购代理收费额如下：</w:t>
      </w:r>
    </w:p>
    <w:p w14:paraId="34697BF8">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100 万元 ×l.5 ％＝ 1.5 万元</w:t>
      </w:r>
    </w:p>
    <w:p w14:paraId="2F494115">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 150 － 100 ）万元 ×0.8％＝ 0.4万元</w:t>
      </w:r>
    </w:p>
    <w:p w14:paraId="0F124E70">
      <w:pPr>
        <w:ind w:firstLine="420" w:firstLineChars="200"/>
        <w:rPr>
          <w:rFonts w:hint="eastAsia" w:ascii="宋体" w:hAnsi="宋体" w:eastAsia="宋体" w:cs="宋体"/>
          <w:color w:val="auto"/>
          <w:highlight w:val="none"/>
          <w:lang w:val="en-US" w:eastAsia="zh-CN"/>
        </w:rPr>
      </w:pPr>
      <w:r>
        <w:rPr>
          <w:rFonts w:hint="eastAsia" w:ascii="宋体" w:hAnsi="宋体" w:eastAsia="宋体" w:cs="宋体"/>
          <w:color w:val="auto"/>
          <w:highlight w:val="none"/>
        </w:rPr>
        <w:t>合计收费＝ 1.5 ＋ 0.4＝ 1.9 万元</w:t>
      </w:r>
    </w:p>
    <w:p w14:paraId="6455E859">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3</w:t>
      </w:r>
      <w:r>
        <w:rPr>
          <w:rFonts w:hint="eastAsia" w:ascii="黑体" w:hAnsi="黑体" w:eastAsia="黑体" w:cs="宋体"/>
          <w:b/>
          <w:bCs/>
          <w:color w:val="auto"/>
          <w:sz w:val="24"/>
          <w:highlight w:val="none"/>
          <w:lang w:val="en-US" w:eastAsia="zh-CN"/>
        </w:rPr>
        <w:t>3</w:t>
      </w:r>
      <w:r>
        <w:rPr>
          <w:rFonts w:ascii="黑体" w:hAnsi="黑体" w:eastAsia="黑体" w:cs="宋体"/>
          <w:b/>
          <w:bCs/>
          <w:color w:val="auto"/>
          <w:sz w:val="24"/>
          <w:highlight w:val="none"/>
        </w:rPr>
        <w:t>.需要补充的其他内容</w:t>
      </w:r>
    </w:p>
    <w:p w14:paraId="24FE8354">
      <w:pPr>
        <w:spacing w:line="360" w:lineRule="auto"/>
        <w:ind w:firstLine="420" w:firstLineChars="20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.1本磋商文件解释规则详见“供应商须知前附表”。</w:t>
      </w:r>
    </w:p>
    <w:p w14:paraId="11C7AB66">
      <w:pPr>
        <w:spacing w:line="360" w:lineRule="auto"/>
        <w:ind w:firstLine="420" w:firstLineChars="20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.2 其他事项详见“供应商须知前附表”。</w:t>
      </w:r>
    </w:p>
    <w:p w14:paraId="132DBCAB">
      <w:pPr>
        <w:spacing w:line="360" w:lineRule="auto"/>
        <w:ind w:firstLine="420" w:firstLineChars="20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3本文件所称中小企业，是指在中华人民共和国境内依法设立，依据国务院批准的中小企业划分标准确定的中型企业、小型企业和微型企业，但与大企业的负责人为同一人，或者与大企业存在直接控股、管理关系的除外。符合中小企业划分标准的个体工商户，在政府采购活动中视同中小企业。在政府采购活动中，供应商提供的</w:t>
      </w:r>
      <w:r>
        <w:rPr>
          <w:rFonts w:hint="eastAsia" w:ascii="宋体" w:hAnsi="宋体" w:eastAsia="宋体" w:cs="宋体"/>
          <w:color w:val="auto"/>
          <w:kern w:val="0"/>
          <w:szCs w:val="21"/>
          <w:highlight w:val="none"/>
        </w:rPr>
        <w:t>服务由中小企业承接，即提供服务的人员为中小企业依照《中华人民共和国劳动合同法》订立劳动合同的从业人员，不对其中涉及的货物的制造商和工程承建商作出要求的</w:t>
      </w:r>
      <w:r>
        <w:rPr>
          <w:rFonts w:hint="eastAsia" w:ascii="宋体" w:hAnsi="宋体" w:eastAsia="宋体" w:cs="宋体"/>
          <w:color w:val="auto"/>
          <w:szCs w:val="21"/>
          <w:highlight w:val="none"/>
        </w:rPr>
        <w:t>，享受本文件规定的中小企业扶持政策。</w:t>
      </w:r>
    </w:p>
    <w:p w14:paraId="357D99B3">
      <w:pPr>
        <w:spacing w:line="360" w:lineRule="auto"/>
        <w:ind w:firstLine="420" w:firstLineChars="20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以联合体形式参加政府采购活动，联合体各方均为中小企业的，联合体视同中小企业。其中，联合体各方均为小微企业的，联合体视同小微企业。</w:t>
      </w:r>
    </w:p>
    <w:p w14:paraId="3A08E5F3">
      <w:pPr>
        <w:spacing w:line="360" w:lineRule="auto"/>
        <w:ind w:firstLine="420" w:firstLineChars="200"/>
        <w:textAlignment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依据本文件规定享受扶持政策获得政府采购合同的，小微企业不得将合同分包给大中型企业，中型企业不得将合同分包给大型企业。</w:t>
      </w:r>
    </w:p>
    <w:p w14:paraId="52F98716">
      <w:pPr>
        <w:spacing w:line="360" w:lineRule="auto"/>
        <w:ind w:firstLine="420" w:firstLineChars="200"/>
        <w:textAlignment w:val="center"/>
        <w:rPr>
          <w:rFonts w:hint="eastAsia"/>
          <w:color w:val="auto"/>
          <w:highlight w:val="none"/>
        </w:rPr>
      </w:pPr>
      <w:r>
        <w:rPr>
          <w:rFonts w:hint="eastAsia" w:ascii="宋体" w:hAnsi="宋体" w:eastAsia="宋体" w:cs="宋体"/>
          <w:color w:val="auto"/>
          <w:szCs w:val="21"/>
          <w:highlight w:val="none"/>
          <w:lang w:val="en-US" w:eastAsia="zh-CN"/>
        </w:rPr>
        <w:t xml:space="preserve">33.4 </w:t>
      </w:r>
      <w:r>
        <w:rPr>
          <w:rFonts w:hint="eastAsia" w:ascii="宋体" w:hAnsi="宋体" w:eastAsia="宋体" w:cs="宋体"/>
          <w:color w:val="auto"/>
          <w:szCs w:val="21"/>
          <w:highlight w:val="none"/>
        </w:rPr>
        <w:t>本国产品标准适用于货物，包括政府采购货物项目和服务项目中涉及的货物。适用本国产品标准的货物具体是指《政府采购品目分类目录》中的货物类产品，但不包括其中的房屋和构筑物，文物和陈列品，图书和档案，特种动植物，农林牧渔业产品，矿与矿物，电力、城市燃气、蒸汽和热水、水，食品、饮料和烟草原料，无形资产。</w:t>
      </w:r>
    </w:p>
    <w:p w14:paraId="56EB61E6">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3</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rPr>
        <w:t>. 广西线上</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政采贷</w:t>
      </w:r>
      <w:r>
        <w:rPr>
          <w:rFonts w:hint="eastAsia" w:ascii="宋体" w:hAnsi="宋体" w:eastAsia="宋体" w:cs="宋体"/>
          <w:color w:val="auto"/>
          <w:sz w:val="24"/>
          <w:highlight w:val="none"/>
          <w:lang w:val="en-US" w:eastAsia="zh-CN"/>
        </w:rPr>
        <w:t>”</w:t>
      </w:r>
      <w:r>
        <w:rPr>
          <w:rFonts w:hint="eastAsia" w:ascii="宋体" w:hAnsi="宋体" w:eastAsia="宋体" w:cs="宋体"/>
          <w:color w:val="auto"/>
          <w:sz w:val="24"/>
          <w:szCs w:val="24"/>
          <w:highlight w:val="none"/>
        </w:rPr>
        <w:t>政策告知函</w:t>
      </w:r>
    </w:p>
    <w:p w14:paraId="71FB45E8">
      <w:pPr>
        <w:spacing w:line="580" w:lineRule="exact"/>
        <w:jc w:val="center"/>
        <w:rPr>
          <w:rFonts w:hint="eastAsia" w:ascii="宋体" w:hAnsi="宋体" w:eastAsia="宋体" w:cs="宋体"/>
          <w:color w:val="auto"/>
          <w:sz w:val="32"/>
          <w:szCs w:val="32"/>
          <w:highlight w:val="none"/>
        </w:rPr>
      </w:pPr>
    </w:p>
    <w:p w14:paraId="1354D35B">
      <w:pPr>
        <w:spacing w:line="580" w:lineRule="exact"/>
        <w:ind w:firstLine="0" w:firstLineChars="0"/>
        <w:jc w:val="center"/>
        <w:rPr>
          <w:rFonts w:hint="eastAsia" w:ascii="宋体" w:hAnsi="宋体" w:cs="宋体"/>
          <w:color w:val="auto"/>
          <w:szCs w:val="32"/>
          <w:highlight w:val="none"/>
        </w:rPr>
      </w:pPr>
      <w:r>
        <w:rPr>
          <w:rFonts w:hint="eastAsia" w:ascii="宋体" w:hAnsi="宋体" w:eastAsia="宋体" w:cs="宋体"/>
          <w:color w:val="auto"/>
          <w:sz w:val="32"/>
          <w:szCs w:val="32"/>
          <w:highlight w:val="none"/>
        </w:rPr>
        <w:t>广西线上“政采贷”政策告知函</w:t>
      </w:r>
    </w:p>
    <w:p w14:paraId="2B15A118">
      <w:pPr>
        <w:spacing w:line="580" w:lineRule="exact"/>
        <w:rPr>
          <w:rFonts w:hint="eastAsia" w:ascii="宋体" w:hAnsi="宋体" w:cs="宋体"/>
          <w:color w:val="auto"/>
          <w:szCs w:val="21"/>
          <w:highlight w:val="none"/>
        </w:rPr>
      </w:pPr>
      <w:r>
        <w:rPr>
          <w:rFonts w:hint="eastAsia" w:ascii="宋体" w:hAnsi="宋体" w:cs="宋体"/>
          <w:color w:val="auto"/>
          <w:szCs w:val="21"/>
          <w:highlight w:val="none"/>
        </w:rPr>
        <w:t>各供应商：</w:t>
      </w:r>
    </w:p>
    <w:p w14:paraId="0518AC57">
      <w:pPr>
        <w:spacing w:line="580" w:lineRule="exact"/>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欢迎贵公司参与广西政府采购活动！</w:t>
      </w:r>
    </w:p>
    <w:p w14:paraId="691DE172">
      <w:pPr>
        <w:spacing w:line="580" w:lineRule="exact"/>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线上“政采贷”是人民银行南宁中心支行和自治区财政厅共同支持企业发展，针对参与政府采购活动的企业融资难、融资贵、融资慢、融资繁问题推出的一项融资政策。贵公司若成为本次政府采购项目的中标（成交）供应商，可持政府采购合同在线向</w:t>
      </w:r>
      <w:r>
        <w:rPr>
          <w:rFonts w:hint="eastAsia" w:ascii="宋体" w:hAnsi="宋体" w:eastAsia="宋体" w:cs="宋体"/>
          <w:color w:val="auto"/>
          <w:kern w:val="2"/>
          <w:sz w:val="21"/>
          <w:szCs w:val="21"/>
          <w:highlight w:val="none"/>
          <w:lang w:val="en-US" w:eastAsia="zh-CN" w:bidi="ar-SA"/>
        </w:rPr>
        <w:t>银行业金融机构</w:t>
      </w:r>
      <w:r>
        <w:rPr>
          <w:rFonts w:hint="eastAsia" w:ascii="宋体" w:hAnsi="宋体" w:cs="宋体"/>
          <w:color w:val="auto"/>
          <w:szCs w:val="21"/>
          <w:highlight w:val="none"/>
        </w:rPr>
        <w:t>申请贷款，融资机构将根据《中国人民银行南宁中心支行 广西壮族自治区财政厅关于推广线上“政采贷”融资模式的通知》（南宁银发〔2021〕</w:t>
      </w:r>
      <w:r>
        <w:rPr>
          <w:rFonts w:hint="eastAsia" w:ascii="宋体" w:hAnsi="宋体" w:cs="宋体"/>
          <w:color w:val="auto"/>
          <w:szCs w:val="21"/>
          <w:highlight w:val="none"/>
          <w:lang w:val="en-US" w:eastAsia="zh-CN"/>
        </w:rPr>
        <w:t>258</w:t>
      </w:r>
      <w:r>
        <w:rPr>
          <w:rFonts w:hint="eastAsia" w:ascii="宋体" w:hAnsi="宋体" w:cs="宋体"/>
          <w:color w:val="auto"/>
          <w:szCs w:val="21"/>
          <w:highlight w:val="none"/>
        </w:rPr>
        <w:t>号），按照双方自愿的原则提供便捷、优惠的贷款服务。</w:t>
      </w:r>
    </w:p>
    <w:p w14:paraId="66396832">
      <w:pPr>
        <w:spacing w:line="580" w:lineRule="exact"/>
        <w:ind w:firstLine="420" w:firstLineChars="200"/>
        <w:rPr>
          <w:rFonts w:hint="eastAsia" w:ascii="宋体" w:hAnsi="宋体" w:cs="宋体"/>
          <w:color w:val="auto"/>
          <w:szCs w:val="21"/>
          <w:highlight w:val="none"/>
          <w:lang w:eastAsia="zh-CN"/>
        </w:rPr>
      </w:pPr>
      <w:r>
        <w:rPr>
          <w:rFonts w:hint="eastAsia" w:ascii="宋体" w:hAnsi="宋体" w:cs="宋体"/>
          <w:color w:val="auto"/>
          <w:szCs w:val="21"/>
          <w:highlight w:val="none"/>
        </w:rPr>
        <w:t>相关金融产品和</w:t>
      </w:r>
      <w:r>
        <w:rPr>
          <w:rFonts w:hint="eastAsia" w:ascii="宋体" w:hAnsi="宋体" w:eastAsia="宋体" w:cs="宋体"/>
          <w:color w:val="auto"/>
          <w:kern w:val="2"/>
          <w:sz w:val="21"/>
          <w:szCs w:val="21"/>
          <w:highlight w:val="none"/>
          <w:lang w:val="en-US" w:eastAsia="zh-CN" w:bidi="ar-SA"/>
        </w:rPr>
        <w:t>银行业金融机构</w:t>
      </w:r>
      <w:r>
        <w:rPr>
          <w:rFonts w:hint="eastAsia" w:ascii="宋体" w:hAnsi="宋体" w:cs="宋体"/>
          <w:color w:val="auto"/>
          <w:szCs w:val="21"/>
          <w:highlight w:val="none"/>
        </w:rPr>
        <w:t>联系方式，可在中征应收账款融资服务平台查询</w:t>
      </w:r>
      <w:r>
        <w:rPr>
          <w:rFonts w:hint="eastAsia" w:ascii="宋体" w:hAnsi="宋体" w:cs="宋体"/>
          <w:color w:val="auto"/>
          <w:szCs w:val="21"/>
          <w:highlight w:val="none"/>
          <w:lang w:eastAsia="zh-CN"/>
        </w:rPr>
        <w:t>（网址：</w:t>
      </w:r>
      <w:r>
        <w:rPr>
          <w:rFonts w:hint="eastAsia" w:ascii="宋体" w:hAnsi="宋体" w:cs="宋体"/>
          <w:color w:val="auto"/>
          <w:szCs w:val="21"/>
          <w:highlight w:val="none"/>
          <w:lang w:eastAsia="zh-CN"/>
        </w:rPr>
        <w:fldChar w:fldCharType="begin"/>
      </w:r>
      <w:r>
        <w:rPr>
          <w:rFonts w:hint="eastAsia" w:ascii="宋体" w:hAnsi="宋体" w:cs="宋体"/>
          <w:color w:val="auto"/>
          <w:szCs w:val="21"/>
          <w:highlight w:val="none"/>
          <w:lang w:eastAsia="zh-CN"/>
        </w:rPr>
        <w:instrText xml:space="preserve"> HYPERLINK "https://www.crcrfsp.com/" </w:instrText>
      </w:r>
      <w:r>
        <w:rPr>
          <w:rFonts w:hint="eastAsia" w:ascii="宋体" w:hAnsi="宋体" w:cs="宋体"/>
          <w:color w:val="auto"/>
          <w:szCs w:val="21"/>
          <w:highlight w:val="none"/>
          <w:lang w:eastAsia="zh-CN"/>
        </w:rPr>
        <w:fldChar w:fldCharType="separate"/>
      </w:r>
      <w:r>
        <w:rPr>
          <w:rStyle w:val="34"/>
          <w:rFonts w:hint="eastAsia" w:ascii="宋体" w:hAnsi="宋体" w:eastAsia="宋体" w:cs="宋体"/>
          <w:color w:val="auto"/>
          <w:szCs w:val="21"/>
          <w:highlight w:val="none"/>
          <w:lang w:eastAsia="zh-CN"/>
        </w:rPr>
        <w:t>https://www.crcrfsp.com/</w:t>
      </w:r>
      <w:r>
        <w:rPr>
          <w:rFonts w:hint="eastAsia" w:ascii="宋体" w:hAnsi="宋体" w:cs="宋体"/>
          <w:color w:val="auto"/>
          <w:szCs w:val="21"/>
          <w:highlight w:val="none"/>
          <w:lang w:eastAsia="zh-CN"/>
        </w:rPr>
        <w:fldChar w:fldCharType="end"/>
      </w:r>
      <w:r>
        <w:rPr>
          <w:rFonts w:hint="eastAsia" w:ascii="宋体" w:hAnsi="宋体" w:cs="宋体"/>
          <w:color w:val="auto"/>
          <w:szCs w:val="21"/>
          <w:highlight w:val="none"/>
          <w:lang w:eastAsia="zh-CN"/>
        </w:rPr>
        <w:t>，客服电话：</w:t>
      </w:r>
      <w:r>
        <w:rPr>
          <w:rFonts w:hint="eastAsia" w:ascii="宋体" w:hAnsi="宋体" w:cs="宋体"/>
          <w:color w:val="auto"/>
          <w:szCs w:val="21"/>
          <w:highlight w:val="none"/>
          <w:lang w:val="en-US" w:eastAsia="zh-CN"/>
        </w:rPr>
        <w:t>400-009-0001</w:t>
      </w:r>
      <w:r>
        <w:rPr>
          <w:rFonts w:hint="eastAsia" w:ascii="宋体" w:hAnsi="宋体" w:cs="宋体"/>
          <w:color w:val="auto"/>
          <w:szCs w:val="21"/>
          <w:highlight w:val="none"/>
          <w:lang w:eastAsia="zh-CN"/>
        </w:rPr>
        <w:t>）。</w:t>
      </w:r>
    </w:p>
    <w:p w14:paraId="0F56D100">
      <w:pPr>
        <w:pStyle w:val="20"/>
        <w:rPr>
          <w:rFonts w:hint="eastAsia" w:ascii="宋体" w:hAnsi="宋体" w:cs="宋体"/>
          <w:color w:val="auto"/>
          <w:szCs w:val="21"/>
          <w:highlight w:val="none"/>
          <w:lang w:eastAsia="zh-CN"/>
        </w:rPr>
      </w:pPr>
      <w:r>
        <w:rPr>
          <w:rFonts w:hint="eastAsia" w:ascii="宋体" w:hAnsi="宋体" w:cs="宋体"/>
          <w:color w:val="auto"/>
          <w:szCs w:val="21"/>
          <w:highlight w:val="none"/>
          <w:lang w:eastAsia="zh-CN"/>
        </w:rPr>
        <w:br w:type="page"/>
      </w:r>
    </w:p>
    <w:p w14:paraId="4F0BBCFE">
      <w:pPr>
        <w:spacing w:line="360" w:lineRule="auto"/>
        <w:ind w:firstLine="400" w:firstLineChars="200"/>
        <w:textAlignment w:val="center"/>
        <w:rPr>
          <w:rFonts w:hAnsi="Courier New"/>
          <w:color w:val="auto"/>
          <w:kern w:val="0"/>
          <w:sz w:val="20"/>
          <w:szCs w:val="21"/>
          <w:highlight w:val="none"/>
        </w:rPr>
      </w:pPr>
    </w:p>
    <w:p w14:paraId="3503520C">
      <w:pPr>
        <w:pStyle w:val="3"/>
        <w:jc w:val="center"/>
        <w:rPr>
          <w:rFonts w:hint="eastAsia" w:ascii="Calibri" w:hAnsi="Calibri"/>
          <w:color w:val="auto"/>
          <w:highlight w:val="none"/>
        </w:rPr>
      </w:pPr>
      <w:bookmarkStart w:id="96" w:name="_Toc8593"/>
      <w:bookmarkStart w:id="97" w:name="_Toc17511"/>
      <w:bookmarkStart w:id="98" w:name="_Toc8412"/>
      <w:bookmarkStart w:id="99" w:name="_Toc3879"/>
      <w:bookmarkStart w:id="100" w:name="_Toc1088"/>
      <w:bookmarkStart w:id="101" w:name="_Toc3976"/>
      <w:bookmarkStart w:id="102" w:name="_Toc80886937"/>
      <w:bookmarkStart w:id="103" w:name="_Toc28979"/>
      <w:r>
        <w:rPr>
          <w:rFonts w:hint="eastAsia" w:ascii="Calibri" w:hAnsi="Calibri"/>
          <w:color w:val="auto"/>
          <w:highlight w:val="none"/>
        </w:rPr>
        <w:t>第四章 评审程序、评审方法和评审标准</w:t>
      </w:r>
      <w:bookmarkEnd w:id="96"/>
      <w:bookmarkEnd w:id="97"/>
      <w:bookmarkEnd w:id="98"/>
      <w:bookmarkEnd w:id="99"/>
      <w:bookmarkEnd w:id="100"/>
      <w:bookmarkEnd w:id="101"/>
      <w:bookmarkEnd w:id="102"/>
      <w:bookmarkEnd w:id="103"/>
    </w:p>
    <w:p w14:paraId="5403DA62">
      <w:pPr>
        <w:pStyle w:val="4"/>
        <w:jc w:val="center"/>
        <w:rPr>
          <w:rFonts w:hint="eastAsia" w:ascii="宋体" w:hAnsi="宋体"/>
          <w:b w:val="0"/>
          <w:color w:val="auto"/>
          <w:highlight w:val="none"/>
        </w:rPr>
      </w:pPr>
      <w:bookmarkStart w:id="104" w:name="_Toc80886938"/>
      <w:bookmarkStart w:id="105" w:name="_Toc11607"/>
      <w:bookmarkStart w:id="106" w:name="_Toc17424"/>
      <w:r>
        <w:rPr>
          <w:rFonts w:hint="eastAsia" w:ascii="宋体" w:hAnsi="宋体"/>
          <w:b w:val="0"/>
          <w:color w:val="auto"/>
          <w:highlight w:val="none"/>
        </w:rPr>
        <w:t>第一节 评审程序和评审方法</w:t>
      </w:r>
      <w:bookmarkEnd w:id="104"/>
      <w:bookmarkEnd w:id="105"/>
      <w:bookmarkEnd w:id="106"/>
    </w:p>
    <w:p w14:paraId="4DF2CE90">
      <w:pPr>
        <w:spacing w:line="360" w:lineRule="auto"/>
        <w:ind w:firstLine="482" w:firstLineChars="200"/>
        <w:rPr>
          <w:rFonts w:ascii="黑体" w:hAnsi="黑体" w:eastAsia="黑体" w:cs="宋体"/>
          <w:b/>
          <w:bCs/>
          <w:color w:val="auto"/>
          <w:sz w:val="24"/>
          <w:highlight w:val="none"/>
        </w:rPr>
      </w:pPr>
      <w:r>
        <w:rPr>
          <w:rFonts w:ascii="黑体" w:hAnsi="黑体" w:eastAsia="黑体" w:cs="宋体"/>
          <w:b/>
          <w:bCs/>
          <w:color w:val="auto"/>
          <w:sz w:val="24"/>
          <w:highlight w:val="none"/>
        </w:rPr>
        <w:t>1</w:t>
      </w:r>
      <w:r>
        <w:rPr>
          <w:rFonts w:hint="eastAsia" w:ascii="黑体" w:hAnsi="黑体" w:eastAsia="黑体" w:cs="宋体"/>
          <w:b/>
          <w:bCs/>
          <w:color w:val="auto"/>
          <w:sz w:val="24"/>
          <w:highlight w:val="none"/>
        </w:rPr>
        <w:t>.确认磋商文件</w:t>
      </w:r>
    </w:p>
    <w:p w14:paraId="562E061B">
      <w:pPr>
        <w:spacing w:line="360" w:lineRule="auto"/>
        <w:ind w:firstLine="420" w:firstLineChars="200"/>
        <w:rPr>
          <w:rFonts w:hint="eastAsia" w:cs="宋体"/>
          <w:color w:val="auto"/>
          <w:szCs w:val="21"/>
          <w:highlight w:val="none"/>
        </w:rPr>
      </w:pPr>
      <w:r>
        <w:rPr>
          <w:rFonts w:hint="eastAsia" w:cs="宋体"/>
          <w:color w:val="auto"/>
          <w:szCs w:val="21"/>
          <w:highlight w:val="none"/>
        </w:rPr>
        <w:t>由磋商小组确认磋商文件。</w:t>
      </w:r>
    </w:p>
    <w:p w14:paraId="370665BA">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2.资格审查</w:t>
      </w:r>
    </w:p>
    <w:p w14:paraId="1BA64E6C">
      <w:pPr>
        <w:snapToGrid w:val="0"/>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2.1响应文件开启后，磋商小组依法对供应商的资格文件进行审查。</w:t>
      </w:r>
    </w:p>
    <w:p w14:paraId="4E1EC059">
      <w:pPr>
        <w:snapToGrid w:val="0"/>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注：采购人代表或者采购代理机构在资格审查结束前，对供应商进行信用查询。</w:t>
      </w:r>
    </w:p>
    <w:p w14:paraId="74829A2E">
      <w:pPr>
        <w:snapToGrid w:val="0"/>
        <w:spacing w:line="360"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（1）查询渠道：</w:t>
      </w:r>
      <w:r>
        <w:rPr>
          <w:rFonts w:hint="eastAsia" w:ascii="宋体" w:hAnsi="宋体" w:cs="宋体"/>
          <w:b w:val="0"/>
          <w:bCs w:val="0"/>
          <w:color w:val="auto"/>
          <w:sz w:val="21"/>
          <w:szCs w:val="21"/>
          <w:highlight w:val="none"/>
          <w:lang w:val="en-US" w:eastAsia="zh-CN"/>
        </w:rPr>
        <w:t>广西政府采购云平台</w:t>
      </w:r>
      <w:r>
        <w:rPr>
          <w:rFonts w:hint="eastAsia" w:ascii="宋体" w:hAnsi="宋体" w:eastAsia="宋体" w:cs="宋体"/>
          <w:color w:val="auto"/>
          <w:szCs w:val="21"/>
          <w:highlight w:val="none"/>
        </w:rPr>
        <w:t>“信用中国”网站(</w:t>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"http://www.creditchina.gov.cn" </w:instrText>
      </w:r>
      <w:r>
        <w:rPr>
          <w:rFonts w:hint="eastAsia" w:ascii="宋体" w:hAnsi="宋体" w:eastAsia="宋体" w:cs="宋体"/>
          <w:color w:val="auto"/>
          <w:szCs w:val="21"/>
          <w:highlight w:val="none"/>
        </w:rPr>
        <w:fldChar w:fldCharType="separate"/>
      </w:r>
      <w:r>
        <w:rPr>
          <w:rStyle w:val="36"/>
          <w:rFonts w:hint="eastAsia" w:ascii="宋体" w:hAnsi="宋体" w:eastAsia="宋体" w:cs="宋体"/>
          <w:color w:val="auto"/>
          <w:highlight w:val="none"/>
        </w:rPr>
        <w:t>www.creditchina.gov.cn</w:t>
      </w:r>
      <w:r>
        <w:rPr>
          <w:rFonts w:hint="eastAsia" w:ascii="宋体" w:hAnsi="宋体" w:eastAsia="宋体" w:cs="宋体"/>
          <w:color w:val="auto"/>
          <w:szCs w:val="21"/>
          <w:highlight w:val="none"/>
        </w:rPr>
        <w:fldChar w:fldCharType="end"/>
      </w:r>
      <w:r>
        <w:rPr>
          <w:rFonts w:hint="eastAsia" w:ascii="宋体" w:hAnsi="宋体" w:eastAsia="宋体" w:cs="宋体"/>
          <w:color w:val="auto"/>
          <w:szCs w:val="21"/>
          <w:highlight w:val="none"/>
        </w:rPr>
        <w:t>)、中国政府采购网(</w:t>
      </w:r>
      <w:r>
        <w:rPr>
          <w:rFonts w:hint="eastAsia" w:ascii="宋体" w:hAnsi="宋体" w:eastAsia="宋体" w:cs="宋体"/>
          <w:color w:val="auto"/>
          <w:szCs w:val="21"/>
          <w:highlight w:val="none"/>
        </w:rPr>
        <w:fldChar w:fldCharType="begin"/>
      </w:r>
      <w:r>
        <w:rPr>
          <w:rFonts w:hint="eastAsia" w:ascii="宋体" w:hAnsi="宋体" w:eastAsia="宋体" w:cs="宋体"/>
          <w:color w:val="auto"/>
          <w:szCs w:val="21"/>
          <w:highlight w:val="none"/>
        </w:rPr>
        <w:instrText xml:space="preserve"> HYPERLINK "http://www.ccgp.gov.cn" </w:instrText>
      </w:r>
      <w:r>
        <w:rPr>
          <w:rFonts w:hint="eastAsia" w:ascii="宋体" w:hAnsi="宋体" w:eastAsia="宋体" w:cs="宋体"/>
          <w:color w:val="auto"/>
          <w:szCs w:val="21"/>
          <w:highlight w:val="none"/>
        </w:rPr>
        <w:fldChar w:fldCharType="separate"/>
      </w:r>
      <w:r>
        <w:rPr>
          <w:rStyle w:val="36"/>
          <w:rFonts w:hint="eastAsia" w:ascii="宋体" w:hAnsi="宋体" w:eastAsia="宋体" w:cs="宋体"/>
          <w:color w:val="auto"/>
          <w:highlight w:val="none"/>
        </w:rPr>
        <w:t>www.ccgp.gov.cn</w:t>
      </w:r>
      <w:r>
        <w:rPr>
          <w:rFonts w:hint="eastAsia" w:ascii="宋体" w:hAnsi="宋体" w:eastAsia="宋体" w:cs="宋体"/>
          <w:color w:val="auto"/>
          <w:szCs w:val="21"/>
          <w:highlight w:val="none"/>
        </w:rPr>
        <w:fldChar w:fldCharType="end"/>
      </w:r>
      <w:r>
        <w:rPr>
          <w:rFonts w:hint="eastAsia" w:ascii="宋体" w:hAnsi="宋体" w:eastAsia="宋体" w:cs="宋体"/>
          <w:color w:val="auto"/>
          <w:szCs w:val="21"/>
          <w:highlight w:val="none"/>
        </w:rPr>
        <w:t>)链接入口。</w:t>
      </w:r>
    </w:p>
    <w:p w14:paraId="3063944C">
      <w:pPr>
        <w:snapToGrid w:val="0"/>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（2）信用查询截止时点：资格审查结束前。</w:t>
      </w:r>
    </w:p>
    <w:p w14:paraId="1BA471D6">
      <w:pPr>
        <w:snapToGrid w:val="0"/>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查询记录和证据留存方式：在查询网站中直接查询，并将查询结果存为电子文档，作为评审资料保存。</w:t>
      </w:r>
    </w:p>
    <w:p w14:paraId="596030D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（3）信用信息使用规则：对在“信用中国”网站(www.creditchina.gov.cn) 、中国政府采购网(www.ccgp.gov.cn)被列入失信被执行人、</w:t>
      </w:r>
      <w:r>
        <w:rPr>
          <w:rFonts w:hint="eastAsia" w:ascii="宋体" w:hAnsi="宋体" w:eastAsia="宋体" w:cs="宋体"/>
          <w:color w:val="auto"/>
          <w:szCs w:val="21"/>
          <w:highlight w:val="none"/>
          <w:lang w:eastAsia="zh-CN"/>
        </w:rPr>
        <w:t>重大税收违法失信主体</w:t>
      </w:r>
      <w:r>
        <w:rPr>
          <w:rFonts w:hint="eastAsia" w:ascii="宋体" w:hAnsi="宋体" w:eastAsia="宋体" w:cs="宋体"/>
          <w:color w:val="auto"/>
          <w:szCs w:val="21"/>
          <w:highlight w:val="none"/>
        </w:rPr>
        <w:t>、政府采购严重违法失信行为记录名单及其他不符合《中华人民共和国政府采购法》第二十二条规定条件的供应商，资格审查不通过，不得参与政府采购活动。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551C29D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2.2资格审查标准为本磋商文件中载明对供应商资格要求的条件。资格审查采用合格制，凡符合磋商文件规定的供应商资格要求的响应文件均通过资格审查。</w:t>
      </w:r>
    </w:p>
    <w:p w14:paraId="4EFC31B6">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2.3供应商有下列情形之一的，资格审查不通过，其响应文件按无效响应处理：</w:t>
      </w:r>
    </w:p>
    <w:p w14:paraId="56C72836">
      <w:pPr>
        <w:snapToGrid w:val="0"/>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（1）不具备磋商文件中规定的资格要求的；</w:t>
      </w:r>
    </w:p>
    <w:p w14:paraId="00A9EEB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（2）响应文件未提供任一项“供应商须知前附表”资格文件规定的“必须提供”的文件资料的；</w:t>
      </w:r>
    </w:p>
    <w:p w14:paraId="08B856E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（3）响应文件提供的资格文件出现任一项不符合“供应商须知前附表”资格文件规定的“必须提供”的文件资料要求或者无效的。</w:t>
      </w:r>
    </w:p>
    <w:p w14:paraId="42854B52">
      <w:pPr>
        <w:spacing w:line="360" w:lineRule="auto"/>
        <w:ind w:firstLine="420" w:firstLineChars="200"/>
        <w:rPr>
          <w:rFonts w:hint="eastAsia" w:ascii="宋体" w:hAnsi="宋体" w:eastAsia="宋体" w:cs="宋体"/>
          <w:color w:val="auto"/>
          <w:szCs w:val="21"/>
          <w:highlight w:val="none"/>
        </w:rPr>
      </w:pPr>
      <w:bookmarkStart w:id="107" w:name="_Hlk68601553"/>
      <w:r>
        <w:rPr>
          <w:rFonts w:hint="eastAsia" w:ascii="宋体" w:hAnsi="宋体" w:eastAsia="宋体" w:cs="宋体"/>
          <w:color w:val="auto"/>
          <w:szCs w:val="21"/>
          <w:highlight w:val="none"/>
        </w:rPr>
        <w:t>（4）同一合同项下的不同供应商，单位负责人为同一人或者存在直接控股、管理关系的；为本项目提供过整体设计、规范编制或者项目管理、监理、检测等服务的。</w:t>
      </w:r>
      <w:bookmarkEnd w:id="107"/>
    </w:p>
    <w:p w14:paraId="1134F44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2.4通过资格审查的合格供应商不足3家的，不得进入符合性审查环节，采购人或者采购代理机构应当重新开展采购活动。</w:t>
      </w:r>
    </w:p>
    <w:p w14:paraId="05EA0CAF">
      <w:pPr>
        <w:spacing w:line="360" w:lineRule="auto"/>
        <w:ind w:firstLine="482" w:firstLineChars="200"/>
        <w:rPr>
          <w:rFonts w:hint="eastAsia" w:ascii="黑体" w:hAnsi="黑体" w:eastAsia="黑体" w:cs="宋体"/>
          <w:b/>
          <w:bCs/>
          <w:color w:val="auto"/>
          <w:sz w:val="24"/>
          <w:highlight w:val="none"/>
        </w:rPr>
      </w:pPr>
      <w:r>
        <w:rPr>
          <w:rFonts w:hint="eastAsia" w:ascii="黑体" w:hAnsi="黑体" w:eastAsia="黑体" w:cs="宋体"/>
          <w:b/>
          <w:bCs/>
          <w:color w:val="auto"/>
          <w:sz w:val="24"/>
          <w:highlight w:val="none"/>
        </w:rPr>
        <w:t>3.符合性审查</w:t>
      </w:r>
    </w:p>
    <w:p w14:paraId="5301F35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3.1由磋商小组对通过资格审查的合格供应商的响应文件的响应报价、商务、技术等实质性要求进行符合性审查，以确定其是否满足磋商文件的实质性要求。</w:t>
      </w:r>
    </w:p>
    <w:p w14:paraId="3EA5C7A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3.2磋商小组在对响应文件进行符合性审查时，可以要求供应商对响应文件中含义不明确、同类问题表述不一致或者有明显文字和计算错误的内容等作出必要的澄清、说明或者更正。供应商的澄清、说明或者更正不得超出响应文件的范围或者改变响应文件的实质性内容。</w:t>
      </w:r>
    </w:p>
    <w:p w14:paraId="471AA59D">
      <w:pPr>
        <w:spacing w:line="360" w:lineRule="auto"/>
        <w:ind w:firstLine="420" w:firstLineChars="200"/>
        <w:rPr>
          <w:rFonts w:hint="eastAsia" w:ascii="宋体" w:hAnsi="宋体" w:eastAsia="宋体" w:cs="宋体"/>
          <w:color w:val="auto"/>
          <w:spacing w:val="-6"/>
          <w:szCs w:val="21"/>
          <w:highlight w:val="none"/>
        </w:rPr>
      </w:pPr>
      <w:r>
        <w:rPr>
          <w:rFonts w:hint="eastAsia" w:ascii="宋体" w:hAnsi="宋体" w:eastAsia="宋体" w:cs="宋体"/>
          <w:color w:val="auto"/>
          <w:szCs w:val="21"/>
          <w:highlight w:val="none"/>
        </w:rPr>
        <w:t>3.3磋商小组要求供应商澄清、说明或者更正响应文件应当以电子澄清函形式作出。供应商的澄清、说明或者更正应当</w:t>
      </w:r>
      <w:r>
        <w:rPr>
          <w:rFonts w:hint="eastAsia" w:ascii="宋体" w:hAnsi="宋体" w:eastAsia="宋体" w:cs="宋体"/>
          <w:color w:val="auto"/>
          <w:szCs w:val="21"/>
          <w:highlight w:val="none"/>
          <w:lang w:eastAsia="zh-CN"/>
        </w:rPr>
        <w:t>以</w:t>
      </w:r>
      <w:r>
        <w:rPr>
          <w:rFonts w:hint="eastAsia" w:ascii="宋体" w:hAnsi="宋体" w:eastAsia="宋体" w:cs="宋体"/>
          <w:color w:val="auto"/>
          <w:szCs w:val="21"/>
          <w:highlight w:val="none"/>
        </w:rPr>
        <w:t>电子回函形式按照磋商小组的要求作出明确的澄清、说明或者更正，未按磋商小组的要求作出明确澄清、说明或者更正的供应商的响应文件将按照有利于采购人的原则由磋商小组进行判定。供应商的澄清、说明或者更正必须</w:t>
      </w:r>
      <w:r>
        <w:rPr>
          <w:rFonts w:hint="eastAsia" w:ascii="宋体" w:hAnsi="宋体" w:eastAsia="宋体" w:cs="宋体"/>
          <w:b w:val="0"/>
          <w:bCs w:val="0"/>
          <w:color w:val="auto"/>
          <w:sz w:val="21"/>
          <w:szCs w:val="21"/>
          <w:highlight w:val="none"/>
        </w:rPr>
        <w:t>由法定代表人或其授权代表签字或者</w:t>
      </w:r>
      <w:r>
        <w:rPr>
          <w:rFonts w:hint="eastAsia" w:ascii="宋体" w:hAnsi="宋体" w:eastAsia="宋体" w:cs="宋体"/>
          <w:color w:val="auto"/>
          <w:szCs w:val="21"/>
          <w:highlight w:val="none"/>
        </w:rPr>
        <w:t>加盖公章</w:t>
      </w:r>
      <w:r>
        <w:rPr>
          <w:rFonts w:hint="eastAsia" w:ascii="宋体" w:hAnsi="宋体" w:eastAsia="宋体" w:cs="宋体"/>
          <w:color w:val="auto"/>
          <w:spacing w:val="-6"/>
          <w:szCs w:val="21"/>
          <w:highlight w:val="none"/>
        </w:rPr>
        <w:t>。供应商为自然人的，必须由本人签字并附身份证明。</w:t>
      </w:r>
    </w:p>
    <w:p w14:paraId="5BD75F70">
      <w:pPr>
        <w:spacing w:line="360" w:lineRule="auto"/>
        <w:ind w:firstLine="396" w:firstLineChars="200"/>
        <w:rPr>
          <w:rFonts w:hint="eastAsia" w:ascii="宋体" w:hAnsi="宋体" w:eastAsia="宋体" w:cs="宋体"/>
          <w:color w:val="auto"/>
          <w:szCs w:val="21"/>
          <w:highlight w:val="none"/>
        </w:rPr>
      </w:pPr>
      <w:r>
        <w:rPr>
          <w:rFonts w:hint="eastAsia" w:ascii="宋体" w:hAnsi="宋体" w:eastAsia="宋体" w:cs="宋体"/>
          <w:color w:val="auto"/>
          <w:spacing w:val="-6"/>
          <w:szCs w:val="21"/>
          <w:highlight w:val="none"/>
        </w:rPr>
        <w:t>3.4</w:t>
      </w:r>
      <w:r>
        <w:rPr>
          <w:rFonts w:hint="eastAsia" w:ascii="宋体" w:hAnsi="宋体" w:eastAsia="宋体" w:cs="宋体"/>
          <w:color w:val="auto"/>
          <w:szCs w:val="21"/>
          <w:highlight w:val="none"/>
        </w:rPr>
        <w:t xml:space="preserve">首次响应文件报价出现前后不一致的，按照下列规定修正： </w:t>
      </w:r>
    </w:p>
    <w:p w14:paraId="28725AA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（1）响应文件中</w:t>
      </w:r>
      <w:r>
        <w:rPr>
          <w:rFonts w:hint="eastAsia" w:ascii="宋体" w:hAnsi="宋体" w:eastAsia="宋体" w:cs="宋体"/>
          <w:color w:val="auto"/>
          <w:szCs w:val="21"/>
          <w:highlight w:val="none"/>
          <w:lang w:eastAsia="zh-CN"/>
        </w:rPr>
        <w:t>响应</w:t>
      </w:r>
      <w:r>
        <w:rPr>
          <w:rFonts w:hint="eastAsia" w:ascii="宋体" w:hAnsi="宋体" w:eastAsia="宋体" w:cs="宋体"/>
          <w:color w:val="auto"/>
          <w:szCs w:val="21"/>
          <w:highlight w:val="none"/>
        </w:rPr>
        <w:t>报价表内容与响应文件中相应内容不一致的，以</w:t>
      </w:r>
      <w:r>
        <w:rPr>
          <w:rFonts w:hint="eastAsia" w:ascii="宋体" w:hAnsi="宋体" w:eastAsia="宋体" w:cs="宋体"/>
          <w:color w:val="auto"/>
          <w:szCs w:val="21"/>
          <w:highlight w:val="none"/>
          <w:lang w:eastAsia="zh-CN"/>
        </w:rPr>
        <w:t>响应</w:t>
      </w:r>
      <w:r>
        <w:rPr>
          <w:rFonts w:hint="eastAsia" w:ascii="宋体" w:hAnsi="宋体" w:eastAsia="宋体" w:cs="宋体"/>
          <w:color w:val="auto"/>
          <w:szCs w:val="21"/>
          <w:highlight w:val="none"/>
        </w:rPr>
        <w:t>报价表为准；</w:t>
      </w:r>
    </w:p>
    <w:p w14:paraId="404671C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（2）大写金额和小写金额不一致的，以大写金额为准；</w:t>
      </w:r>
    </w:p>
    <w:p w14:paraId="1EE1760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（3）单价金额小数点或者百分比有明显错位的，以</w:t>
      </w:r>
      <w:r>
        <w:rPr>
          <w:rFonts w:hint="eastAsia" w:ascii="宋体" w:hAnsi="宋体" w:eastAsia="宋体" w:cs="宋体"/>
          <w:color w:val="auto"/>
          <w:szCs w:val="21"/>
          <w:highlight w:val="none"/>
          <w:lang w:eastAsia="zh-CN"/>
        </w:rPr>
        <w:t>响应</w:t>
      </w:r>
      <w:r>
        <w:rPr>
          <w:rFonts w:hint="eastAsia" w:ascii="宋体" w:hAnsi="宋体" w:eastAsia="宋体" w:cs="宋体"/>
          <w:color w:val="auto"/>
          <w:szCs w:val="21"/>
          <w:highlight w:val="none"/>
        </w:rPr>
        <w:t>报价表的总价为准，并修改单价；</w:t>
      </w:r>
    </w:p>
    <w:p w14:paraId="0F06AD0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（4）总价金额与按单价汇总金额不一致的，以单价金额计算结果为准。</w:t>
      </w:r>
    </w:p>
    <w:p w14:paraId="0676694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同时出现两种以上不一致的，按照以上（1）-（4）规定的顺序逐条进行修正。修正后的报价经供应商确认后产生约束力，供应商不确认的，其响应文件按无效响应处理。</w:t>
      </w:r>
    </w:p>
    <w:p w14:paraId="26B71F1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3.5商务技术、报价评审</w:t>
      </w:r>
    </w:p>
    <w:p w14:paraId="27D104F9">
      <w:pPr>
        <w:spacing w:line="360" w:lineRule="auto"/>
        <w:ind w:firstLine="422" w:firstLineChars="200"/>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在评审时，如发现下列情形之一的，将被视为响应文件无效处理：</w:t>
      </w:r>
    </w:p>
    <w:p w14:paraId="2EA828D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（1）商务技术评审</w:t>
      </w:r>
    </w:p>
    <w:p w14:paraId="3463C84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1）响应文件未按磋商文件要求签署、盖章；</w:t>
      </w:r>
    </w:p>
    <w:p w14:paraId="4A8D08D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2）委托代理人未能出具有效身份证明或者出具的身份证明与授权委托书中的信息不符； </w:t>
      </w:r>
    </w:p>
    <w:p w14:paraId="53232A7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）未对竞标有效期作出响应或者响应文件承诺的竞标有效期不满足磋商文件要求；</w:t>
      </w:r>
    </w:p>
    <w:p w14:paraId="6CEC7E6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4</w:t>
      </w:r>
      <w:r>
        <w:rPr>
          <w:rFonts w:hint="eastAsia" w:ascii="宋体" w:hAnsi="宋体" w:eastAsia="宋体" w:cs="宋体"/>
          <w:color w:val="auto"/>
          <w:szCs w:val="21"/>
          <w:highlight w:val="none"/>
        </w:rPr>
        <w:t>）响应文件的实质性内容未使用中文表述、使用计量单位不符合磋商文件要求；</w:t>
      </w:r>
    </w:p>
    <w:p w14:paraId="5EF33A5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5</w:t>
      </w:r>
      <w:r>
        <w:rPr>
          <w:rFonts w:hint="eastAsia" w:ascii="宋体" w:hAnsi="宋体" w:eastAsia="宋体" w:cs="宋体"/>
          <w:color w:val="auto"/>
          <w:szCs w:val="21"/>
          <w:highlight w:val="none"/>
        </w:rPr>
        <w:t>）响应文件中的文件资料因填写不齐全或者内容虚假或者出现其他情形而导致被磋商小组认定无效；</w:t>
      </w:r>
    </w:p>
    <w:p w14:paraId="2416ED8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6</w:t>
      </w:r>
      <w:r>
        <w:rPr>
          <w:rFonts w:hint="eastAsia" w:ascii="宋体" w:hAnsi="宋体" w:eastAsia="宋体" w:cs="宋体"/>
          <w:color w:val="auto"/>
          <w:szCs w:val="21"/>
          <w:highlight w:val="none"/>
        </w:rPr>
        <w:t>）响应文件含有采购人不能接受的附加条件；</w:t>
      </w:r>
    </w:p>
    <w:p w14:paraId="5DD46B5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7</w:t>
      </w:r>
      <w:r>
        <w:rPr>
          <w:rFonts w:hint="eastAsia" w:ascii="宋体" w:hAnsi="宋体" w:eastAsia="宋体" w:cs="宋体"/>
          <w:color w:val="auto"/>
          <w:szCs w:val="21"/>
          <w:highlight w:val="none"/>
        </w:rPr>
        <w:t>）属于“供应商须知正文”第7.5条情形；</w:t>
      </w:r>
    </w:p>
    <w:p w14:paraId="4A27A82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8</w:t>
      </w:r>
      <w:r>
        <w:rPr>
          <w:rFonts w:hint="eastAsia" w:ascii="宋体" w:hAnsi="宋体" w:eastAsia="宋体" w:cs="宋体"/>
          <w:color w:val="auto"/>
          <w:szCs w:val="21"/>
          <w:highlight w:val="none"/>
        </w:rPr>
        <w:t>）虚假竞标，或者出现其他情形而导致被磋商小组认定无效；</w:t>
      </w:r>
    </w:p>
    <w:p w14:paraId="535644A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lang w:val="en-US" w:eastAsia="zh-CN"/>
        </w:rPr>
        <w:t>9</w:t>
      </w:r>
      <w:r>
        <w:rPr>
          <w:rFonts w:hint="eastAsia" w:ascii="宋体" w:hAnsi="宋体" w:eastAsia="宋体" w:cs="宋体"/>
          <w:color w:val="auto"/>
          <w:szCs w:val="21"/>
          <w:highlight w:val="none"/>
        </w:rPr>
        <w:t>）竞标技术方案不明确，磋商文件未允许但响应文件中存在一个或者一个以上备选（替代）竞标方案；</w:t>
      </w:r>
    </w:p>
    <w:p w14:paraId="45733CD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en-US" w:eastAsia="zh-CN"/>
        </w:rPr>
        <w:t>0</w:t>
      </w:r>
      <w:r>
        <w:rPr>
          <w:rFonts w:hint="eastAsia" w:ascii="宋体" w:hAnsi="宋体" w:eastAsia="宋体" w:cs="宋体"/>
          <w:color w:val="auto"/>
          <w:szCs w:val="21"/>
          <w:highlight w:val="none"/>
        </w:rPr>
        <w:t>）响应文件标注的项目名称或者项目编号与竞争性磋商文件标注的项目名称或者项目编号不一致的；</w:t>
      </w:r>
    </w:p>
    <w:p w14:paraId="662984E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）未响应磋商文件实质性要求</w:t>
      </w:r>
      <w:r>
        <w:rPr>
          <w:rFonts w:hint="eastAsia" w:ascii="宋体" w:hAnsi="宋体" w:eastAsia="宋体" w:cs="宋体"/>
          <w:color w:val="auto"/>
          <w:szCs w:val="21"/>
          <w:highlight w:val="none"/>
          <w:lang w:val="en-US" w:eastAsia="zh-CN"/>
        </w:rPr>
        <w:t>的</w:t>
      </w:r>
      <w:r>
        <w:rPr>
          <w:rFonts w:hint="eastAsia" w:ascii="宋体" w:hAnsi="宋体" w:eastAsia="宋体" w:cs="宋体"/>
          <w:color w:val="auto"/>
          <w:szCs w:val="21"/>
          <w:highlight w:val="none"/>
        </w:rPr>
        <w:t>；</w:t>
      </w:r>
    </w:p>
    <w:p w14:paraId="2F0E7B90">
      <w:pPr>
        <w:pStyle w:val="13"/>
        <w:ind w:firstLine="420" w:firstLineChars="200"/>
        <w:rPr>
          <w:rFonts w:hint="eastAsia" w:ascii="宋体" w:hAnsi="宋体" w:eastAsia="宋体" w:cs="宋体"/>
          <w:color w:val="auto"/>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）提交的磋商保证金无效的或者未按照磋商文件的规定提交磋商保证金；</w:t>
      </w:r>
    </w:p>
    <w:p w14:paraId="67FF8CE4">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）法律、法规和磋商文件规定的其他无效情形。</w:t>
      </w:r>
    </w:p>
    <w:p w14:paraId="1BFA7DB1">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（2）报价评审</w:t>
      </w:r>
    </w:p>
    <w:p w14:paraId="55FDC4F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 响应文件未提供“供应商须知前附表” 报价文件中规定的“响应报价表”；</w:t>
      </w:r>
    </w:p>
    <w:p w14:paraId="6AD735F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2）未采用人民币报价或者未按照磋商文件标明的币种报价；</w:t>
      </w:r>
    </w:p>
    <w:p w14:paraId="0BE1757D">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供应商未就所竞标分标进行报价或者存在漏项报价；供应商未就所竞标分标的单项内容作唯一报价；供应商未就所竞标分标的全部内容作唯一总价报价；供应商响应文件中存在有选择、有条件报价的（磋商文件允许有备选方案或者其他约定的除外）；</w:t>
      </w:r>
    </w:p>
    <w:p w14:paraId="155A661D">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响应报价（包含首次报价、最后报价）超过所竞标分标规定的采购预算金额或者最高限价的（如本项目公布了最高限价）；响应报价（包含首次报价、最后报价）超过磋商文件分项采购预算金额或者最高限价的（如本项目公布了最高限价）；</w:t>
      </w:r>
    </w:p>
    <w:p w14:paraId="60B495D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修正后的报价，供应商不确认的；或者经供应商确认修正后的响应报价（包含首次报价、最后报价）超过所竞标分标规定的采购预算金额或者最高限价（如本项目公布了最高限价）；或者经供应商确认修正后响应报价（包含首次报价、最后报价）超过磋商文件分项采购预算金额或者最高限价的（如本项目公布了最高限价）。</w:t>
      </w:r>
    </w:p>
    <w:p w14:paraId="183EBBE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6）响应文件响应的标的数量及单位与竞争性磋商文件要求实质性不一致的。</w:t>
      </w:r>
    </w:p>
    <w:p w14:paraId="3F177D5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3.6磋商小组对响应文件进行评审，未实质性响应磋商文件的响应文件按无效处理，磋商小组应当将资格和符合性不通过的情况告知有关供应商。磋商小组从符合磋商文件规定的相应资格条件的供应商名单中确定不少于3家的供应商参加磋商。</w:t>
      </w:r>
    </w:p>
    <w:p w14:paraId="496942A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3.7非政府购买服务项目，通过符合性审查的合格供应商不足3家的，不得进入磋商环节，采购人或者采购代理机构应当重新开展采购活动。政府购买服务项目，按《财政部关于政府采购竞争性磋商采购方式管理暂行办法有关问题的补充通知》（财库〔2015〕124号）规定，采购过程中通过符合性审查的供应商（社会资本）只有2家的，磋商采购活动可以继续进行。</w:t>
      </w:r>
    </w:p>
    <w:p w14:paraId="727645C8">
      <w:pPr>
        <w:ind w:firstLine="482" w:firstLineChars="200"/>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4.磋商程序</w:t>
      </w:r>
    </w:p>
    <w:p w14:paraId="53B21D03">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4.1磋商小组按照“供应商须知前附表”</w:t>
      </w:r>
      <w:r>
        <w:rPr>
          <w:rFonts w:hint="eastAsia" w:ascii="宋体" w:hAnsi="宋体" w:eastAsia="宋体" w:cs="宋体"/>
          <w:color w:val="auto"/>
          <w:szCs w:val="21"/>
          <w:highlight w:val="none"/>
        </w:rPr>
        <w:t xml:space="preserve"> </w:t>
      </w:r>
      <w:r>
        <w:rPr>
          <w:rFonts w:hint="eastAsia" w:ascii="宋体" w:hAnsi="宋体" w:eastAsia="宋体" w:cs="宋体"/>
          <w:color w:val="auto"/>
          <w:kern w:val="0"/>
          <w:szCs w:val="21"/>
          <w:highlight w:val="none"/>
        </w:rPr>
        <w:t>确定的</w:t>
      </w:r>
      <w:r>
        <w:rPr>
          <w:rFonts w:hint="eastAsia" w:ascii="宋体" w:hAnsi="宋体" w:eastAsia="宋体" w:cs="宋体"/>
          <w:color w:val="auto"/>
          <w:szCs w:val="21"/>
          <w:highlight w:val="none"/>
        </w:rPr>
        <w:t>顺序，集中与单一供应商分别进行磋商，并给予所有参加磋商的供应商平等的磋商机会。符合磋商资格的供应商必须在接到磋商通知后规定时间内参加磋商，未在规定时间内参加磋商的视同放弃参加磋商权利，其响应文件按无效响应处理。</w:t>
      </w:r>
    </w:p>
    <w:p w14:paraId="7882E93B">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4.2在磋商过程中，磋商小组可以根据磋商文件和磋商情况实质性变动采购需求中的</w:t>
      </w:r>
      <w:r>
        <w:rPr>
          <w:rFonts w:hint="eastAsia" w:ascii="宋体" w:hAnsi="宋体" w:eastAsia="宋体" w:cs="宋体"/>
          <w:color w:val="auto"/>
          <w:szCs w:val="21"/>
          <w:highlight w:val="none"/>
          <w:lang w:eastAsia="zh-CN"/>
        </w:rPr>
        <w:t>商务</w:t>
      </w:r>
      <w:r>
        <w:rPr>
          <w:rFonts w:hint="eastAsia" w:ascii="宋体" w:hAnsi="宋体" w:eastAsia="宋体" w:cs="宋体"/>
          <w:color w:val="auto"/>
          <w:szCs w:val="21"/>
          <w:highlight w:val="none"/>
        </w:rPr>
        <w:t>、服务要求以及合同草案条款，但不得变动磋商文件中的其他内容。实质性变动的内容，须经采购人代表确认。可能实质性变动的内容为采购需求中的</w:t>
      </w:r>
      <w:r>
        <w:rPr>
          <w:rFonts w:hint="eastAsia" w:ascii="宋体" w:hAnsi="宋体" w:eastAsia="宋体" w:cs="宋体"/>
          <w:color w:val="auto"/>
          <w:szCs w:val="21"/>
          <w:highlight w:val="none"/>
          <w:lang w:eastAsia="zh-CN"/>
        </w:rPr>
        <w:t>商务</w:t>
      </w:r>
      <w:r>
        <w:rPr>
          <w:rFonts w:hint="eastAsia" w:ascii="宋体" w:hAnsi="宋体" w:eastAsia="宋体" w:cs="宋体"/>
          <w:color w:val="auto"/>
          <w:szCs w:val="21"/>
          <w:highlight w:val="none"/>
        </w:rPr>
        <w:t>、服务要求以及合同草案条款。</w:t>
      </w:r>
    </w:p>
    <w:p w14:paraId="315A17BF">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4.3对磋商文件作出的实质性变动是磋商文件的有效组成部分，由磋商小组及时以电子澄清函形式同时通知所有参加磋商的供应商。</w:t>
      </w:r>
    </w:p>
    <w:p w14:paraId="5A460BD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4.4供应商必须按照磋商文件的变动情况和磋商小组的要求以回函的形式重新提交响应文件，并加盖</w:t>
      </w:r>
      <w:r>
        <w:rPr>
          <w:rFonts w:hint="eastAsia" w:ascii="宋体" w:hAnsi="宋体" w:eastAsia="宋体" w:cs="宋体"/>
          <w:color w:val="auto"/>
          <w:szCs w:val="21"/>
          <w:highlight w:val="none"/>
          <w:lang w:eastAsia="zh-CN"/>
        </w:rPr>
        <w:t>供应商</w:t>
      </w:r>
      <w:r>
        <w:rPr>
          <w:rFonts w:hint="eastAsia" w:ascii="宋体" w:hAnsi="宋体" w:eastAsia="宋体" w:cs="宋体"/>
          <w:color w:val="auto"/>
          <w:szCs w:val="21"/>
          <w:highlight w:val="none"/>
        </w:rPr>
        <w:t>公章。供应商为自然人的，必须由本人签字并附身份证明。参加磋商的供应商未在规定时间内重新提交响应文件的，视同退出磋商。</w:t>
      </w:r>
    </w:p>
    <w:p w14:paraId="4613DA13">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4.5磋商中，</w:t>
      </w:r>
      <w:r>
        <w:rPr>
          <w:rFonts w:hint="eastAsia" w:ascii="宋体" w:hAnsi="宋体" w:eastAsia="宋体" w:cs="宋体"/>
          <w:color w:val="auto"/>
          <w:spacing w:val="-6"/>
          <w:szCs w:val="21"/>
          <w:highlight w:val="none"/>
        </w:rPr>
        <w:t>磋商的任何一方不得透露与磋商有关的其他供应商的技术资料、价格和其他信息。</w:t>
      </w:r>
    </w:p>
    <w:p w14:paraId="7DA6DE95">
      <w:pPr>
        <w:pStyle w:val="59"/>
        <w:spacing w:before="0"/>
        <w:ind w:firstLine="396"/>
        <w:rPr>
          <w:rFonts w:hint="eastAsia" w:ascii="宋体" w:hAnsi="宋体" w:eastAsia="宋体" w:cs="宋体"/>
          <w:color w:val="auto"/>
          <w:spacing w:val="-6"/>
          <w:kern w:val="2"/>
          <w:sz w:val="21"/>
          <w:szCs w:val="21"/>
          <w:highlight w:val="none"/>
        </w:rPr>
      </w:pPr>
      <w:r>
        <w:rPr>
          <w:rFonts w:hint="eastAsia" w:ascii="宋体" w:hAnsi="宋体" w:eastAsia="宋体" w:cs="宋体"/>
          <w:color w:val="auto"/>
          <w:szCs w:val="21"/>
          <w:highlight w:val="none"/>
        </w:rPr>
        <w:t>4.6磋商小组应对磋商过程和重要磋商内容进行记录，作为评</w:t>
      </w:r>
      <w:r>
        <w:rPr>
          <w:rFonts w:hint="eastAsia" w:ascii="宋体" w:hAnsi="宋体" w:eastAsia="宋体" w:cs="宋体"/>
          <w:color w:val="auto"/>
          <w:szCs w:val="21"/>
          <w:highlight w:val="none"/>
          <w:lang w:eastAsia="zh-CN"/>
        </w:rPr>
        <w:t>审</w:t>
      </w:r>
      <w:r>
        <w:rPr>
          <w:rFonts w:hint="eastAsia" w:ascii="宋体" w:hAnsi="宋体" w:eastAsia="宋体" w:cs="宋体"/>
          <w:color w:val="auto"/>
          <w:szCs w:val="21"/>
          <w:highlight w:val="none"/>
        </w:rPr>
        <w:t>报告一部分，磋商小组在记录上签字确认。</w:t>
      </w:r>
    </w:p>
    <w:p w14:paraId="2AA475F9">
      <w:pPr>
        <w:widowControl/>
        <w:tabs>
          <w:tab w:val="left" w:pos="540"/>
        </w:tabs>
        <w:spacing w:line="360"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Cs w:val="21"/>
          <w:highlight w:val="none"/>
        </w:rPr>
        <w:t>4.7磋商过程中重新提交的响应文件，供应商可以在开启前补充、修改。</w:t>
      </w:r>
    </w:p>
    <w:p w14:paraId="51365B06">
      <w:pPr>
        <w:tabs>
          <w:tab w:val="left" w:pos="2835"/>
        </w:tabs>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4.8对磋商过程提交的响应文件进行有效性、完整性和响应程度审查，通过审查的合格供应商不足3家的，采购人或者采购代理机构应当重新开展采购活动。</w:t>
      </w:r>
    </w:p>
    <w:p w14:paraId="4EB40DE0">
      <w:pPr>
        <w:ind w:firstLine="200"/>
        <w:rPr>
          <w:rFonts w:hint="eastAsia" w:ascii="宋体" w:hAnsi="宋体" w:eastAsia="宋体" w:cs="宋体"/>
          <w:color w:val="auto"/>
          <w:szCs w:val="21"/>
          <w:highlight w:val="none"/>
        </w:rPr>
      </w:pPr>
      <w:r>
        <w:rPr>
          <w:rFonts w:hint="eastAsia" w:ascii="宋体" w:hAnsi="宋体" w:eastAsia="宋体" w:cs="宋体"/>
          <w:b/>
          <w:bCs/>
          <w:color w:val="auto"/>
          <w:sz w:val="24"/>
          <w:highlight w:val="none"/>
        </w:rPr>
        <w:t>5. 最后报价</w:t>
      </w:r>
    </w:p>
    <w:p w14:paraId="04B6052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5.1磋商文件能够详细列明采购标的的技术、服务要求的，磋商结束后，由磋商小组要求所有继续参加磋商的供应商在规定时间内提交最后报价，除本章第5.3条外，提交最后报价的供应商不得少于3家，否则必须重新采购。</w:t>
      </w:r>
    </w:p>
    <w:p w14:paraId="1A7E4F41">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5.2磋商文件不能详细列明采购标的的技术、服务要求，需经磋商由供应商提供最后设计方案或者解决方案的，磋商结束后，由磋商小组按照少数服从多数的原则投票推荐3家以上供应商的设计方案或者解决方案，并要求其在规定时间内提交最后报价。</w:t>
      </w:r>
    </w:p>
    <w:p w14:paraId="54EC8C0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5.3 最后报价是供应商响应文件的有效组成部分。符合《政府采购竞争性磋商采购方式管理暂行办法》（财库〔2014〕214号）第三条第四项“市场竞争不充分的科研项目，以及需要扶持的科技成果转化项目”的，提交最后报价的供应商可以为2家。</w:t>
      </w:r>
    </w:p>
    <w:p w14:paraId="0EBAE94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5.4已经提交响应文件的供应商，在提交最后报价之前，可以根据磋商情况退出磋商，退出磋商的供应商的响应文件按无效响应处理。</w:t>
      </w:r>
    </w:p>
    <w:p w14:paraId="3DFF16D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5.5供应商未在规定时间内提交最后报价的，视同退出磋商</w:t>
      </w:r>
      <w:r>
        <w:rPr>
          <w:rFonts w:hint="eastAsia" w:ascii="宋体" w:hAnsi="宋体" w:eastAsia="宋体" w:cs="宋体"/>
          <w:color w:val="auto"/>
          <w:szCs w:val="21"/>
          <w:highlight w:val="none"/>
          <w:lang w:eastAsia="zh-CN"/>
        </w:rPr>
        <w:t>，其响应文件按无效处理</w:t>
      </w:r>
      <w:r>
        <w:rPr>
          <w:rFonts w:hint="eastAsia" w:ascii="宋体" w:hAnsi="宋体" w:eastAsia="宋体" w:cs="宋体"/>
          <w:color w:val="auto"/>
          <w:szCs w:val="21"/>
          <w:highlight w:val="none"/>
        </w:rPr>
        <w:t>。</w:t>
      </w:r>
    </w:p>
    <w:p w14:paraId="17C31EED">
      <w:pPr>
        <w:keepNext w:val="0"/>
        <w:keepLines w:val="0"/>
        <w:pageBreakBefore w:val="0"/>
        <w:widowControl/>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宋体" w:hAnsi="宋体" w:eastAsia="宋体" w:cs="宋体"/>
          <w:b/>
          <w:bCs/>
          <w:i w:val="0"/>
          <w:iCs w:val="0"/>
          <w:caps w:val="0"/>
          <w:color w:val="auto"/>
          <w:spacing w:val="0"/>
          <w:sz w:val="21"/>
          <w:szCs w:val="21"/>
          <w:highlight w:val="none"/>
          <w:shd w:val="clear" w:color="auto" w:fill="FFFFFF"/>
        </w:rPr>
      </w:pPr>
      <w:r>
        <w:rPr>
          <w:rFonts w:hint="eastAsia" w:ascii="宋体" w:hAnsi="宋体" w:eastAsia="宋体" w:cs="宋体"/>
          <w:color w:val="auto"/>
          <w:szCs w:val="21"/>
          <w:highlight w:val="none"/>
        </w:rPr>
        <w:t>5.6磋商小组收齐</w:t>
      </w:r>
      <w:r>
        <w:rPr>
          <w:rFonts w:hint="eastAsia" w:ascii="宋体" w:hAnsi="宋体" w:eastAsia="宋体" w:cs="宋体"/>
          <w:color w:val="auto"/>
          <w:szCs w:val="21"/>
          <w:highlight w:val="none"/>
          <w:lang w:eastAsia="zh-CN"/>
        </w:rPr>
        <w:t>本项目</w:t>
      </w:r>
      <w:r>
        <w:rPr>
          <w:rFonts w:hint="eastAsia" w:ascii="宋体" w:hAnsi="宋体" w:eastAsia="宋体" w:cs="宋体"/>
          <w:color w:val="auto"/>
          <w:szCs w:val="21"/>
          <w:highlight w:val="none"/>
        </w:rPr>
        <w:t>某一分标最后报价后统一开启，磋商小组对最后报价进行有效性、完整性和响应程度的审查。</w:t>
      </w:r>
    </w:p>
    <w:p w14:paraId="2A3ACF49">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5.7最终响应文件的报价出现前后不一致的，按照本章第3.4条的规定修正。 </w:t>
      </w:r>
    </w:p>
    <w:p w14:paraId="28D1617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5.8修正后的最</w:t>
      </w:r>
      <w:r>
        <w:rPr>
          <w:rFonts w:hint="eastAsia" w:ascii="宋体" w:hAnsi="宋体" w:eastAsia="宋体" w:cs="宋体"/>
          <w:color w:val="auto"/>
          <w:szCs w:val="21"/>
          <w:highlight w:val="none"/>
          <w:lang w:eastAsia="zh-CN"/>
        </w:rPr>
        <w:t>后</w:t>
      </w:r>
      <w:r>
        <w:rPr>
          <w:rFonts w:hint="eastAsia" w:ascii="宋体" w:hAnsi="宋体" w:eastAsia="宋体" w:cs="宋体"/>
          <w:color w:val="auto"/>
          <w:szCs w:val="21"/>
          <w:highlight w:val="none"/>
        </w:rPr>
        <w:t>报价出现下列情形的，按无效响应处理：</w:t>
      </w:r>
    </w:p>
    <w:p w14:paraId="658C829D">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（1）供应商不确认的（全流程电子化评标采取在线确认）；</w:t>
      </w:r>
    </w:p>
    <w:p w14:paraId="09589D8D">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（2）经供应商确认修正后的响应报价（包含首次报价、最后报价）超过所竞标分标规定的采购预算金额或者最高限价的（如本项目公布了最高限价）；</w:t>
      </w:r>
    </w:p>
    <w:p w14:paraId="32F83DF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（3）经供应商确认修正后的响应报价（包含首次报价、最后报价）超过分项采购预算金额或者最高限价的（如本项目公布了最高限价）。</w:t>
      </w:r>
    </w:p>
    <w:p w14:paraId="5A81B038">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5.9经供应商确认修正后的最后报价作为评审及签订合同的依据。</w:t>
      </w:r>
    </w:p>
    <w:p w14:paraId="48B6F597">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5.10供应商出现最后报价按无效响应处理或者响应文件按无效处理时</w:t>
      </w:r>
      <w:r>
        <w:rPr>
          <w:rFonts w:hint="eastAsia" w:ascii="宋体" w:hAnsi="宋体" w:eastAsia="宋体" w:cs="宋体"/>
          <w:color w:val="auto"/>
          <w:sz w:val="22"/>
          <w:szCs w:val="22"/>
          <w:highlight w:val="none"/>
        </w:rPr>
        <w:t>，磋商小组应当告知有关供应商</w:t>
      </w:r>
      <w:r>
        <w:rPr>
          <w:rFonts w:hint="eastAsia" w:ascii="宋体" w:hAnsi="宋体" w:eastAsia="宋体" w:cs="宋体"/>
          <w:color w:val="auto"/>
          <w:szCs w:val="21"/>
          <w:highlight w:val="none"/>
        </w:rPr>
        <w:t>。</w:t>
      </w:r>
    </w:p>
    <w:p w14:paraId="3BC3FA7A">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5.11最后报价结束后，磋商小组不得再与供应商进行任何形式的商谈。</w:t>
      </w:r>
    </w:p>
    <w:p w14:paraId="7A97F978">
      <w:pPr>
        <w:keepNext w:val="0"/>
        <w:keepLines w:val="0"/>
        <w:pageBreakBefore w:val="0"/>
        <w:widowControl/>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eastAsia="宋体" w:cs="宋体"/>
          <w:i w:val="0"/>
          <w:iCs w:val="0"/>
          <w:caps w:val="0"/>
          <w:color w:val="auto"/>
          <w:spacing w:val="0"/>
          <w:sz w:val="21"/>
          <w:szCs w:val="21"/>
          <w:highlight w:val="none"/>
          <w:shd w:val="clear" w:color="auto" w:fill="FFFFFF"/>
          <w:lang w:val="en-US" w:eastAsia="zh-CN"/>
        </w:rPr>
        <w:t>5.12</w:t>
      </w:r>
      <w:r>
        <w:rPr>
          <w:rFonts w:hint="eastAsia" w:ascii="宋体" w:hAnsi="宋体" w:eastAsia="宋体" w:cs="宋体"/>
          <w:i w:val="0"/>
          <w:iCs w:val="0"/>
          <w:caps w:val="0"/>
          <w:color w:val="auto"/>
          <w:spacing w:val="0"/>
          <w:sz w:val="21"/>
          <w:szCs w:val="21"/>
          <w:highlight w:val="none"/>
          <w:shd w:val="clear" w:color="auto" w:fill="FFFFFF"/>
        </w:rPr>
        <w:t>采购评审中出现下列情形之一的，</w:t>
      </w:r>
      <w:r>
        <w:rPr>
          <w:rFonts w:hint="eastAsia" w:ascii="宋体" w:hAnsi="宋体" w:eastAsia="宋体" w:cs="宋体"/>
          <w:i w:val="0"/>
          <w:iCs w:val="0"/>
          <w:caps w:val="0"/>
          <w:color w:val="auto"/>
          <w:spacing w:val="0"/>
          <w:sz w:val="21"/>
          <w:szCs w:val="21"/>
          <w:highlight w:val="none"/>
          <w:shd w:val="clear" w:color="auto" w:fill="FFFFFF"/>
          <w:lang w:eastAsia="zh-CN"/>
        </w:rPr>
        <w:t>磋商小组</w:t>
      </w:r>
      <w:r>
        <w:rPr>
          <w:rFonts w:hint="eastAsia" w:ascii="宋体" w:hAnsi="宋体" w:eastAsia="宋体" w:cs="宋体"/>
          <w:i w:val="0"/>
          <w:iCs w:val="0"/>
          <w:caps w:val="0"/>
          <w:color w:val="auto"/>
          <w:spacing w:val="0"/>
          <w:sz w:val="21"/>
          <w:szCs w:val="21"/>
          <w:highlight w:val="none"/>
          <w:shd w:val="clear" w:color="auto" w:fill="FFFFFF"/>
        </w:rPr>
        <w:t>应当启动异常低价</w:t>
      </w:r>
      <w:r>
        <w:rPr>
          <w:rFonts w:hint="eastAsia" w:ascii="宋体" w:hAnsi="宋体" w:eastAsia="宋体" w:cs="宋体"/>
          <w:i w:val="0"/>
          <w:iCs w:val="0"/>
          <w:caps w:val="0"/>
          <w:color w:val="auto"/>
          <w:spacing w:val="0"/>
          <w:sz w:val="21"/>
          <w:szCs w:val="21"/>
          <w:highlight w:val="none"/>
          <w:shd w:val="clear" w:color="auto" w:fill="FFFFFF"/>
          <w:lang w:val="en-US" w:eastAsia="zh-CN"/>
        </w:rPr>
        <w:t>响应</w:t>
      </w:r>
      <w:r>
        <w:rPr>
          <w:rFonts w:hint="eastAsia" w:ascii="宋体" w:hAnsi="宋体" w:eastAsia="宋体" w:cs="宋体"/>
          <w:i w:val="0"/>
          <w:iCs w:val="0"/>
          <w:caps w:val="0"/>
          <w:color w:val="auto"/>
          <w:spacing w:val="0"/>
          <w:sz w:val="21"/>
          <w:szCs w:val="21"/>
          <w:highlight w:val="none"/>
          <w:shd w:val="clear" w:color="auto" w:fill="FFFFFF"/>
        </w:rPr>
        <w:t>审查程序：</w:t>
      </w:r>
    </w:p>
    <w:p w14:paraId="3A00585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cs="宋体"/>
          <w:i w:val="0"/>
          <w:iCs w:val="0"/>
          <w:caps w:val="0"/>
          <w:color w:val="auto"/>
          <w:spacing w:val="0"/>
          <w:sz w:val="21"/>
          <w:szCs w:val="21"/>
          <w:highlight w:val="none"/>
          <w:shd w:val="clear" w:color="auto" w:fill="FFFFFF"/>
          <w:lang w:val="en-US" w:eastAsia="zh-CN"/>
        </w:rPr>
        <w:t>A.最后报价</w:t>
      </w:r>
      <w:r>
        <w:rPr>
          <w:rFonts w:hint="eastAsia" w:ascii="宋体" w:hAnsi="宋体" w:eastAsia="宋体" w:cs="宋体"/>
          <w:i w:val="0"/>
          <w:iCs w:val="0"/>
          <w:caps w:val="0"/>
          <w:color w:val="auto"/>
          <w:spacing w:val="0"/>
          <w:sz w:val="21"/>
          <w:szCs w:val="21"/>
          <w:highlight w:val="none"/>
          <w:shd w:val="clear" w:color="auto" w:fill="FFFFFF"/>
        </w:rPr>
        <w:t>低于全部通过符合性审查</w:t>
      </w:r>
      <w:r>
        <w:rPr>
          <w:rFonts w:hint="eastAsia" w:ascii="宋体" w:hAnsi="宋体" w:eastAsia="宋体" w:cs="宋体"/>
          <w:i w:val="0"/>
          <w:iCs w:val="0"/>
          <w:caps w:val="0"/>
          <w:color w:val="auto"/>
          <w:spacing w:val="0"/>
          <w:sz w:val="21"/>
          <w:szCs w:val="21"/>
          <w:highlight w:val="none"/>
          <w:shd w:val="clear" w:color="auto" w:fill="FFFFFF"/>
          <w:lang w:eastAsia="zh-CN"/>
        </w:rPr>
        <w:t>供应商最后报价</w:t>
      </w:r>
      <w:r>
        <w:rPr>
          <w:rFonts w:hint="eastAsia" w:ascii="宋体" w:hAnsi="宋体" w:eastAsia="宋体" w:cs="宋体"/>
          <w:i w:val="0"/>
          <w:iCs w:val="0"/>
          <w:caps w:val="0"/>
          <w:color w:val="auto"/>
          <w:spacing w:val="0"/>
          <w:sz w:val="21"/>
          <w:szCs w:val="21"/>
          <w:highlight w:val="none"/>
          <w:shd w:val="clear" w:color="auto" w:fill="FFFFFF"/>
        </w:rPr>
        <w:t>平均值</w:t>
      </w:r>
      <w:r>
        <w:rPr>
          <w:rFonts w:hint="eastAsia" w:ascii="宋体" w:hAnsi="宋体" w:eastAsia="宋体" w:cs="宋体"/>
          <w:i w:val="0"/>
          <w:iCs w:val="0"/>
          <w:caps w:val="0"/>
          <w:color w:val="auto"/>
          <w:spacing w:val="0"/>
          <w:sz w:val="21"/>
          <w:szCs w:val="21"/>
          <w:highlight w:val="none"/>
          <w:u w:val="single"/>
          <w:shd w:val="clear" w:color="auto" w:fill="FFFFFF"/>
        </w:rPr>
        <w:t>50%</w:t>
      </w:r>
      <w:r>
        <w:rPr>
          <w:rFonts w:hint="eastAsia" w:ascii="宋体" w:hAnsi="宋体" w:eastAsia="宋体" w:cs="宋体"/>
          <w:i w:val="0"/>
          <w:iCs w:val="0"/>
          <w:caps w:val="0"/>
          <w:color w:val="auto"/>
          <w:spacing w:val="0"/>
          <w:sz w:val="21"/>
          <w:szCs w:val="21"/>
          <w:highlight w:val="none"/>
          <w:shd w:val="clear" w:color="auto" w:fill="FFFFFF"/>
        </w:rPr>
        <w:t>的，即</w:t>
      </w:r>
      <w:r>
        <w:rPr>
          <w:rFonts w:hint="eastAsia" w:ascii="宋体" w:hAnsi="宋体" w:eastAsia="宋体" w:cs="宋体"/>
          <w:i w:val="0"/>
          <w:iCs w:val="0"/>
          <w:caps w:val="0"/>
          <w:color w:val="auto"/>
          <w:spacing w:val="0"/>
          <w:sz w:val="21"/>
          <w:szCs w:val="21"/>
          <w:highlight w:val="none"/>
          <w:shd w:val="clear" w:color="auto" w:fill="FFFFFF"/>
          <w:lang w:eastAsia="zh-CN"/>
        </w:rPr>
        <w:t>最后报价</w:t>
      </w:r>
      <w:r>
        <w:rPr>
          <w:rFonts w:hint="eastAsia" w:ascii="宋体" w:hAnsi="宋体" w:eastAsia="宋体" w:cs="宋体"/>
          <w:i w:val="0"/>
          <w:iCs w:val="0"/>
          <w:caps w:val="0"/>
          <w:color w:val="auto"/>
          <w:spacing w:val="0"/>
          <w:sz w:val="21"/>
          <w:szCs w:val="21"/>
          <w:highlight w:val="none"/>
          <w:shd w:val="clear" w:color="auto" w:fill="FFFFFF"/>
        </w:rPr>
        <w:t>＜全部通过符合性审查</w:t>
      </w:r>
      <w:r>
        <w:rPr>
          <w:rFonts w:hint="eastAsia" w:ascii="宋体" w:hAnsi="宋体" w:eastAsia="宋体" w:cs="宋体"/>
          <w:i w:val="0"/>
          <w:iCs w:val="0"/>
          <w:caps w:val="0"/>
          <w:color w:val="auto"/>
          <w:spacing w:val="0"/>
          <w:sz w:val="21"/>
          <w:szCs w:val="21"/>
          <w:highlight w:val="none"/>
          <w:shd w:val="clear" w:color="auto" w:fill="FFFFFF"/>
          <w:lang w:eastAsia="zh-CN"/>
        </w:rPr>
        <w:t>供应商最后报价</w:t>
      </w:r>
      <w:r>
        <w:rPr>
          <w:rFonts w:hint="eastAsia" w:ascii="宋体" w:hAnsi="宋体" w:eastAsia="宋体" w:cs="宋体"/>
          <w:i w:val="0"/>
          <w:iCs w:val="0"/>
          <w:caps w:val="0"/>
          <w:color w:val="auto"/>
          <w:spacing w:val="0"/>
          <w:sz w:val="21"/>
          <w:szCs w:val="21"/>
          <w:highlight w:val="none"/>
          <w:shd w:val="clear" w:color="auto" w:fill="FFFFFF"/>
        </w:rPr>
        <w:t>平均值×</w:t>
      </w:r>
      <w:r>
        <w:rPr>
          <w:rFonts w:hint="eastAsia" w:ascii="宋体" w:hAnsi="宋体" w:eastAsia="宋体" w:cs="宋体"/>
          <w:i w:val="0"/>
          <w:iCs w:val="0"/>
          <w:caps w:val="0"/>
          <w:color w:val="auto"/>
          <w:spacing w:val="0"/>
          <w:sz w:val="21"/>
          <w:szCs w:val="21"/>
          <w:highlight w:val="none"/>
          <w:u w:val="single"/>
          <w:shd w:val="clear" w:color="auto" w:fill="FFFFFF"/>
        </w:rPr>
        <w:t>50%</w:t>
      </w:r>
      <w:r>
        <w:rPr>
          <w:rFonts w:hint="eastAsia" w:ascii="宋体" w:hAnsi="宋体" w:eastAsia="宋体" w:cs="宋体"/>
          <w:i w:val="0"/>
          <w:iCs w:val="0"/>
          <w:caps w:val="0"/>
          <w:color w:val="auto"/>
          <w:spacing w:val="0"/>
          <w:sz w:val="21"/>
          <w:szCs w:val="21"/>
          <w:highlight w:val="none"/>
          <w:shd w:val="clear" w:color="auto" w:fill="FFFFFF"/>
        </w:rPr>
        <w:t xml:space="preserve">； </w:t>
      </w:r>
    </w:p>
    <w:p w14:paraId="472D11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cs="宋体"/>
          <w:i w:val="0"/>
          <w:iCs w:val="0"/>
          <w:caps w:val="0"/>
          <w:color w:val="auto"/>
          <w:spacing w:val="0"/>
          <w:sz w:val="21"/>
          <w:szCs w:val="21"/>
          <w:highlight w:val="none"/>
          <w:shd w:val="clear" w:color="auto" w:fill="FFFFFF"/>
          <w:lang w:val="en-US" w:eastAsia="zh-CN"/>
        </w:rPr>
        <w:t>B.</w:t>
      </w:r>
      <w:r>
        <w:rPr>
          <w:rFonts w:hint="eastAsia" w:ascii="宋体" w:hAnsi="宋体" w:eastAsia="宋体" w:cs="宋体"/>
          <w:i w:val="0"/>
          <w:iCs w:val="0"/>
          <w:caps w:val="0"/>
          <w:color w:val="auto"/>
          <w:spacing w:val="0"/>
          <w:sz w:val="21"/>
          <w:szCs w:val="21"/>
          <w:highlight w:val="none"/>
          <w:shd w:val="clear" w:color="auto" w:fill="FFFFFF"/>
          <w:lang w:eastAsia="zh-CN"/>
        </w:rPr>
        <w:t>最后报价</w:t>
      </w:r>
      <w:r>
        <w:rPr>
          <w:rFonts w:hint="eastAsia" w:ascii="宋体" w:hAnsi="宋体" w:eastAsia="宋体" w:cs="宋体"/>
          <w:i w:val="0"/>
          <w:iCs w:val="0"/>
          <w:caps w:val="0"/>
          <w:color w:val="auto"/>
          <w:spacing w:val="0"/>
          <w:sz w:val="21"/>
          <w:szCs w:val="21"/>
          <w:highlight w:val="none"/>
          <w:shd w:val="clear" w:color="auto" w:fill="FFFFFF"/>
        </w:rPr>
        <w:t>低于通过符合性审查的次低报价</w:t>
      </w:r>
      <w:r>
        <w:rPr>
          <w:rFonts w:hint="eastAsia" w:ascii="宋体" w:hAnsi="宋体" w:eastAsia="宋体" w:cs="宋体"/>
          <w:i w:val="0"/>
          <w:iCs w:val="0"/>
          <w:caps w:val="0"/>
          <w:color w:val="auto"/>
          <w:spacing w:val="0"/>
          <w:sz w:val="21"/>
          <w:szCs w:val="21"/>
          <w:highlight w:val="none"/>
          <w:shd w:val="clear" w:color="auto" w:fill="FFFFFF"/>
          <w:lang w:eastAsia="zh-CN"/>
        </w:rPr>
        <w:t>供应商最后报价</w:t>
      </w:r>
      <w:r>
        <w:rPr>
          <w:rFonts w:hint="eastAsia" w:ascii="宋体" w:hAnsi="宋体" w:eastAsia="宋体" w:cs="宋体"/>
          <w:i w:val="0"/>
          <w:iCs w:val="0"/>
          <w:caps w:val="0"/>
          <w:color w:val="auto"/>
          <w:spacing w:val="0"/>
          <w:sz w:val="21"/>
          <w:szCs w:val="21"/>
          <w:highlight w:val="none"/>
          <w:u w:val="single"/>
          <w:shd w:val="clear" w:color="auto" w:fill="FFFFFF"/>
        </w:rPr>
        <w:t>50%</w:t>
      </w:r>
      <w:r>
        <w:rPr>
          <w:rFonts w:hint="eastAsia" w:ascii="宋体" w:hAnsi="宋体" w:eastAsia="宋体" w:cs="宋体"/>
          <w:i w:val="0"/>
          <w:iCs w:val="0"/>
          <w:caps w:val="0"/>
          <w:color w:val="auto"/>
          <w:spacing w:val="0"/>
          <w:sz w:val="21"/>
          <w:szCs w:val="21"/>
          <w:highlight w:val="none"/>
          <w:shd w:val="clear" w:color="auto" w:fill="FFFFFF"/>
        </w:rPr>
        <w:t>的，即</w:t>
      </w:r>
      <w:r>
        <w:rPr>
          <w:rFonts w:hint="eastAsia" w:ascii="宋体" w:hAnsi="宋体" w:eastAsia="宋体" w:cs="宋体"/>
          <w:i w:val="0"/>
          <w:iCs w:val="0"/>
          <w:caps w:val="0"/>
          <w:color w:val="auto"/>
          <w:spacing w:val="0"/>
          <w:sz w:val="21"/>
          <w:szCs w:val="21"/>
          <w:highlight w:val="none"/>
          <w:shd w:val="clear" w:color="auto" w:fill="FFFFFF"/>
          <w:lang w:eastAsia="zh-CN"/>
        </w:rPr>
        <w:t>最后报价</w:t>
      </w:r>
      <w:r>
        <w:rPr>
          <w:rFonts w:hint="eastAsia" w:ascii="宋体" w:hAnsi="宋体" w:eastAsia="宋体" w:cs="宋体"/>
          <w:i w:val="0"/>
          <w:iCs w:val="0"/>
          <w:caps w:val="0"/>
          <w:color w:val="auto"/>
          <w:spacing w:val="0"/>
          <w:sz w:val="21"/>
          <w:szCs w:val="21"/>
          <w:highlight w:val="none"/>
          <w:shd w:val="clear" w:color="auto" w:fill="FFFFFF"/>
        </w:rPr>
        <w:t>＜通过符合性审查的次低报价</w:t>
      </w:r>
      <w:r>
        <w:rPr>
          <w:rFonts w:hint="eastAsia" w:ascii="宋体" w:hAnsi="宋体" w:eastAsia="宋体" w:cs="宋体"/>
          <w:i w:val="0"/>
          <w:iCs w:val="0"/>
          <w:caps w:val="0"/>
          <w:color w:val="auto"/>
          <w:spacing w:val="0"/>
          <w:sz w:val="21"/>
          <w:szCs w:val="21"/>
          <w:highlight w:val="none"/>
          <w:shd w:val="clear" w:color="auto" w:fill="FFFFFF"/>
          <w:lang w:eastAsia="zh-CN"/>
        </w:rPr>
        <w:t>供应商最后报价</w:t>
      </w:r>
      <w:r>
        <w:rPr>
          <w:rFonts w:hint="eastAsia" w:ascii="宋体" w:hAnsi="宋体" w:eastAsia="宋体" w:cs="宋体"/>
          <w:i w:val="0"/>
          <w:iCs w:val="0"/>
          <w:caps w:val="0"/>
          <w:color w:val="auto"/>
          <w:spacing w:val="0"/>
          <w:sz w:val="21"/>
          <w:szCs w:val="21"/>
          <w:highlight w:val="none"/>
          <w:shd w:val="clear" w:color="auto" w:fill="FFFFFF"/>
        </w:rPr>
        <w:t>×</w:t>
      </w:r>
      <w:r>
        <w:rPr>
          <w:rFonts w:hint="eastAsia" w:ascii="宋体" w:hAnsi="宋体" w:eastAsia="宋体" w:cs="宋体"/>
          <w:i w:val="0"/>
          <w:iCs w:val="0"/>
          <w:caps w:val="0"/>
          <w:color w:val="auto"/>
          <w:spacing w:val="0"/>
          <w:sz w:val="21"/>
          <w:szCs w:val="21"/>
          <w:highlight w:val="none"/>
          <w:u w:val="single"/>
          <w:shd w:val="clear" w:color="auto" w:fill="FFFFFF"/>
        </w:rPr>
        <w:t>50%</w:t>
      </w:r>
      <w:r>
        <w:rPr>
          <w:rFonts w:hint="eastAsia" w:ascii="宋体" w:hAnsi="宋体" w:eastAsia="宋体" w:cs="宋体"/>
          <w:i w:val="0"/>
          <w:iCs w:val="0"/>
          <w:caps w:val="0"/>
          <w:color w:val="auto"/>
          <w:spacing w:val="0"/>
          <w:sz w:val="21"/>
          <w:szCs w:val="21"/>
          <w:highlight w:val="none"/>
          <w:shd w:val="clear" w:color="auto" w:fill="FFFFFF"/>
        </w:rPr>
        <w:t xml:space="preserve">； </w:t>
      </w:r>
    </w:p>
    <w:p w14:paraId="17FA879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cs="宋体"/>
          <w:i w:val="0"/>
          <w:iCs w:val="0"/>
          <w:caps w:val="0"/>
          <w:color w:val="auto"/>
          <w:spacing w:val="0"/>
          <w:sz w:val="21"/>
          <w:szCs w:val="21"/>
          <w:highlight w:val="none"/>
          <w:shd w:val="clear" w:color="auto" w:fill="FFFFFF"/>
          <w:lang w:val="en-US" w:eastAsia="zh-CN"/>
        </w:rPr>
        <w:t>C.</w:t>
      </w:r>
      <w:r>
        <w:rPr>
          <w:rFonts w:hint="eastAsia" w:ascii="宋体" w:hAnsi="宋体" w:eastAsia="宋体" w:cs="宋体"/>
          <w:i w:val="0"/>
          <w:iCs w:val="0"/>
          <w:caps w:val="0"/>
          <w:color w:val="auto"/>
          <w:spacing w:val="0"/>
          <w:sz w:val="21"/>
          <w:szCs w:val="21"/>
          <w:highlight w:val="none"/>
          <w:shd w:val="clear" w:color="auto" w:fill="FFFFFF"/>
          <w:lang w:eastAsia="zh-CN"/>
        </w:rPr>
        <w:t>最后报价</w:t>
      </w:r>
      <w:r>
        <w:rPr>
          <w:rFonts w:hint="eastAsia" w:ascii="宋体" w:hAnsi="宋体" w:eastAsia="宋体" w:cs="宋体"/>
          <w:i w:val="0"/>
          <w:iCs w:val="0"/>
          <w:caps w:val="0"/>
          <w:color w:val="auto"/>
          <w:spacing w:val="0"/>
          <w:sz w:val="21"/>
          <w:szCs w:val="21"/>
          <w:highlight w:val="none"/>
          <w:shd w:val="clear" w:color="auto" w:fill="FFFFFF"/>
        </w:rPr>
        <w:t>低于采购项目最高限价</w:t>
      </w:r>
      <w:r>
        <w:rPr>
          <w:rFonts w:hint="eastAsia" w:ascii="宋体" w:hAnsi="宋体" w:eastAsia="宋体" w:cs="宋体"/>
          <w:i w:val="0"/>
          <w:iCs w:val="0"/>
          <w:caps w:val="0"/>
          <w:color w:val="auto"/>
          <w:spacing w:val="0"/>
          <w:sz w:val="21"/>
          <w:szCs w:val="21"/>
          <w:highlight w:val="none"/>
          <w:u w:val="single"/>
          <w:shd w:val="clear" w:color="auto" w:fill="FFFFFF"/>
        </w:rPr>
        <w:t>45%</w:t>
      </w:r>
      <w:r>
        <w:rPr>
          <w:rFonts w:hint="eastAsia" w:ascii="宋体" w:hAnsi="宋体" w:eastAsia="宋体" w:cs="宋体"/>
          <w:i w:val="0"/>
          <w:iCs w:val="0"/>
          <w:caps w:val="0"/>
          <w:color w:val="auto"/>
          <w:spacing w:val="0"/>
          <w:sz w:val="21"/>
          <w:szCs w:val="21"/>
          <w:highlight w:val="none"/>
          <w:shd w:val="clear" w:color="auto" w:fill="FFFFFF"/>
        </w:rPr>
        <w:t>的，即</w:t>
      </w:r>
      <w:r>
        <w:rPr>
          <w:rFonts w:hint="eastAsia" w:ascii="宋体" w:hAnsi="宋体" w:eastAsia="宋体" w:cs="宋体"/>
          <w:i w:val="0"/>
          <w:iCs w:val="0"/>
          <w:caps w:val="0"/>
          <w:color w:val="auto"/>
          <w:spacing w:val="0"/>
          <w:sz w:val="21"/>
          <w:szCs w:val="21"/>
          <w:highlight w:val="none"/>
          <w:shd w:val="clear" w:color="auto" w:fill="FFFFFF"/>
          <w:lang w:eastAsia="zh-CN"/>
        </w:rPr>
        <w:t>最后报价</w:t>
      </w:r>
      <w:r>
        <w:rPr>
          <w:rFonts w:hint="eastAsia" w:ascii="宋体" w:hAnsi="宋体" w:eastAsia="宋体" w:cs="宋体"/>
          <w:i w:val="0"/>
          <w:iCs w:val="0"/>
          <w:caps w:val="0"/>
          <w:color w:val="auto"/>
          <w:spacing w:val="0"/>
          <w:sz w:val="21"/>
          <w:szCs w:val="21"/>
          <w:highlight w:val="none"/>
          <w:shd w:val="clear" w:color="auto" w:fill="FFFFFF"/>
        </w:rPr>
        <w:t>＜采购项目最高限价×</w:t>
      </w:r>
      <w:r>
        <w:rPr>
          <w:rFonts w:hint="eastAsia" w:ascii="宋体" w:hAnsi="宋体" w:eastAsia="宋体" w:cs="宋体"/>
          <w:i w:val="0"/>
          <w:iCs w:val="0"/>
          <w:caps w:val="0"/>
          <w:color w:val="auto"/>
          <w:spacing w:val="0"/>
          <w:sz w:val="21"/>
          <w:szCs w:val="21"/>
          <w:highlight w:val="none"/>
          <w:u w:val="single"/>
          <w:shd w:val="clear" w:color="auto" w:fill="FFFFFF"/>
        </w:rPr>
        <w:t>45%</w:t>
      </w:r>
      <w:r>
        <w:rPr>
          <w:rFonts w:hint="eastAsia" w:ascii="宋体" w:hAnsi="宋体" w:eastAsia="宋体" w:cs="宋体"/>
          <w:i w:val="0"/>
          <w:iCs w:val="0"/>
          <w:caps w:val="0"/>
          <w:color w:val="auto"/>
          <w:spacing w:val="0"/>
          <w:sz w:val="21"/>
          <w:szCs w:val="21"/>
          <w:highlight w:val="none"/>
          <w:shd w:val="clear" w:color="auto" w:fill="FFFFFF"/>
        </w:rPr>
        <w:t>；</w:t>
      </w:r>
    </w:p>
    <w:p w14:paraId="282EAB2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cs="宋体"/>
          <w:i w:val="0"/>
          <w:iCs w:val="0"/>
          <w:caps w:val="0"/>
          <w:color w:val="auto"/>
          <w:spacing w:val="0"/>
          <w:sz w:val="21"/>
          <w:szCs w:val="21"/>
          <w:highlight w:val="none"/>
          <w:shd w:val="clear" w:color="auto" w:fill="FFFFFF"/>
          <w:lang w:val="en-US" w:eastAsia="zh-CN"/>
        </w:rPr>
        <w:t>D.</w:t>
      </w:r>
      <w:r>
        <w:rPr>
          <w:rFonts w:hint="eastAsia" w:ascii="宋体" w:hAnsi="宋体" w:eastAsia="宋体" w:cs="宋体"/>
          <w:i w:val="0"/>
          <w:iCs w:val="0"/>
          <w:caps w:val="0"/>
          <w:color w:val="auto"/>
          <w:spacing w:val="0"/>
          <w:sz w:val="21"/>
          <w:szCs w:val="21"/>
          <w:highlight w:val="none"/>
          <w:shd w:val="clear" w:color="auto" w:fill="FFFFFF"/>
          <w:lang w:eastAsia="zh-CN"/>
        </w:rPr>
        <w:t>磋商小组</w:t>
      </w:r>
      <w:r>
        <w:rPr>
          <w:rFonts w:hint="eastAsia" w:ascii="宋体" w:hAnsi="宋体" w:eastAsia="宋体" w:cs="宋体"/>
          <w:i w:val="0"/>
          <w:iCs w:val="0"/>
          <w:caps w:val="0"/>
          <w:color w:val="auto"/>
          <w:spacing w:val="0"/>
          <w:sz w:val="21"/>
          <w:szCs w:val="21"/>
          <w:highlight w:val="none"/>
          <w:shd w:val="clear" w:color="auto" w:fill="FFFFFF"/>
        </w:rPr>
        <w:t>基于专业判断，认为</w:t>
      </w:r>
      <w:r>
        <w:rPr>
          <w:rFonts w:hint="eastAsia" w:ascii="宋体" w:hAnsi="宋体" w:eastAsia="宋体" w:cs="宋体"/>
          <w:i w:val="0"/>
          <w:iCs w:val="0"/>
          <w:caps w:val="0"/>
          <w:color w:val="auto"/>
          <w:spacing w:val="0"/>
          <w:sz w:val="21"/>
          <w:szCs w:val="21"/>
          <w:highlight w:val="none"/>
          <w:shd w:val="clear" w:color="auto" w:fill="FFFFFF"/>
          <w:lang w:eastAsia="zh-CN"/>
        </w:rPr>
        <w:t>供应商</w:t>
      </w:r>
      <w:r>
        <w:rPr>
          <w:rFonts w:hint="eastAsia" w:ascii="宋体" w:hAnsi="宋体" w:eastAsia="宋体" w:cs="宋体"/>
          <w:i w:val="0"/>
          <w:iCs w:val="0"/>
          <w:caps w:val="0"/>
          <w:color w:val="auto"/>
          <w:spacing w:val="0"/>
          <w:sz w:val="21"/>
          <w:szCs w:val="21"/>
          <w:highlight w:val="none"/>
          <w:shd w:val="clear" w:color="auto" w:fill="FFFFFF"/>
        </w:rPr>
        <w:t>报价过低，有可能影响产品质量或者不能诚信履约的其他情形。</w:t>
      </w:r>
    </w:p>
    <w:p w14:paraId="60211C2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420" w:firstLineChars="20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eastAsia="宋体" w:cs="宋体"/>
          <w:i w:val="0"/>
          <w:iCs w:val="0"/>
          <w:caps w:val="0"/>
          <w:color w:val="auto"/>
          <w:spacing w:val="0"/>
          <w:sz w:val="21"/>
          <w:szCs w:val="21"/>
          <w:highlight w:val="none"/>
          <w:shd w:val="clear" w:color="auto" w:fill="FFFFFF"/>
        </w:rPr>
        <w:t>相关法律法规对</w:t>
      </w:r>
      <w:r>
        <w:rPr>
          <w:rFonts w:hint="eastAsia" w:ascii="宋体" w:hAnsi="宋体" w:eastAsia="宋体" w:cs="宋体"/>
          <w:i w:val="0"/>
          <w:iCs w:val="0"/>
          <w:caps w:val="0"/>
          <w:color w:val="auto"/>
          <w:spacing w:val="0"/>
          <w:sz w:val="21"/>
          <w:szCs w:val="21"/>
          <w:highlight w:val="none"/>
          <w:shd w:val="clear" w:color="auto" w:fill="FFFFFF"/>
          <w:lang w:eastAsia="zh-CN"/>
        </w:rPr>
        <w:t>供应商</w:t>
      </w:r>
      <w:r>
        <w:rPr>
          <w:rFonts w:hint="eastAsia" w:ascii="宋体" w:hAnsi="宋体" w:eastAsia="宋体" w:cs="宋体"/>
          <w:i w:val="0"/>
          <w:iCs w:val="0"/>
          <w:caps w:val="0"/>
          <w:color w:val="auto"/>
          <w:spacing w:val="0"/>
          <w:sz w:val="21"/>
          <w:szCs w:val="21"/>
          <w:highlight w:val="none"/>
          <w:shd w:val="clear" w:color="auto" w:fill="FFFFFF"/>
        </w:rPr>
        <w:t>报价有规定的，从其规定。</w:t>
      </w:r>
    </w:p>
    <w:p w14:paraId="18C7D6B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05" w:leftChars="0"/>
        <w:textAlignment w:val="auto"/>
        <w:rPr>
          <w:rFonts w:hint="eastAsia" w:ascii="宋体" w:hAnsi="宋体" w:eastAsia="宋体" w:cs="宋体"/>
          <w:i w:val="0"/>
          <w:iCs w:val="0"/>
          <w:caps w:val="0"/>
          <w:color w:val="auto"/>
          <w:spacing w:val="0"/>
          <w:sz w:val="21"/>
          <w:szCs w:val="21"/>
          <w:highlight w:val="none"/>
          <w:shd w:val="clear" w:color="auto" w:fill="FFFFFF"/>
        </w:rPr>
      </w:pPr>
      <w:r>
        <w:rPr>
          <w:rFonts w:hint="eastAsia" w:ascii="宋体" w:hAnsi="宋体" w:eastAsia="宋体" w:cs="宋体"/>
          <w:i w:val="0"/>
          <w:iCs w:val="0"/>
          <w:caps w:val="0"/>
          <w:color w:val="auto"/>
          <w:spacing w:val="0"/>
          <w:sz w:val="21"/>
          <w:szCs w:val="21"/>
          <w:highlight w:val="none"/>
          <w:shd w:val="clear" w:color="auto" w:fill="FFFFFF"/>
        </w:rPr>
        <w:t xml:space="preserve"> </w:t>
      </w:r>
      <w:r>
        <w:rPr>
          <w:rFonts w:hint="eastAsia" w:ascii="宋体" w:hAnsi="宋体" w:cs="宋体"/>
          <w:i w:val="0"/>
          <w:iCs w:val="0"/>
          <w:caps w:val="0"/>
          <w:color w:val="auto"/>
          <w:spacing w:val="0"/>
          <w:sz w:val="21"/>
          <w:szCs w:val="21"/>
          <w:highlight w:val="none"/>
          <w:shd w:val="clear" w:color="auto" w:fill="FFFFFF"/>
          <w:lang w:val="en-US" w:eastAsia="zh-CN"/>
        </w:rPr>
        <w:t xml:space="preserve">  </w:t>
      </w:r>
      <w:r>
        <w:rPr>
          <w:rFonts w:hint="eastAsia" w:ascii="宋体" w:hAnsi="宋体" w:eastAsia="宋体" w:cs="宋体"/>
          <w:i w:val="0"/>
          <w:iCs w:val="0"/>
          <w:caps w:val="0"/>
          <w:color w:val="auto"/>
          <w:spacing w:val="0"/>
          <w:sz w:val="21"/>
          <w:szCs w:val="21"/>
          <w:highlight w:val="none"/>
          <w:shd w:val="clear" w:color="auto" w:fill="FFFFFF"/>
          <w:lang w:val="en-US" w:eastAsia="zh-CN"/>
        </w:rPr>
        <w:t>5.13</w:t>
      </w:r>
      <w:r>
        <w:rPr>
          <w:rFonts w:hint="eastAsia" w:ascii="宋体" w:hAnsi="宋体" w:eastAsia="宋体" w:cs="宋体"/>
          <w:i w:val="0"/>
          <w:iCs w:val="0"/>
          <w:caps w:val="0"/>
          <w:color w:val="auto"/>
          <w:spacing w:val="0"/>
          <w:sz w:val="21"/>
          <w:szCs w:val="21"/>
          <w:highlight w:val="none"/>
          <w:shd w:val="clear" w:color="auto" w:fill="FFFFFF"/>
          <w:lang w:eastAsia="zh-CN"/>
        </w:rPr>
        <w:t>磋商小组</w:t>
      </w:r>
      <w:r>
        <w:rPr>
          <w:rFonts w:hint="eastAsia" w:ascii="宋体" w:hAnsi="宋体" w:eastAsia="宋体" w:cs="宋体"/>
          <w:i w:val="0"/>
          <w:iCs w:val="0"/>
          <w:caps w:val="0"/>
          <w:color w:val="auto"/>
          <w:spacing w:val="0"/>
          <w:sz w:val="21"/>
          <w:szCs w:val="21"/>
          <w:highlight w:val="none"/>
          <w:shd w:val="clear" w:color="auto" w:fill="FFFFFF"/>
        </w:rPr>
        <w:t>启动异常低价</w:t>
      </w:r>
      <w:r>
        <w:rPr>
          <w:rFonts w:hint="eastAsia" w:ascii="宋体" w:hAnsi="宋体" w:eastAsia="宋体" w:cs="宋体"/>
          <w:i w:val="0"/>
          <w:iCs w:val="0"/>
          <w:caps w:val="0"/>
          <w:color w:val="auto"/>
          <w:spacing w:val="0"/>
          <w:sz w:val="21"/>
          <w:szCs w:val="21"/>
          <w:highlight w:val="none"/>
          <w:shd w:val="clear" w:color="auto" w:fill="FFFFFF"/>
          <w:lang w:val="en-US" w:eastAsia="zh-CN"/>
        </w:rPr>
        <w:t>响应</w:t>
      </w:r>
      <w:r>
        <w:rPr>
          <w:rFonts w:hint="eastAsia" w:ascii="宋体" w:hAnsi="宋体" w:eastAsia="宋体" w:cs="宋体"/>
          <w:i w:val="0"/>
          <w:iCs w:val="0"/>
          <w:caps w:val="0"/>
          <w:color w:val="auto"/>
          <w:spacing w:val="0"/>
          <w:sz w:val="21"/>
          <w:szCs w:val="21"/>
          <w:highlight w:val="none"/>
          <w:shd w:val="clear" w:color="auto" w:fill="FFFFFF"/>
        </w:rPr>
        <w:t>审查后，属于上述A项至D项情形的，应当要求相关</w:t>
      </w:r>
      <w:r>
        <w:rPr>
          <w:rFonts w:hint="eastAsia" w:ascii="宋体" w:hAnsi="宋体" w:eastAsia="宋体" w:cs="宋体"/>
          <w:i w:val="0"/>
          <w:iCs w:val="0"/>
          <w:caps w:val="0"/>
          <w:color w:val="auto"/>
          <w:spacing w:val="0"/>
          <w:sz w:val="21"/>
          <w:szCs w:val="21"/>
          <w:highlight w:val="none"/>
          <w:shd w:val="clear" w:color="auto" w:fill="FFFFFF"/>
          <w:lang w:eastAsia="zh-CN"/>
        </w:rPr>
        <w:t>供应商</w:t>
      </w:r>
      <w:r>
        <w:rPr>
          <w:rFonts w:hint="eastAsia" w:ascii="宋体" w:hAnsi="宋体" w:eastAsia="宋体" w:cs="宋体"/>
          <w:i w:val="0"/>
          <w:iCs w:val="0"/>
          <w:caps w:val="0"/>
          <w:color w:val="auto"/>
          <w:spacing w:val="0"/>
          <w:sz w:val="21"/>
          <w:szCs w:val="21"/>
          <w:highlight w:val="none"/>
          <w:shd w:val="clear" w:color="auto" w:fill="FFFFFF"/>
        </w:rPr>
        <w:t>在</w:t>
      </w:r>
      <w:r>
        <w:rPr>
          <w:rFonts w:hint="eastAsia" w:ascii="宋体" w:hAnsi="宋体" w:eastAsia="宋体" w:cs="宋体"/>
          <w:i w:val="0"/>
          <w:iCs w:val="0"/>
          <w:caps w:val="0"/>
          <w:color w:val="auto"/>
          <w:spacing w:val="0"/>
          <w:sz w:val="21"/>
          <w:szCs w:val="21"/>
          <w:highlight w:val="none"/>
          <w:shd w:val="clear" w:color="auto" w:fill="FFFFFF"/>
          <w:lang w:eastAsia="zh-CN"/>
        </w:rPr>
        <w:t>评审</w:t>
      </w:r>
      <w:r>
        <w:rPr>
          <w:rFonts w:hint="eastAsia" w:ascii="宋体" w:hAnsi="宋体" w:eastAsia="宋体" w:cs="宋体"/>
          <w:i w:val="0"/>
          <w:iCs w:val="0"/>
          <w:caps w:val="0"/>
          <w:color w:val="auto"/>
          <w:spacing w:val="0"/>
          <w:sz w:val="21"/>
          <w:szCs w:val="21"/>
          <w:highlight w:val="none"/>
          <w:shd w:val="clear" w:color="auto" w:fill="FFFFFF"/>
        </w:rPr>
        <w:t>现场合理的时间内对</w:t>
      </w:r>
      <w:r>
        <w:rPr>
          <w:rFonts w:hint="eastAsia" w:ascii="宋体" w:hAnsi="宋体" w:eastAsia="宋体" w:cs="宋体"/>
          <w:i w:val="0"/>
          <w:iCs w:val="0"/>
          <w:caps w:val="0"/>
          <w:color w:val="auto"/>
          <w:spacing w:val="0"/>
          <w:sz w:val="21"/>
          <w:szCs w:val="21"/>
          <w:highlight w:val="none"/>
          <w:shd w:val="clear" w:color="auto" w:fill="FFFFFF"/>
          <w:lang w:eastAsia="zh-CN"/>
        </w:rPr>
        <w:t>响应</w:t>
      </w:r>
      <w:r>
        <w:rPr>
          <w:rFonts w:hint="eastAsia" w:ascii="宋体" w:hAnsi="宋体" w:eastAsia="宋体" w:cs="宋体"/>
          <w:i w:val="0"/>
          <w:iCs w:val="0"/>
          <w:caps w:val="0"/>
          <w:color w:val="auto"/>
          <w:spacing w:val="0"/>
          <w:sz w:val="21"/>
          <w:szCs w:val="21"/>
          <w:highlight w:val="none"/>
          <w:shd w:val="clear" w:color="auto" w:fill="FFFFFF"/>
        </w:rPr>
        <w:t>价格作出解释，提供项目具体成本测算等与报价合理性相关的书面说明及必要的证明材料，包括但不限于原材料成本、人工成本、制造费用等，给予相关</w:t>
      </w:r>
      <w:r>
        <w:rPr>
          <w:rFonts w:hint="eastAsia" w:ascii="宋体" w:hAnsi="宋体" w:eastAsia="宋体" w:cs="宋体"/>
          <w:i w:val="0"/>
          <w:iCs w:val="0"/>
          <w:caps w:val="0"/>
          <w:color w:val="auto"/>
          <w:spacing w:val="0"/>
          <w:sz w:val="21"/>
          <w:szCs w:val="21"/>
          <w:highlight w:val="none"/>
          <w:shd w:val="clear" w:color="auto" w:fill="FFFFFF"/>
          <w:lang w:eastAsia="zh-CN"/>
        </w:rPr>
        <w:t>供应商</w:t>
      </w:r>
      <w:r>
        <w:rPr>
          <w:rFonts w:hint="eastAsia" w:ascii="宋体" w:hAnsi="宋体" w:eastAsia="宋体" w:cs="宋体"/>
          <w:i w:val="0"/>
          <w:iCs w:val="0"/>
          <w:caps w:val="0"/>
          <w:color w:val="auto"/>
          <w:spacing w:val="0"/>
          <w:sz w:val="21"/>
          <w:szCs w:val="21"/>
          <w:highlight w:val="none"/>
          <w:shd w:val="clear" w:color="auto" w:fill="FFFFFF"/>
        </w:rPr>
        <w:t>的合理时间一般不少于30分钟。其中，属于上述C项情形，</w:t>
      </w:r>
      <w:r>
        <w:rPr>
          <w:rFonts w:hint="eastAsia" w:ascii="宋体" w:hAnsi="宋体" w:eastAsia="宋体" w:cs="宋体"/>
          <w:i w:val="0"/>
          <w:iCs w:val="0"/>
          <w:caps w:val="0"/>
          <w:color w:val="auto"/>
          <w:spacing w:val="0"/>
          <w:sz w:val="21"/>
          <w:szCs w:val="21"/>
          <w:highlight w:val="none"/>
          <w:shd w:val="clear" w:color="auto" w:fill="FFFFFF"/>
          <w:lang w:eastAsia="zh-CN"/>
        </w:rPr>
        <w:t>供应商</w:t>
      </w:r>
      <w:r>
        <w:rPr>
          <w:rFonts w:hint="eastAsia" w:ascii="宋体" w:hAnsi="宋体" w:eastAsia="宋体" w:cs="宋体"/>
          <w:i w:val="0"/>
          <w:iCs w:val="0"/>
          <w:caps w:val="0"/>
          <w:color w:val="auto"/>
          <w:spacing w:val="0"/>
          <w:sz w:val="21"/>
          <w:szCs w:val="21"/>
          <w:highlight w:val="none"/>
          <w:shd w:val="clear" w:color="auto" w:fill="FFFFFF"/>
        </w:rPr>
        <w:t>已随</w:t>
      </w:r>
      <w:r>
        <w:rPr>
          <w:rFonts w:hint="eastAsia" w:ascii="宋体" w:hAnsi="宋体" w:eastAsia="宋体" w:cs="宋体"/>
          <w:i w:val="0"/>
          <w:iCs w:val="0"/>
          <w:caps w:val="0"/>
          <w:color w:val="auto"/>
          <w:spacing w:val="0"/>
          <w:sz w:val="21"/>
          <w:szCs w:val="21"/>
          <w:highlight w:val="none"/>
          <w:shd w:val="clear" w:color="auto" w:fill="FFFFFF"/>
          <w:lang w:eastAsia="zh-CN"/>
        </w:rPr>
        <w:t>响应文件</w:t>
      </w:r>
      <w:r>
        <w:rPr>
          <w:rFonts w:hint="eastAsia" w:ascii="宋体" w:hAnsi="宋体" w:eastAsia="宋体" w:cs="宋体"/>
          <w:i w:val="0"/>
          <w:iCs w:val="0"/>
          <w:caps w:val="0"/>
          <w:color w:val="auto"/>
          <w:spacing w:val="0"/>
          <w:sz w:val="21"/>
          <w:szCs w:val="21"/>
          <w:highlight w:val="none"/>
          <w:shd w:val="clear" w:color="auto" w:fill="FFFFFF"/>
        </w:rPr>
        <w:t>一并提交相关书面说明及必要的证明材料的，在</w:t>
      </w:r>
      <w:r>
        <w:rPr>
          <w:rFonts w:hint="eastAsia" w:ascii="宋体" w:hAnsi="宋体" w:eastAsia="宋体" w:cs="宋体"/>
          <w:i w:val="0"/>
          <w:iCs w:val="0"/>
          <w:caps w:val="0"/>
          <w:color w:val="auto"/>
          <w:spacing w:val="0"/>
          <w:sz w:val="21"/>
          <w:szCs w:val="21"/>
          <w:highlight w:val="none"/>
          <w:shd w:val="clear" w:color="auto" w:fill="FFFFFF"/>
          <w:lang w:eastAsia="zh-CN"/>
        </w:rPr>
        <w:t>评审</w:t>
      </w:r>
      <w:r>
        <w:rPr>
          <w:rFonts w:hint="eastAsia" w:ascii="宋体" w:hAnsi="宋体" w:eastAsia="宋体" w:cs="宋体"/>
          <w:i w:val="0"/>
          <w:iCs w:val="0"/>
          <w:caps w:val="0"/>
          <w:color w:val="auto"/>
          <w:spacing w:val="0"/>
          <w:sz w:val="21"/>
          <w:szCs w:val="21"/>
          <w:highlight w:val="none"/>
          <w:shd w:val="clear" w:color="auto" w:fill="FFFFFF"/>
        </w:rPr>
        <w:t>现场可不再重复提交。</w:t>
      </w:r>
    </w:p>
    <w:p w14:paraId="319C4CD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105" w:leftChars="0"/>
        <w:textAlignment w:val="auto"/>
        <w:rPr>
          <w:rFonts w:hint="eastAsia" w:ascii="宋体" w:hAnsi="宋体" w:eastAsia="宋体" w:cs="宋体"/>
          <w:b/>
          <w:bCs/>
          <w:i w:val="0"/>
          <w:iCs w:val="0"/>
          <w:caps w:val="0"/>
          <w:color w:val="auto"/>
          <w:spacing w:val="0"/>
          <w:sz w:val="21"/>
          <w:szCs w:val="21"/>
          <w:highlight w:val="none"/>
          <w:shd w:val="clear" w:color="auto" w:fill="FFFFFF"/>
        </w:rPr>
      </w:pPr>
      <w:r>
        <w:rPr>
          <w:rFonts w:hint="eastAsia" w:ascii="宋体" w:hAnsi="宋体" w:eastAsia="宋体" w:cs="宋体"/>
          <w:i w:val="0"/>
          <w:iCs w:val="0"/>
          <w:caps w:val="0"/>
          <w:color w:val="auto"/>
          <w:spacing w:val="0"/>
          <w:sz w:val="21"/>
          <w:szCs w:val="21"/>
          <w:highlight w:val="none"/>
          <w:shd w:val="clear" w:color="auto" w:fill="FFFFFF"/>
        </w:rPr>
        <w:t xml:space="preserve"> </w:t>
      </w:r>
      <w:r>
        <w:rPr>
          <w:rFonts w:hint="eastAsia" w:ascii="宋体" w:hAnsi="宋体" w:cs="宋体"/>
          <w:i w:val="0"/>
          <w:iCs w:val="0"/>
          <w:caps w:val="0"/>
          <w:color w:val="auto"/>
          <w:spacing w:val="0"/>
          <w:sz w:val="21"/>
          <w:szCs w:val="21"/>
          <w:highlight w:val="none"/>
          <w:shd w:val="clear" w:color="auto" w:fill="FFFFFF"/>
          <w:lang w:val="en-US" w:eastAsia="zh-CN"/>
        </w:rPr>
        <w:t xml:space="preserve">  </w:t>
      </w:r>
      <w:r>
        <w:rPr>
          <w:rFonts w:hint="eastAsia" w:ascii="宋体" w:hAnsi="宋体" w:eastAsia="宋体" w:cs="宋体"/>
          <w:i w:val="0"/>
          <w:iCs w:val="0"/>
          <w:caps w:val="0"/>
          <w:color w:val="auto"/>
          <w:spacing w:val="0"/>
          <w:sz w:val="21"/>
          <w:szCs w:val="21"/>
          <w:highlight w:val="none"/>
          <w:shd w:val="clear" w:color="auto" w:fill="FFFFFF"/>
          <w:lang w:val="en-US" w:eastAsia="zh-CN"/>
        </w:rPr>
        <w:t>5.14</w:t>
      </w:r>
      <w:r>
        <w:rPr>
          <w:rFonts w:hint="eastAsia" w:ascii="宋体" w:hAnsi="宋体" w:eastAsia="宋体" w:cs="宋体"/>
          <w:i w:val="0"/>
          <w:iCs w:val="0"/>
          <w:caps w:val="0"/>
          <w:color w:val="auto"/>
          <w:spacing w:val="0"/>
          <w:sz w:val="21"/>
          <w:szCs w:val="21"/>
          <w:highlight w:val="none"/>
          <w:shd w:val="clear" w:color="auto" w:fill="FFFFFF"/>
          <w:lang w:eastAsia="zh-CN"/>
        </w:rPr>
        <w:t>磋商小组</w:t>
      </w:r>
      <w:r>
        <w:rPr>
          <w:rFonts w:hint="eastAsia" w:ascii="宋体" w:hAnsi="宋体" w:eastAsia="宋体" w:cs="宋体"/>
          <w:i w:val="0"/>
          <w:iCs w:val="0"/>
          <w:caps w:val="0"/>
          <w:color w:val="auto"/>
          <w:spacing w:val="0"/>
          <w:sz w:val="21"/>
          <w:szCs w:val="21"/>
          <w:highlight w:val="none"/>
          <w:shd w:val="clear" w:color="auto" w:fill="FFFFFF"/>
        </w:rPr>
        <w:t>依据专业经验，参考同类项目中标（成交）价格、类似产品市场价格水平、行业人工费用标准、国家有关部门指导行业协会发布的行业平均成本等情况，对报价合理性进行判断。</w:t>
      </w:r>
      <w:r>
        <w:rPr>
          <w:rFonts w:hint="eastAsia" w:ascii="宋体" w:hAnsi="宋体" w:eastAsia="宋体" w:cs="宋体"/>
          <w:b/>
          <w:bCs/>
          <w:i w:val="0"/>
          <w:iCs w:val="0"/>
          <w:caps w:val="0"/>
          <w:color w:val="auto"/>
          <w:spacing w:val="0"/>
          <w:sz w:val="21"/>
          <w:szCs w:val="21"/>
          <w:highlight w:val="none"/>
          <w:shd w:val="clear" w:color="auto" w:fill="FFFFFF"/>
          <w:lang w:eastAsia="zh-CN"/>
        </w:rPr>
        <w:t>供应商</w:t>
      </w:r>
      <w:r>
        <w:rPr>
          <w:rFonts w:hint="eastAsia" w:ascii="宋体" w:hAnsi="宋体" w:eastAsia="宋体" w:cs="宋体"/>
          <w:b/>
          <w:bCs/>
          <w:i w:val="0"/>
          <w:iCs w:val="0"/>
          <w:caps w:val="0"/>
          <w:color w:val="auto"/>
          <w:spacing w:val="0"/>
          <w:sz w:val="21"/>
          <w:szCs w:val="21"/>
          <w:highlight w:val="none"/>
          <w:shd w:val="clear" w:color="auto" w:fill="FFFFFF"/>
        </w:rPr>
        <w:t>不能提供书面说明、证明材料，或者提供的书面说明、证明材料不能证明其报价合理性的，</w:t>
      </w:r>
      <w:r>
        <w:rPr>
          <w:rFonts w:hint="eastAsia" w:ascii="宋体" w:hAnsi="宋体" w:eastAsia="宋体" w:cs="宋体"/>
          <w:b/>
          <w:bCs/>
          <w:i w:val="0"/>
          <w:iCs w:val="0"/>
          <w:caps w:val="0"/>
          <w:color w:val="auto"/>
          <w:spacing w:val="0"/>
          <w:sz w:val="21"/>
          <w:szCs w:val="21"/>
          <w:highlight w:val="none"/>
          <w:shd w:val="clear" w:color="auto" w:fill="FFFFFF"/>
          <w:lang w:eastAsia="zh-CN"/>
        </w:rPr>
        <w:t>磋商小组</w:t>
      </w:r>
      <w:r>
        <w:rPr>
          <w:rFonts w:hint="eastAsia" w:ascii="宋体" w:hAnsi="宋体" w:eastAsia="宋体" w:cs="宋体"/>
          <w:b/>
          <w:bCs/>
          <w:i w:val="0"/>
          <w:iCs w:val="0"/>
          <w:caps w:val="0"/>
          <w:color w:val="auto"/>
          <w:spacing w:val="0"/>
          <w:sz w:val="21"/>
          <w:szCs w:val="21"/>
          <w:highlight w:val="none"/>
          <w:shd w:val="clear" w:color="auto" w:fill="FFFFFF"/>
        </w:rPr>
        <w:t>应当将其作为无效</w:t>
      </w:r>
      <w:r>
        <w:rPr>
          <w:rFonts w:hint="eastAsia" w:ascii="宋体" w:hAnsi="宋体" w:eastAsia="宋体" w:cs="宋体"/>
          <w:b/>
          <w:bCs/>
          <w:i w:val="0"/>
          <w:iCs w:val="0"/>
          <w:caps w:val="0"/>
          <w:color w:val="auto"/>
          <w:spacing w:val="0"/>
          <w:sz w:val="21"/>
          <w:szCs w:val="21"/>
          <w:highlight w:val="none"/>
          <w:shd w:val="clear" w:color="auto" w:fill="FFFFFF"/>
          <w:lang w:eastAsia="zh-CN"/>
        </w:rPr>
        <w:t>响应</w:t>
      </w:r>
      <w:r>
        <w:rPr>
          <w:rFonts w:hint="eastAsia" w:ascii="宋体" w:hAnsi="宋体" w:eastAsia="宋体" w:cs="宋体"/>
          <w:b/>
          <w:bCs/>
          <w:i w:val="0"/>
          <w:iCs w:val="0"/>
          <w:caps w:val="0"/>
          <w:color w:val="auto"/>
          <w:spacing w:val="0"/>
          <w:sz w:val="21"/>
          <w:szCs w:val="21"/>
          <w:highlight w:val="none"/>
          <w:shd w:val="clear" w:color="auto" w:fill="FFFFFF"/>
        </w:rPr>
        <w:t>处理。</w:t>
      </w:r>
    </w:p>
    <w:p w14:paraId="502B0FFC">
      <w:pPr>
        <w:spacing w:line="360" w:lineRule="auto"/>
        <w:ind w:firstLine="420" w:firstLineChars="200"/>
        <w:rPr>
          <w:rFonts w:hint="eastAsia" w:ascii="宋体" w:hAnsi="宋体" w:eastAsia="宋体" w:cs="宋体"/>
          <w:color w:val="auto"/>
          <w:szCs w:val="21"/>
          <w:highlight w:val="none"/>
        </w:rPr>
      </w:pPr>
    </w:p>
    <w:p w14:paraId="55AE3FF2">
      <w:pPr>
        <w:spacing w:line="360" w:lineRule="auto"/>
        <w:ind w:firstLine="200"/>
        <w:rPr>
          <w:rFonts w:ascii="黑体" w:hAnsi="黑体" w:eastAsia="黑体" w:cs="宋体"/>
          <w:b/>
          <w:bCs/>
          <w:color w:val="auto"/>
          <w:sz w:val="24"/>
          <w:highlight w:val="none"/>
        </w:rPr>
      </w:pPr>
      <w:r>
        <w:rPr>
          <w:rFonts w:hint="eastAsia" w:ascii="黑体" w:hAnsi="黑体" w:eastAsia="黑体" w:cs="宋体"/>
          <w:b/>
          <w:bCs/>
          <w:color w:val="auto"/>
          <w:sz w:val="24"/>
          <w:highlight w:val="none"/>
        </w:rPr>
        <w:t>6</w:t>
      </w:r>
      <w:r>
        <w:rPr>
          <w:rFonts w:ascii="黑体" w:hAnsi="黑体" w:eastAsia="黑体" w:cs="宋体"/>
          <w:b/>
          <w:bCs/>
          <w:color w:val="auto"/>
          <w:sz w:val="24"/>
          <w:highlight w:val="none"/>
        </w:rPr>
        <w:t>.</w:t>
      </w:r>
      <w:r>
        <w:rPr>
          <w:rFonts w:hint="eastAsia" w:ascii="黑体" w:hAnsi="黑体" w:eastAsia="黑体" w:cs="宋体"/>
          <w:b/>
          <w:bCs/>
          <w:color w:val="auto"/>
          <w:sz w:val="24"/>
          <w:highlight w:val="none"/>
        </w:rPr>
        <w:t>比较与评价</w:t>
      </w:r>
    </w:p>
    <w:p w14:paraId="2CFB424E">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6.1评审方法：综合评分法。</w:t>
      </w:r>
    </w:p>
    <w:p w14:paraId="36153E26">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6.2经磋商确定最终采购需求和提交最后报价的供应商后，由磋商小组采用综合评分法对提交最后报价的供应商的响应文件和最后报价进行综合评分。</w:t>
      </w:r>
    </w:p>
    <w:p w14:paraId="0800D0B0">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6.3评审时，磋商小组各成员应当独立对每个有效响应的文件进行评价、打分，然后汇总每个供应商每项评分因素的得分。</w:t>
      </w:r>
    </w:p>
    <w:p w14:paraId="181E1F3F">
      <w:pPr>
        <w:pStyle w:val="13"/>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磋商小组成员要根据政府采购法律法规和采购文件所载明的评审方法、标准进行评审。对供应商的价格分等客观评分项的评分应当一致，对其他需要借助专业知识评判的主观评分项，应当严格按照评分细则公正评分。</w:t>
      </w:r>
    </w:p>
    <w:p w14:paraId="18B8EF92">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2</w:t>
      </w:r>
      <w:r>
        <w:rPr>
          <w:rFonts w:hint="eastAsia" w:ascii="宋体" w:hAnsi="宋体" w:eastAsia="宋体" w:cs="宋体"/>
          <w:color w:val="auto"/>
          <w:szCs w:val="21"/>
          <w:highlight w:val="none"/>
        </w:rPr>
        <w:t>）磋商小组按照磋商文件中规定的评审标准计算各供应商的报价得分。项目评审过程中，不得去掉最后报价中的最高报价和最低报价。</w:t>
      </w:r>
    </w:p>
    <w:p w14:paraId="0F2D21F6">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szCs w:val="21"/>
          <w:highlight w:val="none"/>
        </w:rPr>
        <w:t>（</w:t>
      </w:r>
      <w:r>
        <w:rPr>
          <w:rFonts w:hint="eastAsia" w:ascii="宋体" w:hAnsi="宋体" w:eastAsia="宋体" w:cs="宋体"/>
          <w:color w:val="auto"/>
          <w:szCs w:val="21"/>
          <w:highlight w:val="none"/>
          <w:lang w:val="en-US" w:eastAsia="zh-CN"/>
        </w:rPr>
        <w:t>3</w:t>
      </w:r>
      <w:r>
        <w:rPr>
          <w:rFonts w:hint="eastAsia" w:ascii="宋体" w:hAnsi="宋体" w:eastAsia="宋体" w:cs="宋体"/>
          <w:color w:val="auto"/>
          <w:szCs w:val="21"/>
          <w:highlight w:val="none"/>
        </w:rPr>
        <w:t>）各供应商的得分为磋商小组所有成员的有效评分的算术平均数。</w:t>
      </w:r>
    </w:p>
    <w:p w14:paraId="2421EB7C">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6.4</w:t>
      </w:r>
      <w:r>
        <w:rPr>
          <w:rFonts w:hint="eastAsia" w:ascii="宋体" w:hAnsi="宋体" w:eastAsia="宋体" w:cs="宋体"/>
          <w:color w:val="auto"/>
          <w:szCs w:val="21"/>
          <w:highlight w:val="none"/>
          <w:lang w:eastAsia="zh-CN"/>
        </w:rPr>
        <w:t>评审价</w:t>
      </w:r>
      <w:r>
        <w:rPr>
          <w:rFonts w:hint="eastAsia" w:ascii="宋体" w:hAnsi="宋体" w:eastAsia="宋体" w:cs="宋体"/>
          <w:color w:val="auto"/>
          <w:szCs w:val="21"/>
          <w:highlight w:val="none"/>
        </w:rPr>
        <w:t>为供应商的最后报价进行政策性扣除后的价格，</w:t>
      </w:r>
      <w:r>
        <w:rPr>
          <w:rFonts w:hint="eastAsia" w:ascii="宋体" w:hAnsi="宋体" w:eastAsia="宋体" w:cs="宋体"/>
          <w:color w:val="auto"/>
          <w:szCs w:val="21"/>
          <w:highlight w:val="none"/>
          <w:lang w:eastAsia="zh-CN"/>
        </w:rPr>
        <w:t>评审价</w:t>
      </w:r>
      <w:r>
        <w:rPr>
          <w:rFonts w:hint="eastAsia" w:ascii="宋体" w:hAnsi="宋体" w:eastAsia="宋体" w:cs="宋体"/>
          <w:color w:val="auto"/>
          <w:szCs w:val="21"/>
          <w:highlight w:val="none"/>
        </w:rPr>
        <w:t>只是作为评审时使用。最终成交供应商的成交金额等于最后报价（如有修正，以确认修正后的最后报价为准）。</w:t>
      </w:r>
    </w:p>
    <w:p w14:paraId="35A93B45">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lang w:val="en-US" w:eastAsia="zh-CN"/>
        </w:rPr>
        <w:t>6.5</w:t>
      </w:r>
      <w:r>
        <w:rPr>
          <w:rFonts w:hint="eastAsia" w:ascii="宋体" w:hAnsi="宋体" w:eastAsia="宋体" w:cs="宋体"/>
          <w:color w:val="auto"/>
          <w:kern w:val="0"/>
          <w:sz w:val="21"/>
          <w:szCs w:val="21"/>
          <w:highlight w:val="none"/>
        </w:rPr>
        <w:t>磋商小组根据综合评分情况，按照评审得分由高到低顺序推荐3名以上成交候选供应商，并编写评审报告。</w:t>
      </w:r>
      <w:r>
        <w:rPr>
          <w:rFonts w:hint="eastAsia" w:ascii="宋体" w:hAnsi="宋体" w:eastAsia="宋体" w:cs="宋体"/>
          <w:color w:val="auto"/>
          <w:kern w:val="0"/>
          <w:szCs w:val="21"/>
          <w:highlight w:val="none"/>
        </w:rPr>
        <w:t>符合本章第</w:t>
      </w: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rPr>
        <w:t>.3条情形的</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 w:val="21"/>
          <w:szCs w:val="21"/>
          <w:highlight w:val="none"/>
        </w:rPr>
        <w:t>可以推荐2家成交候选供应商。评审得分相同的，按照最后报价由低到高的顺序推荐。评审得分且最后报价相同的，按照技术指标优劣顺序推荐</w:t>
      </w:r>
      <w:r>
        <w:rPr>
          <w:rFonts w:hint="eastAsia" w:ascii="宋体" w:hAnsi="宋体" w:eastAsia="宋体" w:cs="宋体"/>
          <w:color w:val="auto"/>
          <w:kern w:val="0"/>
          <w:szCs w:val="21"/>
          <w:highlight w:val="none"/>
        </w:rPr>
        <w:t>。</w:t>
      </w:r>
    </w:p>
    <w:p w14:paraId="538E1345">
      <w:pPr>
        <w:spacing w:line="360" w:lineRule="auto"/>
        <w:ind w:firstLine="420" w:firstLineChars="200"/>
        <w:rPr>
          <w:rFonts w:hint="eastAsia" w:ascii="宋体" w:hAnsi="宋体" w:eastAsia="宋体" w:cs="宋体"/>
          <w:color w:val="auto"/>
          <w:szCs w:val="21"/>
          <w:highlight w:val="none"/>
        </w:rPr>
      </w:pPr>
      <w:r>
        <w:rPr>
          <w:rFonts w:hint="eastAsia" w:ascii="宋体" w:hAnsi="宋体" w:eastAsia="宋体" w:cs="宋体"/>
          <w:color w:val="auto"/>
          <w:kern w:val="0"/>
          <w:szCs w:val="21"/>
          <w:highlight w:val="none"/>
        </w:rPr>
        <w:t>6.6评审报告应当由磋商小组全体人员签字认可。磋商小组成员对评审报告有异议的，磋商小组按照少数服从多数的原则推荐成交候选供应商，采购程序继续进行。对评审报告有异议的磋商小组成员，应当在报告上签署不同意见并说明理由，由磋商小组书面记录相关情况。磋商小组成员拒绝在报告上签字又不书面说明其不同意见和理由的，视为同意评审报告。</w:t>
      </w:r>
    </w:p>
    <w:p w14:paraId="44848039">
      <w:pPr>
        <w:ind w:firstLine="200"/>
        <w:rPr>
          <w:rFonts w:hint="eastAsia" w:ascii="黑体" w:hAnsi="黑体" w:eastAsia="黑体" w:cs="宋体"/>
          <w:b/>
          <w:bCs/>
          <w:color w:val="auto"/>
          <w:sz w:val="24"/>
          <w:highlight w:val="none"/>
        </w:rPr>
      </w:pPr>
    </w:p>
    <w:p w14:paraId="44476088">
      <w:pPr>
        <w:ind w:firstLine="200"/>
        <w:rPr>
          <w:rFonts w:hint="eastAsia" w:ascii="黑体" w:hAnsi="黑体" w:eastAsia="黑体" w:cs="宋体"/>
          <w:b/>
          <w:bCs/>
          <w:color w:val="auto"/>
          <w:sz w:val="24"/>
          <w:highlight w:val="none"/>
          <w:lang w:eastAsia="zh-CN"/>
        </w:rPr>
      </w:pPr>
      <w:r>
        <w:rPr>
          <w:rFonts w:hint="eastAsia" w:ascii="黑体" w:hAnsi="黑体" w:eastAsia="黑体" w:cs="宋体"/>
          <w:b/>
          <w:bCs/>
          <w:color w:val="auto"/>
          <w:sz w:val="24"/>
          <w:highlight w:val="none"/>
        </w:rPr>
        <w:t>7</w:t>
      </w:r>
      <w:r>
        <w:rPr>
          <w:rFonts w:ascii="黑体" w:hAnsi="黑体" w:eastAsia="黑体" w:cs="宋体"/>
          <w:b/>
          <w:bCs/>
          <w:color w:val="auto"/>
          <w:sz w:val="24"/>
          <w:highlight w:val="none"/>
        </w:rPr>
        <w:t>.</w:t>
      </w:r>
      <w:r>
        <w:rPr>
          <w:rFonts w:hint="eastAsia" w:ascii="黑体" w:hAnsi="黑体" w:eastAsia="黑体" w:cs="宋体"/>
          <w:b/>
          <w:bCs/>
          <w:color w:val="auto"/>
          <w:sz w:val="24"/>
          <w:highlight w:val="none"/>
        </w:rPr>
        <w:t>评审标准</w:t>
      </w:r>
    </w:p>
    <w:p w14:paraId="403C3628">
      <w:pPr>
        <w:spacing w:line="360" w:lineRule="auto"/>
        <w:ind w:firstLine="420" w:firstLineChars="200"/>
        <w:rPr>
          <w:rFonts w:hint="eastAsia" w:ascii="宋体" w:hAnsi="宋体" w:eastAsia="宋体" w:cs="宋体"/>
          <w:bCs/>
          <w:color w:val="auto"/>
          <w:szCs w:val="21"/>
          <w:highlight w:val="none"/>
        </w:rPr>
      </w:pPr>
      <w:r>
        <w:rPr>
          <w:rFonts w:hint="eastAsia" w:ascii="宋体" w:hAnsi="宋体" w:eastAsia="宋体" w:cs="宋体"/>
          <w:b w:val="0"/>
          <w:bCs/>
          <w:color w:val="auto"/>
          <w:highlight w:val="none"/>
        </w:rPr>
        <w:t>7.</w:t>
      </w:r>
      <w:r>
        <w:rPr>
          <w:rFonts w:hint="eastAsia" w:ascii="宋体" w:hAnsi="宋体" w:eastAsia="宋体" w:cs="宋体"/>
          <w:bCs/>
          <w:color w:val="auto"/>
          <w:szCs w:val="21"/>
          <w:highlight w:val="none"/>
        </w:rPr>
        <w:t>1评审依据：磋商小组将以响应文件为评审依据，对供应商的报价、技术、商务等方面内容按百分制打分。（计分方法按四舍五入取至百分位）</w:t>
      </w:r>
    </w:p>
    <w:p w14:paraId="59EB3A3D">
      <w:pPr>
        <w:spacing w:line="360" w:lineRule="auto"/>
        <w:ind w:firstLine="420" w:firstLineChars="200"/>
        <w:rPr>
          <w:rFonts w:hint="eastAsia" w:ascii="宋体" w:hAnsi="宋体" w:eastAsia="宋体" w:cs="宋体"/>
          <w:color w:val="auto"/>
          <w:highlight w:val="none"/>
        </w:rPr>
      </w:pPr>
      <w:bookmarkStart w:id="108" w:name="_Toc80205935"/>
    </w:p>
    <w:p w14:paraId="525315AC">
      <w:pPr>
        <w:spacing w:line="360" w:lineRule="auto"/>
        <w:ind w:firstLine="562" w:firstLineChars="200"/>
        <w:jc w:val="center"/>
        <w:rPr>
          <w:rFonts w:hint="eastAsia" w:ascii="宋体" w:hAnsi="宋体" w:eastAsia="宋体" w:cs="宋体"/>
          <w:bCs/>
          <w:color w:val="auto"/>
          <w:szCs w:val="21"/>
          <w:highlight w:val="none"/>
          <w:lang w:eastAsia="zh-CN"/>
        </w:rPr>
      </w:pPr>
      <w:r>
        <w:rPr>
          <w:rFonts w:hint="eastAsia" w:ascii="宋体" w:hAnsi="宋体" w:eastAsia="宋体" w:cs="宋体"/>
          <w:b/>
          <w:bCs w:val="0"/>
          <w:color w:val="auto"/>
          <w:sz w:val="28"/>
          <w:szCs w:val="28"/>
          <w:highlight w:val="none"/>
          <w:lang w:eastAsia="zh-CN"/>
        </w:rPr>
        <w:t>（适用</w:t>
      </w:r>
      <w:r>
        <w:rPr>
          <w:rFonts w:hint="eastAsia" w:ascii="宋体" w:hAnsi="宋体" w:eastAsia="宋体" w:cs="宋体"/>
          <w:b/>
          <w:bCs w:val="0"/>
          <w:color w:val="auto"/>
          <w:sz w:val="28"/>
          <w:szCs w:val="28"/>
          <w:highlight w:val="none"/>
          <w:lang w:val="en-US" w:eastAsia="zh-CN"/>
        </w:rPr>
        <w:t>A分标</w:t>
      </w:r>
      <w:r>
        <w:rPr>
          <w:rFonts w:hint="eastAsia" w:ascii="宋体" w:hAnsi="宋体" w:eastAsia="宋体" w:cs="宋体"/>
          <w:b/>
          <w:bCs w:val="0"/>
          <w:color w:val="auto"/>
          <w:sz w:val="28"/>
          <w:szCs w:val="28"/>
          <w:highlight w:val="none"/>
          <w:lang w:eastAsia="zh-CN"/>
        </w:rPr>
        <w:t>）</w:t>
      </w:r>
    </w:p>
    <w:tbl>
      <w:tblPr>
        <w:tblStyle w:val="28"/>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1086"/>
        <w:gridCol w:w="1051"/>
        <w:gridCol w:w="5922"/>
        <w:gridCol w:w="957"/>
      </w:tblGrid>
      <w:tr w14:paraId="4E6C52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3" w:type="dxa"/>
            <w:noWrap w:val="0"/>
            <w:vAlign w:val="center"/>
          </w:tcPr>
          <w:p w14:paraId="42CD5FBF">
            <w:pPr>
              <w:spacing w:line="360" w:lineRule="auto"/>
              <w:jc w:val="center"/>
              <w:rPr>
                <w:rFonts w:hint="eastAsia"/>
                <w:bCs/>
                <w:color w:val="auto"/>
                <w:szCs w:val="21"/>
                <w:highlight w:val="none"/>
              </w:rPr>
            </w:pPr>
            <w:r>
              <w:rPr>
                <w:rFonts w:hint="eastAsia"/>
                <w:bCs/>
                <w:color w:val="auto"/>
                <w:szCs w:val="21"/>
                <w:highlight w:val="none"/>
              </w:rPr>
              <w:t>序号</w:t>
            </w:r>
          </w:p>
        </w:tc>
        <w:tc>
          <w:tcPr>
            <w:tcW w:w="1086" w:type="dxa"/>
            <w:noWrap w:val="0"/>
            <w:vAlign w:val="center"/>
          </w:tcPr>
          <w:p w14:paraId="2BD26E8A">
            <w:pPr>
              <w:spacing w:line="360" w:lineRule="auto"/>
              <w:jc w:val="center"/>
              <w:rPr>
                <w:rFonts w:hint="eastAsia"/>
                <w:bCs/>
                <w:color w:val="auto"/>
                <w:szCs w:val="21"/>
                <w:highlight w:val="none"/>
              </w:rPr>
            </w:pPr>
            <w:r>
              <w:rPr>
                <w:rFonts w:hint="eastAsia"/>
                <w:bCs/>
                <w:color w:val="auto"/>
                <w:szCs w:val="21"/>
                <w:highlight w:val="none"/>
              </w:rPr>
              <w:t>评分类型</w:t>
            </w:r>
          </w:p>
        </w:tc>
        <w:tc>
          <w:tcPr>
            <w:tcW w:w="6973" w:type="dxa"/>
            <w:gridSpan w:val="2"/>
            <w:noWrap w:val="0"/>
            <w:vAlign w:val="center"/>
          </w:tcPr>
          <w:p w14:paraId="5924D5A5">
            <w:pPr>
              <w:spacing w:line="360" w:lineRule="auto"/>
              <w:jc w:val="center"/>
              <w:rPr>
                <w:rFonts w:hint="eastAsia"/>
                <w:bCs/>
                <w:color w:val="auto"/>
                <w:szCs w:val="21"/>
                <w:highlight w:val="none"/>
              </w:rPr>
            </w:pPr>
            <w:r>
              <w:rPr>
                <w:rFonts w:hint="eastAsia"/>
                <w:bCs/>
                <w:color w:val="auto"/>
                <w:szCs w:val="21"/>
                <w:highlight w:val="none"/>
              </w:rPr>
              <w:t>评分标准</w:t>
            </w:r>
          </w:p>
        </w:tc>
        <w:tc>
          <w:tcPr>
            <w:tcW w:w="957" w:type="dxa"/>
            <w:noWrap w:val="0"/>
            <w:vAlign w:val="center"/>
          </w:tcPr>
          <w:p w14:paraId="2A6FE063">
            <w:pPr>
              <w:spacing w:line="360" w:lineRule="auto"/>
              <w:jc w:val="center"/>
              <w:rPr>
                <w:rFonts w:hint="eastAsia"/>
                <w:bCs/>
                <w:color w:val="auto"/>
                <w:szCs w:val="21"/>
                <w:highlight w:val="none"/>
              </w:rPr>
            </w:pPr>
            <w:r>
              <w:rPr>
                <w:rFonts w:hint="eastAsia"/>
                <w:bCs/>
                <w:color w:val="auto"/>
                <w:szCs w:val="21"/>
                <w:highlight w:val="none"/>
              </w:rPr>
              <w:t>分值</w:t>
            </w:r>
          </w:p>
        </w:tc>
      </w:tr>
      <w:tr w14:paraId="55B60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3" w:type="dxa"/>
            <w:noWrap w:val="0"/>
            <w:vAlign w:val="center"/>
          </w:tcPr>
          <w:p w14:paraId="7E40E50A">
            <w:pPr>
              <w:spacing w:line="360" w:lineRule="auto"/>
              <w:jc w:val="center"/>
              <w:rPr>
                <w:rFonts w:hint="eastAsia"/>
                <w:bCs/>
                <w:color w:val="auto"/>
                <w:szCs w:val="21"/>
                <w:highlight w:val="none"/>
              </w:rPr>
            </w:pPr>
            <w:r>
              <w:rPr>
                <w:rFonts w:hint="eastAsia" w:ascii="宋体" w:hAnsi="宋体" w:eastAsia="宋体" w:cs="宋体"/>
                <w:bCs/>
                <w:color w:val="auto"/>
                <w:szCs w:val="21"/>
                <w:highlight w:val="none"/>
              </w:rPr>
              <w:t>1</w:t>
            </w:r>
          </w:p>
        </w:tc>
        <w:tc>
          <w:tcPr>
            <w:tcW w:w="1086" w:type="dxa"/>
            <w:noWrap w:val="0"/>
            <w:vAlign w:val="center"/>
          </w:tcPr>
          <w:p w14:paraId="427C2242">
            <w:pPr>
              <w:spacing w:line="360" w:lineRule="auto"/>
              <w:jc w:val="center"/>
              <w:rPr>
                <w:rFonts w:hint="eastAsia" w:eastAsia="宋体"/>
                <w:bCs/>
                <w:color w:val="auto"/>
                <w:szCs w:val="21"/>
                <w:highlight w:val="none"/>
                <w:lang w:eastAsia="zh-CN"/>
              </w:rPr>
            </w:pPr>
            <w:r>
              <w:rPr>
                <w:rFonts w:hint="eastAsia"/>
                <w:bCs/>
                <w:color w:val="auto"/>
                <w:szCs w:val="21"/>
                <w:highlight w:val="none"/>
              </w:rPr>
              <w:t>报价</w:t>
            </w:r>
            <w:r>
              <w:rPr>
                <w:rFonts w:hint="eastAsia" w:ascii="Times New Roman" w:hAnsi="Times New Roman" w:eastAsia="宋体" w:cs="Times New Roman"/>
                <w:b w:val="0"/>
                <w:bCs/>
                <w:i w:val="0"/>
                <w:iCs w:val="0"/>
                <w:color w:val="auto"/>
                <w:kern w:val="2"/>
                <w:szCs w:val="21"/>
                <w:highlight w:val="none"/>
                <w:lang w:eastAsia="zh-CN"/>
              </w:rPr>
              <w:t>分</w:t>
            </w:r>
          </w:p>
        </w:tc>
        <w:tc>
          <w:tcPr>
            <w:tcW w:w="6973" w:type="dxa"/>
            <w:gridSpan w:val="2"/>
            <w:noWrap w:val="0"/>
            <w:vAlign w:val="center"/>
          </w:tcPr>
          <w:p w14:paraId="454B5AEB">
            <w:pPr>
              <w:spacing w:line="360" w:lineRule="auto"/>
              <w:ind w:firstLine="420" w:firstLineChars="200"/>
              <w:jc w:val="left"/>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为供应商的最后报价进行政策性扣除后的价格，</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只是作为评审时使用。最终成交供应商的成交金额等于最后报价（如有修正，以确认修正后的最后报价为准）。</w:t>
            </w:r>
          </w:p>
          <w:p w14:paraId="396E2078">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1.2</w:t>
            </w:r>
            <w:r>
              <w:rPr>
                <w:rFonts w:hint="eastAsia" w:ascii="宋体" w:hAnsi="宋体" w:eastAsia="宋体" w:cs="宋体"/>
                <w:bCs w:val="0"/>
                <w:color w:val="auto"/>
                <w:szCs w:val="24"/>
                <w:highlight w:val="none"/>
              </w:rPr>
              <w:t>政策性扣除计算方法。</w:t>
            </w:r>
          </w:p>
          <w:p w14:paraId="146DFF19">
            <w:pPr>
              <w:spacing w:line="360" w:lineRule="auto"/>
              <w:ind w:firstLine="420" w:firstLineChars="200"/>
              <w:jc w:val="left"/>
              <w:rPr>
                <w:rFonts w:hint="eastAsia" w:ascii="宋体" w:hAnsi="宋体" w:eastAsia="宋体" w:cs="宋体"/>
                <w:bCs w:val="0"/>
                <w:color w:val="auto"/>
                <w:szCs w:val="24"/>
                <w:highlight w:val="none"/>
                <w:lang w:eastAsia="zh-CN"/>
              </w:rPr>
            </w:pPr>
            <w:r>
              <w:rPr>
                <w:rFonts w:hint="eastAsia" w:ascii="宋体" w:hAnsi="宋体" w:eastAsia="宋体" w:cs="宋体"/>
                <w:bCs/>
                <w:color w:val="auto"/>
                <w:szCs w:val="21"/>
                <w:highlight w:val="none"/>
                <w:lang w:eastAsia="zh-CN"/>
              </w:rPr>
              <w:t>供应商</w:t>
            </w:r>
            <w:r>
              <w:rPr>
                <w:rFonts w:hint="eastAsia" w:ascii="宋体" w:hAnsi="宋体" w:eastAsia="宋体" w:cs="宋体"/>
                <w:color w:val="auto"/>
                <w:szCs w:val="21"/>
                <w:highlight w:val="none"/>
              </w:rPr>
              <w:t>被评定为</w:t>
            </w:r>
            <w:r>
              <w:rPr>
                <w:rFonts w:hint="eastAsia" w:ascii="宋体" w:hAnsi="宋体" w:eastAsia="宋体" w:cs="宋体"/>
                <w:bCs/>
                <w:color w:val="auto"/>
                <w:szCs w:val="21"/>
                <w:highlight w:val="none"/>
              </w:rPr>
              <w:t>监狱企业或者残疾人福利性单位或者</w:t>
            </w:r>
            <w:r>
              <w:rPr>
                <w:rFonts w:hint="eastAsia" w:ascii="宋体" w:hAnsi="宋体" w:eastAsia="宋体" w:cs="宋体"/>
                <w:bCs/>
                <w:color w:val="auto"/>
                <w:szCs w:val="21"/>
                <w:highlight w:val="none"/>
                <w:lang w:eastAsia="zh-CN"/>
              </w:rPr>
              <w:t>其</w:t>
            </w:r>
            <w:r>
              <w:rPr>
                <w:rFonts w:hint="eastAsia" w:ascii="宋体" w:hAnsi="宋体" w:eastAsia="宋体" w:cs="宋体"/>
                <w:color w:val="auto"/>
                <w:sz w:val="21"/>
                <w:szCs w:val="21"/>
                <w:highlight w:val="none"/>
                <w:lang w:val="en-US" w:eastAsia="zh-CN"/>
              </w:rPr>
              <w:t>服务全部由符合政策要求的小型、微型企业承接的</w:t>
            </w:r>
            <w:r>
              <w:rPr>
                <w:rFonts w:hint="eastAsia" w:ascii="宋体" w:hAnsi="宋体" w:eastAsia="宋体" w:cs="宋体"/>
                <w:color w:val="auto"/>
                <w:szCs w:val="21"/>
                <w:highlight w:val="none"/>
              </w:rPr>
              <w:t>，</w:t>
            </w:r>
            <w:r>
              <w:rPr>
                <w:rFonts w:hint="eastAsia" w:ascii="宋体" w:hAnsi="宋体" w:eastAsia="宋体" w:cs="宋体"/>
                <w:bCs w:val="0"/>
                <w:color w:val="auto"/>
                <w:szCs w:val="24"/>
                <w:highlight w:val="none"/>
              </w:rPr>
              <w:t>该</w:t>
            </w:r>
            <w:r>
              <w:rPr>
                <w:rFonts w:hint="eastAsia" w:ascii="宋体" w:hAnsi="宋体" w:eastAsia="宋体" w:cs="宋体"/>
                <w:bCs w:val="0"/>
                <w:color w:val="auto"/>
                <w:szCs w:val="24"/>
                <w:highlight w:val="none"/>
                <w:lang w:eastAsia="zh-CN"/>
              </w:rPr>
              <w:t>供应商</w:t>
            </w:r>
            <w:r>
              <w:rPr>
                <w:rFonts w:hint="eastAsia" w:ascii="宋体" w:hAnsi="宋体" w:eastAsia="宋体" w:cs="宋体"/>
                <w:bCs w:val="0"/>
                <w:color w:val="auto"/>
                <w:szCs w:val="24"/>
                <w:highlight w:val="none"/>
              </w:rPr>
              <w:t>的</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给予</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Cs w:val="0"/>
                <w:color w:val="auto"/>
                <w:szCs w:val="24"/>
                <w:highlight w:val="none"/>
              </w:rPr>
              <w:t>的扣除，扣除后的价格为</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 w:val="0"/>
                <w:bCs w:val="0"/>
                <w:color w:val="auto"/>
                <w:szCs w:val="24"/>
                <w:highlight w:val="none"/>
                <w:u w:val="none"/>
                <w:lang w:val="en-US" w:eastAsia="zh-CN"/>
              </w:rPr>
              <w:t>）</w:t>
            </w:r>
            <w:r>
              <w:rPr>
                <w:rFonts w:hint="eastAsia" w:ascii="宋体" w:hAnsi="宋体" w:eastAsia="宋体" w:cs="宋体"/>
                <w:bCs w:val="0"/>
                <w:color w:val="auto"/>
                <w:szCs w:val="24"/>
                <w:highlight w:val="none"/>
              </w:rPr>
              <w:t>；</w:t>
            </w:r>
            <w:r>
              <w:rPr>
                <w:rFonts w:hint="eastAsia" w:ascii="宋体" w:hAnsi="宋体" w:eastAsia="宋体" w:cs="宋体"/>
                <w:bCs w:val="0"/>
                <w:color w:val="auto"/>
                <w:sz w:val="21"/>
                <w:szCs w:val="24"/>
                <w:highlight w:val="none"/>
              </w:rPr>
              <w:t>接受大中型企业与小微企业组成联合体或者允许大中型企业向一家或者多家小微企业分包的采购项目，对</w:t>
            </w:r>
            <w:r>
              <w:rPr>
                <w:rFonts w:hint="eastAsia" w:ascii="宋体" w:hAnsi="宋体" w:eastAsia="宋体" w:cs="宋体"/>
                <w:bCs w:val="0"/>
                <w:color w:val="auto"/>
                <w:sz w:val="21"/>
                <w:szCs w:val="24"/>
                <w:highlight w:val="none"/>
                <w:lang w:eastAsia="zh-CN"/>
              </w:rPr>
              <w:t>于</w:t>
            </w:r>
            <w:r>
              <w:rPr>
                <w:rFonts w:hint="eastAsia" w:ascii="宋体" w:hAnsi="宋体" w:eastAsia="宋体" w:cs="宋体"/>
                <w:bCs w:val="0"/>
                <w:color w:val="auto"/>
                <w:sz w:val="21"/>
                <w:szCs w:val="24"/>
                <w:highlight w:val="none"/>
              </w:rPr>
              <w:t>联合协议或者分包意向协议约定小微企业的合同份额占到合同总金额 30%以上的，对联合体或者大中型企业的</w:t>
            </w:r>
            <w:r>
              <w:rPr>
                <w:rFonts w:hint="eastAsia" w:ascii="宋体" w:hAnsi="宋体" w:eastAsia="宋体" w:cs="宋体"/>
                <w:bCs w:val="0"/>
                <w:color w:val="auto"/>
                <w:sz w:val="21"/>
                <w:szCs w:val="24"/>
                <w:highlight w:val="none"/>
                <w:lang w:eastAsia="zh-CN"/>
              </w:rPr>
              <w:t>最后</w:t>
            </w:r>
            <w:r>
              <w:rPr>
                <w:rFonts w:hint="eastAsia" w:ascii="宋体" w:hAnsi="宋体" w:eastAsia="宋体" w:cs="宋体"/>
                <w:bCs w:val="0"/>
                <w:color w:val="auto"/>
                <w:sz w:val="21"/>
                <w:szCs w:val="24"/>
                <w:highlight w:val="none"/>
              </w:rPr>
              <w:t>报价给予</w:t>
            </w:r>
            <w:r>
              <w:rPr>
                <w:rFonts w:hint="eastAsia" w:ascii="宋体" w:hAnsi="宋体" w:eastAsia="宋体" w:cs="宋体"/>
                <w:b/>
                <w:bCs/>
                <w:color w:val="auto"/>
                <w:sz w:val="21"/>
                <w:szCs w:val="24"/>
                <w:highlight w:val="none"/>
              </w:rPr>
              <w:t xml:space="preserve"> </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 w:val="21"/>
                <w:szCs w:val="24"/>
                <w:highlight w:val="none"/>
              </w:rPr>
              <w:t>的扣除，用扣除后的价格参加评审</w:t>
            </w:r>
            <w:r>
              <w:rPr>
                <w:rFonts w:hint="eastAsia" w:ascii="宋体" w:hAnsi="宋体" w:eastAsia="宋体" w:cs="宋体"/>
                <w:bCs w:val="0"/>
                <w:color w:val="auto"/>
                <w:szCs w:val="24"/>
                <w:highlight w:val="none"/>
              </w:rPr>
              <w:t>，扣除后的价格为</w:t>
            </w:r>
            <w:r>
              <w:rPr>
                <w:rFonts w:hint="eastAsia" w:ascii="宋体" w:hAnsi="宋体" w:eastAsia="宋体" w:cs="宋体"/>
                <w:bCs w:val="0"/>
                <w:color w:val="auto"/>
                <w:szCs w:val="24"/>
                <w:highlight w:val="none"/>
                <w:lang w:eastAsia="zh-CN"/>
              </w:rPr>
              <w:t>评审</w:t>
            </w:r>
            <w:r>
              <w:rPr>
                <w:rFonts w:hint="eastAsia" w:ascii="宋体" w:hAnsi="宋体" w:eastAsia="宋体" w:cs="宋体"/>
                <w:bCs w:val="0"/>
                <w:color w:val="auto"/>
                <w:szCs w:val="24"/>
                <w:highlight w:val="none"/>
              </w:rPr>
              <w:t>价，即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Cs w:val="0"/>
                <w:color w:val="auto"/>
                <w:szCs w:val="24"/>
                <w:highlight w:val="none"/>
                <w:lang w:eastAsia="zh-CN"/>
              </w:rPr>
              <w:t>－</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w:t>
            </w:r>
          </w:p>
          <w:p w14:paraId="0B1EBB0E">
            <w:pPr>
              <w:snapToGrid/>
              <w:spacing w:line="360" w:lineRule="auto"/>
              <w:ind w:firstLine="420" w:firstLineChars="200"/>
              <w:jc w:val="left"/>
              <w:rPr>
                <w:rFonts w:hint="eastAsia" w:ascii="宋体" w:hAnsi="宋体" w:eastAsia="宋体" w:cs="宋体"/>
                <w:color w:val="auto"/>
                <w:szCs w:val="24"/>
                <w:highlight w:val="none"/>
              </w:rPr>
            </w:pPr>
            <w:r>
              <w:rPr>
                <w:rFonts w:hint="eastAsia" w:ascii="宋体" w:hAnsi="宋体" w:eastAsia="宋体" w:cs="宋体"/>
                <w:color w:val="auto"/>
                <w:szCs w:val="24"/>
                <w:highlight w:val="none"/>
              </w:rPr>
              <w:t>除上述情况外，</w:t>
            </w:r>
            <w:r>
              <w:rPr>
                <w:rFonts w:hint="eastAsia" w:ascii="宋体" w:hAnsi="宋体" w:eastAsia="宋体" w:cs="宋体"/>
                <w:color w:val="auto"/>
                <w:szCs w:val="24"/>
                <w:highlight w:val="none"/>
                <w:lang w:eastAsia="zh-CN"/>
              </w:rPr>
              <w:t>评审价</w:t>
            </w:r>
            <w:r>
              <w:rPr>
                <w:rFonts w:hint="eastAsia" w:ascii="宋体" w:hAnsi="宋体" w:eastAsia="宋体" w:cs="宋体"/>
                <w:color w:val="auto"/>
                <w:szCs w:val="24"/>
                <w:highlight w:val="none"/>
              </w:rPr>
              <w:t>=</w:t>
            </w:r>
            <w:r>
              <w:rPr>
                <w:rFonts w:hint="eastAsia" w:ascii="宋体" w:hAnsi="宋体" w:eastAsia="宋体" w:cs="宋体"/>
                <w:color w:val="auto"/>
                <w:szCs w:val="24"/>
                <w:highlight w:val="none"/>
                <w:lang w:eastAsia="zh-CN"/>
              </w:rPr>
              <w:t>最后报价</w:t>
            </w:r>
            <w:r>
              <w:rPr>
                <w:rFonts w:hint="eastAsia" w:ascii="宋体" w:hAnsi="宋体" w:eastAsia="宋体" w:cs="宋体"/>
                <w:color w:val="auto"/>
                <w:szCs w:val="24"/>
                <w:highlight w:val="none"/>
              </w:rPr>
              <w:t>。</w:t>
            </w:r>
          </w:p>
          <w:p w14:paraId="7C670BA4">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1.3 </w:t>
            </w:r>
            <w:r>
              <w:rPr>
                <w:rFonts w:hint="eastAsia" w:ascii="宋体" w:hAnsi="宋体" w:eastAsia="宋体" w:cs="宋体"/>
                <w:bCs w:val="0"/>
                <w:color w:val="auto"/>
                <w:szCs w:val="24"/>
                <w:highlight w:val="none"/>
              </w:rPr>
              <w:t>满足</w:t>
            </w:r>
            <w:r>
              <w:rPr>
                <w:rFonts w:hint="eastAsia" w:ascii="宋体" w:hAnsi="宋体" w:eastAsia="宋体" w:cs="宋体"/>
                <w:bCs w:val="0"/>
                <w:color w:val="auto"/>
                <w:szCs w:val="24"/>
                <w:highlight w:val="none"/>
                <w:lang w:eastAsia="zh-CN"/>
              </w:rPr>
              <w:t>磋商文件</w:t>
            </w:r>
            <w:r>
              <w:rPr>
                <w:rFonts w:hint="eastAsia" w:ascii="宋体" w:hAnsi="宋体" w:eastAsia="宋体" w:cs="宋体"/>
                <w:bCs w:val="0"/>
                <w:color w:val="auto"/>
                <w:szCs w:val="24"/>
                <w:highlight w:val="none"/>
              </w:rPr>
              <w:t>要求且</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最低的</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为</w:t>
            </w:r>
            <w:r>
              <w:rPr>
                <w:rFonts w:hint="eastAsia" w:ascii="宋体" w:hAnsi="宋体" w:eastAsia="宋体" w:cs="宋体"/>
                <w:bCs w:val="0"/>
                <w:color w:val="auto"/>
                <w:szCs w:val="24"/>
                <w:highlight w:val="none"/>
                <w:lang w:eastAsia="zh-CN"/>
              </w:rPr>
              <w:t>评审基准价</w:t>
            </w:r>
            <w:r>
              <w:rPr>
                <w:rFonts w:hint="eastAsia" w:ascii="宋体" w:hAnsi="宋体" w:eastAsia="宋体" w:cs="宋体"/>
                <w:bCs w:val="0"/>
                <w:color w:val="auto"/>
                <w:szCs w:val="24"/>
                <w:highlight w:val="none"/>
              </w:rPr>
              <w:t>，基准价得分为</w:t>
            </w:r>
            <w:r>
              <w:rPr>
                <w:rFonts w:hint="eastAsia" w:ascii="宋体" w:hAnsi="宋体" w:eastAsia="宋体" w:cs="宋体"/>
                <w:bCs w:val="0"/>
                <w:color w:val="auto"/>
                <w:szCs w:val="24"/>
                <w:highlight w:val="none"/>
                <w:u w:val="none"/>
                <w:lang w:val="en-US" w:eastAsia="zh-CN"/>
              </w:rPr>
              <w:t>20</w:t>
            </w:r>
            <w:r>
              <w:rPr>
                <w:rFonts w:hint="eastAsia" w:ascii="宋体" w:hAnsi="宋体" w:eastAsia="宋体" w:cs="宋体"/>
                <w:bCs w:val="0"/>
                <w:color w:val="auto"/>
                <w:szCs w:val="24"/>
                <w:highlight w:val="none"/>
              </w:rPr>
              <w:t>分。</w:t>
            </w:r>
          </w:p>
          <w:p w14:paraId="57CE69E8">
            <w:pPr>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1.4 </w:t>
            </w:r>
            <w:r>
              <w:rPr>
                <w:rFonts w:hint="eastAsia" w:ascii="宋体" w:hAnsi="宋体" w:eastAsia="宋体" w:cs="宋体"/>
                <w:bCs w:val="0"/>
                <w:color w:val="auto"/>
                <w:szCs w:val="24"/>
                <w:highlight w:val="none"/>
              </w:rPr>
              <w:t>价格分计算公式：</w:t>
            </w:r>
          </w:p>
          <w:p w14:paraId="2F9799D2">
            <w:pPr>
              <w:spacing w:line="360" w:lineRule="auto"/>
              <w:ind w:firstLine="420" w:firstLineChars="200"/>
              <w:jc w:val="center"/>
              <w:rPr>
                <w:rFonts w:hint="eastAsia"/>
                <w:color w:val="auto"/>
                <w:highlight w:val="none"/>
              </w:rPr>
            </w:pPr>
            <w:r>
              <w:rPr>
                <w:rFonts w:hint="eastAsia" w:ascii="宋体" w:hAnsi="宋体" w:eastAsia="宋体" w:cs="宋体"/>
                <w:bCs/>
                <w:color w:val="auto"/>
                <w:sz w:val="21"/>
                <w:highlight w:val="none"/>
                <w:lang w:val="en-US" w:eastAsia="zh-CN"/>
              </w:rPr>
              <w:t>价格分</w:t>
            </w:r>
            <w:r>
              <w:rPr>
                <w:rFonts w:hint="eastAsia" w:ascii="宋体" w:hAnsi="宋体" w:eastAsia="宋体" w:cs="宋体"/>
                <w:bCs/>
                <w:color w:val="auto"/>
                <w:kern w:val="2"/>
                <w:sz w:val="21"/>
                <w:highlight w:val="none"/>
                <w:lang w:val="en-US" w:eastAsia="zh-CN"/>
              </w:rPr>
              <w:t>=(评审基准价／评审价)×</w:t>
            </w:r>
            <w:r>
              <w:rPr>
                <w:rFonts w:hint="eastAsia" w:ascii="宋体" w:hAnsi="宋体" w:eastAsia="宋体" w:cs="宋体"/>
                <w:bCs/>
                <w:color w:val="auto"/>
                <w:sz w:val="21"/>
                <w:highlight w:val="none"/>
                <w:u w:val="single"/>
                <w:lang w:val="en-US" w:eastAsia="zh-CN"/>
              </w:rPr>
              <w:t xml:space="preserve"> 20  </w:t>
            </w:r>
            <w:r>
              <w:rPr>
                <w:rFonts w:hint="eastAsia" w:ascii="宋体" w:hAnsi="宋体" w:eastAsia="宋体" w:cs="宋体"/>
                <w:bCs/>
                <w:color w:val="auto"/>
                <w:kern w:val="2"/>
                <w:sz w:val="21"/>
                <w:highlight w:val="none"/>
                <w:lang w:val="en-US" w:eastAsia="zh-CN"/>
              </w:rPr>
              <w:t>分</w:t>
            </w:r>
          </w:p>
        </w:tc>
        <w:tc>
          <w:tcPr>
            <w:tcW w:w="957" w:type="dxa"/>
            <w:noWrap w:val="0"/>
            <w:vAlign w:val="center"/>
          </w:tcPr>
          <w:p w14:paraId="56AEB351">
            <w:pPr>
              <w:spacing w:line="360" w:lineRule="auto"/>
              <w:jc w:val="center"/>
              <w:rPr>
                <w:rFonts w:hint="eastAsia"/>
                <w:bCs/>
                <w:color w:val="auto"/>
                <w:szCs w:val="21"/>
                <w:highlight w:val="none"/>
              </w:rPr>
            </w:pPr>
            <w:r>
              <w:rPr>
                <w:rFonts w:hint="eastAsia" w:ascii="宋体" w:hAnsi="宋体" w:cs="Tahoma"/>
                <w:color w:val="auto"/>
                <w:kern w:val="0"/>
                <w:szCs w:val="21"/>
                <w:highlight w:val="none"/>
                <w:lang w:val="en-US" w:eastAsia="zh-CN"/>
              </w:rPr>
              <w:t>20</w:t>
            </w:r>
            <w:r>
              <w:rPr>
                <w:rFonts w:hint="eastAsia" w:ascii="宋体" w:hAnsi="宋体" w:cs="Tahoma"/>
                <w:color w:val="auto"/>
                <w:kern w:val="0"/>
                <w:szCs w:val="21"/>
                <w:highlight w:val="none"/>
              </w:rPr>
              <w:t>分</w:t>
            </w:r>
          </w:p>
        </w:tc>
      </w:tr>
      <w:tr w14:paraId="3728F5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restart"/>
            <w:noWrap w:val="0"/>
            <w:vAlign w:val="center"/>
          </w:tcPr>
          <w:p w14:paraId="19FF60A7">
            <w:pPr>
              <w:spacing w:line="360" w:lineRule="auto"/>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2</w:t>
            </w:r>
          </w:p>
        </w:tc>
        <w:tc>
          <w:tcPr>
            <w:tcW w:w="1086" w:type="dxa"/>
            <w:vMerge w:val="restart"/>
            <w:noWrap w:val="0"/>
            <w:vAlign w:val="center"/>
          </w:tcPr>
          <w:p w14:paraId="2EB2E899">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技术</w:t>
            </w:r>
            <w:r>
              <w:rPr>
                <w:rFonts w:hint="eastAsia" w:ascii="宋体" w:hAnsi="宋体" w:eastAsia="宋体" w:cs="宋体"/>
                <w:bCs/>
                <w:color w:val="auto"/>
                <w:szCs w:val="21"/>
                <w:highlight w:val="none"/>
                <w:lang w:eastAsia="zh-CN"/>
              </w:rPr>
              <w:t>分</w:t>
            </w:r>
          </w:p>
        </w:tc>
        <w:tc>
          <w:tcPr>
            <w:tcW w:w="1051" w:type="dxa"/>
            <w:noWrap w:val="0"/>
            <w:vAlign w:val="center"/>
          </w:tcPr>
          <w:p w14:paraId="6FEF843E">
            <w:pPr>
              <w:spacing w:line="360" w:lineRule="auto"/>
              <w:ind w:firstLine="0" w:firstLineChars="0"/>
              <w:jc w:val="left"/>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2.1</w:t>
            </w:r>
            <w:r>
              <w:rPr>
                <w:rFonts w:hint="eastAsia" w:ascii="宋体" w:hAnsi="宋体" w:eastAsia="宋体" w:cs="宋体"/>
                <w:b w:val="0"/>
                <w:bCs w:val="0"/>
                <w:color w:val="auto"/>
                <w:sz w:val="21"/>
                <w:szCs w:val="21"/>
                <w:highlight w:val="none"/>
              </w:rPr>
              <w:t>项目实施方案</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（满分</w:t>
            </w:r>
            <w:r>
              <w:rPr>
                <w:rFonts w:hint="eastAsia" w:ascii="宋体" w:hAnsi="宋体" w:cs="宋体"/>
                <w:color w:val="auto"/>
                <w:highlight w:val="none"/>
                <w:lang w:val="en-US" w:eastAsia="zh-CN"/>
              </w:rPr>
              <w:t>15</w:t>
            </w:r>
            <w:r>
              <w:rPr>
                <w:rFonts w:hint="eastAsia" w:ascii="宋体" w:hAnsi="宋体" w:eastAsia="宋体" w:cs="宋体"/>
                <w:color w:val="auto"/>
                <w:highlight w:val="none"/>
                <w:lang w:val="en-US" w:eastAsia="zh-CN"/>
              </w:rPr>
              <w:t>分</w:t>
            </w:r>
            <w:r>
              <w:rPr>
                <w:rFonts w:hint="eastAsia" w:ascii="宋体" w:hAnsi="宋体" w:eastAsia="宋体" w:cs="宋体"/>
                <w:color w:val="auto"/>
                <w:highlight w:val="none"/>
                <w:lang w:eastAsia="zh-CN"/>
              </w:rPr>
              <w:t>）</w:t>
            </w:r>
          </w:p>
        </w:tc>
        <w:tc>
          <w:tcPr>
            <w:tcW w:w="5922" w:type="dxa"/>
            <w:noWrap w:val="0"/>
            <w:vAlign w:val="center"/>
          </w:tcPr>
          <w:p w14:paraId="0667652C">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评标</w:t>
            </w:r>
            <w:r>
              <w:rPr>
                <w:rFonts w:hint="eastAsia" w:ascii="宋体" w:hAnsi="宋体" w:eastAsia="宋体" w:cs="宋体"/>
                <w:b w:val="0"/>
                <w:bCs w:val="0"/>
                <w:color w:val="auto"/>
                <w:sz w:val="21"/>
                <w:szCs w:val="21"/>
                <w:highlight w:val="none"/>
                <w:lang w:eastAsia="zh-CN"/>
              </w:rPr>
              <w:t>小组</w:t>
            </w:r>
            <w:r>
              <w:rPr>
                <w:rFonts w:hint="eastAsia" w:ascii="宋体" w:hAnsi="宋体" w:eastAsia="宋体" w:cs="宋体"/>
                <w:b w:val="0"/>
                <w:bCs w:val="0"/>
                <w:color w:val="auto"/>
                <w:sz w:val="21"/>
                <w:szCs w:val="21"/>
                <w:highlight w:val="none"/>
              </w:rPr>
              <w:t>根据</w:t>
            </w:r>
            <w:r>
              <w:rPr>
                <w:rFonts w:hint="eastAsia" w:ascii="宋体" w:hAnsi="宋体" w:eastAsia="宋体" w:cs="宋体"/>
                <w:b w:val="0"/>
                <w:bCs w:val="0"/>
                <w:color w:val="auto"/>
                <w:sz w:val="21"/>
                <w:szCs w:val="21"/>
                <w:highlight w:val="none"/>
                <w:lang w:eastAsia="zh-CN"/>
              </w:rPr>
              <w:t>供应商</w:t>
            </w:r>
            <w:r>
              <w:rPr>
                <w:rFonts w:hint="eastAsia" w:ascii="宋体" w:hAnsi="宋体" w:eastAsia="宋体" w:cs="宋体"/>
                <w:b w:val="0"/>
                <w:bCs w:val="0"/>
                <w:color w:val="auto"/>
                <w:sz w:val="21"/>
                <w:szCs w:val="21"/>
                <w:highlight w:val="none"/>
              </w:rPr>
              <w:t>提供的项目实施方案</w:t>
            </w:r>
            <w:r>
              <w:rPr>
                <w:rFonts w:hint="eastAsia" w:ascii="宋体" w:hAnsi="宋体" w:eastAsia="宋体" w:cs="宋体"/>
                <w:b w:val="0"/>
                <w:bCs w:val="0"/>
                <w:color w:val="auto"/>
                <w:sz w:val="21"/>
                <w:szCs w:val="21"/>
                <w:highlight w:val="none"/>
                <w:lang w:val="en-US" w:eastAsia="zh-CN"/>
              </w:rPr>
              <w:t>进行评审，</w:t>
            </w:r>
            <w:r>
              <w:rPr>
                <w:rFonts w:hint="eastAsia" w:ascii="宋体" w:hAnsi="宋体" w:eastAsia="宋体" w:cs="宋体"/>
                <w:b w:val="0"/>
                <w:bCs w:val="0"/>
                <w:color w:val="auto"/>
                <w:spacing w:val="7"/>
                <w:sz w:val="21"/>
                <w:szCs w:val="21"/>
                <w:highlight w:val="none"/>
                <w:lang w:val="en-US" w:eastAsia="zh-CN"/>
              </w:rPr>
              <w:t>评审内容：</w:t>
            </w:r>
            <w:r>
              <w:rPr>
                <w:rFonts w:hint="eastAsia" w:ascii="宋体" w:hAnsi="宋体" w:eastAsia="宋体" w:cs="宋体"/>
                <w:b w:val="0"/>
                <w:bCs w:val="0"/>
                <w:color w:val="auto"/>
                <w:sz w:val="21"/>
                <w:szCs w:val="21"/>
                <w:highlight w:val="none"/>
              </w:rPr>
              <w:t>①</w:t>
            </w:r>
            <w:r>
              <w:rPr>
                <w:rFonts w:hint="eastAsia" w:ascii="宋体" w:hAnsi="宋体" w:eastAsia="宋体" w:cs="宋体"/>
                <w:b w:val="0"/>
                <w:bCs w:val="0"/>
                <w:color w:val="auto"/>
                <w:sz w:val="21"/>
                <w:szCs w:val="21"/>
                <w:highlight w:val="none"/>
                <w:lang w:val="en-US" w:eastAsia="zh-CN"/>
              </w:rPr>
              <w:t>供货进度计划</w:t>
            </w:r>
            <w:r>
              <w:rPr>
                <w:rFonts w:hint="eastAsia" w:ascii="宋体" w:hAnsi="宋体" w:eastAsia="宋体" w:cs="宋体"/>
                <w:b w:val="0"/>
                <w:bCs w:val="0"/>
                <w:color w:val="auto"/>
                <w:sz w:val="21"/>
                <w:szCs w:val="21"/>
                <w:highlight w:val="none"/>
              </w:rPr>
              <w:t>；②</w:t>
            </w:r>
            <w:r>
              <w:rPr>
                <w:rFonts w:hint="eastAsia" w:ascii="宋体" w:hAnsi="宋体" w:eastAsia="宋体" w:cs="宋体"/>
                <w:b w:val="0"/>
                <w:bCs w:val="0"/>
                <w:color w:val="auto"/>
                <w:sz w:val="21"/>
                <w:szCs w:val="21"/>
                <w:highlight w:val="none"/>
                <w:lang w:val="en-US" w:eastAsia="zh-CN"/>
              </w:rPr>
              <w:t>人员配备</w:t>
            </w:r>
            <w:r>
              <w:rPr>
                <w:rFonts w:hint="eastAsia" w:ascii="宋体" w:hAnsi="宋体" w:eastAsia="宋体" w:cs="宋体"/>
                <w:b w:val="0"/>
                <w:bCs w:val="0"/>
                <w:color w:val="auto"/>
                <w:sz w:val="21"/>
                <w:szCs w:val="21"/>
                <w:highlight w:val="none"/>
              </w:rPr>
              <w:t>；③</w:t>
            </w:r>
            <w:r>
              <w:rPr>
                <w:rFonts w:hint="eastAsia" w:ascii="宋体" w:hAnsi="宋体" w:eastAsia="宋体" w:cs="宋体"/>
                <w:b w:val="0"/>
                <w:bCs w:val="0"/>
                <w:color w:val="auto"/>
                <w:sz w:val="21"/>
                <w:szCs w:val="21"/>
                <w:highlight w:val="none"/>
                <w:lang w:val="en-US" w:eastAsia="zh-CN"/>
              </w:rPr>
              <w:t>订单处理流程</w:t>
            </w:r>
            <w:r>
              <w:rPr>
                <w:rFonts w:hint="eastAsia" w:ascii="宋体" w:hAnsi="宋体" w:eastAsia="宋体" w:cs="宋体"/>
                <w:b w:val="0"/>
                <w:bCs w:val="0"/>
                <w:color w:val="auto"/>
                <w:sz w:val="21"/>
                <w:szCs w:val="21"/>
                <w:highlight w:val="none"/>
              </w:rPr>
              <w:t>；④</w:t>
            </w:r>
            <w:r>
              <w:rPr>
                <w:rFonts w:hint="eastAsia" w:ascii="宋体" w:hAnsi="宋体" w:eastAsia="宋体" w:cs="宋体"/>
                <w:b w:val="0"/>
                <w:bCs w:val="0"/>
                <w:color w:val="auto"/>
                <w:sz w:val="21"/>
                <w:szCs w:val="21"/>
                <w:highlight w:val="none"/>
                <w:lang w:val="en-US" w:eastAsia="zh-CN"/>
              </w:rPr>
              <w:t>图书的包装及配送方案</w:t>
            </w:r>
            <w:r>
              <w:rPr>
                <w:rFonts w:hint="eastAsia" w:ascii="宋体" w:hAnsi="宋体" w:eastAsia="宋体" w:cs="宋体"/>
                <w:b w:val="0"/>
                <w:bCs w:val="0"/>
                <w:color w:val="auto"/>
                <w:sz w:val="21"/>
                <w:szCs w:val="21"/>
                <w:highlight w:val="none"/>
              </w:rPr>
              <w:t>；⑤项目实施过程中的沟通渠道便捷顺畅</w:t>
            </w:r>
            <w:r>
              <w:rPr>
                <w:rFonts w:hint="eastAsia" w:ascii="宋体" w:hAnsi="宋体" w:eastAsia="宋体" w:cs="宋体"/>
                <w:b w:val="0"/>
                <w:bCs w:val="0"/>
                <w:color w:val="auto"/>
                <w:sz w:val="21"/>
                <w:szCs w:val="21"/>
                <w:highlight w:val="none"/>
                <w:lang w:eastAsia="zh-CN"/>
              </w:rPr>
              <w:t>。</w:t>
            </w:r>
          </w:p>
          <w:p w14:paraId="06AB3672">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一</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分）：有总体进度表；配备项目负责人及基础服务人员；有基础订单接收、确认、反馈流程；采用标准包装，明确配送方式；提供1种沟通方式（电话/邮箱）</w:t>
            </w:r>
            <w:r>
              <w:rPr>
                <w:rFonts w:hint="eastAsia" w:ascii="宋体" w:hAnsi="宋体" w:eastAsia="宋体" w:cs="宋体"/>
                <w:b w:val="0"/>
                <w:bCs w:val="0"/>
                <w:color w:val="auto"/>
                <w:sz w:val="21"/>
                <w:szCs w:val="21"/>
                <w:highlight w:val="none"/>
                <w:lang w:eastAsia="zh-CN"/>
              </w:rPr>
              <w:t>。</w:t>
            </w:r>
          </w:p>
          <w:p w14:paraId="049E2661">
            <w:pPr>
              <w:pStyle w:val="11"/>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二</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10</w:t>
            </w:r>
            <w:r>
              <w:rPr>
                <w:rFonts w:hint="eastAsia" w:ascii="宋体" w:hAnsi="宋体" w:eastAsia="宋体" w:cs="宋体"/>
                <w:b w:val="0"/>
                <w:bCs w:val="0"/>
                <w:color w:val="auto"/>
                <w:sz w:val="21"/>
                <w:szCs w:val="21"/>
                <w:highlight w:val="none"/>
              </w:rPr>
              <w:t>分）：分阶段制定进度表；项目负责人具备图书采购项目经验，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现场服务人员≥2人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订单处理时效≤24小时；采用标准包装，明确配送方式图书使用防潮、防破损包装，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w:t>
            </w: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%；提供电话、</w:t>
            </w:r>
            <w:r>
              <w:rPr>
                <w:rFonts w:hint="eastAsia" w:ascii="宋体" w:hAnsi="宋体" w:cs="宋体"/>
                <w:b w:val="0"/>
                <w:bCs w:val="0"/>
                <w:color w:val="auto"/>
                <w:sz w:val="21"/>
                <w:szCs w:val="21"/>
                <w:highlight w:val="none"/>
                <w:lang w:val="en-US" w:eastAsia="zh-CN"/>
              </w:rPr>
              <w:t>微信</w:t>
            </w: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工作日2小时内响应</w:t>
            </w:r>
            <w:r>
              <w:rPr>
                <w:rFonts w:hint="eastAsia" w:ascii="宋体" w:hAnsi="宋体" w:eastAsia="宋体" w:cs="宋体"/>
                <w:b w:val="0"/>
                <w:bCs w:val="0"/>
                <w:color w:val="auto"/>
                <w:sz w:val="21"/>
                <w:szCs w:val="21"/>
                <w:highlight w:val="none"/>
                <w:lang w:eastAsia="zh-CN"/>
              </w:rPr>
              <w:t>。</w:t>
            </w:r>
          </w:p>
          <w:p w14:paraId="2C184270">
            <w:pPr>
              <w:rPr>
                <w:color w:val="auto"/>
                <w:highlight w:val="none"/>
              </w:rPr>
            </w:pPr>
            <w:r>
              <w:rPr>
                <w:rFonts w:hint="eastAsia" w:ascii="宋体" w:hAnsi="宋体" w:eastAsia="宋体" w:cs="宋体"/>
                <w:b w:val="0"/>
                <w:bCs w:val="0"/>
                <w:color w:val="auto"/>
                <w:sz w:val="21"/>
                <w:szCs w:val="21"/>
                <w:highlight w:val="none"/>
                <w:lang w:val="en-US" w:eastAsia="zh-CN"/>
              </w:rPr>
              <w:t>三</w:t>
            </w:r>
            <w:r>
              <w:rPr>
                <w:rFonts w:hint="eastAsia" w:ascii="宋体" w:hAnsi="宋体" w:eastAsia="宋体" w:cs="宋体"/>
                <w:b w:val="0"/>
                <w:bCs w:val="0"/>
                <w:color w:val="auto"/>
                <w:sz w:val="21"/>
                <w:szCs w:val="21"/>
                <w:highlight w:val="none"/>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分）：进度表细化到每日任务；项目负责人具备图书采购项目经验，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w:t>
            </w:r>
            <w:r>
              <w:rPr>
                <w:rFonts w:hint="eastAsia" w:ascii="宋体" w:hAnsi="宋体" w:eastAsia="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，有人员联系方式；有基础订单接收、确认、反馈流程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w:t>
            </w:r>
            <w:r>
              <w:rPr>
                <w:rFonts w:hint="eastAsia" w:ascii="宋体" w:hAnsi="宋体" w:eastAsia="宋体" w:cs="宋体"/>
                <w:b w:val="0"/>
                <w:bCs w:val="0"/>
                <w:color w:val="auto"/>
                <w:sz w:val="21"/>
                <w:szCs w:val="21"/>
                <w:highlight w:val="none"/>
                <w:lang w:val="en-US" w:eastAsia="zh-CN"/>
              </w:rPr>
              <w:t>12</w:t>
            </w:r>
            <w:r>
              <w:rPr>
                <w:rFonts w:hint="eastAsia" w:ascii="宋体" w:hAnsi="宋体" w:eastAsia="宋体" w:cs="宋体"/>
                <w:b w:val="0"/>
                <w:bCs w:val="0"/>
                <w:color w:val="auto"/>
                <w:sz w:val="21"/>
                <w:szCs w:val="21"/>
                <w:highlight w:val="none"/>
              </w:rPr>
              <w:t>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单册图书破损率≤0.1%；提供电话、</w:t>
            </w:r>
            <w:r>
              <w:rPr>
                <w:rFonts w:hint="eastAsia" w:ascii="宋体" w:hAnsi="宋体" w:cs="宋体"/>
                <w:b w:val="0"/>
                <w:bCs w:val="0"/>
                <w:color w:val="auto"/>
                <w:sz w:val="21"/>
                <w:szCs w:val="21"/>
                <w:highlight w:val="none"/>
                <w:lang w:val="en-US" w:eastAsia="zh-CN"/>
              </w:rPr>
              <w:t>QQ、</w:t>
            </w:r>
            <w:r>
              <w:rPr>
                <w:rFonts w:hint="eastAsia" w:ascii="宋体" w:hAnsi="宋体" w:eastAsia="宋体" w:cs="宋体"/>
                <w:b w:val="0"/>
                <w:bCs w:val="0"/>
                <w:color w:val="auto"/>
                <w:sz w:val="21"/>
                <w:szCs w:val="21"/>
                <w:highlight w:val="none"/>
              </w:rPr>
              <w:t>微信3种沟通方式，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w:t>
            </w: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小时内响应</w:t>
            </w:r>
            <w:r>
              <w:rPr>
                <w:rFonts w:hint="eastAsia" w:ascii="宋体" w:hAnsi="宋体" w:eastAsia="宋体" w:cs="宋体"/>
                <w:b w:val="0"/>
                <w:bCs w:val="0"/>
                <w:color w:val="auto"/>
                <w:sz w:val="21"/>
                <w:szCs w:val="21"/>
                <w:highlight w:val="none"/>
                <w:lang w:eastAsia="zh-CN"/>
              </w:rPr>
              <w:t>。</w:t>
            </w:r>
          </w:p>
          <w:p w14:paraId="08B65AC3">
            <w:pPr>
              <w:spacing w:line="360" w:lineRule="auto"/>
              <w:ind w:firstLine="0" w:firstLineChars="0"/>
              <w:jc w:val="left"/>
              <w:rPr>
                <w:rFonts w:hint="eastAsia"/>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766E7BAF">
            <w:pPr>
              <w:spacing w:line="360" w:lineRule="auto"/>
              <w:jc w:val="center"/>
              <w:rPr>
                <w:rFonts w:hint="eastAsia" w:ascii="宋体" w:hAnsi="宋体" w:eastAsia="宋体" w:cs="宋体"/>
                <w:bCs/>
                <w:color w:val="auto"/>
                <w:szCs w:val="21"/>
                <w:highlight w:val="none"/>
                <w:lang w:val="en-US" w:eastAsia="zh-CN"/>
              </w:rPr>
            </w:pPr>
            <w:r>
              <w:rPr>
                <w:rFonts w:hint="eastAsia" w:ascii="宋体" w:hAnsi="宋体" w:eastAsia="宋体" w:cs="宋体"/>
                <w:bCs/>
                <w:color w:val="auto"/>
                <w:szCs w:val="21"/>
                <w:highlight w:val="none"/>
                <w:lang w:val="en-US" w:eastAsia="zh-CN"/>
              </w:rPr>
              <w:t>55</w:t>
            </w:r>
            <w:r>
              <w:rPr>
                <w:rFonts w:hint="eastAsia" w:ascii="宋体" w:hAnsi="宋体" w:eastAsia="宋体" w:cs="宋体"/>
                <w:bCs/>
                <w:color w:val="auto"/>
                <w:szCs w:val="21"/>
                <w:highlight w:val="none"/>
                <w:lang w:eastAsia="zh-CN"/>
              </w:rPr>
              <w:t>分</w:t>
            </w:r>
          </w:p>
        </w:tc>
      </w:tr>
      <w:tr w14:paraId="4E626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7" w:hRule="atLeast"/>
          <w:jc w:val="center"/>
        </w:trPr>
        <w:tc>
          <w:tcPr>
            <w:tcW w:w="583" w:type="dxa"/>
            <w:vMerge w:val="continue"/>
            <w:noWrap w:val="0"/>
            <w:vAlign w:val="center"/>
          </w:tcPr>
          <w:p w14:paraId="656926CB">
            <w:pPr>
              <w:spacing w:line="360" w:lineRule="auto"/>
              <w:ind w:firstLine="420" w:firstLineChars="200"/>
              <w:jc w:val="center"/>
              <w:rPr>
                <w:color w:val="auto"/>
                <w:highlight w:val="none"/>
              </w:rPr>
            </w:pPr>
          </w:p>
        </w:tc>
        <w:tc>
          <w:tcPr>
            <w:tcW w:w="1086" w:type="dxa"/>
            <w:vMerge w:val="continue"/>
            <w:noWrap w:val="0"/>
            <w:vAlign w:val="center"/>
          </w:tcPr>
          <w:p w14:paraId="26B86907">
            <w:pPr>
              <w:spacing w:line="360" w:lineRule="auto"/>
              <w:ind w:firstLine="420" w:firstLineChars="200"/>
              <w:jc w:val="center"/>
              <w:rPr>
                <w:color w:val="auto"/>
                <w:highlight w:val="none"/>
              </w:rPr>
            </w:pPr>
          </w:p>
        </w:tc>
        <w:tc>
          <w:tcPr>
            <w:tcW w:w="1051" w:type="dxa"/>
            <w:noWrap w:val="0"/>
            <w:vAlign w:val="center"/>
          </w:tcPr>
          <w:p w14:paraId="4F176DBE">
            <w:pPr>
              <w:spacing w:line="360" w:lineRule="auto"/>
              <w:ind w:firstLine="0" w:firstLineChars="0"/>
              <w:jc w:val="left"/>
              <w:rPr>
                <w:rFonts w:hint="eastAsia" w:eastAsia="宋体"/>
                <w:color w:val="auto"/>
                <w:highlight w:val="none"/>
                <w:lang w:eastAsia="zh-CN"/>
              </w:rPr>
            </w:pPr>
            <w:r>
              <w:rPr>
                <w:rFonts w:hint="eastAsia"/>
                <w:color w:val="auto"/>
                <w:highlight w:val="none"/>
                <w:lang w:val="en-US" w:eastAsia="zh-CN"/>
              </w:rPr>
              <w:t>2.2</w:t>
            </w:r>
            <w:r>
              <w:rPr>
                <w:rFonts w:hint="eastAsia" w:ascii="宋体" w:hAnsi="宋体" w:eastAsia="宋体" w:cs="宋体"/>
                <w:b w:val="0"/>
                <w:bCs w:val="0"/>
                <w:color w:val="auto"/>
                <w:spacing w:val="7"/>
                <w:sz w:val="21"/>
                <w:szCs w:val="21"/>
                <w:highlight w:val="none"/>
                <w:lang w:val="en-US" w:eastAsia="zh-CN"/>
              </w:rPr>
              <w:t>图书加工服务方案（满分15分）</w:t>
            </w:r>
          </w:p>
        </w:tc>
        <w:tc>
          <w:tcPr>
            <w:tcW w:w="5922" w:type="dxa"/>
            <w:noWrap w:val="0"/>
            <w:vAlign w:val="center"/>
          </w:tcPr>
          <w:p w14:paraId="3D61DAD9">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评标小组对各供应商提供的图书加工服务方案进行评审，评审内容：①针对本项目图书加工方案及步骤；②加工人员配备情况；③图书上架方案；④验收方案；⑤加工质量标准。</w:t>
            </w:r>
          </w:p>
          <w:p w14:paraId="0CBD43E3">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一档（5分）：供应商</w:t>
            </w:r>
            <w:r>
              <w:rPr>
                <w:rFonts w:hint="eastAsia" w:ascii="宋体" w:hAnsi="宋体" w:cs="宋体"/>
                <w:b w:val="0"/>
                <w:bCs w:val="0"/>
                <w:color w:val="auto"/>
                <w:spacing w:val="7"/>
                <w:sz w:val="21"/>
                <w:szCs w:val="21"/>
                <w:highlight w:val="none"/>
                <w:lang w:val="en-US" w:eastAsia="zh-CN"/>
              </w:rPr>
              <w:t>提供包含评审内容的</w:t>
            </w:r>
            <w:r>
              <w:rPr>
                <w:rFonts w:hint="eastAsia" w:ascii="宋体" w:hAnsi="宋体" w:eastAsia="宋体" w:cs="宋体"/>
                <w:b w:val="0"/>
                <w:bCs w:val="0"/>
                <w:color w:val="auto"/>
                <w:spacing w:val="7"/>
                <w:sz w:val="21"/>
                <w:szCs w:val="21"/>
                <w:highlight w:val="none"/>
                <w:lang w:val="en-US" w:eastAsia="zh-CN"/>
              </w:rPr>
              <w:t>图书加工服务方案</w:t>
            </w:r>
            <w:r>
              <w:rPr>
                <w:rFonts w:hint="eastAsia" w:ascii="宋体" w:hAnsi="宋体" w:cs="宋体"/>
                <w:b w:val="0"/>
                <w:bCs w:val="0"/>
                <w:color w:val="auto"/>
                <w:spacing w:val="7"/>
                <w:sz w:val="21"/>
                <w:szCs w:val="21"/>
                <w:highlight w:val="none"/>
                <w:lang w:val="en-US" w:eastAsia="zh-CN"/>
              </w:rPr>
              <w:t>，</w:t>
            </w:r>
            <w:r>
              <w:rPr>
                <w:rFonts w:hint="eastAsia" w:ascii="宋体" w:hAnsi="宋体" w:eastAsia="宋体" w:cs="宋体"/>
                <w:b w:val="0"/>
                <w:bCs w:val="0"/>
                <w:color w:val="auto"/>
                <w:spacing w:val="7"/>
                <w:sz w:val="21"/>
                <w:szCs w:val="21"/>
                <w:highlight w:val="none"/>
                <w:lang w:val="en-US" w:eastAsia="zh-CN"/>
              </w:rPr>
              <w:t>基本满足采购要求；</w:t>
            </w:r>
          </w:p>
          <w:p w14:paraId="4DC8E8D4">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二档（10分）：①加工方案包含基本流程（如收书、分类、著录、贴标等）；②明确加工人员数量不少于3人；③制定上架流程，包含图书排序规则；④验收方案包含明确验收流程（如自检、初验、终验），；⑤明确承诺加工误差率≤1%，标签脱落率≤0.3%，明确粘贴牢固度测试标准（如粘贴后经3次模拟翻阅不脱落）。</w:t>
            </w:r>
          </w:p>
          <w:p w14:paraId="7029C0EB">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三档（15分）：①加工方案包含基本流程（如收书、分类、著录、贴标等）并标注各环节预估时限；②明确加工人员数量不少于4人，制定人员岗前培训计划；③制定详细上架流程，包含图书排序规则、上架前核对环节；④验收方案明确自检、初验、终验且覆盖所有图书类型的具体要求；⑤明确承诺加工误差率≤0.5%，标签脱落率≤0.2%，明确粘贴牢固度测试标准（如粘贴后经5次模拟翻阅、2次轻微摩擦不脱落）。</w:t>
            </w:r>
          </w:p>
          <w:p w14:paraId="62E12B69">
            <w:pPr>
              <w:numPr>
                <w:ilvl w:val="0"/>
                <w:numId w:val="0"/>
              </w:numPr>
              <w:rPr>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continue"/>
            <w:noWrap w:val="0"/>
            <w:vAlign w:val="center"/>
          </w:tcPr>
          <w:p w14:paraId="6DC60C9F">
            <w:pPr>
              <w:spacing w:line="360" w:lineRule="auto"/>
              <w:ind w:firstLine="420" w:firstLineChars="200"/>
              <w:jc w:val="center"/>
              <w:rPr>
                <w:color w:val="auto"/>
                <w:highlight w:val="none"/>
              </w:rPr>
            </w:pPr>
          </w:p>
        </w:tc>
      </w:tr>
      <w:tr w14:paraId="35F6DB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continue"/>
            <w:noWrap w:val="0"/>
            <w:vAlign w:val="center"/>
          </w:tcPr>
          <w:p w14:paraId="23D82B35">
            <w:pPr>
              <w:spacing w:line="360" w:lineRule="auto"/>
              <w:ind w:firstLine="420" w:firstLineChars="200"/>
              <w:jc w:val="center"/>
              <w:rPr>
                <w:color w:val="auto"/>
                <w:highlight w:val="none"/>
              </w:rPr>
            </w:pPr>
          </w:p>
        </w:tc>
        <w:tc>
          <w:tcPr>
            <w:tcW w:w="1086" w:type="dxa"/>
            <w:vMerge w:val="continue"/>
            <w:noWrap w:val="0"/>
            <w:vAlign w:val="center"/>
          </w:tcPr>
          <w:p w14:paraId="40DFF645">
            <w:pPr>
              <w:spacing w:line="360" w:lineRule="auto"/>
              <w:ind w:firstLine="420" w:firstLineChars="200"/>
              <w:jc w:val="center"/>
              <w:rPr>
                <w:color w:val="auto"/>
                <w:highlight w:val="none"/>
              </w:rPr>
            </w:pPr>
          </w:p>
        </w:tc>
        <w:tc>
          <w:tcPr>
            <w:tcW w:w="1051" w:type="dxa"/>
            <w:noWrap w:val="0"/>
            <w:vAlign w:val="center"/>
          </w:tcPr>
          <w:p w14:paraId="60D5E523">
            <w:pPr>
              <w:spacing w:line="360" w:lineRule="auto"/>
              <w:ind w:firstLine="0" w:firstLineChars="0"/>
              <w:jc w:val="center"/>
              <w:rPr>
                <w:rFonts w:hint="eastAsia"/>
                <w:color w:val="auto"/>
                <w:highlight w:val="none"/>
              </w:rPr>
            </w:pPr>
            <w:r>
              <w:rPr>
                <w:rFonts w:hint="eastAsia"/>
                <w:color w:val="auto"/>
                <w:highlight w:val="none"/>
              </w:rPr>
              <w:t>2.</w:t>
            </w:r>
            <w:r>
              <w:rPr>
                <w:rFonts w:hint="eastAsia"/>
                <w:color w:val="auto"/>
                <w:highlight w:val="none"/>
                <w:lang w:val="en-US" w:eastAsia="zh-CN"/>
              </w:rPr>
              <w:t>3服务团队</w:t>
            </w:r>
            <w:r>
              <w:rPr>
                <w:rFonts w:hint="eastAsia"/>
                <w:color w:val="auto"/>
                <w:highlight w:val="none"/>
              </w:rPr>
              <w:t>分</w:t>
            </w:r>
          </w:p>
          <w:p w14:paraId="0E1CA31A">
            <w:pPr>
              <w:spacing w:line="360" w:lineRule="auto"/>
              <w:ind w:firstLine="0" w:firstLineChars="0"/>
              <w:jc w:val="center"/>
              <w:rPr>
                <w:rFonts w:hint="eastAsia"/>
                <w:color w:val="auto"/>
                <w:highlight w:val="none"/>
                <w:lang w:val="en-US" w:eastAsia="zh-CN"/>
              </w:rPr>
            </w:pPr>
            <w:r>
              <w:rPr>
                <w:rFonts w:hint="eastAsia"/>
                <w:color w:val="auto"/>
                <w:highlight w:val="none"/>
              </w:rPr>
              <w:t>（满分</w:t>
            </w:r>
            <w:r>
              <w:rPr>
                <w:rFonts w:hint="eastAsia"/>
                <w:color w:val="auto"/>
                <w:highlight w:val="none"/>
                <w:lang w:val="en-US" w:eastAsia="zh-CN"/>
              </w:rPr>
              <w:t>7</w:t>
            </w:r>
            <w:r>
              <w:rPr>
                <w:rFonts w:hint="eastAsia"/>
                <w:color w:val="auto"/>
                <w:highlight w:val="none"/>
              </w:rPr>
              <w:t>分）</w:t>
            </w:r>
          </w:p>
        </w:tc>
        <w:tc>
          <w:tcPr>
            <w:tcW w:w="5922" w:type="dxa"/>
            <w:noWrap w:val="0"/>
            <w:vAlign w:val="center"/>
          </w:tcPr>
          <w:p w14:paraId="6A8154D4">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1.拟投入本项目的服务团队人员中具备</w:t>
            </w:r>
            <w:r>
              <w:rPr>
                <w:rFonts w:hint="eastAsia" w:hAnsi="宋体" w:cs="宋体"/>
                <w:bCs/>
                <w:color w:val="auto"/>
                <w:sz w:val="21"/>
                <w:szCs w:val="21"/>
                <w:highlight w:val="none"/>
                <w:lang w:val="en-US" w:eastAsia="zh-CN"/>
              </w:rPr>
              <w:t>高等教育文献保障系统管理中心颁发的</w:t>
            </w:r>
            <w:r>
              <w:rPr>
                <w:rFonts w:hint="eastAsia" w:ascii="宋体" w:hAnsi="宋体" w:eastAsia="宋体" w:cs="宋体"/>
                <w:bCs/>
                <w:color w:val="auto"/>
                <w:sz w:val="21"/>
                <w:szCs w:val="21"/>
                <w:highlight w:val="none"/>
                <w:lang w:val="en-US" w:eastAsia="zh-CN"/>
              </w:rPr>
              <w:t>“CALIS联合目录中文三级编目员”资格证书，每提供1人得1分，满分</w:t>
            </w:r>
            <w:r>
              <w:rPr>
                <w:rFonts w:hint="eastAsia" w:hAnsi="宋体" w:cs="宋体"/>
                <w:bCs/>
                <w:color w:val="auto"/>
                <w:sz w:val="21"/>
                <w:szCs w:val="21"/>
                <w:highlight w:val="none"/>
                <w:lang w:val="en-US" w:eastAsia="zh-CN"/>
              </w:rPr>
              <w:t>3</w:t>
            </w:r>
            <w:r>
              <w:rPr>
                <w:rFonts w:hint="eastAsia" w:ascii="宋体" w:hAnsi="宋体" w:eastAsia="宋体" w:cs="宋体"/>
                <w:bCs/>
                <w:color w:val="auto"/>
                <w:sz w:val="21"/>
                <w:szCs w:val="21"/>
                <w:highlight w:val="none"/>
                <w:lang w:val="en-US" w:eastAsia="zh-CN"/>
              </w:rPr>
              <w:t>分（提供相应有效的证明材料，如编目员资格证书扫描件或网络证书截图，以及202</w:t>
            </w:r>
            <w:r>
              <w:rPr>
                <w:rFonts w:hint="eastAsia"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p w14:paraId="38D0E832">
            <w:pPr>
              <w:spacing w:line="360" w:lineRule="auto"/>
              <w:ind w:firstLine="0" w:firstLineChars="0"/>
              <w:jc w:val="left"/>
              <w:rPr>
                <w:rFonts w:hint="eastAsia"/>
                <w:color w:val="auto"/>
                <w:highlight w:val="none"/>
              </w:rPr>
            </w:pPr>
            <w:r>
              <w:rPr>
                <w:rFonts w:hint="eastAsia" w:ascii="宋体" w:hAnsi="宋体" w:eastAsia="宋体" w:cs="宋体"/>
                <w:bCs/>
                <w:color w:val="auto"/>
                <w:sz w:val="21"/>
                <w:szCs w:val="21"/>
                <w:highlight w:val="none"/>
                <w:lang w:val="en-US" w:eastAsia="zh-CN"/>
              </w:rPr>
              <w:t>2.具有全国图书馆联合编目中心上传资格证书（证书需网上核验），每有1人得1分，满分</w:t>
            </w:r>
            <w:r>
              <w:rPr>
                <w:rFonts w:hint="eastAsia" w:ascii="宋体" w:hAnsi="宋体" w:cs="宋体"/>
                <w:bCs/>
                <w:color w:val="auto"/>
                <w:sz w:val="21"/>
                <w:szCs w:val="21"/>
                <w:highlight w:val="none"/>
                <w:lang w:val="en-US" w:eastAsia="zh-CN"/>
              </w:rPr>
              <w:t>4</w:t>
            </w:r>
            <w:r>
              <w:rPr>
                <w:rFonts w:hint="eastAsia" w:ascii="宋体" w:hAnsi="宋体" w:eastAsia="宋体" w:cs="宋体"/>
                <w:bCs/>
                <w:color w:val="auto"/>
                <w:sz w:val="21"/>
                <w:szCs w:val="21"/>
                <w:highlight w:val="none"/>
                <w:lang w:val="en-US" w:eastAsia="zh-CN"/>
              </w:rPr>
              <w:t>分。（提供相应有效的证明材料，如上传资格培训证书扫描件或网络证书截图，以及202</w:t>
            </w:r>
            <w:r>
              <w:rPr>
                <w:rFonts w:hint="eastAsia" w:ascii="宋体"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ascii="宋体"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tc>
        <w:tc>
          <w:tcPr>
            <w:tcW w:w="957" w:type="dxa"/>
            <w:vMerge w:val="continue"/>
            <w:noWrap w:val="0"/>
            <w:vAlign w:val="center"/>
          </w:tcPr>
          <w:p w14:paraId="0BFE981B">
            <w:pPr>
              <w:spacing w:line="360" w:lineRule="auto"/>
              <w:ind w:firstLine="420" w:firstLineChars="200"/>
              <w:jc w:val="center"/>
              <w:rPr>
                <w:color w:val="auto"/>
                <w:highlight w:val="none"/>
              </w:rPr>
            </w:pPr>
          </w:p>
        </w:tc>
      </w:tr>
      <w:tr w14:paraId="3817E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06E3C002">
            <w:pPr>
              <w:spacing w:line="360" w:lineRule="auto"/>
              <w:ind w:firstLine="420" w:firstLineChars="200"/>
              <w:jc w:val="center"/>
              <w:rPr>
                <w:color w:val="auto"/>
                <w:highlight w:val="none"/>
              </w:rPr>
            </w:pPr>
          </w:p>
        </w:tc>
        <w:tc>
          <w:tcPr>
            <w:tcW w:w="1086" w:type="dxa"/>
            <w:vMerge w:val="continue"/>
            <w:noWrap w:val="0"/>
            <w:vAlign w:val="center"/>
          </w:tcPr>
          <w:p w14:paraId="6EF17E86">
            <w:pPr>
              <w:spacing w:line="360" w:lineRule="auto"/>
              <w:ind w:firstLine="420" w:firstLineChars="200"/>
              <w:jc w:val="center"/>
              <w:rPr>
                <w:color w:val="auto"/>
                <w:highlight w:val="none"/>
              </w:rPr>
            </w:pPr>
          </w:p>
        </w:tc>
        <w:tc>
          <w:tcPr>
            <w:tcW w:w="1051" w:type="dxa"/>
            <w:noWrap w:val="0"/>
            <w:vAlign w:val="center"/>
          </w:tcPr>
          <w:p w14:paraId="533129B1">
            <w:pPr>
              <w:spacing w:line="360" w:lineRule="auto"/>
              <w:ind w:firstLine="0" w:firstLineChars="0"/>
              <w:jc w:val="left"/>
              <w:rPr>
                <w:rFonts w:hint="default"/>
                <w:color w:val="auto"/>
                <w:highlight w:val="none"/>
                <w:lang w:val="en-US" w:eastAsia="zh-CN"/>
              </w:rPr>
            </w:pPr>
            <w:r>
              <w:rPr>
                <w:rFonts w:hint="eastAsia"/>
                <w:color w:val="auto"/>
                <w:highlight w:val="none"/>
                <w:lang w:val="en-US" w:eastAsia="zh-CN"/>
              </w:rPr>
              <w:t>2.4</w:t>
            </w:r>
            <w:r>
              <w:rPr>
                <w:rFonts w:hint="eastAsia" w:ascii="宋体" w:hAnsi="宋体" w:cs="宋体"/>
                <w:color w:val="auto"/>
                <w:sz w:val="21"/>
                <w:szCs w:val="21"/>
                <w:highlight w:val="none"/>
                <w:lang w:val="en-US" w:eastAsia="zh-CN"/>
              </w:rPr>
              <w:t>正版图书保障分（满分5分）</w:t>
            </w:r>
          </w:p>
        </w:tc>
        <w:tc>
          <w:tcPr>
            <w:tcW w:w="5922" w:type="dxa"/>
            <w:noWrap w:val="0"/>
            <w:vAlign w:val="center"/>
          </w:tcPr>
          <w:p w14:paraId="4B0CDD3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rPr>
              <w:t>提供以下图书的版权页、题名页、封面、封底、目录页图片</w:t>
            </w:r>
            <w:r>
              <w:rPr>
                <w:rFonts w:hint="eastAsia" w:ascii="宋体" w:hAnsi="宋体" w:eastAsia="宋体" w:cs="宋体"/>
                <w:bCs/>
                <w:color w:val="auto"/>
                <w:kern w:val="0"/>
                <w:sz w:val="21"/>
                <w:szCs w:val="21"/>
                <w:highlight w:val="none"/>
                <w:lang w:val="en-US" w:eastAsia="zh-CN"/>
              </w:rPr>
              <w:t>以及此图书为正版图书的相关证明材料</w:t>
            </w:r>
            <w:r>
              <w:rPr>
                <w:rFonts w:hint="eastAsia" w:ascii="宋体" w:hAnsi="宋体" w:eastAsia="宋体" w:cs="宋体"/>
                <w:bCs/>
                <w:color w:val="auto"/>
                <w:kern w:val="0"/>
                <w:sz w:val="21"/>
                <w:szCs w:val="21"/>
                <w:highlight w:val="none"/>
                <w:lang w:eastAsia="zh-CN"/>
              </w:rPr>
              <w:t>，</w:t>
            </w:r>
            <w:r>
              <w:rPr>
                <w:rFonts w:hint="eastAsia" w:ascii="宋体" w:hAnsi="宋体" w:eastAsia="宋体" w:cs="宋体"/>
                <w:bCs/>
                <w:color w:val="auto"/>
                <w:kern w:val="0"/>
                <w:sz w:val="21"/>
                <w:szCs w:val="21"/>
                <w:highlight w:val="none"/>
                <w:lang w:val="en-US" w:eastAsia="zh-CN"/>
              </w:rPr>
              <w:t>每提供一项得1分，满分5分，不提供完整不予计分：</w:t>
            </w:r>
          </w:p>
          <w:p w14:paraId="1B01555C">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lang w:val="en-US" w:eastAsia="zh-CN"/>
              </w:rPr>
              <w:t>（1）书号：</w:t>
            </w:r>
            <w:r>
              <w:rPr>
                <w:rFonts w:hint="eastAsia" w:ascii="宋体" w:hAnsi="宋体" w:eastAsia="宋体" w:cs="宋体"/>
                <w:i w:val="0"/>
                <w:iCs w:val="0"/>
                <w:color w:val="auto"/>
                <w:kern w:val="0"/>
                <w:sz w:val="21"/>
                <w:szCs w:val="21"/>
                <w:highlight w:val="none"/>
                <w:u w:val="none"/>
                <w:lang w:val="en-US" w:eastAsia="zh-CN" w:bidi="ar"/>
              </w:rPr>
              <w:t>9787547843864；</w:t>
            </w:r>
            <w:r>
              <w:rPr>
                <w:rFonts w:hint="eastAsia" w:ascii="宋体" w:hAnsi="宋体" w:eastAsia="宋体" w:cs="宋体"/>
                <w:bCs/>
                <w:color w:val="auto"/>
                <w:kern w:val="0"/>
                <w:sz w:val="21"/>
                <w:szCs w:val="21"/>
                <w:highlight w:val="none"/>
                <w:lang w:val="en-US" w:eastAsia="zh-CN"/>
              </w:rPr>
              <w:t>书名：</w:t>
            </w:r>
            <w:r>
              <w:rPr>
                <w:rFonts w:hint="eastAsia" w:ascii="宋体" w:hAnsi="宋体" w:eastAsia="宋体" w:cs="宋体"/>
                <w:i w:val="0"/>
                <w:iCs w:val="0"/>
                <w:color w:val="auto"/>
                <w:kern w:val="0"/>
                <w:sz w:val="21"/>
                <w:szCs w:val="21"/>
                <w:highlight w:val="none"/>
                <w:u w:val="none"/>
                <w:lang w:val="en-US" w:eastAsia="zh-CN" w:bidi="ar"/>
              </w:rPr>
              <w:t>经典文化与本草食养全民读本－鉴古诗 品药膳；</w:t>
            </w:r>
            <w:r>
              <w:rPr>
                <w:rFonts w:hint="eastAsia" w:ascii="宋体" w:hAnsi="宋体" w:eastAsia="宋体" w:cs="宋体"/>
                <w:bCs/>
                <w:color w:val="auto"/>
                <w:kern w:val="0"/>
                <w:sz w:val="21"/>
                <w:szCs w:val="21"/>
                <w:highlight w:val="none"/>
                <w:lang w:val="en-US" w:eastAsia="zh-CN"/>
              </w:rPr>
              <w:t>出版社：</w:t>
            </w:r>
            <w:r>
              <w:rPr>
                <w:rFonts w:hint="eastAsia" w:ascii="宋体" w:hAnsi="宋体" w:eastAsia="宋体" w:cs="宋体"/>
                <w:i w:val="0"/>
                <w:iCs w:val="0"/>
                <w:color w:val="auto"/>
                <w:kern w:val="0"/>
                <w:sz w:val="21"/>
                <w:szCs w:val="21"/>
                <w:highlight w:val="none"/>
                <w:u w:val="none"/>
                <w:lang w:val="en-US" w:eastAsia="zh-CN" w:bidi="ar"/>
              </w:rPr>
              <w:t>上海科学技术出版社。</w:t>
            </w:r>
          </w:p>
          <w:p w14:paraId="318652E2">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lang w:val="en-US" w:eastAsia="zh-CN"/>
              </w:rPr>
              <w:t>（2）书号：</w:t>
            </w:r>
            <w:r>
              <w:rPr>
                <w:rFonts w:hint="eastAsia" w:ascii="宋体" w:hAnsi="宋体" w:eastAsia="宋体" w:cs="宋体"/>
                <w:i w:val="0"/>
                <w:iCs w:val="0"/>
                <w:color w:val="auto"/>
                <w:kern w:val="0"/>
                <w:sz w:val="21"/>
                <w:szCs w:val="21"/>
                <w:highlight w:val="none"/>
                <w:u w:val="none"/>
                <w:lang w:val="en-US" w:eastAsia="zh-CN" w:bidi="ar"/>
              </w:rPr>
              <w:t>9787569058604；</w:t>
            </w:r>
            <w:r>
              <w:rPr>
                <w:rFonts w:hint="eastAsia" w:ascii="宋体" w:hAnsi="宋体" w:eastAsia="宋体" w:cs="宋体"/>
                <w:bCs/>
                <w:color w:val="auto"/>
                <w:kern w:val="0"/>
                <w:sz w:val="21"/>
                <w:szCs w:val="21"/>
                <w:highlight w:val="none"/>
                <w:lang w:val="en-US" w:eastAsia="zh-CN"/>
              </w:rPr>
              <w:t>书名：</w:t>
            </w:r>
            <w:r>
              <w:rPr>
                <w:rFonts w:hint="eastAsia" w:ascii="宋体" w:hAnsi="宋体" w:eastAsia="宋体" w:cs="宋体"/>
                <w:i w:val="0"/>
                <w:iCs w:val="0"/>
                <w:color w:val="auto"/>
                <w:kern w:val="0"/>
                <w:sz w:val="21"/>
                <w:szCs w:val="21"/>
                <w:highlight w:val="none"/>
                <w:u w:val="none"/>
                <w:lang w:val="en-US" w:eastAsia="zh-CN" w:bidi="ar"/>
              </w:rPr>
              <w:t>同构与共享：新媒体优质幼教资源共享机制研究；</w:t>
            </w:r>
            <w:r>
              <w:rPr>
                <w:rFonts w:hint="eastAsia" w:ascii="宋体" w:hAnsi="宋体" w:eastAsia="宋体" w:cs="宋体"/>
                <w:bCs/>
                <w:color w:val="auto"/>
                <w:kern w:val="0"/>
                <w:sz w:val="21"/>
                <w:szCs w:val="21"/>
                <w:highlight w:val="none"/>
                <w:lang w:val="en-US" w:eastAsia="zh-CN"/>
              </w:rPr>
              <w:t>出版社：</w:t>
            </w:r>
            <w:r>
              <w:rPr>
                <w:rFonts w:hint="eastAsia" w:ascii="宋体" w:hAnsi="宋体" w:eastAsia="宋体" w:cs="宋体"/>
                <w:i w:val="0"/>
                <w:iCs w:val="0"/>
                <w:color w:val="auto"/>
                <w:kern w:val="0"/>
                <w:sz w:val="21"/>
                <w:szCs w:val="21"/>
                <w:highlight w:val="none"/>
                <w:u w:val="none"/>
                <w:lang w:val="en-US" w:eastAsia="zh-CN" w:bidi="ar"/>
              </w:rPr>
              <w:t>四川大学出版社。</w:t>
            </w:r>
          </w:p>
          <w:p w14:paraId="41CD7540">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lang w:val="en-US" w:eastAsia="zh-CN"/>
              </w:rPr>
              <w:t>（3）书号：</w:t>
            </w:r>
            <w:r>
              <w:rPr>
                <w:rFonts w:hint="eastAsia" w:ascii="宋体" w:hAnsi="宋体" w:eastAsia="宋体" w:cs="宋体"/>
                <w:i w:val="0"/>
                <w:iCs w:val="0"/>
                <w:color w:val="auto"/>
                <w:kern w:val="0"/>
                <w:sz w:val="21"/>
                <w:szCs w:val="21"/>
                <w:highlight w:val="none"/>
                <w:u w:val="none"/>
                <w:lang w:val="en-US" w:eastAsia="zh-CN" w:bidi="ar"/>
              </w:rPr>
              <w:t>9787561451830；</w:t>
            </w:r>
            <w:r>
              <w:rPr>
                <w:rFonts w:hint="eastAsia" w:ascii="宋体" w:hAnsi="宋体" w:eastAsia="宋体" w:cs="宋体"/>
                <w:bCs/>
                <w:color w:val="auto"/>
                <w:kern w:val="0"/>
                <w:sz w:val="21"/>
                <w:szCs w:val="21"/>
                <w:highlight w:val="none"/>
                <w:lang w:val="en-US" w:eastAsia="zh-CN"/>
              </w:rPr>
              <w:t xml:space="preserve"> 书名：</w:t>
            </w:r>
            <w:r>
              <w:rPr>
                <w:rFonts w:hint="eastAsia" w:ascii="宋体" w:hAnsi="宋体" w:eastAsia="宋体" w:cs="宋体"/>
                <w:i w:val="0"/>
                <w:iCs w:val="0"/>
                <w:color w:val="auto"/>
                <w:kern w:val="0"/>
                <w:sz w:val="21"/>
                <w:szCs w:val="21"/>
                <w:highlight w:val="none"/>
                <w:u w:val="none"/>
                <w:lang w:val="en-US" w:eastAsia="zh-CN" w:bidi="ar"/>
              </w:rPr>
              <w:t>基于多传感器融合的移动机器人算法设计与应用；</w:t>
            </w:r>
            <w:r>
              <w:rPr>
                <w:rFonts w:hint="eastAsia" w:ascii="宋体" w:hAnsi="宋体" w:eastAsia="宋体" w:cs="宋体"/>
                <w:bCs/>
                <w:color w:val="auto"/>
                <w:kern w:val="0"/>
                <w:sz w:val="21"/>
                <w:szCs w:val="21"/>
                <w:highlight w:val="none"/>
                <w:lang w:val="en-US" w:eastAsia="zh-CN"/>
              </w:rPr>
              <w:t>出版社：</w:t>
            </w:r>
            <w:r>
              <w:rPr>
                <w:rFonts w:hint="eastAsia" w:ascii="宋体" w:hAnsi="宋体" w:eastAsia="宋体" w:cs="宋体"/>
                <w:i w:val="0"/>
                <w:iCs w:val="0"/>
                <w:color w:val="auto"/>
                <w:kern w:val="0"/>
                <w:sz w:val="21"/>
                <w:szCs w:val="21"/>
                <w:highlight w:val="none"/>
                <w:u w:val="none"/>
                <w:lang w:val="en-US" w:eastAsia="zh-CN" w:bidi="ar"/>
              </w:rPr>
              <w:t>四川大学出版社。</w:t>
            </w:r>
          </w:p>
          <w:p w14:paraId="44B582B4">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lang w:val="en-US" w:eastAsia="zh-CN"/>
              </w:rPr>
              <w:t>（4）书号：</w:t>
            </w:r>
            <w:r>
              <w:rPr>
                <w:rFonts w:hint="eastAsia" w:ascii="宋体" w:hAnsi="宋体" w:eastAsia="宋体" w:cs="宋体"/>
                <w:i w:val="0"/>
                <w:iCs w:val="0"/>
                <w:color w:val="auto"/>
                <w:kern w:val="0"/>
                <w:sz w:val="21"/>
                <w:szCs w:val="21"/>
                <w:highlight w:val="none"/>
                <w:u w:val="none"/>
                <w:lang w:val="en-US" w:eastAsia="zh-CN" w:bidi="ar"/>
              </w:rPr>
              <w:t>9787580102010；</w:t>
            </w:r>
            <w:r>
              <w:rPr>
                <w:rFonts w:hint="eastAsia" w:ascii="宋体" w:hAnsi="宋体" w:eastAsia="宋体" w:cs="宋体"/>
                <w:bCs/>
                <w:color w:val="auto"/>
                <w:kern w:val="0"/>
                <w:sz w:val="21"/>
                <w:szCs w:val="21"/>
                <w:highlight w:val="none"/>
                <w:lang w:val="en-US" w:eastAsia="zh-CN"/>
              </w:rPr>
              <w:t>书名：</w:t>
            </w:r>
            <w:r>
              <w:rPr>
                <w:rFonts w:hint="eastAsia" w:ascii="宋体" w:hAnsi="宋体" w:eastAsia="宋体" w:cs="宋体"/>
                <w:i w:val="0"/>
                <w:iCs w:val="0"/>
                <w:color w:val="auto"/>
                <w:kern w:val="0"/>
                <w:sz w:val="21"/>
                <w:szCs w:val="21"/>
                <w:highlight w:val="none"/>
                <w:u w:val="none"/>
                <w:lang w:val="en-US" w:eastAsia="zh-CN" w:bidi="ar"/>
              </w:rPr>
              <w:t>文化家山；</w:t>
            </w:r>
            <w:r>
              <w:rPr>
                <w:rFonts w:hint="eastAsia" w:ascii="宋体" w:hAnsi="宋体" w:eastAsia="宋体" w:cs="宋体"/>
                <w:bCs/>
                <w:color w:val="auto"/>
                <w:kern w:val="0"/>
                <w:sz w:val="21"/>
                <w:szCs w:val="21"/>
                <w:highlight w:val="none"/>
                <w:lang w:val="en-US" w:eastAsia="zh-CN"/>
              </w:rPr>
              <w:t>出版社：</w:t>
            </w:r>
            <w:r>
              <w:rPr>
                <w:rFonts w:hint="eastAsia" w:ascii="宋体" w:hAnsi="宋体" w:eastAsia="宋体" w:cs="宋体"/>
                <w:i w:val="0"/>
                <w:iCs w:val="0"/>
                <w:color w:val="auto"/>
                <w:kern w:val="0"/>
                <w:sz w:val="21"/>
                <w:szCs w:val="21"/>
                <w:highlight w:val="none"/>
                <w:u w:val="none"/>
                <w:lang w:val="en-US" w:eastAsia="zh-CN" w:bidi="ar"/>
              </w:rPr>
              <w:t>漓江出版社。</w:t>
            </w:r>
          </w:p>
          <w:p w14:paraId="04E37DC5">
            <w:pPr>
              <w:spacing w:line="360" w:lineRule="auto"/>
              <w:ind w:firstLine="0" w:firstLineChars="0"/>
              <w:jc w:val="left"/>
              <w:rPr>
                <w:rFonts w:hint="eastAsia" w:ascii="宋体" w:hAnsi="宋体" w:cs="宋体"/>
                <w:bCs/>
                <w:color w:val="auto"/>
                <w:szCs w:val="21"/>
                <w:highlight w:val="none"/>
              </w:rPr>
            </w:pPr>
            <w:r>
              <w:rPr>
                <w:rFonts w:hint="eastAsia" w:ascii="宋体" w:hAnsi="宋体" w:eastAsia="宋体" w:cs="宋体"/>
                <w:bCs/>
                <w:color w:val="auto"/>
                <w:kern w:val="0"/>
                <w:sz w:val="21"/>
                <w:szCs w:val="21"/>
                <w:highlight w:val="none"/>
                <w:lang w:val="en-US" w:eastAsia="zh-CN"/>
              </w:rPr>
              <w:t>（5）书号：</w:t>
            </w:r>
            <w:r>
              <w:rPr>
                <w:rFonts w:hint="eastAsia" w:ascii="宋体" w:hAnsi="宋体" w:eastAsia="宋体" w:cs="宋体"/>
                <w:i w:val="0"/>
                <w:iCs w:val="0"/>
                <w:color w:val="auto"/>
                <w:kern w:val="0"/>
                <w:sz w:val="21"/>
                <w:szCs w:val="21"/>
                <w:highlight w:val="none"/>
                <w:u w:val="none"/>
                <w:lang w:val="en-US" w:eastAsia="zh-CN" w:bidi="ar"/>
              </w:rPr>
              <w:t>9787580101549；</w:t>
            </w:r>
            <w:r>
              <w:rPr>
                <w:rFonts w:hint="eastAsia" w:ascii="宋体" w:hAnsi="宋体" w:eastAsia="宋体" w:cs="宋体"/>
                <w:bCs/>
                <w:color w:val="auto"/>
                <w:kern w:val="0"/>
                <w:sz w:val="21"/>
                <w:szCs w:val="21"/>
                <w:highlight w:val="none"/>
                <w:lang w:val="en-US" w:eastAsia="zh-CN"/>
              </w:rPr>
              <w:t>书名：</w:t>
            </w:r>
            <w:r>
              <w:rPr>
                <w:rFonts w:hint="eastAsia" w:ascii="宋体" w:hAnsi="宋体" w:eastAsia="宋体" w:cs="宋体"/>
                <w:i w:val="0"/>
                <w:iCs w:val="0"/>
                <w:color w:val="auto"/>
                <w:kern w:val="0"/>
                <w:sz w:val="21"/>
                <w:szCs w:val="21"/>
                <w:highlight w:val="none"/>
                <w:u w:val="none"/>
                <w:lang w:val="en-US" w:eastAsia="zh-CN" w:bidi="ar"/>
              </w:rPr>
              <w:t>梯田原乡；</w:t>
            </w:r>
            <w:r>
              <w:rPr>
                <w:rFonts w:hint="eastAsia" w:ascii="宋体" w:hAnsi="宋体" w:eastAsia="宋体" w:cs="宋体"/>
                <w:bCs/>
                <w:color w:val="auto"/>
                <w:kern w:val="0"/>
                <w:sz w:val="21"/>
                <w:szCs w:val="21"/>
                <w:highlight w:val="none"/>
                <w:lang w:val="en-US" w:eastAsia="zh-CN"/>
              </w:rPr>
              <w:t>出版社：</w:t>
            </w:r>
            <w:r>
              <w:rPr>
                <w:rFonts w:hint="eastAsia" w:ascii="宋体" w:hAnsi="宋体" w:eastAsia="宋体" w:cs="宋体"/>
                <w:i w:val="0"/>
                <w:iCs w:val="0"/>
                <w:color w:val="auto"/>
                <w:kern w:val="0"/>
                <w:sz w:val="21"/>
                <w:szCs w:val="21"/>
                <w:highlight w:val="none"/>
                <w:u w:val="none"/>
                <w:lang w:val="en-US" w:eastAsia="zh-CN" w:bidi="ar"/>
              </w:rPr>
              <w:t>漓江出版社。</w:t>
            </w:r>
          </w:p>
        </w:tc>
        <w:tc>
          <w:tcPr>
            <w:tcW w:w="957" w:type="dxa"/>
            <w:vMerge w:val="continue"/>
            <w:noWrap w:val="0"/>
            <w:vAlign w:val="center"/>
          </w:tcPr>
          <w:p w14:paraId="35A372A3">
            <w:pPr>
              <w:spacing w:line="360" w:lineRule="auto"/>
              <w:ind w:firstLine="0" w:firstLineChars="0"/>
              <w:jc w:val="left"/>
              <w:rPr>
                <w:rFonts w:hint="eastAsia"/>
                <w:color w:val="auto"/>
                <w:highlight w:val="none"/>
              </w:rPr>
            </w:pPr>
          </w:p>
        </w:tc>
      </w:tr>
      <w:tr w14:paraId="54412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7D93C9CA">
            <w:pPr>
              <w:spacing w:line="360" w:lineRule="auto"/>
              <w:ind w:firstLine="420" w:firstLineChars="200"/>
              <w:jc w:val="center"/>
              <w:rPr>
                <w:color w:val="auto"/>
                <w:highlight w:val="none"/>
              </w:rPr>
            </w:pPr>
          </w:p>
        </w:tc>
        <w:tc>
          <w:tcPr>
            <w:tcW w:w="1086" w:type="dxa"/>
            <w:vMerge w:val="continue"/>
            <w:noWrap w:val="0"/>
            <w:vAlign w:val="center"/>
          </w:tcPr>
          <w:p w14:paraId="4A0FA82D">
            <w:pPr>
              <w:spacing w:line="360" w:lineRule="auto"/>
              <w:ind w:firstLine="420" w:firstLineChars="200"/>
              <w:jc w:val="center"/>
              <w:rPr>
                <w:color w:val="auto"/>
                <w:highlight w:val="none"/>
              </w:rPr>
            </w:pPr>
          </w:p>
        </w:tc>
        <w:tc>
          <w:tcPr>
            <w:tcW w:w="1051" w:type="dxa"/>
            <w:noWrap w:val="0"/>
            <w:vAlign w:val="center"/>
          </w:tcPr>
          <w:p w14:paraId="5582217A">
            <w:pPr>
              <w:spacing w:line="360" w:lineRule="auto"/>
              <w:ind w:firstLine="0" w:firstLineChars="0"/>
              <w:jc w:val="left"/>
              <w:rPr>
                <w:rFonts w:hint="default"/>
                <w:color w:val="auto"/>
                <w:highlight w:val="none"/>
                <w:lang w:val="en-US" w:eastAsia="zh-CN"/>
              </w:rPr>
            </w:pPr>
            <w:r>
              <w:rPr>
                <w:rFonts w:hint="eastAsia"/>
                <w:b w:val="0"/>
                <w:bCs w:val="0"/>
                <w:color w:val="auto"/>
                <w:highlight w:val="none"/>
                <w:lang w:val="en-US" w:eastAsia="zh-CN"/>
              </w:rPr>
              <w:t>2.5</w:t>
            </w:r>
            <w:r>
              <w:rPr>
                <w:rFonts w:hint="eastAsia" w:ascii="宋体" w:hAnsi="宋体" w:cs="宋体"/>
                <w:b w:val="0"/>
                <w:bCs w:val="0"/>
                <w:color w:val="auto"/>
                <w:sz w:val="21"/>
                <w:szCs w:val="21"/>
                <w:highlight w:val="none"/>
                <w:lang w:val="en-US" w:eastAsia="zh-CN"/>
              </w:rPr>
              <w:t>网上选书</w:t>
            </w:r>
            <w:r>
              <w:rPr>
                <w:rFonts w:hint="eastAsia" w:ascii="宋体" w:hAnsi="宋体" w:eastAsia="宋体" w:cs="宋体"/>
                <w:b w:val="0"/>
                <w:bCs w:val="0"/>
                <w:color w:val="auto"/>
                <w:sz w:val="21"/>
                <w:szCs w:val="21"/>
                <w:highlight w:val="none"/>
                <w:lang w:val="en-US" w:eastAsia="zh-CN"/>
              </w:rPr>
              <w:t>分（8分）</w:t>
            </w:r>
          </w:p>
        </w:tc>
        <w:tc>
          <w:tcPr>
            <w:tcW w:w="5922" w:type="dxa"/>
            <w:noWrap w:val="0"/>
            <w:vAlign w:val="center"/>
          </w:tcPr>
          <w:p w14:paraId="772C077D">
            <w:pPr>
              <w:rPr>
                <w:rFonts w:hint="eastAsia" w:ascii="宋体" w:hAnsi="宋体" w:eastAsia="宋体"/>
                <w:color w:val="auto"/>
                <w:sz w:val="21"/>
                <w:szCs w:val="21"/>
                <w:highlight w:val="none"/>
              </w:rPr>
            </w:pPr>
            <w:r>
              <w:rPr>
                <w:rFonts w:hint="eastAsia" w:ascii="宋体" w:hAnsi="宋体" w:eastAsia="宋体"/>
                <w:color w:val="auto"/>
                <w:sz w:val="21"/>
                <w:szCs w:val="21"/>
                <w:highlight w:val="none"/>
              </w:rPr>
              <w:t>供应商提供配套移动荐购平台服务功能包括：</w:t>
            </w:r>
          </w:p>
          <w:p w14:paraId="378F0859">
            <w:pPr>
              <w:pStyle w:val="13"/>
              <w:rPr>
                <w:rFonts w:hint="eastAsia" w:ascii="宋体" w:hAnsi="宋体" w:eastAsia="宋体"/>
                <w:color w:val="auto"/>
                <w:sz w:val="21"/>
                <w:szCs w:val="21"/>
                <w:highlight w:val="none"/>
              </w:rPr>
            </w:pPr>
            <w:r>
              <w:rPr>
                <w:rFonts w:hint="eastAsia" w:ascii="宋体" w:hAnsi="宋体" w:eastAsia="宋体"/>
                <w:color w:val="auto"/>
                <w:sz w:val="21"/>
                <w:szCs w:val="21"/>
                <w:highlight w:val="none"/>
              </w:rPr>
              <w:t>1</w:t>
            </w:r>
            <w:r>
              <w:rPr>
                <w:rFonts w:hint="eastAsia" w:ascii="宋体" w:hAnsi="宋体" w:eastAsia="宋体"/>
                <w:color w:val="auto"/>
                <w:sz w:val="21"/>
                <w:szCs w:val="21"/>
                <w:highlight w:val="none"/>
                <w:lang w:val="en-US" w:eastAsia="zh-CN"/>
              </w:rPr>
              <w:t>.</w:t>
            </w:r>
            <w:r>
              <w:rPr>
                <w:rFonts w:hint="eastAsia" w:ascii="宋体" w:hAnsi="宋体" w:eastAsia="宋体"/>
                <w:color w:val="auto"/>
                <w:sz w:val="21"/>
                <w:szCs w:val="21"/>
                <w:highlight w:val="none"/>
              </w:rPr>
              <w:t xml:space="preserve">无需点击操作：打开APP，即可进入图书馆的首页，展示本图书馆馆名和其它信息。 </w:t>
            </w:r>
          </w:p>
          <w:p w14:paraId="0981497C">
            <w:pPr>
              <w:pStyle w:val="13"/>
              <w:rPr>
                <w:rFonts w:hint="eastAsia" w:ascii="宋体" w:hAnsi="宋体" w:eastAsia="宋体"/>
                <w:color w:val="auto"/>
                <w:sz w:val="21"/>
                <w:szCs w:val="21"/>
                <w:highlight w:val="none"/>
              </w:rPr>
            </w:pPr>
            <w:r>
              <w:rPr>
                <w:rFonts w:hint="eastAsia" w:ascii="宋体" w:hAnsi="宋体" w:eastAsia="宋体"/>
                <w:color w:val="auto"/>
                <w:sz w:val="21"/>
                <w:szCs w:val="21"/>
                <w:highlight w:val="none"/>
              </w:rPr>
              <w:t>2</w:t>
            </w:r>
            <w:r>
              <w:rPr>
                <w:rFonts w:hint="eastAsia" w:ascii="宋体" w:hAnsi="宋体" w:eastAsia="宋体"/>
                <w:color w:val="auto"/>
                <w:sz w:val="21"/>
                <w:szCs w:val="21"/>
                <w:highlight w:val="none"/>
                <w:lang w:val="en-US" w:eastAsia="zh-CN"/>
              </w:rPr>
              <w:t>.</w:t>
            </w:r>
            <w:r>
              <w:rPr>
                <w:rFonts w:hint="eastAsia" w:ascii="宋体" w:hAnsi="宋体" w:eastAsia="宋体"/>
                <w:color w:val="auto"/>
                <w:sz w:val="21"/>
                <w:szCs w:val="21"/>
                <w:highlight w:val="none"/>
              </w:rPr>
              <w:t>读者荐购：系统须具有读者荐购功能，可以将荐购图书直接导出为采购清单，并能够对书单入藏情况自动标识已购或未购功能。</w:t>
            </w:r>
          </w:p>
          <w:p w14:paraId="2FFD58A6">
            <w:pPr>
              <w:pStyle w:val="13"/>
              <w:rPr>
                <w:rFonts w:hint="eastAsia" w:ascii="宋体" w:hAnsi="宋体" w:eastAsia="宋体"/>
                <w:color w:val="auto"/>
                <w:sz w:val="21"/>
                <w:szCs w:val="21"/>
                <w:highlight w:val="none"/>
              </w:rPr>
            </w:pPr>
            <w:r>
              <w:rPr>
                <w:rFonts w:hint="eastAsia" w:ascii="宋体" w:hAnsi="宋体" w:eastAsia="宋体"/>
                <w:color w:val="auto"/>
                <w:sz w:val="21"/>
                <w:szCs w:val="21"/>
                <w:highlight w:val="none"/>
              </w:rPr>
              <w:t>3</w:t>
            </w:r>
            <w:r>
              <w:rPr>
                <w:rFonts w:hint="eastAsia" w:ascii="宋体" w:hAnsi="宋体" w:eastAsia="宋体"/>
                <w:color w:val="auto"/>
                <w:sz w:val="21"/>
                <w:szCs w:val="21"/>
                <w:highlight w:val="none"/>
                <w:lang w:val="en-US" w:eastAsia="zh-CN"/>
              </w:rPr>
              <w:t>.</w:t>
            </w:r>
            <w:r>
              <w:rPr>
                <w:rFonts w:hint="eastAsia" w:ascii="宋体" w:hAnsi="宋体" w:eastAsia="宋体"/>
                <w:color w:val="auto"/>
                <w:sz w:val="21"/>
                <w:szCs w:val="21"/>
                <w:highlight w:val="none"/>
              </w:rPr>
              <w:t>支持读者进行人脸采集和修改照片功能。</w:t>
            </w:r>
          </w:p>
          <w:p w14:paraId="258F1D75">
            <w:pPr>
              <w:pStyle w:val="13"/>
              <w:rPr>
                <w:rFonts w:hint="eastAsia" w:ascii="宋体" w:hAnsi="宋体" w:eastAsia="宋体"/>
                <w:color w:val="auto"/>
                <w:sz w:val="21"/>
                <w:szCs w:val="21"/>
                <w:highlight w:val="none"/>
              </w:rPr>
            </w:pPr>
            <w:r>
              <w:rPr>
                <w:rFonts w:hint="eastAsia" w:ascii="宋体" w:hAnsi="宋体" w:eastAsia="宋体"/>
                <w:color w:val="auto"/>
                <w:sz w:val="21"/>
                <w:szCs w:val="21"/>
                <w:highlight w:val="none"/>
              </w:rPr>
              <w:t>4</w:t>
            </w:r>
            <w:r>
              <w:rPr>
                <w:rFonts w:hint="eastAsia" w:ascii="宋体" w:hAnsi="宋体" w:eastAsia="宋体"/>
                <w:color w:val="auto"/>
                <w:sz w:val="21"/>
                <w:szCs w:val="21"/>
                <w:highlight w:val="none"/>
                <w:lang w:val="en-US" w:eastAsia="zh-CN"/>
              </w:rPr>
              <w:t>.</w:t>
            </w:r>
            <w:r>
              <w:rPr>
                <w:rFonts w:hint="eastAsia" w:ascii="宋体" w:hAnsi="宋体" w:eastAsia="宋体"/>
                <w:color w:val="auto"/>
                <w:sz w:val="21"/>
                <w:szCs w:val="21"/>
                <w:highlight w:val="none"/>
              </w:rPr>
              <w:t>纸质藏书信息查看：可以对本馆纸书的封面，目录，内容简介，库位，在馆状态等信息。</w:t>
            </w:r>
          </w:p>
          <w:p w14:paraId="5A115E71">
            <w:pPr>
              <w:spacing w:line="360" w:lineRule="auto"/>
              <w:ind w:firstLine="0" w:firstLineChars="0"/>
              <w:jc w:val="left"/>
              <w:rPr>
                <w:rFonts w:hint="eastAsia" w:ascii="宋体" w:hAnsi="宋体" w:cs="宋体"/>
                <w:bCs/>
                <w:color w:val="auto"/>
                <w:kern w:val="0"/>
                <w:sz w:val="21"/>
                <w:szCs w:val="21"/>
                <w:highlight w:val="none"/>
                <w:lang w:val="en-US" w:eastAsia="zh-CN"/>
              </w:rPr>
            </w:pPr>
            <w:r>
              <w:rPr>
                <w:rFonts w:hint="eastAsia" w:ascii="宋体" w:hAnsi="宋体" w:eastAsia="宋体"/>
                <w:color w:val="auto"/>
                <w:sz w:val="21"/>
                <w:szCs w:val="21"/>
                <w:highlight w:val="none"/>
              </w:rPr>
              <w:t>需逐条提供具有中国计量单位CMA或中国合格评定国家认可委员会CNAS认证机构出具的检验报告及系统功能截图</w:t>
            </w:r>
            <w:r>
              <w:rPr>
                <w:rFonts w:hint="eastAsia" w:ascii="宋体" w:hAnsi="宋体" w:eastAsia="宋体"/>
                <w:color w:val="auto"/>
                <w:sz w:val="21"/>
                <w:szCs w:val="21"/>
                <w:highlight w:val="none"/>
                <w:lang w:eastAsia="zh-CN"/>
              </w:rPr>
              <w:t>，满足一项得</w:t>
            </w:r>
            <w:r>
              <w:rPr>
                <w:rFonts w:hint="eastAsia" w:ascii="宋体" w:hAnsi="宋体"/>
                <w:color w:val="auto"/>
                <w:sz w:val="21"/>
                <w:szCs w:val="21"/>
                <w:highlight w:val="none"/>
                <w:lang w:val="en-US" w:eastAsia="zh-CN"/>
              </w:rPr>
              <w:t>2</w:t>
            </w:r>
            <w:r>
              <w:rPr>
                <w:rFonts w:hint="eastAsia" w:ascii="宋体" w:hAnsi="宋体" w:eastAsia="宋体"/>
                <w:color w:val="auto"/>
                <w:sz w:val="21"/>
                <w:szCs w:val="21"/>
                <w:highlight w:val="none"/>
                <w:lang w:eastAsia="zh-CN"/>
              </w:rPr>
              <w:t>分，</w:t>
            </w:r>
            <w:r>
              <w:rPr>
                <w:rFonts w:hint="eastAsia" w:ascii="宋体" w:hAnsi="宋体" w:eastAsia="宋体"/>
                <w:color w:val="auto"/>
                <w:sz w:val="21"/>
                <w:szCs w:val="21"/>
                <w:highlight w:val="none"/>
                <w:lang w:val="en-US" w:eastAsia="zh-CN"/>
              </w:rPr>
              <w:t>满分</w:t>
            </w:r>
            <w:r>
              <w:rPr>
                <w:rFonts w:hint="eastAsia" w:ascii="宋体" w:hAnsi="宋体"/>
                <w:color w:val="auto"/>
                <w:sz w:val="21"/>
                <w:szCs w:val="21"/>
                <w:highlight w:val="none"/>
                <w:lang w:val="en-US" w:eastAsia="zh-CN"/>
              </w:rPr>
              <w:t>8</w:t>
            </w:r>
            <w:r>
              <w:rPr>
                <w:rFonts w:hint="eastAsia" w:ascii="宋体" w:hAnsi="宋体" w:eastAsia="宋体"/>
                <w:color w:val="auto"/>
                <w:sz w:val="21"/>
                <w:szCs w:val="21"/>
                <w:highlight w:val="none"/>
                <w:lang w:val="en-US" w:eastAsia="zh-CN"/>
              </w:rPr>
              <w:t>分。</w:t>
            </w:r>
          </w:p>
        </w:tc>
        <w:tc>
          <w:tcPr>
            <w:tcW w:w="957" w:type="dxa"/>
            <w:vMerge w:val="continue"/>
            <w:noWrap w:val="0"/>
            <w:vAlign w:val="center"/>
          </w:tcPr>
          <w:p w14:paraId="5FE9F52D">
            <w:pPr>
              <w:spacing w:line="360" w:lineRule="auto"/>
              <w:ind w:firstLine="0" w:firstLineChars="0"/>
              <w:jc w:val="left"/>
              <w:rPr>
                <w:rFonts w:hint="eastAsia"/>
                <w:color w:val="auto"/>
                <w:highlight w:val="none"/>
              </w:rPr>
            </w:pPr>
          </w:p>
        </w:tc>
      </w:tr>
      <w:tr w14:paraId="5BA4AB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6AC32A30">
            <w:pPr>
              <w:spacing w:line="360" w:lineRule="auto"/>
              <w:ind w:firstLine="420" w:firstLineChars="200"/>
              <w:jc w:val="center"/>
              <w:rPr>
                <w:color w:val="auto"/>
                <w:highlight w:val="none"/>
              </w:rPr>
            </w:pPr>
          </w:p>
        </w:tc>
        <w:tc>
          <w:tcPr>
            <w:tcW w:w="1086" w:type="dxa"/>
            <w:vMerge w:val="continue"/>
            <w:noWrap w:val="0"/>
            <w:vAlign w:val="center"/>
          </w:tcPr>
          <w:p w14:paraId="36E98541">
            <w:pPr>
              <w:spacing w:line="360" w:lineRule="auto"/>
              <w:ind w:firstLine="420" w:firstLineChars="200"/>
              <w:jc w:val="center"/>
              <w:rPr>
                <w:color w:val="auto"/>
                <w:highlight w:val="none"/>
              </w:rPr>
            </w:pPr>
          </w:p>
        </w:tc>
        <w:tc>
          <w:tcPr>
            <w:tcW w:w="1051" w:type="dxa"/>
            <w:noWrap w:val="0"/>
            <w:vAlign w:val="center"/>
          </w:tcPr>
          <w:p w14:paraId="52537FE1">
            <w:pPr>
              <w:keepNext w:val="0"/>
              <w:keepLines w:val="0"/>
              <w:pageBreakBefore w:val="0"/>
              <w:kinsoku/>
              <w:wordWrap/>
              <w:overflowPunct/>
              <w:topLinePunct w:val="0"/>
              <w:autoSpaceDE/>
              <w:autoSpaceDN/>
              <w:bidi w:val="0"/>
              <w:spacing w:line="360" w:lineRule="auto"/>
              <w:jc w:val="center"/>
              <w:rPr>
                <w:rFonts w:hint="eastAsia" w:ascii="宋体" w:hAnsi="宋体" w:cs="宋体"/>
                <w:color w:val="auto"/>
                <w:sz w:val="21"/>
                <w:szCs w:val="21"/>
                <w:highlight w:val="none"/>
                <w:lang w:val="en-US" w:eastAsia="zh-CN"/>
              </w:rPr>
            </w:pPr>
            <w:r>
              <w:rPr>
                <w:rFonts w:hint="eastAsia"/>
                <w:color w:val="auto"/>
                <w:highlight w:val="none"/>
                <w:lang w:val="en-US" w:eastAsia="zh-CN"/>
              </w:rPr>
              <w:t>2.6</w:t>
            </w:r>
            <w:r>
              <w:rPr>
                <w:rFonts w:hint="eastAsia" w:ascii="宋体" w:hAnsi="宋体" w:eastAsia="宋体" w:cs="宋体"/>
                <w:bCs/>
                <w:color w:val="auto"/>
                <w:sz w:val="21"/>
                <w:szCs w:val="21"/>
                <w:highlight w:val="none"/>
                <w:lang w:val="en-US" w:eastAsia="zh-CN"/>
              </w:rPr>
              <w:t>履约能力</w:t>
            </w:r>
            <w:r>
              <w:rPr>
                <w:rFonts w:hint="eastAsia" w:ascii="宋体" w:hAnsi="宋体" w:cs="宋体"/>
                <w:bCs/>
                <w:color w:val="auto"/>
                <w:sz w:val="21"/>
                <w:szCs w:val="21"/>
                <w:highlight w:val="none"/>
                <w:lang w:val="en-US" w:eastAsia="zh-CN"/>
              </w:rPr>
              <w:t>分（满分5分）</w:t>
            </w:r>
          </w:p>
          <w:p w14:paraId="6A924ECE">
            <w:pPr>
              <w:spacing w:line="360" w:lineRule="auto"/>
              <w:ind w:firstLine="0" w:firstLineChars="0"/>
              <w:jc w:val="left"/>
              <w:rPr>
                <w:rFonts w:hint="default"/>
                <w:color w:val="auto"/>
                <w:highlight w:val="none"/>
                <w:lang w:val="en-US" w:eastAsia="zh-CN"/>
              </w:rPr>
            </w:pPr>
          </w:p>
        </w:tc>
        <w:tc>
          <w:tcPr>
            <w:tcW w:w="5922" w:type="dxa"/>
            <w:noWrap w:val="0"/>
            <w:vAlign w:val="center"/>
          </w:tcPr>
          <w:p w14:paraId="5382F102">
            <w:pPr>
              <w:keepNext w:val="0"/>
              <w:keepLines w:val="0"/>
              <w:pageBreakBefore w:val="0"/>
              <w:widowControl/>
              <w:kinsoku/>
              <w:wordWrap/>
              <w:overflowPunct/>
              <w:topLinePunct w:val="0"/>
              <w:autoSpaceDE/>
              <w:autoSpaceDN/>
              <w:bidi w:val="0"/>
              <w:adjustRightInd/>
              <w:snapToGrid/>
              <w:spacing w:line="360" w:lineRule="auto"/>
              <w:jc w:val="left"/>
              <w:textAlignment w:val="auto"/>
              <w:rPr>
                <w:rFonts w:hint="eastAsia" w:ascii="宋体" w:hAnsi="宋体" w:eastAsia="宋体" w:cs="宋体"/>
                <w:bCs/>
                <w:color w:val="auto"/>
                <w:sz w:val="21"/>
                <w:szCs w:val="21"/>
                <w:highlight w:val="none"/>
                <w:lang w:val="en-US" w:eastAsia="zh-CN"/>
              </w:rPr>
            </w:pP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投标人具有与CALIS签订的有效编目数据协议的得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分；具有与国家图书馆签订的有效编目数据协议的得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分，此项满分</w:t>
            </w:r>
            <w:r>
              <w:rPr>
                <w:rFonts w:hint="eastAsia" w:hAnsi="宋体" w:cs="宋体"/>
                <w:bCs/>
                <w:color w:val="auto"/>
                <w:sz w:val="21"/>
                <w:szCs w:val="21"/>
                <w:highlight w:val="none"/>
                <w:lang w:val="en-US" w:eastAsia="zh-CN"/>
              </w:rPr>
              <w:t>2</w:t>
            </w:r>
            <w:r>
              <w:rPr>
                <w:rFonts w:hint="eastAsia" w:ascii="宋体" w:hAnsi="宋体" w:eastAsia="宋体" w:cs="宋体"/>
                <w:bCs/>
                <w:color w:val="auto"/>
                <w:sz w:val="21"/>
                <w:szCs w:val="21"/>
                <w:highlight w:val="none"/>
                <w:lang w:val="en-US" w:eastAsia="zh-CN"/>
              </w:rPr>
              <w:t>分（提</w:t>
            </w:r>
            <w:r>
              <w:rPr>
                <w:rFonts w:hint="eastAsia" w:hAnsi="宋体" w:cs="宋体"/>
                <w:bCs/>
                <w:color w:val="auto"/>
                <w:sz w:val="21"/>
                <w:szCs w:val="21"/>
                <w:highlight w:val="none"/>
                <w:lang w:val="en-US" w:eastAsia="zh-CN"/>
              </w:rPr>
              <w:t>供</w:t>
            </w:r>
            <w:r>
              <w:rPr>
                <w:rFonts w:hint="eastAsia" w:ascii="宋体" w:hAnsi="宋体" w:eastAsia="宋体" w:cs="宋体"/>
                <w:bCs/>
                <w:color w:val="auto"/>
                <w:sz w:val="21"/>
                <w:szCs w:val="21"/>
                <w:highlight w:val="none"/>
                <w:lang w:val="en-US" w:eastAsia="zh-CN"/>
              </w:rPr>
              <w:t>协议书原件扫描件并加盖投标人公章</w:t>
            </w:r>
            <w:r>
              <w:rPr>
                <w:rFonts w:hint="eastAsia"/>
                <w:color w:val="auto"/>
                <w:sz w:val="21"/>
                <w:szCs w:val="21"/>
                <w:highlight w:val="none"/>
                <w:lang w:val="en-US" w:eastAsia="zh-CN"/>
              </w:rPr>
              <w:t>，</w:t>
            </w:r>
            <w:r>
              <w:rPr>
                <w:rFonts w:hint="eastAsia" w:ascii="宋体" w:hAnsi="宋体" w:eastAsia="宋体" w:cs="宋体"/>
                <w:bCs/>
                <w:color w:val="auto"/>
                <w:sz w:val="21"/>
                <w:szCs w:val="21"/>
                <w:highlight w:val="none"/>
                <w:lang w:val="en-US" w:eastAsia="zh-CN"/>
              </w:rPr>
              <w:t>否则不得分）。</w:t>
            </w:r>
          </w:p>
          <w:p w14:paraId="127DE173">
            <w:pPr>
              <w:spacing w:line="360" w:lineRule="auto"/>
              <w:ind w:firstLine="0" w:firstLineChars="0"/>
              <w:jc w:val="left"/>
              <w:rPr>
                <w:rFonts w:hint="eastAsia" w:ascii="宋体" w:hAnsi="宋体" w:cs="宋体"/>
                <w:bCs/>
                <w:color w:val="auto"/>
                <w:szCs w:val="21"/>
                <w:highlight w:val="none"/>
              </w:rPr>
            </w:pPr>
            <w:r>
              <w:rPr>
                <w:rFonts w:hint="eastAsia" w:hAnsi="宋体" w:cs="宋体"/>
                <w:bCs/>
                <w:color w:val="auto"/>
                <w:kern w:val="2"/>
                <w:sz w:val="21"/>
                <w:szCs w:val="21"/>
                <w:highlight w:val="none"/>
                <w:lang w:val="en-US" w:eastAsia="zh-CN" w:bidi="ar-SA"/>
              </w:rPr>
              <w:t>2、</w:t>
            </w:r>
            <w:r>
              <w:rPr>
                <w:rFonts w:hint="eastAsia"/>
                <w:color w:val="auto"/>
                <w:highlight w:val="none"/>
                <w:lang w:val="en-US" w:eastAsia="zh-CN"/>
              </w:rPr>
              <w:t>投标人2023年1月1日至今承担过类似项目且已完成验收，每提供一个项目验收合格证明或用户履约评价为良好等级及以上的证明材料，得1分，此项满分3分。（提供原件扫描件或复印件并加盖投标人公章，否则不得分）</w:t>
            </w:r>
          </w:p>
        </w:tc>
        <w:tc>
          <w:tcPr>
            <w:tcW w:w="957" w:type="dxa"/>
            <w:vMerge w:val="continue"/>
            <w:noWrap w:val="0"/>
            <w:vAlign w:val="center"/>
          </w:tcPr>
          <w:p w14:paraId="32A1839A">
            <w:pPr>
              <w:spacing w:line="360" w:lineRule="auto"/>
              <w:ind w:firstLine="0" w:firstLineChars="0"/>
              <w:jc w:val="left"/>
              <w:rPr>
                <w:rFonts w:hint="eastAsia"/>
                <w:color w:val="auto"/>
                <w:highlight w:val="none"/>
              </w:rPr>
            </w:pPr>
          </w:p>
        </w:tc>
      </w:tr>
      <w:tr w14:paraId="5545B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83" w:type="dxa"/>
            <w:vMerge w:val="restart"/>
            <w:noWrap w:val="0"/>
            <w:vAlign w:val="center"/>
          </w:tcPr>
          <w:p w14:paraId="48920892">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lang w:val="en-US" w:eastAsia="zh-CN"/>
              </w:rPr>
              <w:t>3</w:t>
            </w:r>
          </w:p>
        </w:tc>
        <w:tc>
          <w:tcPr>
            <w:tcW w:w="1086" w:type="dxa"/>
            <w:vMerge w:val="restart"/>
            <w:noWrap w:val="0"/>
            <w:vAlign w:val="center"/>
          </w:tcPr>
          <w:p w14:paraId="3C4CA9FE">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商务</w:t>
            </w:r>
            <w:r>
              <w:rPr>
                <w:rFonts w:hint="eastAsia" w:ascii="宋体" w:hAnsi="宋体" w:eastAsia="宋体" w:cs="宋体"/>
                <w:bCs/>
                <w:color w:val="auto"/>
                <w:szCs w:val="21"/>
                <w:highlight w:val="none"/>
                <w:lang w:eastAsia="zh-CN"/>
              </w:rPr>
              <w:t>分</w:t>
            </w:r>
          </w:p>
        </w:tc>
        <w:tc>
          <w:tcPr>
            <w:tcW w:w="1051" w:type="dxa"/>
            <w:noWrap w:val="0"/>
            <w:vAlign w:val="center"/>
          </w:tcPr>
          <w:p w14:paraId="546A804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color w:val="auto"/>
                <w:highlight w:val="none"/>
                <w:lang w:eastAsia="zh-CN"/>
              </w:rPr>
            </w:pPr>
            <w:r>
              <w:rPr>
                <w:rFonts w:hint="eastAsia" w:ascii="宋体" w:hAnsi="宋体" w:cs="宋体"/>
                <w:color w:val="auto"/>
                <w:sz w:val="21"/>
                <w:szCs w:val="21"/>
                <w:highlight w:val="none"/>
              </w:rPr>
              <w:t>售后服务分</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满分12分</w:t>
            </w:r>
            <w:r>
              <w:rPr>
                <w:rFonts w:hint="eastAsia" w:ascii="宋体" w:hAnsi="宋体" w:cs="宋体"/>
                <w:color w:val="auto"/>
                <w:sz w:val="21"/>
                <w:szCs w:val="21"/>
                <w:highlight w:val="none"/>
                <w:lang w:eastAsia="zh-CN"/>
              </w:rPr>
              <w:t>）</w:t>
            </w:r>
          </w:p>
        </w:tc>
        <w:tc>
          <w:tcPr>
            <w:tcW w:w="5922" w:type="dxa"/>
            <w:noWrap w:val="0"/>
            <w:vAlign w:val="center"/>
          </w:tcPr>
          <w:p w14:paraId="475D1AB0">
            <w:pPr>
              <w:keepNext w:val="0"/>
              <w:keepLines w:val="0"/>
              <w:pageBreakBefore w:val="0"/>
              <w:numPr>
                <w:ilvl w:val="0"/>
                <w:numId w:val="0"/>
              </w:numPr>
              <w:kinsoku/>
              <w:wordWrap/>
              <w:overflowPunct/>
              <w:topLinePunct w:val="0"/>
              <w:autoSpaceDE/>
              <w:autoSpaceDN/>
              <w:bidi w:val="0"/>
              <w:adjustRightInd/>
              <w:spacing w:line="240" w:lineRule="auto"/>
              <w:jc w:val="left"/>
              <w:textAlignment w:val="auto"/>
              <w:rPr>
                <w:rFonts w:hint="eastAsia"/>
                <w:color w:val="auto"/>
                <w:highlight w:val="none"/>
                <w:lang w:eastAsia="zh-CN"/>
              </w:rPr>
            </w:pPr>
            <w:r>
              <w:rPr>
                <w:rFonts w:hint="eastAsia" w:ascii="宋体" w:hAnsi="宋体" w:eastAsia="宋体" w:cs="宋体"/>
                <w:b w:val="0"/>
                <w:bCs w:val="0"/>
                <w:color w:val="auto"/>
                <w:spacing w:val="7"/>
                <w:sz w:val="21"/>
                <w:szCs w:val="21"/>
                <w:highlight w:val="none"/>
                <w:lang w:val="en-US" w:eastAsia="zh-CN"/>
              </w:rPr>
              <w:t>评标小组对各供应商提供的售后服务进行评审，评审内容</w:t>
            </w:r>
            <w:r>
              <w:rPr>
                <w:rFonts w:hint="default" w:ascii="Times New Roman" w:hAnsi="Times New Roman" w:eastAsia="宋体" w:cs="Times New Roman"/>
                <w:color w:val="auto"/>
                <w:szCs w:val="21"/>
                <w:highlight w:val="none"/>
              </w:rPr>
              <w:t>：</w:t>
            </w:r>
            <w:r>
              <w:rPr>
                <w:rFonts w:hint="eastAsia"/>
                <w:color w:val="auto"/>
                <w:highlight w:val="none"/>
              </w:rPr>
              <w:t>①响应时间；②现场到达时间；③重大质量问题处理时限；④质保期；⑤售后服务团队</w:t>
            </w:r>
            <w:r>
              <w:rPr>
                <w:rFonts w:hint="eastAsia"/>
                <w:color w:val="auto"/>
                <w:highlight w:val="none"/>
                <w:lang w:eastAsia="zh-CN"/>
              </w:rPr>
              <w:t>。</w:t>
            </w:r>
          </w:p>
          <w:p w14:paraId="02C72AB0">
            <w:pPr>
              <w:pStyle w:val="2"/>
              <w:rPr>
                <w:rFonts w:hint="default" w:ascii="宋体" w:hAnsi="宋体" w:eastAsia="宋体" w:cs="宋体"/>
                <w:b w:val="0"/>
                <w:bCs w:val="0"/>
                <w:color w:val="auto"/>
                <w:sz w:val="21"/>
                <w:szCs w:val="21"/>
                <w:highlight w:val="none"/>
                <w:lang w:val="en-US" w:eastAsia="zh-CN"/>
              </w:rPr>
            </w:pPr>
            <w:r>
              <w:rPr>
                <w:rFonts w:hint="eastAsia"/>
                <w:b w:val="0"/>
                <w:bCs/>
                <w:color w:val="auto"/>
                <w:sz w:val="21"/>
                <w:szCs w:val="21"/>
                <w:highlight w:val="none"/>
                <w:lang w:val="en-US" w:eastAsia="zh-CN"/>
              </w:rPr>
              <w:t>一档（4分）</w:t>
            </w:r>
            <w:r>
              <w:rPr>
                <w:rFonts w:hint="default" w:ascii="宋体" w:hAnsi="宋体" w:eastAsia="宋体" w:cs="宋体"/>
                <w:b w:val="0"/>
                <w:bCs/>
                <w:color w:val="auto"/>
                <w:sz w:val="21"/>
                <w:szCs w:val="21"/>
                <w:highlight w:val="none"/>
              </w:rPr>
              <w:t>方案满足采购要求，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1</w:t>
            </w:r>
            <w:r>
              <w:rPr>
                <w:rFonts w:hint="eastAsia"/>
                <w:b w:val="0"/>
                <w:bCs/>
                <w:color w:val="auto"/>
                <w:sz w:val="21"/>
                <w:szCs w:val="21"/>
                <w:highlight w:val="none"/>
              </w:rPr>
              <w:t>小时内；②现场到达时间</w:t>
            </w:r>
            <w:r>
              <w:rPr>
                <w:rFonts w:hint="eastAsia"/>
                <w:b w:val="0"/>
                <w:bCs/>
                <w:color w:val="auto"/>
                <w:sz w:val="21"/>
                <w:szCs w:val="21"/>
                <w:highlight w:val="none"/>
                <w:lang w:val="en-US" w:eastAsia="zh-CN"/>
              </w:rPr>
              <w:t>4</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48</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1</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w:t>
            </w:r>
            <w:r>
              <w:rPr>
                <w:rFonts w:hint="default" w:ascii="宋体" w:hAnsi="宋体" w:eastAsia="宋体" w:cs="宋体"/>
                <w:b w:val="0"/>
                <w:bCs w:val="0"/>
                <w:color w:val="auto"/>
                <w:sz w:val="21"/>
                <w:szCs w:val="21"/>
                <w:highlight w:val="none"/>
                <w:lang w:val="en-US" w:eastAsia="zh-CN"/>
              </w:rPr>
              <w:t xml:space="preserve"> </w:t>
            </w:r>
          </w:p>
          <w:p w14:paraId="7AD07D9A">
            <w:pPr>
              <w:pStyle w:val="2"/>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w:t>
            </w:r>
            <w:r>
              <w:rPr>
                <w:rFonts w:hint="eastAsia" w:ascii="宋体" w:hAnsi="宋体" w:cs="宋体"/>
                <w:b w:val="0"/>
                <w:bCs w:val="0"/>
                <w:color w:val="auto"/>
                <w:sz w:val="21"/>
                <w:szCs w:val="21"/>
                <w:highlight w:val="none"/>
                <w:lang w:val="en-US" w:eastAsia="zh-CN"/>
              </w:rPr>
              <w:t>8</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w:t>
            </w:r>
            <w:r>
              <w:rPr>
                <w:rFonts w:hint="eastAsia"/>
                <w:b w:val="0"/>
                <w:bCs/>
                <w:color w:val="auto"/>
                <w:sz w:val="21"/>
                <w:szCs w:val="21"/>
                <w:highlight w:val="none"/>
                <w:lang w:eastAsia="zh-CN"/>
              </w:rPr>
              <w:t>分钟</w:t>
            </w:r>
            <w:r>
              <w:rPr>
                <w:rFonts w:hint="eastAsia"/>
                <w:b w:val="0"/>
                <w:bCs/>
                <w:color w:val="auto"/>
                <w:sz w:val="21"/>
                <w:szCs w:val="21"/>
                <w:highlight w:val="none"/>
              </w:rPr>
              <w:t>内；②现场到达时间</w:t>
            </w:r>
            <w:r>
              <w:rPr>
                <w:rFonts w:hint="eastAsia"/>
                <w:b w:val="0"/>
                <w:bCs/>
                <w:color w:val="auto"/>
                <w:sz w:val="21"/>
                <w:szCs w:val="21"/>
                <w:highlight w:val="none"/>
                <w:lang w:val="en-US" w:eastAsia="zh-CN"/>
              </w:rPr>
              <w:t>3</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24</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2</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3人</w:t>
            </w:r>
            <w:r>
              <w:rPr>
                <w:rFonts w:hint="eastAsia"/>
                <w:b w:val="0"/>
                <w:bCs/>
                <w:color w:val="auto"/>
                <w:sz w:val="21"/>
                <w:szCs w:val="21"/>
                <w:highlight w:val="none"/>
                <w:lang w:eastAsia="zh-CN"/>
              </w:rPr>
              <w:t>。</w:t>
            </w:r>
            <w:r>
              <w:rPr>
                <w:rFonts w:hint="default" w:ascii="宋体" w:hAnsi="宋体" w:eastAsia="宋体" w:cs="宋体"/>
                <w:b w:val="0"/>
                <w:bCs w:val="0"/>
                <w:color w:val="auto"/>
                <w:sz w:val="21"/>
                <w:szCs w:val="21"/>
                <w:highlight w:val="none"/>
                <w:lang w:val="en-US" w:eastAsia="zh-CN"/>
              </w:rPr>
              <w:t xml:space="preserve"> </w:t>
            </w:r>
          </w:p>
          <w:p w14:paraId="4A2E9E00">
            <w:pPr>
              <w:keepNext w:val="0"/>
              <w:keepLines w:val="0"/>
              <w:pageBreakBefore w:val="0"/>
              <w:numPr>
                <w:ilvl w:val="0"/>
                <w:numId w:val="0"/>
              </w:numPr>
              <w:kinsoku/>
              <w:wordWrap/>
              <w:overflowPunct/>
              <w:topLinePunct w:val="0"/>
              <w:autoSpaceDE/>
              <w:autoSpaceDN/>
              <w:bidi w:val="0"/>
              <w:adjustRightInd/>
              <w:spacing w:line="240" w:lineRule="auto"/>
              <w:jc w:val="left"/>
              <w:textAlignment w:val="auto"/>
              <w:rPr>
                <w:rFonts w:hint="eastAsia"/>
                <w:b w:val="0"/>
                <w:bCs/>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三</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ascii="宋体" w:hAnsi="宋体"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ascii="宋体" w:hAnsi="宋体" w:cs="宋体"/>
                <w:b w:val="0"/>
                <w:bCs/>
                <w:color w:val="auto"/>
                <w:sz w:val="21"/>
                <w:szCs w:val="21"/>
                <w:highlight w:val="none"/>
                <w:lang w:eastAsia="zh-CN"/>
              </w:rPr>
              <w:t>根据采购人需求针对性优化制定</w:t>
            </w:r>
            <w:r>
              <w:rPr>
                <w:rFonts w:hint="eastAsia" w:ascii="宋体" w:hAnsi="宋体" w:eastAsia="宋体" w:cs="宋体"/>
                <w:b w:val="0"/>
                <w:bCs/>
                <w:color w:val="auto"/>
                <w:sz w:val="21"/>
                <w:szCs w:val="21"/>
                <w:highlight w:val="none"/>
                <w:lang w:val="en-US" w:eastAsia="zh-CN"/>
              </w:rPr>
              <w:t>，</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30分钟</w:t>
            </w:r>
            <w:r>
              <w:rPr>
                <w:rFonts w:hint="eastAsia"/>
                <w:b w:val="0"/>
                <w:bCs/>
                <w:color w:val="auto"/>
                <w:sz w:val="21"/>
                <w:szCs w:val="21"/>
                <w:highlight w:val="none"/>
              </w:rPr>
              <w:t>内；②现场到达时间</w:t>
            </w:r>
            <w:r>
              <w:rPr>
                <w:rFonts w:hint="eastAsia"/>
                <w:b w:val="0"/>
                <w:bCs/>
                <w:color w:val="auto"/>
                <w:sz w:val="21"/>
                <w:szCs w:val="21"/>
                <w:highlight w:val="none"/>
                <w:lang w:val="en-US" w:eastAsia="zh-CN"/>
              </w:rPr>
              <w:t>2</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12</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3</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5人</w:t>
            </w:r>
            <w:r>
              <w:rPr>
                <w:rFonts w:hint="eastAsia"/>
                <w:b w:val="0"/>
                <w:bCs/>
                <w:color w:val="auto"/>
                <w:sz w:val="21"/>
                <w:szCs w:val="21"/>
                <w:highlight w:val="none"/>
                <w:lang w:eastAsia="zh-CN"/>
              </w:rPr>
              <w:t>。</w:t>
            </w:r>
          </w:p>
          <w:p w14:paraId="301ED6F7">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color w:val="auto"/>
                <w:highlight w:val="none"/>
                <w:lang w:val="en-US" w:eastAsia="zh-CN"/>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5208CEAC">
            <w:pPr>
              <w:spacing w:line="360" w:lineRule="auto"/>
              <w:jc w:val="center"/>
              <w:rPr>
                <w:rFonts w:hint="default" w:ascii="宋体" w:hAnsi="宋体" w:eastAsia="宋体" w:cs="宋体"/>
                <w:bCs/>
                <w:color w:val="auto"/>
                <w:szCs w:val="21"/>
                <w:highlight w:val="none"/>
                <w:lang w:val="en-US" w:eastAsia="zh-CN"/>
              </w:rPr>
            </w:pPr>
            <w:r>
              <w:rPr>
                <w:rFonts w:hint="eastAsia" w:ascii="宋体" w:hAnsi="宋体" w:eastAsia="宋体" w:cs="宋体"/>
                <w:bCs/>
                <w:color w:val="auto"/>
                <w:szCs w:val="21"/>
                <w:highlight w:val="none"/>
                <w:lang w:val="en-US" w:eastAsia="zh-CN"/>
              </w:rPr>
              <w:t>25分</w:t>
            </w:r>
          </w:p>
        </w:tc>
      </w:tr>
      <w:tr w14:paraId="2D914A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583" w:type="dxa"/>
            <w:vMerge w:val="continue"/>
            <w:noWrap w:val="0"/>
            <w:vAlign w:val="center"/>
          </w:tcPr>
          <w:p w14:paraId="35EAA0F9">
            <w:pPr>
              <w:spacing w:line="360" w:lineRule="auto"/>
              <w:jc w:val="center"/>
              <w:rPr>
                <w:rFonts w:hint="eastAsia" w:ascii="宋体" w:hAnsi="宋体" w:eastAsia="宋体" w:cs="宋体"/>
                <w:bCs/>
                <w:color w:val="auto"/>
                <w:szCs w:val="21"/>
                <w:highlight w:val="none"/>
                <w:lang w:eastAsia="zh-CN"/>
              </w:rPr>
            </w:pPr>
          </w:p>
        </w:tc>
        <w:tc>
          <w:tcPr>
            <w:tcW w:w="1086" w:type="dxa"/>
            <w:vMerge w:val="continue"/>
            <w:noWrap w:val="0"/>
            <w:vAlign w:val="center"/>
          </w:tcPr>
          <w:p w14:paraId="3A91A9A2">
            <w:pPr>
              <w:spacing w:line="360" w:lineRule="auto"/>
              <w:jc w:val="center"/>
              <w:rPr>
                <w:rFonts w:hint="eastAsia" w:ascii="宋体" w:hAnsi="宋体" w:eastAsia="宋体" w:cs="宋体"/>
                <w:bCs/>
                <w:color w:val="auto"/>
                <w:szCs w:val="21"/>
                <w:highlight w:val="none"/>
                <w:lang w:eastAsia="zh-CN"/>
              </w:rPr>
            </w:pPr>
          </w:p>
        </w:tc>
        <w:tc>
          <w:tcPr>
            <w:tcW w:w="1051" w:type="dxa"/>
            <w:noWrap w:val="0"/>
            <w:vAlign w:val="center"/>
          </w:tcPr>
          <w:p w14:paraId="418FB6FE">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eastAsia="宋体"/>
                <w:color w:val="auto"/>
                <w:highlight w:val="none"/>
                <w:lang w:eastAsia="zh-CN"/>
              </w:rPr>
            </w:pPr>
            <w:r>
              <w:rPr>
                <w:rFonts w:hint="eastAsia" w:ascii="宋体" w:hAnsi="宋体" w:eastAsia="宋体" w:cs="宋体"/>
                <w:color w:val="auto"/>
                <w:highlight w:val="none"/>
                <w:lang w:eastAsia="zh-CN"/>
              </w:rPr>
              <w:t>业绩</w:t>
            </w:r>
            <w:r>
              <w:rPr>
                <w:rFonts w:hint="eastAsia"/>
                <w:color w:val="auto"/>
                <w:highlight w:val="none"/>
                <w:lang w:eastAsia="zh-CN"/>
              </w:rPr>
              <w:t>信誉分（满分</w:t>
            </w:r>
            <w:r>
              <w:rPr>
                <w:rFonts w:hint="eastAsia"/>
                <w:color w:val="auto"/>
                <w:highlight w:val="none"/>
                <w:lang w:val="en-US" w:eastAsia="zh-CN"/>
              </w:rPr>
              <w:t>13分</w:t>
            </w:r>
            <w:r>
              <w:rPr>
                <w:rFonts w:hint="eastAsia"/>
                <w:color w:val="auto"/>
                <w:highlight w:val="none"/>
                <w:lang w:eastAsia="zh-CN"/>
              </w:rPr>
              <w:t>）</w:t>
            </w:r>
          </w:p>
        </w:tc>
        <w:tc>
          <w:tcPr>
            <w:tcW w:w="5922" w:type="dxa"/>
            <w:noWrap w:val="0"/>
            <w:vAlign w:val="center"/>
          </w:tcPr>
          <w:p w14:paraId="6871E8B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供应商需具有有效期内</w:t>
            </w:r>
            <w:r>
              <w:rPr>
                <w:rFonts w:hint="eastAsia" w:ascii="宋体" w:hAnsi="宋体" w:cs="宋体"/>
                <w:color w:val="auto"/>
                <w:highlight w:val="none"/>
                <w:lang w:val="en-US" w:eastAsia="zh-CN"/>
              </w:rPr>
              <w:t>的</w:t>
            </w:r>
            <w:r>
              <w:rPr>
                <w:rFonts w:hint="eastAsia" w:ascii="宋体" w:hAnsi="宋体" w:eastAsia="宋体" w:cs="宋体"/>
                <w:color w:val="auto"/>
                <w:highlight w:val="none"/>
              </w:rPr>
              <w:t>质量管理体系认证</w:t>
            </w:r>
            <w:r>
              <w:rPr>
                <w:rFonts w:hint="eastAsia" w:ascii="宋体" w:hAnsi="宋体" w:eastAsia="宋体" w:cs="宋体"/>
                <w:color w:val="auto"/>
                <w:highlight w:val="none"/>
                <w:lang w:eastAsia="zh-CN"/>
              </w:rPr>
              <w:t>证书（</w:t>
            </w:r>
            <w:r>
              <w:rPr>
                <w:rFonts w:hint="eastAsia" w:ascii="宋体" w:hAnsi="宋体"/>
                <w:color w:val="auto"/>
                <w:szCs w:val="21"/>
                <w:highlight w:val="none"/>
              </w:rPr>
              <w:t>IS09001</w:t>
            </w:r>
            <w:r>
              <w:rPr>
                <w:rFonts w:hint="eastAsia" w:ascii="宋体" w:hAnsi="宋体" w:eastAsia="宋体" w:cs="宋体"/>
                <w:color w:val="auto"/>
                <w:highlight w:val="none"/>
                <w:lang w:eastAsia="zh-CN"/>
              </w:rPr>
              <w:t>）</w:t>
            </w:r>
            <w:r>
              <w:rPr>
                <w:rFonts w:hint="eastAsia" w:ascii="宋体" w:hAnsi="宋体" w:cs="宋体"/>
                <w:color w:val="auto"/>
                <w:highlight w:val="none"/>
                <w:lang w:eastAsia="zh-CN"/>
              </w:rPr>
              <w:t>、</w:t>
            </w:r>
            <w:r>
              <w:rPr>
                <w:rFonts w:hint="eastAsia" w:ascii="宋体" w:hAnsi="宋体" w:eastAsia="宋体" w:cs="宋体"/>
                <w:color w:val="auto"/>
                <w:highlight w:val="none"/>
                <w:lang w:eastAsia="zh-CN"/>
              </w:rPr>
              <w:t>提供</w:t>
            </w:r>
            <w:r>
              <w:rPr>
                <w:rFonts w:hint="eastAsia" w:ascii="宋体" w:hAnsi="宋体" w:eastAsia="宋体" w:cs="宋体"/>
                <w:color w:val="auto"/>
                <w:highlight w:val="none"/>
              </w:rPr>
              <w:t>得1分，满分</w:t>
            </w:r>
            <w:r>
              <w:rPr>
                <w:rFonts w:hint="eastAsia" w:ascii="宋体" w:hAnsi="宋体" w:cs="宋体"/>
                <w:color w:val="auto"/>
                <w:highlight w:val="none"/>
                <w:lang w:val="en-US" w:eastAsia="zh-CN"/>
              </w:rPr>
              <w:t>1</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响应文件中</w:t>
            </w:r>
            <w:r>
              <w:rPr>
                <w:rFonts w:hint="eastAsia" w:ascii="宋体" w:hAnsi="宋体" w:eastAsia="宋体" w:cs="宋体"/>
                <w:color w:val="auto"/>
                <w:highlight w:val="none"/>
              </w:rPr>
              <w:t>提供证书复印件或扫描件、全国认证认可信息公共服务平台查询结果截图，未提供的不得分）</w:t>
            </w:r>
          </w:p>
          <w:p w14:paraId="0FD04AF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default"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供应商提供202</w:t>
            </w:r>
            <w:r>
              <w:rPr>
                <w:rFonts w:hint="eastAsia" w:ascii="宋体" w:hAnsi="宋体" w:eastAsia="宋体" w:cs="宋体"/>
                <w:color w:val="auto"/>
                <w:highlight w:val="none"/>
                <w:lang w:eastAsia="zh-CN"/>
              </w:rPr>
              <w:t>3</w:t>
            </w:r>
            <w:r>
              <w:rPr>
                <w:rFonts w:hint="eastAsia" w:ascii="宋体" w:hAnsi="宋体" w:eastAsia="宋体" w:cs="宋体"/>
                <w:color w:val="auto"/>
                <w:highlight w:val="none"/>
              </w:rPr>
              <w:t>年1月1日以来中文纸质图书同类项目业绩【以中标（成交）通知书或合同复印件为准，并提供采购单位的联系电话、联系人】，每提供一份有效的业绩材料得</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分，满分</w:t>
            </w:r>
            <w:r>
              <w:rPr>
                <w:rFonts w:hint="eastAsia" w:ascii="宋体" w:hAnsi="宋体" w:cs="宋体"/>
                <w:color w:val="auto"/>
                <w:highlight w:val="none"/>
                <w:lang w:val="en-US" w:eastAsia="zh-CN"/>
              </w:rPr>
              <w:t>12</w:t>
            </w:r>
            <w:r>
              <w:rPr>
                <w:rFonts w:hint="eastAsia" w:ascii="宋体" w:hAnsi="宋体" w:eastAsia="宋体" w:cs="宋体"/>
                <w:color w:val="auto"/>
                <w:highlight w:val="none"/>
              </w:rPr>
              <w:t>分。</w:t>
            </w:r>
          </w:p>
        </w:tc>
        <w:tc>
          <w:tcPr>
            <w:tcW w:w="957" w:type="dxa"/>
            <w:vMerge w:val="continue"/>
            <w:noWrap w:val="0"/>
            <w:vAlign w:val="center"/>
          </w:tcPr>
          <w:p w14:paraId="47C15BE7">
            <w:pPr>
              <w:spacing w:line="360" w:lineRule="auto"/>
              <w:jc w:val="center"/>
              <w:rPr>
                <w:rFonts w:hint="eastAsia" w:ascii="宋体" w:hAnsi="宋体" w:eastAsia="宋体" w:cs="宋体"/>
                <w:bCs/>
                <w:color w:val="auto"/>
                <w:szCs w:val="21"/>
                <w:highlight w:val="none"/>
                <w:lang w:val="en-US" w:eastAsia="zh-CN"/>
              </w:rPr>
            </w:pPr>
          </w:p>
        </w:tc>
      </w:tr>
      <w:tr w14:paraId="1A5BBC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9" w:type="dxa"/>
            <w:gridSpan w:val="5"/>
            <w:noWrap w:val="0"/>
            <w:vAlign w:val="center"/>
          </w:tcPr>
          <w:p w14:paraId="776A830A">
            <w:pPr>
              <w:widowControl/>
              <w:numPr>
                <w:ilvl w:val="0"/>
                <w:numId w:val="0"/>
              </w:numPr>
              <w:spacing w:line="360" w:lineRule="auto"/>
              <w:jc w:val="left"/>
              <w:rPr>
                <w:rFonts w:hint="eastAsia" w:ascii="宋体" w:hAnsi="宋体" w:eastAsia="宋体" w:cs="宋体"/>
                <w:bCs/>
                <w:color w:val="auto"/>
                <w:szCs w:val="21"/>
                <w:highlight w:val="none"/>
                <w:lang w:eastAsia="zh-CN"/>
              </w:rPr>
            </w:pPr>
            <w:r>
              <w:rPr>
                <w:rFonts w:hint="eastAsia" w:ascii="宋体" w:hAnsi="宋体" w:cs="Courier New"/>
                <w:bCs/>
                <w:color w:val="auto"/>
                <w:highlight w:val="none"/>
              </w:rPr>
              <w:t>总得分＝1＋2＋3</w:t>
            </w:r>
          </w:p>
        </w:tc>
      </w:tr>
    </w:tbl>
    <w:p w14:paraId="4C233704">
      <w:pPr>
        <w:spacing w:line="360" w:lineRule="auto"/>
        <w:ind w:firstLine="562" w:firstLineChars="200"/>
        <w:jc w:val="center"/>
        <w:rPr>
          <w:rFonts w:hint="eastAsia" w:ascii="宋体" w:hAnsi="宋体" w:eastAsia="宋体" w:cs="宋体"/>
          <w:b/>
          <w:bCs w:val="0"/>
          <w:color w:val="auto"/>
          <w:sz w:val="28"/>
          <w:szCs w:val="28"/>
          <w:highlight w:val="none"/>
          <w:lang w:eastAsia="zh-CN"/>
        </w:rPr>
      </w:pPr>
    </w:p>
    <w:p w14:paraId="6AA8C726">
      <w:pPr>
        <w:spacing w:line="360" w:lineRule="auto"/>
        <w:ind w:firstLine="562" w:firstLineChars="200"/>
        <w:jc w:val="center"/>
        <w:rPr>
          <w:rFonts w:hint="eastAsia" w:ascii="宋体" w:hAnsi="宋体" w:eastAsia="宋体" w:cs="宋体"/>
          <w:b/>
          <w:bCs w:val="0"/>
          <w:color w:val="auto"/>
          <w:sz w:val="28"/>
          <w:szCs w:val="28"/>
          <w:highlight w:val="none"/>
          <w:lang w:eastAsia="zh-CN"/>
        </w:rPr>
      </w:pPr>
    </w:p>
    <w:p w14:paraId="47216BE3">
      <w:pPr>
        <w:spacing w:line="360" w:lineRule="auto"/>
        <w:ind w:firstLine="562" w:firstLineChars="200"/>
        <w:jc w:val="center"/>
        <w:rPr>
          <w:rFonts w:hint="eastAsia" w:ascii="宋体" w:hAnsi="宋体" w:eastAsia="宋体" w:cs="宋体"/>
          <w:bCs/>
          <w:color w:val="auto"/>
          <w:szCs w:val="21"/>
          <w:highlight w:val="none"/>
          <w:lang w:eastAsia="zh-CN"/>
        </w:rPr>
      </w:pPr>
      <w:r>
        <w:rPr>
          <w:rFonts w:hint="eastAsia" w:ascii="宋体" w:hAnsi="宋体" w:eastAsia="宋体" w:cs="宋体"/>
          <w:b/>
          <w:bCs w:val="0"/>
          <w:color w:val="auto"/>
          <w:sz w:val="28"/>
          <w:szCs w:val="28"/>
          <w:highlight w:val="none"/>
          <w:lang w:eastAsia="zh-CN"/>
        </w:rPr>
        <w:t>（适用</w:t>
      </w:r>
      <w:r>
        <w:rPr>
          <w:rFonts w:hint="eastAsia" w:ascii="宋体" w:hAnsi="宋体" w:eastAsia="宋体" w:cs="宋体"/>
          <w:b/>
          <w:bCs w:val="0"/>
          <w:color w:val="auto"/>
          <w:sz w:val="28"/>
          <w:szCs w:val="28"/>
          <w:highlight w:val="none"/>
          <w:lang w:val="en-US" w:eastAsia="zh-CN"/>
        </w:rPr>
        <w:t>B分标</w:t>
      </w:r>
      <w:r>
        <w:rPr>
          <w:rFonts w:hint="eastAsia" w:ascii="宋体" w:hAnsi="宋体" w:eastAsia="宋体" w:cs="宋体"/>
          <w:b/>
          <w:bCs w:val="0"/>
          <w:color w:val="auto"/>
          <w:sz w:val="28"/>
          <w:szCs w:val="28"/>
          <w:highlight w:val="none"/>
          <w:lang w:eastAsia="zh-CN"/>
        </w:rPr>
        <w:t>）</w:t>
      </w:r>
    </w:p>
    <w:tbl>
      <w:tblPr>
        <w:tblStyle w:val="28"/>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1086"/>
        <w:gridCol w:w="1051"/>
        <w:gridCol w:w="5922"/>
        <w:gridCol w:w="957"/>
      </w:tblGrid>
      <w:tr w14:paraId="4FCE2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3" w:type="dxa"/>
            <w:noWrap w:val="0"/>
            <w:vAlign w:val="center"/>
          </w:tcPr>
          <w:p w14:paraId="750FC055">
            <w:pPr>
              <w:spacing w:line="360" w:lineRule="auto"/>
              <w:jc w:val="center"/>
              <w:rPr>
                <w:rFonts w:hint="eastAsia"/>
                <w:bCs/>
                <w:color w:val="auto"/>
                <w:szCs w:val="21"/>
                <w:highlight w:val="none"/>
              </w:rPr>
            </w:pPr>
            <w:r>
              <w:rPr>
                <w:rFonts w:hint="eastAsia"/>
                <w:bCs/>
                <w:color w:val="auto"/>
                <w:szCs w:val="21"/>
                <w:highlight w:val="none"/>
              </w:rPr>
              <w:t>序号</w:t>
            </w:r>
          </w:p>
        </w:tc>
        <w:tc>
          <w:tcPr>
            <w:tcW w:w="1086" w:type="dxa"/>
            <w:noWrap w:val="0"/>
            <w:vAlign w:val="center"/>
          </w:tcPr>
          <w:p w14:paraId="222072F6">
            <w:pPr>
              <w:spacing w:line="360" w:lineRule="auto"/>
              <w:jc w:val="center"/>
              <w:rPr>
                <w:rFonts w:hint="eastAsia"/>
                <w:bCs/>
                <w:color w:val="auto"/>
                <w:szCs w:val="21"/>
                <w:highlight w:val="none"/>
              </w:rPr>
            </w:pPr>
            <w:r>
              <w:rPr>
                <w:rFonts w:hint="eastAsia"/>
                <w:bCs/>
                <w:color w:val="auto"/>
                <w:szCs w:val="21"/>
                <w:highlight w:val="none"/>
              </w:rPr>
              <w:t>评分类型</w:t>
            </w:r>
          </w:p>
        </w:tc>
        <w:tc>
          <w:tcPr>
            <w:tcW w:w="6973" w:type="dxa"/>
            <w:gridSpan w:val="2"/>
            <w:noWrap w:val="0"/>
            <w:vAlign w:val="center"/>
          </w:tcPr>
          <w:p w14:paraId="0186A38B">
            <w:pPr>
              <w:spacing w:line="360" w:lineRule="auto"/>
              <w:jc w:val="center"/>
              <w:rPr>
                <w:rFonts w:hint="eastAsia"/>
                <w:bCs/>
                <w:color w:val="auto"/>
                <w:szCs w:val="21"/>
                <w:highlight w:val="none"/>
              </w:rPr>
            </w:pPr>
            <w:r>
              <w:rPr>
                <w:rFonts w:hint="eastAsia"/>
                <w:bCs/>
                <w:color w:val="auto"/>
                <w:szCs w:val="21"/>
                <w:highlight w:val="none"/>
              </w:rPr>
              <w:t>评分标准</w:t>
            </w:r>
          </w:p>
        </w:tc>
        <w:tc>
          <w:tcPr>
            <w:tcW w:w="957" w:type="dxa"/>
            <w:noWrap w:val="0"/>
            <w:vAlign w:val="center"/>
          </w:tcPr>
          <w:p w14:paraId="5A8B40A8">
            <w:pPr>
              <w:spacing w:line="360" w:lineRule="auto"/>
              <w:jc w:val="center"/>
              <w:rPr>
                <w:rFonts w:hint="eastAsia"/>
                <w:bCs/>
                <w:color w:val="auto"/>
                <w:szCs w:val="21"/>
                <w:highlight w:val="none"/>
              </w:rPr>
            </w:pPr>
            <w:r>
              <w:rPr>
                <w:rFonts w:hint="eastAsia"/>
                <w:bCs/>
                <w:color w:val="auto"/>
                <w:szCs w:val="21"/>
                <w:highlight w:val="none"/>
              </w:rPr>
              <w:t>分值</w:t>
            </w:r>
          </w:p>
        </w:tc>
      </w:tr>
      <w:tr w14:paraId="16D355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3" w:type="dxa"/>
            <w:noWrap w:val="0"/>
            <w:vAlign w:val="center"/>
          </w:tcPr>
          <w:p w14:paraId="48361564">
            <w:pPr>
              <w:spacing w:line="360" w:lineRule="auto"/>
              <w:jc w:val="center"/>
              <w:rPr>
                <w:rFonts w:hint="eastAsia"/>
                <w:bCs/>
                <w:color w:val="auto"/>
                <w:szCs w:val="21"/>
                <w:highlight w:val="none"/>
              </w:rPr>
            </w:pPr>
            <w:r>
              <w:rPr>
                <w:rFonts w:hint="eastAsia" w:ascii="宋体" w:hAnsi="宋体" w:eastAsia="宋体" w:cs="宋体"/>
                <w:bCs/>
                <w:color w:val="auto"/>
                <w:szCs w:val="21"/>
                <w:highlight w:val="none"/>
              </w:rPr>
              <w:t>1</w:t>
            </w:r>
          </w:p>
        </w:tc>
        <w:tc>
          <w:tcPr>
            <w:tcW w:w="1086" w:type="dxa"/>
            <w:noWrap w:val="0"/>
            <w:vAlign w:val="center"/>
          </w:tcPr>
          <w:p w14:paraId="7196F17C">
            <w:pPr>
              <w:spacing w:line="360" w:lineRule="auto"/>
              <w:jc w:val="center"/>
              <w:rPr>
                <w:rFonts w:hint="eastAsia" w:eastAsia="宋体"/>
                <w:bCs/>
                <w:color w:val="auto"/>
                <w:szCs w:val="21"/>
                <w:highlight w:val="none"/>
                <w:lang w:eastAsia="zh-CN"/>
              </w:rPr>
            </w:pPr>
            <w:r>
              <w:rPr>
                <w:rFonts w:hint="eastAsia"/>
                <w:bCs/>
                <w:color w:val="auto"/>
                <w:szCs w:val="21"/>
                <w:highlight w:val="none"/>
              </w:rPr>
              <w:t>报价</w:t>
            </w:r>
            <w:r>
              <w:rPr>
                <w:rFonts w:hint="eastAsia" w:ascii="Times New Roman" w:hAnsi="Times New Roman" w:eastAsia="宋体" w:cs="Times New Roman"/>
                <w:b w:val="0"/>
                <w:bCs/>
                <w:i w:val="0"/>
                <w:iCs w:val="0"/>
                <w:color w:val="auto"/>
                <w:kern w:val="2"/>
                <w:szCs w:val="21"/>
                <w:highlight w:val="none"/>
                <w:lang w:eastAsia="zh-CN"/>
              </w:rPr>
              <w:t>分</w:t>
            </w:r>
          </w:p>
        </w:tc>
        <w:tc>
          <w:tcPr>
            <w:tcW w:w="6973" w:type="dxa"/>
            <w:gridSpan w:val="2"/>
            <w:noWrap w:val="0"/>
            <w:vAlign w:val="center"/>
          </w:tcPr>
          <w:p w14:paraId="0CD319ED">
            <w:pPr>
              <w:spacing w:line="360" w:lineRule="auto"/>
              <w:ind w:firstLine="420" w:firstLineChars="200"/>
              <w:jc w:val="left"/>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为供应商的最后报价进行政策性扣除后的价格，</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只是作为评审时使用。最终成交供应商的成交金额等于最后报价（如有修正，以确认修正后的最后报价为准）。</w:t>
            </w:r>
          </w:p>
          <w:p w14:paraId="3043E5A4">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1.2</w:t>
            </w:r>
            <w:r>
              <w:rPr>
                <w:rFonts w:hint="eastAsia" w:ascii="宋体" w:hAnsi="宋体" w:eastAsia="宋体" w:cs="宋体"/>
                <w:bCs w:val="0"/>
                <w:color w:val="auto"/>
                <w:szCs w:val="24"/>
                <w:highlight w:val="none"/>
              </w:rPr>
              <w:t>政策性扣除计算方法。</w:t>
            </w:r>
          </w:p>
          <w:p w14:paraId="797E562F">
            <w:pPr>
              <w:spacing w:line="360" w:lineRule="auto"/>
              <w:ind w:firstLine="420" w:firstLineChars="200"/>
              <w:jc w:val="left"/>
              <w:rPr>
                <w:rFonts w:hint="eastAsia" w:ascii="宋体" w:hAnsi="宋体" w:eastAsia="宋体" w:cs="宋体"/>
                <w:bCs w:val="0"/>
                <w:color w:val="auto"/>
                <w:szCs w:val="24"/>
                <w:highlight w:val="none"/>
                <w:lang w:eastAsia="zh-CN"/>
              </w:rPr>
            </w:pPr>
            <w:r>
              <w:rPr>
                <w:rFonts w:hint="eastAsia" w:ascii="宋体" w:hAnsi="宋体" w:eastAsia="宋体" w:cs="宋体"/>
                <w:bCs/>
                <w:color w:val="auto"/>
                <w:szCs w:val="21"/>
                <w:highlight w:val="none"/>
                <w:lang w:eastAsia="zh-CN"/>
              </w:rPr>
              <w:t>供应商</w:t>
            </w:r>
            <w:r>
              <w:rPr>
                <w:rFonts w:hint="eastAsia" w:ascii="宋体" w:hAnsi="宋体" w:eastAsia="宋体" w:cs="宋体"/>
                <w:color w:val="auto"/>
                <w:szCs w:val="21"/>
                <w:highlight w:val="none"/>
              </w:rPr>
              <w:t>被评定为</w:t>
            </w:r>
            <w:r>
              <w:rPr>
                <w:rFonts w:hint="eastAsia" w:ascii="宋体" w:hAnsi="宋体" w:eastAsia="宋体" w:cs="宋体"/>
                <w:bCs/>
                <w:color w:val="auto"/>
                <w:szCs w:val="21"/>
                <w:highlight w:val="none"/>
              </w:rPr>
              <w:t>监狱企业或者残疾人福利性单位或者</w:t>
            </w:r>
            <w:r>
              <w:rPr>
                <w:rFonts w:hint="eastAsia" w:ascii="宋体" w:hAnsi="宋体" w:eastAsia="宋体" w:cs="宋体"/>
                <w:bCs/>
                <w:color w:val="auto"/>
                <w:szCs w:val="21"/>
                <w:highlight w:val="none"/>
                <w:lang w:eastAsia="zh-CN"/>
              </w:rPr>
              <w:t>其</w:t>
            </w:r>
            <w:r>
              <w:rPr>
                <w:rFonts w:hint="eastAsia" w:ascii="宋体" w:hAnsi="宋体" w:eastAsia="宋体" w:cs="宋体"/>
                <w:color w:val="auto"/>
                <w:sz w:val="21"/>
                <w:szCs w:val="21"/>
                <w:highlight w:val="none"/>
                <w:lang w:val="en-US" w:eastAsia="zh-CN"/>
              </w:rPr>
              <w:t>服务全部由符合政策要求的小型、微型企业承接的</w:t>
            </w:r>
            <w:r>
              <w:rPr>
                <w:rFonts w:hint="eastAsia" w:ascii="宋体" w:hAnsi="宋体" w:eastAsia="宋体" w:cs="宋体"/>
                <w:color w:val="auto"/>
                <w:szCs w:val="21"/>
                <w:highlight w:val="none"/>
              </w:rPr>
              <w:t>，</w:t>
            </w:r>
            <w:r>
              <w:rPr>
                <w:rFonts w:hint="eastAsia" w:ascii="宋体" w:hAnsi="宋体" w:eastAsia="宋体" w:cs="宋体"/>
                <w:bCs w:val="0"/>
                <w:color w:val="auto"/>
                <w:szCs w:val="24"/>
                <w:highlight w:val="none"/>
              </w:rPr>
              <w:t>该</w:t>
            </w:r>
            <w:r>
              <w:rPr>
                <w:rFonts w:hint="eastAsia" w:ascii="宋体" w:hAnsi="宋体" w:eastAsia="宋体" w:cs="宋体"/>
                <w:bCs w:val="0"/>
                <w:color w:val="auto"/>
                <w:szCs w:val="24"/>
                <w:highlight w:val="none"/>
                <w:lang w:eastAsia="zh-CN"/>
              </w:rPr>
              <w:t>供应商</w:t>
            </w:r>
            <w:r>
              <w:rPr>
                <w:rFonts w:hint="eastAsia" w:ascii="宋体" w:hAnsi="宋体" w:eastAsia="宋体" w:cs="宋体"/>
                <w:bCs w:val="0"/>
                <w:color w:val="auto"/>
                <w:szCs w:val="24"/>
                <w:highlight w:val="none"/>
              </w:rPr>
              <w:t>的</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给予</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Cs w:val="0"/>
                <w:color w:val="auto"/>
                <w:szCs w:val="24"/>
                <w:highlight w:val="none"/>
              </w:rPr>
              <w:t>的扣除，扣除后的价格为</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 w:val="0"/>
                <w:bCs w:val="0"/>
                <w:color w:val="auto"/>
                <w:szCs w:val="24"/>
                <w:highlight w:val="none"/>
                <w:u w:val="none"/>
                <w:lang w:val="en-US" w:eastAsia="zh-CN"/>
              </w:rPr>
              <w:t>）</w:t>
            </w:r>
            <w:r>
              <w:rPr>
                <w:rFonts w:hint="eastAsia" w:ascii="宋体" w:hAnsi="宋体" w:eastAsia="宋体" w:cs="宋体"/>
                <w:bCs w:val="0"/>
                <w:color w:val="auto"/>
                <w:szCs w:val="24"/>
                <w:highlight w:val="none"/>
              </w:rPr>
              <w:t>；</w:t>
            </w:r>
            <w:r>
              <w:rPr>
                <w:rFonts w:hint="eastAsia" w:ascii="宋体" w:hAnsi="宋体" w:eastAsia="宋体" w:cs="宋体"/>
                <w:bCs w:val="0"/>
                <w:color w:val="auto"/>
                <w:sz w:val="21"/>
                <w:szCs w:val="24"/>
                <w:highlight w:val="none"/>
              </w:rPr>
              <w:t>接受大中型企业与小微企业组成联合体或者允许大中型企业向一家或者多家小微企业分包的采购项目，对</w:t>
            </w:r>
            <w:r>
              <w:rPr>
                <w:rFonts w:hint="eastAsia" w:ascii="宋体" w:hAnsi="宋体" w:eastAsia="宋体" w:cs="宋体"/>
                <w:bCs w:val="0"/>
                <w:color w:val="auto"/>
                <w:sz w:val="21"/>
                <w:szCs w:val="24"/>
                <w:highlight w:val="none"/>
                <w:lang w:eastAsia="zh-CN"/>
              </w:rPr>
              <w:t>于</w:t>
            </w:r>
            <w:r>
              <w:rPr>
                <w:rFonts w:hint="eastAsia" w:ascii="宋体" w:hAnsi="宋体" w:eastAsia="宋体" w:cs="宋体"/>
                <w:bCs w:val="0"/>
                <w:color w:val="auto"/>
                <w:sz w:val="21"/>
                <w:szCs w:val="24"/>
                <w:highlight w:val="none"/>
              </w:rPr>
              <w:t>联合协议或者分包意向协议约定小微企业的合同份额占到合同总金额 30%以上的，对联合体或者大中型企业的</w:t>
            </w:r>
            <w:r>
              <w:rPr>
                <w:rFonts w:hint="eastAsia" w:ascii="宋体" w:hAnsi="宋体" w:eastAsia="宋体" w:cs="宋体"/>
                <w:bCs w:val="0"/>
                <w:color w:val="auto"/>
                <w:sz w:val="21"/>
                <w:szCs w:val="24"/>
                <w:highlight w:val="none"/>
                <w:lang w:eastAsia="zh-CN"/>
              </w:rPr>
              <w:t>最后</w:t>
            </w:r>
            <w:r>
              <w:rPr>
                <w:rFonts w:hint="eastAsia" w:ascii="宋体" w:hAnsi="宋体" w:eastAsia="宋体" w:cs="宋体"/>
                <w:bCs w:val="0"/>
                <w:color w:val="auto"/>
                <w:sz w:val="21"/>
                <w:szCs w:val="24"/>
                <w:highlight w:val="none"/>
              </w:rPr>
              <w:t>报价给予</w:t>
            </w:r>
            <w:r>
              <w:rPr>
                <w:rFonts w:hint="eastAsia" w:ascii="宋体" w:hAnsi="宋体" w:eastAsia="宋体" w:cs="宋体"/>
                <w:b/>
                <w:bCs/>
                <w:color w:val="auto"/>
                <w:sz w:val="21"/>
                <w:szCs w:val="24"/>
                <w:highlight w:val="none"/>
              </w:rPr>
              <w:t xml:space="preserve"> </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 w:val="21"/>
                <w:szCs w:val="24"/>
                <w:highlight w:val="none"/>
              </w:rPr>
              <w:t>的扣除，用扣除后的价格参加评审</w:t>
            </w:r>
            <w:r>
              <w:rPr>
                <w:rFonts w:hint="eastAsia" w:ascii="宋体" w:hAnsi="宋体" w:eastAsia="宋体" w:cs="宋体"/>
                <w:bCs w:val="0"/>
                <w:color w:val="auto"/>
                <w:szCs w:val="24"/>
                <w:highlight w:val="none"/>
              </w:rPr>
              <w:t>，扣除后的价格为</w:t>
            </w:r>
            <w:r>
              <w:rPr>
                <w:rFonts w:hint="eastAsia" w:ascii="宋体" w:hAnsi="宋体" w:eastAsia="宋体" w:cs="宋体"/>
                <w:bCs w:val="0"/>
                <w:color w:val="auto"/>
                <w:szCs w:val="24"/>
                <w:highlight w:val="none"/>
                <w:lang w:eastAsia="zh-CN"/>
              </w:rPr>
              <w:t>评审</w:t>
            </w:r>
            <w:r>
              <w:rPr>
                <w:rFonts w:hint="eastAsia" w:ascii="宋体" w:hAnsi="宋体" w:eastAsia="宋体" w:cs="宋体"/>
                <w:bCs w:val="0"/>
                <w:color w:val="auto"/>
                <w:szCs w:val="24"/>
                <w:highlight w:val="none"/>
              </w:rPr>
              <w:t>价，即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Cs w:val="0"/>
                <w:color w:val="auto"/>
                <w:szCs w:val="24"/>
                <w:highlight w:val="none"/>
                <w:lang w:eastAsia="zh-CN"/>
              </w:rPr>
              <w:t>－</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w:t>
            </w:r>
          </w:p>
          <w:p w14:paraId="0ACEBE56">
            <w:pPr>
              <w:snapToGrid/>
              <w:spacing w:line="360" w:lineRule="auto"/>
              <w:ind w:firstLine="420" w:firstLineChars="200"/>
              <w:jc w:val="left"/>
              <w:rPr>
                <w:rFonts w:hint="eastAsia" w:ascii="宋体" w:hAnsi="宋体" w:eastAsia="宋体" w:cs="宋体"/>
                <w:color w:val="auto"/>
                <w:szCs w:val="24"/>
                <w:highlight w:val="none"/>
              </w:rPr>
            </w:pPr>
            <w:r>
              <w:rPr>
                <w:rFonts w:hint="eastAsia" w:ascii="宋体" w:hAnsi="宋体" w:eastAsia="宋体" w:cs="宋体"/>
                <w:color w:val="auto"/>
                <w:szCs w:val="24"/>
                <w:highlight w:val="none"/>
              </w:rPr>
              <w:t>除上述情况外，</w:t>
            </w:r>
            <w:r>
              <w:rPr>
                <w:rFonts w:hint="eastAsia" w:ascii="宋体" w:hAnsi="宋体" w:eastAsia="宋体" w:cs="宋体"/>
                <w:color w:val="auto"/>
                <w:szCs w:val="24"/>
                <w:highlight w:val="none"/>
                <w:lang w:eastAsia="zh-CN"/>
              </w:rPr>
              <w:t>评审价</w:t>
            </w:r>
            <w:r>
              <w:rPr>
                <w:rFonts w:hint="eastAsia" w:ascii="宋体" w:hAnsi="宋体" w:eastAsia="宋体" w:cs="宋体"/>
                <w:color w:val="auto"/>
                <w:szCs w:val="24"/>
                <w:highlight w:val="none"/>
              </w:rPr>
              <w:t>=</w:t>
            </w:r>
            <w:r>
              <w:rPr>
                <w:rFonts w:hint="eastAsia" w:ascii="宋体" w:hAnsi="宋体" w:eastAsia="宋体" w:cs="宋体"/>
                <w:color w:val="auto"/>
                <w:szCs w:val="24"/>
                <w:highlight w:val="none"/>
                <w:lang w:eastAsia="zh-CN"/>
              </w:rPr>
              <w:t>最后报价</w:t>
            </w:r>
            <w:r>
              <w:rPr>
                <w:rFonts w:hint="eastAsia" w:ascii="宋体" w:hAnsi="宋体" w:eastAsia="宋体" w:cs="宋体"/>
                <w:color w:val="auto"/>
                <w:szCs w:val="24"/>
                <w:highlight w:val="none"/>
              </w:rPr>
              <w:t>。</w:t>
            </w:r>
          </w:p>
          <w:p w14:paraId="73A9AE6E">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1.3 </w:t>
            </w:r>
            <w:r>
              <w:rPr>
                <w:rFonts w:hint="eastAsia" w:ascii="宋体" w:hAnsi="宋体" w:eastAsia="宋体" w:cs="宋体"/>
                <w:bCs w:val="0"/>
                <w:color w:val="auto"/>
                <w:szCs w:val="24"/>
                <w:highlight w:val="none"/>
              </w:rPr>
              <w:t>满足</w:t>
            </w:r>
            <w:r>
              <w:rPr>
                <w:rFonts w:hint="eastAsia" w:ascii="宋体" w:hAnsi="宋体" w:eastAsia="宋体" w:cs="宋体"/>
                <w:bCs w:val="0"/>
                <w:color w:val="auto"/>
                <w:szCs w:val="24"/>
                <w:highlight w:val="none"/>
                <w:lang w:eastAsia="zh-CN"/>
              </w:rPr>
              <w:t>磋商文件</w:t>
            </w:r>
            <w:r>
              <w:rPr>
                <w:rFonts w:hint="eastAsia" w:ascii="宋体" w:hAnsi="宋体" w:eastAsia="宋体" w:cs="宋体"/>
                <w:bCs w:val="0"/>
                <w:color w:val="auto"/>
                <w:szCs w:val="24"/>
                <w:highlight w:val="none"/>
              </w:rPr>
              <w:t>要求且</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最低的</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为</w:t>
            </w:r>
            <w:r>
              <w:rPr>
                <w:rFonts w:hint="eastAsia" w:ascii="宋体" w:hAnsi="宋体" w:eastAsia="宋体" w:cs="宋体"/>
                <w:bCs w:val="0"/>
                <w:color w:val="auto"/>
                <w:szCs w:val="24"/>
                <w:highlight w:val="none"/>
                <w:lang w:eastAsia="zh-CN"/>
              </w:rPr>
              <w:t>评审基准价</w:t>
            </w:r>
            <w:r>
              <w:rPr>
                <w:rFonts w:hint="eastAsia" w:ascii="宋体" w:hAnsi="宋体" w:eastAsia="宋体" w:cs="宋体"/>
                <w:bCs w:val="0"/>
                <w:color w:val="auto"/>
                <w:szCs w:val="24"/>
                <w:highlight w:val="none"/>
              </w:rPr>
              <w:t>，基准价得分为</w:t>
            </w:r>
            <w:r>
              <w:rPr>
                <w:rFonts w:hint="eastAsia" w:ascii="宋体" w:hAnsi="宋体" w:eastAsia="宋体" w:cs="宋体"/>
                <w:bCs w:val="0"/>
                <w:color w:val="auto"/>
                <w:szCs w:val="24"/>
                <w:highlight w:val="none"/>
                <w:u w:val="none"/>
                <w:lang w:val="en-US" w:eastAsia="zh-CN"/>
              </w:rPr>
              <w:t>20</w:t>
            </w:r>
            <w:r>
              <w:rPr>
                <w:rFonts w:hint="eastAsia" w:ascii="宋体" w:hAnsi="宋体" w:eastAsia="宋体" w:cs="宋体"/>
                <w:bCs w:val="0"/>
                <w:color w:val="auto"/>
                <w:szCs w:val="24"/>
                <w:highlight w:val="none"/>
              </w:rPr>
              <w:t>分。</w:t>
            </w:r>
          </w:p>
          <w:p w14:paraId="77028DD2">
            <w:pPr>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1.4 </w:t>
            </w:r>
            <w:r>
              <w:rPr>
                <w:rFonts w:hint="eastAsia" w:ascii="宋体" w:hAnsi="宋体" w:eastAsia="宋体" w:cs="宋体"/>
                <w:bCs w:val="0"/>
                <w:color w:val="auto"/>
                <w:szCs w:val="24"/>
                <w:highlight w:val="none"/>
              </w:rPr>
              <w:t>价格分计算公式：</w:t>
            </w:r>
          </w:p>
          <w:p w14:paraId="5136E5E3">
            <w:pPr>
              <w:spacing w:line="360" w:lineRule="auto"/>
              <w:ind w:firstLine="420" w:firstLineChars="200"/>
              <w:jc w:val="center"/>
              <w:rPr>
                <w:rFonts w:hint="eastAsia"/>
                <w:color w:val="auto"/>
                <w:highlight w:val="none"/>
              </w:rPr>
            </w:pPr>
            <w:r>
              <w:rPr>
                <w:rFonts w:hint="eastAsia" w:ascii="宋体" w:hAnsi="宋体" w:eastAsia="宋体" w:cs="宋体"/>
                <w:bCs/>
                <w:color w:val="auto"/>
                <w:sz w:val="21"/>
                <w:highlight w:val="none"/>
                <w:lang w:val="en-US" w:eastAsia="zh-CN"/>
              </w:rPr>
              <w:t>价格分</w:t>
            </w:r>
            <w:r>
              <w:rPr>
                <w:rFonts w:hint="eastAsia" w:ascii="宋体" w:hAnsi="宋体" w:eastAsia="宋体" w:cs="宋体"/>
                <w:bCs/>
                <w:color w:val="auto"/>
                <w:kern w:val="2"/>
                <w:sz w:val="21"/>
                <w:highlight w:val="none"/>
                <w:lang w:val="en-US" w:eastAsia="zh-CN"/>
              </w:rPr>
              <w:t>=(评审基准价／评审价)×</w:t>
            </w:r>
            <w:r>
              <w:rPr>
                <w:rFonts w:hint="eastAsia" w:ascii="宋体" w:hAnsi="宋体" w:eastAsia="宋体" w:cs="宋体"/>
                <w:bCs/>
                <w:color w:val="auto"/>
                <w:sz w:val="21"/>
                <w:highlight w:val="none"/>
                <w:u w:val="single"/>
                <w:lang w:val="en-US" w:eastAsia="zh-CN"/>
              </w:rPr>
              <w:t xml:space="preserve"> 20  </w:t>
            </w:r>
            <w:r>
              <w:rPr>
                <w:rFonts w:hint="eastAsia" w:ascii="宋体" w:hAnsi="宋体" w:eastAsia="宋体" w:cs="宋体"/>
                <w:bCs/>
                <w:color w:val="auto"/>
                <w:kern w:val="2"/>
                <w:sz w:val="21"/>
                <w:highlight w:val="none"/>
                <w:lang w:val="en-US" w:eastAsia="zh-CN"/>
              </w:rPr>
              <w:t>分</w:t>
            </w:r>
          </w:p>
        </w:tc>
        <w:tc>
          <w:tcPr>
            <w:tcW w:w="957" w:type="dxa"/>
            <w:noWrap w:val="0"/>
            <w:vAlign w:val="center"/>
          </w:tcPr>
          <w:p w14:paraId="22C11CFB">
            <w:pPr>
              <w:spacing w:line="360" w:lineRule="auto"/>
              <w:jc w:val="center"/>
              <w:rPr>
                <w:rFonts w:hint="eastAsia"/>
                <w:bCs/>
                <w:color w:val="auto"/>
                <w:szCs w:val="21"/>
                <w:highlight w:val="none"/>
              </w:rPr>
            </w:pPr>
            <w:r>
              <w:rPr>
                <w:rFonts w:hint="eastAsia" w:ascii="宋体" w:hAnsi="宋体" w:cs="Tahoma"/>
                <w:color w:val="auto"/>
                <w:kern w:val="0"/>
                <w:szCs w:val="21"/>
                <w:highlight w:val="none"/>
                <w:lang w:val="en-US" w:eastAsia="zh-CN"/>
              </w:rPr>
              <w:t>20</w:t>
            </w:r>
            <w:r>
              <w:rPr>
                <w:rFonts w:hint="eastAsia" w:ascii="宋体" w:hAnsi="宋体" w:cs="Tahoma"/>
                <w:color w:val="auto"/>
                <w:kern w:val="0"/>
                <w:szCs w:val="21"/>
                <w:highlight w:val="none"/>
              </w:rPr>
              <w:t>分</w:t>
            </w:r>
          </w:p>
        </w:tc>
      </w:tr>
      <w:tr w14:paraId="62430B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restart"/>
            <w:noWrap w:val="0"/>
            <w:vAlign w:val="center"/>
          </w:tcPr>
          <w:p w14:paraId="131A0585">
            <w:pPr>
              <w:spacing w:line="360" w:lineRule="auto"/>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2</w:t>
            </w:r>
          </w:p>
        </w:tc>
        <w:tc>
          <w:tcPr>
            <w:tcW w:w="1086" w:type="dxa"/>
            <w:vMerge w:val="restart"/>
            <w:noWrap w:val="0"/>
            <w:vAlign w:val="center"/>
          </w:tcPr>
          <w:p w14:paraId="25F2DB56">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技术</w:t>
            </w:r>
            <w:r>
              <w:rPr>
                <w:rFonts w:hint="eastAsia" w:ascii="宋体" w:hAnsi="宋体" w:eastAsia="宋体" w:cs="宋体"/>
                <w:bCs/>
                <w:color w:val="auto"/>
                <w:szCs w:val="21"/>
                <w:highlight w:val="none"/>
                <w:lang w:eastAsia="zh-CN"/>
              </w:rPr>
              <w:t>分</w:t>
            </w:r>
          </w:p>
        </w:tc>
        <w:tc>
          <w:tcPr>
            <w:tcW w:w="1051" w:type="dxa"/>
            <w:noWrap w:val="0"/>
            <w:vAlign w:val="center"/>
          </w:tcPr>
          <w:p w14:paraId="37912F37">
            <w:pPr>
              <w:spacing w:line="360" w:lineRule="auto"/>
              <w:ind w:firstLine="0" w:firstLineChars="0"/>
              <w:jc w:val="left"/>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2.1</w:t>
            </w:r>
            <w:r>
              <w:rPr>
                <w:rFonts w:hint="eastAsia" w:ascii="宋体" w:hAnsi="宋体" w:eastAsia="宋体" w:cs="宋体"/>
                <w:b w:val="0"/>
                <w:bCs w:val="0"/>
                <w:color w:val="auto"/>
                <w:sz w:val="21"/>
                <w:szCs w:val="21"/>
                <w:highlight w:val="none"/>
              </w:rPr>
              <w:t>项目实施方案</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（满分</w:t>
            </w:r>
            <w:r>
              <w:rPr>
                <w:rFonts w:hint="eastAsia" w:ascii="宋体" w:hAnsi="宋体" w:cs="宋体"/>
                <w:color w:val="auto"/>
                <w:highlight w:val="none"/>
                <w:lang w:val="en-US" w:eastAsia="zh-CN"/>
              </w:rPr>
              <w:t>15</w:t>
            </w:r>
            <w:r>
              <w:rPr>
                <w:rFonts w:hint="eastAsia" w:ascii="宋体" w:hAnsi="宋体" w:eastAsia="宋体" w:cs="宋体"/>
                <w:color w:val="auto"/>
                <w:highlight w:val="none"/>
                <w:lang w:val="en-US" w:eastAsia="zh-CN"/>
              </w:rPr>
              <w:t>分</w:t>
            </w:r>
            <w:r>
              <w:rPr>
                <w:rFonts w:hint="eastAsia" w:ascii="宋体" w:hAnsi="宋体" w:eastAsia="宋体" w:cs="宋体"/>
                <w:color w:val="auto"/>
                <w:highlight w:val="none"/>
                <w:lang w:eastAsia="zh-CN"/>
              </w:rPr>
              <w:t>）</w:t>
            </w:r>
          </w:p>
        </w:tc>
        <w:tc>
          <w:tcPr>
            <w:tcW w:w="5922" w:type="dxa"/>
            <w:noWrap w:val="0"/>
            <w:vAlign w:val="center"/>
          </w:tcPr>
          <w:p w14:paraId="7504BCE1">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评标</w:t>
            </w:r>
            <w:r>
              <w:rPr>
                <w:rFonts w:hint="eastAsia" w:ascii="宋体" w:hAnsi="宋体" w:eastAsia="宋体" w:cs="宋体"/>
                <w:b w:val="0"/>
                <w:bCs w:val="0"/>
                <w:color w:val="auto"/>
                <w:sz w:val="21"/>
                <w:szCs w:val="21"/>
                <w:highlight w:val="none"/>
                <w:lang w:eastAsia="zh-CN"/>
              </w:rPr>
              <w:t>小组</w:t>
            </w:r>
            <w:r>
              <w:rPr>
                <w:rFonts w:hint="eastAsia" w:ascii="宋体" w:hAnsi="宋体" w:eastAsia="宋体" w:cs="宋体"/>
                <w:b w:val="0"/>
                <w:bCs w:val="0"/>
                <w:color w:val="auto"/>
                <w:sz w:val="21"/>
                <w:szCs w:val="21"/>
                <w:highlight w:val="none"/>
              </w:rPr>
              <w:t>根据</w:t>
            </w:r>
            <w:r>
              <w:rPr>
                <w:rFonts w:hint="eastAsia" w:ascii="宋体" w:hAnsi="宋体" w:eastAsia="宋体" w:cs="宋体"/>
                <w:b w:val="0"/>
                <w:bCs w:val="0"/>
                <w:color w:val="auto"/>
                <w:sz w:val="21"/>
                <w:szCs w:val="21"/>
                <w:highlight w:val="none"/>
                <w:lang w:eastAsia="zh-CN"/>
              </w:rPr>
              <w:t>供应商</w:t>
            </w:r>
            <w:r>
              <w:rPr>
                <w:rFonts w:hint="eastAsia" w:ascii="宋体" w:hAnsi="宋体" w:eastAsia="宋体" w:cs="宋体"/>
                <w:b w:val="0"/>
                <w:bCs w:val="0"/>
                <w:color w:val="auto"/>
                <w:sz w:val="21"/>
                <w:szCs w:val="21"/>
                <w:highlight w:val="none"/>
              </w:rPr>
              <w:t>提供的项目实施方案</w:t>
            </w:r>
            <w:r>
              <w:rPr>
                <w:rFonts w:hint="eastAsia" w:ascii="宋体" w:hAnsi="宋体" w:eastAsia="宋体" w:cs="宋体"/>
                <w:b w:val="0"/>
                <w:bCs w:val="0"/>
                <w:color w:val="auto"/>
                <w:sz w:val="21"/>
                <w:szCs w:val="21"/>
                <w:highlight w:val="none"/>
                <w:lang w:val="en-US" w:eastAsia="zh-CN"/>
              </w:rPr>
              <w:t>进行评审，</w:t>
            </w:r>
            <w:r>
              <w:rPr>
                <w:rFonts w:hint="eastAsia" w:ascii="宋体" w:hAnsi="宋体" w:eastAsia="宋体" w:cs="宋体"/>
                <w:b w:val="0"/>
                <w:bCs w:val="0"/>
                <w:color w:val="auto"/>
                <w:spacing w:val="7"/>
                <w:sz w:val="21"/>
                <w:szCs w:val="21"/>
                <w:highlight w:val="none"/>
                <w:lang w:val="en-US" w:eastAsia="zh-CN"/>
              </w:rPr>
              <w:t>评审内容：</w:t>
            </w:r>
            <w:r>
              <w:rPr>
                <w:rFonts w:hint="eastAsia" w:ascii="宋体" w:hAnsi="宋体" w:eastAsia="宋体" w:cs="宋体"/>
                <w:b w:val="0"/>
                <w:bCs w:val="0"/>
                <w:color w:val="auto"/>
                <w:sz w:val="21"/>
                <w:szCs w:val="21"/>
                <w:highlight w:val="none"/>
              </w:rPr>
              <w:t>①</w:t>
            </w:r>
            <w:r>
              <w:rPr>
                <w:rFonts w:hint="eastAsia" w:ascii="宋体" w:hAnsi="宋体" w:eastAsia="宋体" w:cs="宋体"/>
                <w:b w:val="0"/>
                <w:bCs w:val="0"/>
                <w:color w:val="auto"/>
                <w:sz w:val="21"/>
                <w:szCs w:val="21"/>
                <w:highlight w:val="none"/>
                <w:lang w:val="en-US" w:eastAsia="zh-CN"/>
              </w:rPr>
              <w:t>供货进度计划</w:t>
            </w:r>
            <w:r>
              <w:rPr>
                <w:rFonts w:hint="eastAsia" w:ascii="宋体" w:hAnsi="宋体" w:eastAsia="宋体" w:cs="宋体"/>
                <w:b w:val="0"/>
                <w:bCs w:val="0"/>
                <w:color w:val="auto"/>
                <w:sz w:val="21"/>
                <w:szCs w:val="21"/>
                <w:highlight w:val="none"/>
              </w:rPr>
              <w:t>；②</w:t>
            </w:r>
            <w:r>
              <w:rPr>
                <w:rFonts w:hint="eastAsia" w:ascii="宋体" w:hAnsi="宋体" w:eastAsia="宋体" w:cs="宋体"/>
                <w:b w:val="0"/>
                <w:bCs w:val="0"/>
                <w:color w:val="auto"/>
                <w:sz w:val="21"/>
                <w:szCs w:val="21"/>
                <w:highlight w:val="none"/>
                <w:lang w:val="en-US" w:eastAsia="zh-CN"/>
              </w:rPr>
              <w:t>人员配备</w:t>
            </w:r>
            <w:r>
              <w:rPr>
                <w:rFonts w:hint="eastAsia" w:ascii="宋体" w:hAnsi="宋体" w:eastAsia="宋体" w:cs="宋体"/>
                <w:b w:val="0"/>
                <w:bCs w:val="0"/>
                <w:color w:val="auto"/>
                <w:sz w:val="21"/>
                <w:szCs w:val="21"/>
                <w:highlight w:val="none"/>
              </w:rPr>
              <w:t>；③</w:t>
            </w:r>
            <w:r>
              <w:rPr>
                <w:rFonts w:hint="eastAsia" w:ascii="宋体" w:hAnsi="宋体" w:eastAsia="宋体" w:cs="宋体"/>
                <w:b w:val="0"/>
                <w:bCs w:val="0"/>
                <w:color w:val="auto"/>
                <w:sz w:val="21"/>
                <w:szCs w:val="21"/>
                <w:highlight w:val="none"/>
                <w:lang w:val="en-US" w:eastAsia="zh-CN"/>
              </w:rPr>
              <w:t>订单处理流程</w:t>
            </w:r>
            <w:r>
              <w:rPr>
                <w:rFonts w:hint="eastAsia" w:ascii="宋体" w:hAnsi="宋体" w:eastAsia="宋体" w:cs="宋体"/>
                <w:b w:val="0"/>
                <w:bCs w:val="0"/>
                <w:color w:val="auto"/>
                <w:sz w:val="21"/>
                <w:szCs w:val="21"/>
                <w:highlight w:val="none"/>
              </w:rPr>
              <w:t>；④</w:t>
            </w:r>
            <w:r>
              <w:rPr>
                <w:rFonts w:hint="eastAsia" w:ascii="宋体" w:hAnsi="宋体" w:eastAsia="宋体" w:cs="宋体"/>
                <w:b w:val="0"/>
                <w:bCs w:val="0"/>
                <w:color w:val="auto"/>
                <w:sz w:val="21"/>
                <w:szCs w:val="21"/>
                <w:highlight w:val="none"/>
                <w:lang w:val="en-US" w:eastAsia="zh-CN"/>
              </w:rPr>
              <w:t>图书的包装及配送方案</w:t>
            </w:r>
            <w:r>
              <w:rPr>
                <w:rFonts w:hint="eastAsia" w:ascii="宋体" w:hAnsi="宋体" w:eastAsia="宋体" w:cs="宋体"/>
                <w:b w:val="0"/>
                <w:bCs w:val="0"/>
                <w:color w:val="auto"/>
                <w:sz w:val="21"/>
                <w:szCs w:val="21"/>
                <w:highlight w:val="none"/>
              </w:rPr>
              <w:t>；⑤项目实施过程中的沟通渠道便捷顺畅</w:t>
            </w:r>
            <w:r>
              <w:rPr>
                <w:rFonts w:hint="eastAsia" w:ascii="宋体" w:hAnsi="宋体" w:eastAsia="宋体" w:cs="宋体"/>
                <w:b w:val="0"/>
                <w:bCs w:val="0"/>
                <w:color w:val="auto"/>
                <w:sz w:val="21"/>
                <w:szCs w:val="21"/>
                <w:highlight w:val="none"/>
                <w:lang w:eastAsia="zh-CN"/>
              </w:rPr>
              <w:t>。</w:t>
            </w:r>
          </w:p>
          <w:p w14:paraId="7E394EAA">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一</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分）：有总体进度表；配备项目负责人及基础服务人员；有基础订单接收、确认、反馈流程；采用标准包装，明确配送方式；提供1种沟通方式（电话/邮箱）</w:t>
            </w:r>
            <w:r>
              <w:rPr>
                <w:rFonts w:hint="eastAsia" w:ascii="宋体" w:hAnsi="宋体" w:eastAsia="宋体" w:cs="宋体"/>
                <w:b w:val="0"/>
                <w:bCs w:val="0"/>
                <w:color w:val="auto"/>
                <w:sz w:val="21"/>
                <w:szCs w:val="21"/>
                <w:highlight w:val="none"/>
                <w:lang w:eastAsia="zh-CN"/>
              </w:rPr>
              <w:t>。</w:t>
            </w:r>
          </w:p>
          <w:p w14:paraId="14F739E0">
            <w:pPr>
              <w:pStyle w:val="11"/>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二</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10</w:t>
            </w:r>
            <w:r>
              <w:rPr>
                <w:rFonts w:hint="eastAsia" w:ascii="宋体" w:hAnsi="宋体" w:eastAsia="宋体" w:cs="宋体"/>
                <w:b w:val="0"/>
                <w:bCs w:val="0"/>
                <w:color w:val="auto"/>
                <w:sz w:val="21"/>
                <w:szCs w:val="21"/>
                <w:highlight w:val="none"/>
              </w:rPr>
              <w:t>分）：分阶段制定进度表；项目负责人具备图书采购项目经验，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现场服务人员≥2人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订单处理时效≤24小时；采用标准包装，明确配送方式图书使用防潮、防破损包装，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w:t>
            </w: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%；提供电话、</w:t>
            </w:r>
            <w:r>
              <w:rPr>
                <w:rFonts w:hint="eastAsia" w:ascii="宋体" w:hAnsi="宋体" w:cs="宋体"/>
                <w:b w:val="0"/>
                <w:bCs w:val="0"/>
                <w:color w:val="auto"/>
                <w:sz w:val="21"/>
                <w:szCs w:val="21"/>
                <w:highlight w:val="none"/>
                <w:lang w:val="en-US" w:eastAsia="zh-CN"/>
              </w:rPr>
              <w:t>微信</w:t>
            </w: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工作日2小时内响应</w:t>
            </w:r>
            <w:r>
              <w:rPr>
                <w:rFonts w:hint="eastAsia" w:ascii="宋体" w:hAnsi="宋体" w:eastAsia="宋体" w:cs="宋体"/>
                <w:b w:val="0"/>
                <w:bCs w:val="0"/>
                <w:color w:val="auto"/>
                <w:sz w:val="21"/>
                <w:szCs w:val="21"/>
                <w:highlight w:val="none"/>
                <w:lang w:eastAsia="zh-CN"/>
              </w:rPr>
              <w:t>。</w:t>
            </w:r>
          </w:p>
          <w:p w14:paraId="22E7DC16">
            <w:pPr>
              <w:pStyle w:val="11"/>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三</w:t>
            </w:r>
            <w:r>
              <w:rPr>
                <w:rFonts w:hint="eastAsia" w:ascii="宋体" w:hAnsi="宋体" w:eastAsia="宋体" w:cs="宋体"/>
                <w:b w:val="0"/>
                <w:bCs w:val="0"/>
                <w:color w:val="auto"/>
                <w:sz w:val="21"/>
                <w:szCs w:val="21"/>
                <w:highlight w:val="none"/>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分）：进度表细化到每日任务；项目负责人具备图书采购项目经验，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w:t>
            </w:r>
            <w:r>
              <w:rPr>
                <w:rFonts w:hint="eastAsia" w:ascii="宋体" w:hAnsi="宋体" w:eastAsia="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，有人员联系方式；有基础订单接收、确认、反馈流程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w:t>
            </w:r>
            <w:r>
              <w:rPr>
                <w:rFonts w:hint="eastAsia" w:ascii="宋体" w:hAnsi="宋体" w:eastAsia="宋体" w:cs="宋体"/>
                <w:b w:val="0"/>
                <w:bCs w:val="0"/>
                <w:color w:val="auto"/>
                <w:sz w:val="21"/>
                <w:szCs w:val="21"/>
                <w:highlight w:val="none"/>
                <w:lang w:val="en-US" w:eastAsia="zh-CN"/>
              </w:rPr>
              <w:t>12</w:t>
            </w:r>
            <w:r>
              <w:rPr>
                <w:rFonts w:hint="eastAsia" w:ascii="宋体" w:hAnsi="宋体" w:eastAsia="宋体" w:cs="宋体"/>
                <w:b w:val="0"/>
                <w:bCs w:val="0"/>
                <w:color w:val="auto"/>
                <w:sz w:val="21"/>
                <w:szCs w:val="21"/>
                <w:highlight w:val="none"/>
              </w:rPr>
              <w:t>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单册图书破损率≤0.1%；提供电话、</w:t>
            </w:r>
            <w:r>
              <w:rPr>
                <w:rFonts w:hint="eastAsia" w:ascii="宋体" w:hAnsi="宋体" w:cs="宋体"/>
                <w:b w:val="0"/>
                <w:bCs w:val="0"/>
                <w:color w:val="auto"/>
                <w:sz w:val="21"/>
                <w:szCs w:val="21"/>
                <w:highlight w:val="none"/>
                <w:lang w:val="en-US" w:eastAsia="zh-CN"/>
              </w:rPr>
              <w:t>QQ、</w:t>
            </w:r>
            <w:r>
              <w:rPr>
                <w:rFonts w:hint="eastAsia" w:ascii="宋体" w:hAnsi="宋体" w:eastAsia="宋体" w:cs="宋体"/>
                <w:b w:val="0"/>
                <w:bCs w:val="0"/>
                <w:color w:val="auto"/>
                <w:sz w:val="21"/>
                <w:szCs w:val="21"/>
                <w:highlight w:val="none"/>
              </w:rPr>
              <w:t>微信3种沟通方式，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w:t>
            </w: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小时内响应</w:t>
            </w:r>
            <w:r>
              <w:rPr>
                <w:rFonts w:hint="eastAsia" w:ascii="宋体" w:hAnsi="宋体" w:eastAsia="宋体" w:cs="宋体"/>
                <w:b w:val="0"/>
                <w:bCs w:val="0"/>
                <w:color w:val="auto"/>
                <w:sz w:val="21"/>
                <w:szCs w:val="21"/>
                <w:highlight w:val="none"/>
                <w:lang w:eastAsia="zh-CN"/>
              </w:rPr>
              <w:t>。</w:t>
            </w:r>
          </w:p>
          <w:p w14:paraId="67DD9F5D">
            <w:pPr>
              <w:spacing w:line="360" w:lineRule="auto"/>
              <w:ind w:firstLine="0" w:firstLineChars="0"/>
              <w:jc w:val="left"/>
              <w:rPr>
                <w:rFonts w:hint="eastAsia" w:ascii="宋体" w:hAnsi="宋体" w:eastAsia="宋体" w:cs="宋体"/>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5405CAD7">
            <w:pPr>
              <w:spacing w:line="360" w:lineRule="auto"/>
              <w:jc w:val="center"/>
              <w:rPr>
                <w:rFonts w:hint="eastAsia" w:ascii="宋体" w:hAnsi="宋体" w:eastAsia="宋体" w:cs="宋体"/>
                <w:bCs/>
                <w:color w:val="auto"/>
                <w:szCs w:val="21"/>
                <w:highlight w:val="none"/>
                <w:lang w:val="en-US" w:eastAsia="zh-CN"/>
              </w:rPr>
            </w:pPr>
            <w:r>
              <w:rPr>
                <w:rFonts w:hint="eastAsia" w:ascii="宋体" w:hAnsi="宋体" w:eastAsia="宋体" w:cs="宋体"/>
                <w:bCs/>
                <w:color w:val="auto"/>
                <w:szCs w:val="21"/>
                <w:highlight w:val="none"/>
                <w:lang w:val="en-US" w:eastAsia="zh-CN"/>
              </w:rPr>
              <w:t>55</w:t>
            </w:r>
            <w:r>
              <w:rPr>
                <w:rFonts w:hint="eastAsia" w:ascii="宋体" w:hAnsi="宋体" w:eastAsia="宋体" w:cs="宋体"/>
                <w:bCs/>
                <w:color w:val="auto"/>
                <w:szCs w:val="21"/>
                <w:highlight w:val="none"/>
                <w:lang w:eastAsia="zh-CN"/>
              </w:rPr>
              <w:t>分</w:t>
            </w:r>
          </w:p>
        </w:tc>
      </w:tr>
      <w:tr w14:paraId="6725C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31" w:hRule="atLeast"/>
          <w:jc w:val="center"/>
        </w:trPr>
        <w:tc>
          <w:tcPr>
            <w:tcW w:w="583" w:type="dxa"/>
            <w:vMerge w:val="continue"/>
            <w:noWrap w:val="0"/>
            <w:vAlign w:val="center"/>
          </w:tcPr>
          <w:p w14:paraId="44352A91">
            <w:pPr>
              <w:spacing w:line="360" w:lineRule="auto"/>
              <w:ind w:firstLine="420" w:firstLineChars="200"/>
              <w:jc w:val="center"/>
              <w:rPr>
                <w:color w:val="auto"/>
                <w:highlight w:val="none"/>
              </w:rPr>
            </w:pPr>
          </w:p>
        </w:tc>
        <w:tc>
          <w:tcPr>
            <w:tcW w:w="1086" w:type="dxa"/>
            <w:vMerge w:val="continue"/>
            <w:noWrap w:val="0"/>
            <w:vAlign w:val="center"/>
          </w:tcPr>
          <w:p w14:paraId="0D8D1D43">
            <w:pPr>
              <w:spacing w:line="360" w:lineRule="auto"/>
              <w:ind w:firstLine="420" w:firstLineChars="200"/>
              <w:jc w:val="center"/>
              <w:rPr>
                <w:color w:val="auto"/>
                <w:highlight w:val="none"/>
              </w:rPr>
            </w:pPr>
          </w:p>
        </w:tc>
        <w:tc>
          <w:tcPr>
            <w:tcW w:w="1051" w:type="dxa"/>
            <w:noWrap w:val="0"/>
            <w:vAlign w:val="center"/>
          </w:tcPr>
          <w:p w14:paraId="5A2172C2">
            <w:pPr>
              <w:spacing w:line="360" w:lineRule="auto"/>
              <w:ind w:firstLine="0" w:firstLineChars="0"/>
              <w:jc w:val="left"/>
              <w:rPr>
                <w:rFonts w:hint="eastAsia" w:eastAsia="宋体"/>
                <w:color w:val="auto"/>
                <w:highlight w:val="none"/>
                <w:lang w:eastAsia="zh-CN"/>
              </w:rPr>
            </w:pPr>
            <w:r>
              <w:rPr>
                <w:rFonts w:hint="eastAsia"/>
                <w:color w:val="auto"/>
                <w:highlight w:val="none"/>
                <w:lang w:val="en-US" w:eastAsia="zh-CN"/>
              </w:rPr>
              <w:t>2.2</w:t>
            </w:r>
            <w:r>
              <w:rPr>
                <w:rFonts w:hint="eastAsia" w:ascii="宋体" w:hAnsi="宋体" w:eastAsia="宋体" w:cs="宋体"/>
                <w:b w:val="0"/>
                <w:bCs w:val="0"/>
                <w:color w:val="auto"/>
                <w:spacing w:val="7"/>
                <w:sz w:val="21"/>
                <w:szCs w:val="21"/>
                <w:highlight w:val="none"/>
                <w:lang w:val="en-US" w:eastAsia="zh-CN"/>
              </w:rPr>
              <w:t>图书加工服务方案（满分15分）</w:t>
            </w:r>
          </w:p>
        </w:tc>
        <w:tc>
          <w:tcPr>
            <w:tcW w:w="5922" w:type="dxa"/>
            <w:noWrap w:val="0"/>
            <w:vAlign w:val="center"/>
          </w:tcPr>
          <w:p w14:paraId="46BB9A8C">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评标小组对各供应商提供的图书加工服务方案进行评审，评审内容：①针对本项目图书加工方案及步骤；②加工人员配备情况；③图书上架方案；④验收方案；⑤加工质量标准。</w:t>
            </w:r>
          </w:p>
          <w:p w14:paraId="4A0C2B83">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一档（5分）：供应商</w:t>
            </w:r>
            <w:r>
              <w:rPr>
                <w:rFonts w:hint="eastAsia" w:ascii="宋体" w:hAnsi="宋体" w:cs="宋体"/>
                <w:b w:val="0"/>
                <w:bCs w:val="0"/>
                <w:color w:val="auto"/>
                <w:spacing w:val="7"/>
                <w:sz w:val="21"/>
                <w:szCs w:val="21"/>
                <w:highlight w:val="none"/>
                <w:lang w:val="en-US" w:eastAsia="zh-CN"/>
              </w:rPr>
              <w:t>提供包含评审内容的</w:t>
            </w:r>
            <w:r>
              <w:rPr>
                <w:rFonts w:hint="eastAsia" w:ascii="宋体" w:hAnsi="宋体" w:eastAsia="宋体" w:cs="宋体"/>
                <w:b w:val="0"/>
                <w:bCs w:val="0"/>
                <w:color w:val="auto"/>
                <w:spacing w:val="7"/>
                <w:sz w:val="21"/>
                <w:szCs w:val="21"/>
                <w:highlight w:val="none"/>
                <w:lang w:val="en-US" w:eastAsia="zh-CN"/>
              </w:rPr>
              <w:t>图书加工服务方案</w:t>
            </w:r>
            <w:r>
              <w:rPr>
                <w:rFonts w:hint="eastAsia" w:ascii="宋体" w:hAnsi="宋体" w:cs="宋体"/>
                <w:b w:val="0"/>
                <w:bCs w:val="0"/>
                <w:color w:val="auto"/>
                <w:spacing w:val="7"/>
                <w:sz w:val="21"/>
                <w:szCs w:val="21"/>
                <w:highlight w:val="none"/>
                <w:lang w:val="en-US" w:eastAsia="zh-CN"/>
              </w:rPr>
              <w:t>，基本</w:t>
            </w:r>
            <w:r>
              <w:rPr>
                <w:rFonts w:hint="eastAsia" w:ascii="宋体" w:hAnsi="宋体" w:eastAsia="宋体" w:cs="宋体"/>
                <w:b w:val="0"/>
                <w:bCs w:val="0"/>
                <w:color w:val="auto"/>
                <w:spacing w:val="7"/>
                <w:sz w:val="21"/>
                <w:szCs w:val="21"/>
                <w:highlight w:val="none"/>
                <w:lang w:val="en-US" w:eastAsia="zh-CN"/>
              </w:rPr>
              <w:t>满足采购要求；</w:t>
            </w:r>
          </w:p>
          <w:p w14:paraId="479F7469">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二档（10分）：①加工方案包含基本流程（如收书、分类、著录、贴标等）；②明确加工人员数量不少于3人；③制定上架流程，包含图书排序规则；④验收方案包含明确验收流程（如自检、初验、终验）；⑤明确承诺加工误差率≤1%，标签脱落率≤0.3%，明确粘贴牢固度测试标准（如粘贴后经3次模拟翻阅不脱落）。</w:t>
            </w:r>
          </w:p>
          <w:p w14:paraId="2BAAE9EF">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三档（15分）：①加工方案包含基本流程（如收书、分类、著录、贴标等）并标注各环节预估时限；②明确加工人员数量不少于4人，制定人员岗前培训计划；③制定详细上架流程，包含图书排序规则、上架前核对环节；④验收方案明确自检、初验、终验且覆盖所有图书类型的具体要求；⑤明确承诺加工误差率≤0.5%，标签脱落率≤0.2%，明确粘贴牢固度测试标准（如粘贴后经5次模拟翻阅、2次轻微摩擦不脱落）。</w:t>
            </w:r>
          </w:p>
          <w:p w14:paraId="66849D74">
            <w:pPr>
              <w:numPr>
                <w:ilvl w:val="0"/>
                <w:numId w:val="0"/>
              </w:numPr>
              <w:rPr>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continue"/>
            <w:noWrap w:val="0"/>
            <w:vAlign w:val="center"/>
          </w:tcPr>
          <w:p w14:paraId="4EF25960">
            <w:pPr>
              <w:spacing w:line="360" w:lineRule="auto"/>
              <w:ind w:firstLine="420" w:firstLineChars="200"/>
              <w:jc w:val="center"/>
              <w:rPr>
                <w:color w:val="auto"/>
                <w:highlight w:val="none"/>
              </w:rPr>
            </w:pPr>
          </w:p>
        </w:tc>
      </w:tr>
      <w:tr w14:paraId="76C1C7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continue"/>
            <w:noWrap w:val="0"/>
            <w:vAlign w:val="center"/>
          </w:tcPr>
          <w:p w14:paraId="38246F18">
            <w:pPr>
              <w:spacing w:line="360" w:lineRule="auto"/>
              <w:ind w:firstLine="420" w:firstLineChars="200"/>
              <w:jc w:val="center"/>
              <w:rPr>
                <w:color w:val="auto"/>
                <w:highlight w:val="none"/>
              </w:rPr>
            </w:pPr>
          </w:p>
        </w:tc>
        <w:tc>
          <w:tcPr>
            <w:tcW w:w="1086" w:type="dxa"/>
            <w:vMerge w:val="continue"/>
            <w:noWrap w:val="0"/>
            <w:vAlign w:val="center"/>
          </w:tcPr>
          <w:p w14:paraId="7A0102C9">
            <w:pPr>
              <w:spacing w:line="360" w:lineRule="auto"/>
              <w:ind w:firstLine="420" w:firstLineChars="200"/>
              <w:jc w:val="center"/>
              <w:rPr>
                <w:color w:val="auto"/>
                <w:highlight w:val="none"/>
              </w:rPr>
            </w:pPr>
          </w:p>
        </w:tc>
        <w:tc>
          <w:tcPr>
            <w:tcW w:w="1051" w:type="dxa"/>
            <w:noWrap w:val="0"/>
            <w:vAlign w:val="center"/>
          </w:tcPr>
          <w:p w14:paraId="3E3A43D9">
            <w:pPr>
              <w:spacing w:line="360" w:lineRule="auto"/>
              <w:ind w:firstLine="0" w:firstLineChars="0"/>
              <w:jc w:val="center"/>
              <w:rPr>
                <w:rFonts w:hint="eastAsia"/>
                <w:color w:val="auto"/>
                <w:highlight w:val="none"/>
              </w:rPr>
            </w:pPr>
            <w:r>
              <w:rPr>
                <w:rFonts w:hint="eastAsia"/>
                <w:color w:val="auto"/>
                <w:highlight w:val="none"/>
              </w:rPr>
              <w:t>2.</w:t>
            </w:r>
            <w:r>
              <w:rPr>
                <w:rFonts w:hint="eastAsia"/>
                <w:color w:val="auto"/>
                <w:highlight w:val="none"/>
                <w:lang w:val="en-US" w:eastAsia="zh-CN"/>
              </w:rPr>
              <w:t>3服务团队</w:t>
            </w:r>
            <w:r>
              <w:rPr>
                <w:rFonts w:hint="eastAsia"/>
                <w:color w:val="auto"/>
                <w:highlight w:val="none"/>
              </w:rPr>
              <w:t>分</w:t>
            </w:r>
          </w:p>
          <w:p w14:paraId="26866492">
            <w:pPr>
              <w:spacing w:line="360" w:lineRule="auto"/>
              <w:ind w:firstLine="0" w:firstLineChars="0"/>
              <w:jc w:val="center"/>
              <w:rPr>
                <w:rFonts w:hint="eastAsia"/>
                <w:color w:val="auto"/>
                <w:highlight w:val="none"/>
                <w:lang w:val="en-US" w:eastAsia="zh-CN"/>
              </w:rPr>
            </w:pPr>
            <w:r>
              <w:rPr>
                <w:rFonts w:hint="eastAsia"/>
                <w:color w:val="auto"/>
                <w:highlight w:val="none"/>
              </w:rPr>
              <w:t>（满分</w:t>
            </w:r>
            <w:r>
              <w:rPr>
                <w:rFonts w:hint="eastAsia"/>
                <w:color w:val="auto"/>
                <w:highlight w:val="none"/>
                <w:lang w:val="en-US" w:eastAsia="zh-CN"/>
              </w:rPr>
              <w:t>7</w:t>
            </w:r>
            <w:r>
              <w:rPr>
                <w:rFonts w:hint="eastAsia"/>
                <w:color w:val="auto"/>
                <w:highlight w:val="none"/>
              </w:rPr>
              <w:t>分）</w:t>
            </w:r>
          </w:p>
        </w:tc>
        <w:tc>
          <w:tcPr>
            <w:tcW w:w="5922" w:type="dxa"/>
            <w:noWrap w:val="0"/>
            <w:vAlign w:val="center"/>
          </w:tcPr>
          <w:p w14:paraId="7BF08081">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1.拟投入本项目的服务团队人员中具备</w:t>
            </w:r>
            <w:r>
              <w:rPr>
                <w:rFonts w:hint="eastAsia" w:hAnsi="宋体" w:cs="宋体"/>
                <w:bCs/>
                <w:color w:val="auto"/>
                <w:sz w:val="21"/>
                <w:szCs w:val="21"/>
                <w:highlight w:val="none"/>
                <w:lang w:val="en-US" w:eastAsia="zh-CN"/>
              </w:rPr>
              <w:t>高等教育文献保障系统管理中心颁发的</w:t>
            </w:r>
            <w:r>
              <w:rPr>
                <w:rFonts w:hint="eastAsia" w:ascii="宋体" w:hAnsi="宋体" w:eastAsia="宋体" w:cs="宋体"/>
                <w:bCs/>
                <w:color w:val="auto"/>
                <w:sz w:val="21"/>
                <w:szCs w:val="21"/>
                <w:highlight w:val="none"/>
                <w:lang w:val="en-US" w:eastAsia="zh-CN"/>
              </w:rPr>
              <w:t>“CALIS联合目录中文三级编目员”资格证书，每提供1人得1分，满分</w:t>
            </w:r>
            <w:r>
              <w:rPr>
                <w:rFonts w:hint="eastAsia" w:hAnsi="宋体" w:cs="宋体"/>
                <w:bCs/>
                <w:color w:val="auto"/>
                <w:sz w:val="21"/>
                <w:szCs w:val="21"/>
                <w:highlight w:val="none"/>
                <w:lang w:val="en-US" w:eastAsia="zh-CN"/>
              </w:rPr>
              <w:t>3</w:t>
            </w:r>
            <w:r>
              <w:rPr>
                <w:rFonts w:hint="eastAsia" w:ascii="宋体" w:hAnsi="宋体" w:eastAsia="宋体" w:cs="宋体"/>
                <w:bCs/>
                <w:color w:val="auto"/>
                <w:sz w:val="21"/>
                <w:szCs w:val="21"/>
                <w:highlight w:val="none"/>
                <w:lang w:val="en-US" w:eastAsia="zh-CN"/>
              </w:rPr>
              <w:t>分（提供相应有效的证明材料，如编目员资格证书扫描件或网络证书截图，以及202</w:t>
            </w:r>
            <w:r>
              <w:rPr>
                <w:rFonts w:hint="eastAsia"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p w14:paraId="124FBDC6">
            <w:pPr>
              <w:spacing w:line="360" w:lineRule="auto"/>
              <w:ind w:firstLine="0" w:firstLineChars="0"/>
              <w:jc w:val="left"/>
              <w:rPr>
                <w:rFonts w:hint="eastAsia"/>
                <w:color w:val="auto"/>
                <w:highlight w:val="none"/>
              </w:rPr>
            </w:pPr>
            <w:r>
              <w:rPr>
                <w:rFonts w:hint="eastAsia" w:ascii="宋体" w:hAnsi="宋体" w:eastAsia="宋体" w:cs="宋体"/>
                <w:bCs/>
                <w:color w:val="auto"/>
                <w:sz w:val="21"/>
                <w:szCs w:val="21"/>
                <w:highlight w:val="none"/>
                <w:lang w:val="en-US" w:eastAsia="zh-CN"/>
              </w:rPr>
              <w:t>2.具有全国图书馆联合编目中心上传资格证书（证书需网上核验），每有1人得1分，满分</w:t>
            </w:r>
            <w:r>
              <w:rPr>
                <w:rFonts w:hint="eastAsia" w:ascii="宋体" w:hAnsi="宋体" w:cs="宋体"/>
                <w:bCs/>
                <w:color w:val="auto"/>
                <w:sz w:val="21"/>
                <w:szCs w:val="21"/>
                <w:highlight w:val="none"/>
                <w:lang w:val="en-US" w:eastAsia="zh-CN"/>
              </w:rPr>
              <w:t>4</w:t>
            </w:r>
            <w:r>
              <w:rPr>
                <w:rFonts w:hint="eastAsia" w:ascii="宋体" w:hAnsi="宋体" w:eastAsia="宋体" w:cs="宋体"/>
                <w:bCs/>
                <w:color w:val="auto"/>
                <w:sz w:val="21"/>
                <w:szCs w:val="21"/>
                <w:highlight w:val="none"/>
                <w:lang w:val="en-US" w:eastAsia="zh-CN"/>
              </w:rPr>
              <w:t>分。（提供相应有效的证明材料，如上传资格培训证书扫描件或网络证书截图，以及202</w:t>
            </w:r>
            <w:r>
              <w:rPr>
                <w:rFonts w:hint="eastAsia" w:ascii="宋体"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ascii="宋体"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tc>
        <w:tc>
          <w:tcPr>
            <w:tcW w:w="957" w:type="dxa"/>
            <w:vMerge w:val="continue"/>
            <w:noWrap w:val="0"/>
            <w:vAlign w:val="center"/>
          </w:tcPr>
          <w:p w14:paraId="4186FA73">
            <w:pPr>
              <w:spacing w:line="360" w:lineRule="auto"/>
              <w:ind w:firstLine="420" w:firstLineChars="200"/>
              <w:jc w:val="center"/>
              <w:rPr>
                <w:color w:val="auto"/>
                <w:highlight w:val="none"/>
              </w:rPr>
            </w:pPr>
          </w:p>
        </w:tc>
      </w:tr>
      <w:tr w14:paraId="1A26E6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32452831">
            <w:pPr>
              <w:spacing w:line="360" w:lineRule="auto"/>
              <w:ind w:firstLine="420" w:firstLineChars="200"/>
              <w:jc w:val="center"/>
              <w:rPr>
                <w:color w:val="auto"/>
                <w:highlight w:val="none"/>
              </w:rPr>
            </w:pPr>
          </w:p>
        </w:tc>
        <w:tc>
          <w:tcPr>
            <w:tcW w:w="1086" w:type="dxa"/>
            <w:vMerge w:val="continue"/>
            <w:noWrap w:val="0"/>
            <w:vAlign w:val="center"/>
          </w:tcPr>
          <w:p w14:paraId="6DDED3BA">
            <w:pPr>
              <w:spacing w:line="360" w:lineRule="auto"/>
              <w:ind w:firstLine="420" w:firstLineChars="200"/>
              <w:jc w:val="center"/>
              <w:rPr>
                <w:color w:val="auto"/>
                <w:highlight w:val="none"/>
              </w:rPr>
            </w:pPr>
          </w:p>
        </w:tc>
        <w:tc>
          <w:tcPr>
            <w:tcW w:w="1051" w:type="dxa"/>
            <w:noWrap w:val="0"/>
            <w:vAlign w:val="center"/>
          </w:tcPr>
          <w:p w14:paraId="7824E18C">
            <w:pPr>
              <w:spacing w:line="360" w:lineRule="auto"/>
              <w:ind w:firstLine="0" w:firstLineChars="0"/>
              <w:jc w:val="left"/>
              <w:rPr>
                <w:rFonts w:hint="default"/>
                <w:color w:val="auto"/>
                <w:highlight w:val="none"/>
                <w:lang w:val="en-US" w:eastAsia="zh-CN"/>
              </w:rPr>
            </w:pPr>
            <w:r>
              <w:rPr>
                <w:rFonts w:hint="eastAsia"/>
                <w:color w:val="auto"/>
                <w:highlight w:val="none"/>
                <w:lang w:val="en-US" w:eastAsia="zh-CN"/>
              </w:rPr>
              <w:t>2.4</w:t>
            </w:r>
            <w:r>
              <w:rPr>
                <w:rFonts w:hint="eastAsia" w:ascii="宋体" w:hAnsi="宋体" w:cs="宋体"/>
                <w:color w:val="auto"/>
                <w:sz w:val="21"/>
                <w:szCs w:val="21"/>
                <w:highlight w:val="none"/>
                <w:lang w:val="en-US" w:eastAsia="zh-CN"/>
              </w:rPr>
              <w:t>正版图书保障分（满分5分）</w:t>
            </w:r>
          </w:p>
        </w:tc>
        <w:tc>
          <w:tcPr>
            <w:tcW w:w="5922" w:type="dxa"/>
            <w:noWrap w:val="0"/>
            <w:vAlign w:val="center"/>
          </w:tcPr>
          <w:p w14:paraId="1FF246F5">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eastAsia="宋体" w:cs="宋体"/>
                <w:bCs/>
                <w:color w:val="auto"/>
                <w:kern w:val="0"/>
                <w:sz w:val="21"/>
                <w:szCs w:val="21"/>
                <w:highlight w:val="none"/>
                <w:lang w:val="en-US" w:eastAsia="zh-CN"/>
              </w:rPr>
            </w:pPr>
            <w:r>
              <w:rPr>
                <w:rFonts w:hint="eastAsia" w:ascii="宋体" w:hAnsi="宋体" w:eastAsia="宋体" w:cs="宋体"/>
                <w:bCs/>
                <w:color w:val="auto"/>
                <w:kern w:val="0"/>
                <w:sz w:val="21"/>
                <w:szCs w:val="21"/>
                <w:highlight w:val="none"/>
              </w:rPr>
              <w:t>提供以下图书的版权页、题名页、封面、封底、目录页图片</w:t>
            </w:r>
            <w:r>
              <w:rPr>
                <w:rFonts w:hint="eastAsia" w:ascii="宋体" w:hAnsi="宋体" w:eastAsia="宋体" w:cs="宋体"/>
                <w:bCs/>
                <w:color w:val="auto"/>
                <w:kern w:val="0"/>
                <w:sz w:val="21"/>
                <w:szCs w:val="21"/>
                <w:highlight w:val="none"/>
                <w:lang w:val="en-US" w:eastAsia="zh-CN"/>
              </w:rPr>
              <w:t>以及此图书为正版图书的相关证明材料</w:t>
            </w:r>
            <w:r>
              <w:rPr>
                <w:rFonts w:hint="eastAsia" w:ascii="宋体" w:hAnsi="宋体" w:eastAsia="宋体" w:cs="宋体"/>
                <w:bCs/>
                <w:color w:val="auto"/>
                <w:kern w:val="0"/>
                <w:sz w:val="21"/>
                <w:szCs w:val="21"/>
                <w:highlight w:val="none"/>
                <w:lang w:eastAsia="zh-CN"/>
              </w:rPr>
              <w:t>，</w:t>
            </w:r>
            <w:r>
              <w:rPr>
                <w:rFonts w:hint="eastAsia" w:ascii="宋体" w:hAnsi="宋体" w:eastAsia="宋体" w:cs="宋体"/>
                <w:bCs/>
                <w:color w:val="auto"/>
                <w:kern w:val="0"/>
                <w:sz w:val="21"/>
                <w:szCs w:val="21"/>
                <w:highlight w:val="none"/>
                <w:lang w:val="en-US" w:eastAsia="zh-CN"/>
              </w:rPr>
              <w:t>每提供一项得1分，满分5分，不提供完整不予计分：</w:t>
            </w:r>
          </w:p>
          <w:p w14:paraId="1958FD42">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cs="宋体"/>
                <w:bCs/>
                <w:color w:val="auto"/>
                <w:kern w:val="0"/>
                <w:sz w:val="21"/>
                <w:szCs w:val="21"/>
                <w:highlight w:val="none"/>
                <w:lang w:val="en-US" w:eastAsia="zh-CN"/>
              </w:rPr>
            </w:pPr>
            <w:r>
              <w:rPr>
                <w:rFonts w:hint="eastAsia" w:ascii="宋体" w:hAnsi="宋体" w:cs="宋体"/>
                <w:bCs/>
                <w:color w:val="auto"/>
                <w:kern w:val="0"/>
                <w:sz w:val="21"/>
                <w:szCs w:val="21"/>
                <w:highlight w:val="none"/>
                <w:lang w:val="en-US" w:eastAsia="zh-CN"/>
              </w:rPr>
              <w:t>（1）书号：</w:t>
            </w:r>
            <w:r>
              <w:rPr>
                <w:rFonts w:hint="eastAsia" w:ascii="宋体" w:hAnsi="宋体" w:eastAsia="宋体" w:cs="宋体"/>
                <w:color w:val="auto"/>
                <w:sz w:val="21"/>
                <w:szCs w:val="21"/>
                <w:highlight w:val="none"/>
              </w:rPr>
              <w:t>9787109333123</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书名：</w:t>
            </w:r>
            <w:r>
              <w:rPr>
                <w:rFonts w:hint="eastAsia" w:ascii="宋体" w:hAnsi="宋体" w:eastAsia="宋体" w:cs="宋体"/>
                <w:color w:val="auto"/>
                <w:sz w:val="21"/>
                <w:szCs w:val="21"/>
                <w:highlight w:val="none"/>
              </w:rPr>
              <w:t>会计专业教学案例</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出版社：</w:t>
            </w:r>
            <w:r>
              <w:rPr>
                <w:rFonts w:hint="eastAsia" w:ascii="宋体" w:hAnsi="宋体" w:eastAsia="宋体" w:cs="宋体"/>
                <w:color w:val="auto"/>
                <w:sz w:val="21"/>
                <w:szCs w:val="21"/>
                <w:highlight w:val="none"/>
              </w:rPr>
              <w:t>中国农业出版社</w:t>
            </w:r>
            <w:r>
              <w:rPr>
                <w:rFonts w:hint="eastAsia" w:ascii="宋体" w:hAnsi="宋体" w:cs="宋体"/>
                <w:i w:val="0"/>
                <w:iCs w:val="0"/>
                <w:color w:val="auto"/>
                <w:kern w:val="0"/>
                <w:sz w:val="21"/>
                <w:szCs w:val="21"/>
                <w:highlight w:val="none"/>
                <w:u w:val="none"/>
                <w:lang w:val="en-US" w:eastAsia="zh-CN" w:bidi="ar"/>
              </w:rPr>
              <w:t>。</w:t>
            </w:r>
          </w:p>
          <w:p w14:paraId="38A107C0">
            <w:pPr>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宋体" w:hAnsi="宋体" w:cs="宋体"/>
                <w:bCs/>
                <w:color w:val="auto"/>
                <w:kern w:val="0"/>
                <w:sz w:val="21"/>
                <w:szCs w:val="21"/>
                <w:highlight w:val="none"/>
                <w:lang w:val="en-US" w:eastAsia="zh-CN"/>
              </w:rPr>
            </w:pPr>
            <w:r>
              <w:rPr>
                <w:rFonts w:hint="eastAsia" w:ascii="宋体" w:hAnsi="宋体" w:cs="宋体"/>
                <w:bCs/>
                <w:color w:val="auto"/>
                <w:kern w:val="0"/>
                <w:sz w:val="21"/>
                <w:szCs w:val="21"/>
                <w:highlight w:val="none"/>
                <w:lang w:val="en-US" w:eastAsia="zh-CN"/>
              </w:rPr>
              <w:t>（2）书号：</w:t>
            </w:r>
            <w:r>
              <w:rPr>
                <w:rFonts w:hint="eastAsia" w:ascii="宋体" w:hAnsi="宋体" w:eastAsia="宋体" w:cs="宋体"/>
                <w:color w:val="auto"/>
                <w:sz w:val="21"/>
                <w:szCs w:val="21"/>
                <w:highlight w:val="none"/>
              </w:rPr>
              <w:t>9787109333086</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书名：</w:t>
            </w:r>
            <w:r>
              <w:rPr>
                <w:rFonts w:hint="eastAsia" w:ascii="宋体" w:hAnsi="宋体" w:eastAsia="宋体" w:cs="宋体"/>
                <w:color w:val="auto"/>
                <w:sz w:val="21"/>
                <w:szCs w:val="21"/>
                <w:highlight w:val="none"/>
              </w:rPr>
              <w:t>乡村振兴战略下的新农人创业：经济现实、驱动因素与成长路径</w:t>
            </w: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出版社：</w:t>
            </w:r>
            <w:r>
              <w:rPr>
                <w:rFonts w:hint="eastAsia" w:ascii="宋体" w:hAnsi="宋体" w:eastAsia="宋体" w:cs="宋体"/>
                <w:color w:val="auto"/>
                <w:sz w:val="21"/>
                <w:szCs w:val="21"/>
                <w:highlight w:val="none"/>
              </w:rPr>
              <w:t>中国农业出版社</w:t>
            </w:r>
            <w:r>
              <w:rPr>
                <w:rFonts w:hint="eastAsia" w:ascii="宋体" w:hAnsi="宋体" w:cs="宋体"/>
                <w:i w:val="0"/>
                <w:iCs w:val="0"/>
                <w:color w:val="auto"/>
                <w:kern w:val="0"/>
                <w:sz w:val="21"/>
                <w:szCs w:val="21"/>
                <w:highlight w:val="none"/>
                <w:u w:val="none"/>
                <w:lang w:val="en-US" w:eastAsia="zh-CN" w:bidi="ar"/>
              </w:rPr>
              <w:t>。</w:t>
            </w:r>
          </w:p>
          <w:p w14:paraId="0989A24D">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bCs/>
                <w:color w:val="auto"/>
                <w:kern w:val="0"/>
                <w:sz w:val="21"/>
                <w:szCs w:val="21"/>
                <w:highlight w:val="none"/>
                <w:lang w:val="en-US" w:eastAsia="zh-CN"/>
              </w:rPr>
            </w:pPr>
            <w:r>
              <w:rPr>
                <w:rFonts w:hint="eastAsia" w:ascii="宋体" w:hAnsi="宋体" w:cs="宋体"/>
                <w:bCs/>
                <w:color w:val="auto"/>
                <w:kern w:val="0"/>
                <w:sz w:val="21"/>
                <w:szCs w:val="21"/>
                <w:highlight w:val="none"/>
                <w:lang w:val="en-US" w:eastAsia="zh-CN"/>
              </w:rPr>
              <w:t>（3）书号：</w:t>
            </w:r>
            <w:r>
              <w:rPr>
                <w:rFonts w:hint="eastAsia" w:ascii="宋体" w:hAnsi="宋体" w:eastAsia="宋体" w:cs="宋体"/>
                <w:color w:val="auto"/>
                <w:sz w:val="21"/>
                <w:szCs w:val="21"/>
                <w:highlight w:val="none"/>
              </w:rPr>
              <w:t>9787109332072</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 xml:space="preserve"> 书名：</w:t>
            </w:r>
            <w:r>
              <w:rPr>
                <w:rFonts w:hint="eastAsia" w:ascii="宋体" w:hAnsi="宋体" w:eastAsia="宋体" w:cs="宋体"/>
                <w:color w:val="auto"/>
                <w:sz w:val="21"/>
                <w:szCs w:val="21"/>
                <w:highlight w:val="none"/>
              </w:rPr>
              <w:t>数字经济赋能乡村振兴：理论逻辑、实证检验及政策建议</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出版社：</w:t>
            </w:r>
            <w:r>
              <w:rPr>
                <w:rFonts w:hint="eastAsia" w:ascii="宋体" w:hAnsi="宋体" w:eastAsia="宋体" w:cs="宋体"/>
                <w:color w:val="auto"/>
                <w:sz w:val="21"/>
                <w:szCs w:val="21"/>
                <w:highlight w:val="none"/>
              </w:rPr>
              <w:t>中国农业出版社</w:t>
            </w:r>
            <w:r>
              <w:rPr>
                <w:rFonts w:hint="eastAsia" w:ascii="宋体" w:hAnsi="宋体" w:cs="宋体"/>
                <w:i w:val="0"/>
                <w:iCs w:val="0"/>
                <w:color w:val="auto"/>
                <w:kern w:val="0"/>
                <w:sz w:val="21"/>
                <w:szCs w:val="21"/>
                <w:highlight w:val="none"/>
                <w:u w:val="none"/>
                <w:lang w:val="en-US" w:eastAsia="zh-CN" w:bidi="ar"/>
              </w:rPr>
              <w:t>。</w:t>
            </w:r>
          </w:p>
          <w:p w14:paraId="2C5C5456">
            <w:pPr>
              <w:keepNext w:val="0"/>
              <w:keepLines w:val="0"/>
              <w:pageBreakBefore w:val="0"/>
              <w:widowControl w:val="0"/>
              <w:kinsoku/>
              <w:wordWrap/>
              <w:overflowPunct/>
              <w:topLinePunct w:val="0"/>
              <w:autoSpaceDE/>
              <w:autoSpaceDN/>
              <w:bidi w:val="0"/>
              <w:adjustRightInd/>
              <w:snapToGrid/>
              <w:spacing w:line="240" w:lineRule="auto"/>
              <w:textAlignment w:val="auto"/>
              <w:rPr>
                <w:rFonts w:hint="eastAsia" w:ascii="宋体" w:hAnsi="宋体" w:cs="宋体"/>
                <w:bCs/>
                <w:color w:val="auto"/>
                <w:kern w:val="0"/>
                <w:sz w:val="21"/>
                <w:szCs w:val="21"/>
                <w:highlight w:val="none"/>
                <w:lang w:val="en-US" w:eastAsia="zh-CN"/>
              </w:rPr>
            </w:pPr>
            <w:r>
              <w:rPr>
                <w:rFonts w:hint="eastAsia" w:ascii="宋体" w:hAnsi="宋体" w:cs="宋体"/>
                <w:bCs/>
                <w:color w:val="auto"/>
                <w:kern w:val="0"/>
                <w:sz w:val="21"/>
                <w:szCs w:val="21"/>
                <w:highlight w:val="none"/>
                <w:lang w:val="en-US" w:eastAsia="zh-CN"/>
              </w:rPr>
              <w:t>（4）书号：</w:t>
            </w:r>
            <w:r>
              <w:rPr>
                <w:rFonts w:hint="eastAsia" w:ascii="宋体" w:hAnsi="宋体" w:eastAsia="宋体" w:cs="宋体"/>
                <w:color w:val="auto"/>
                <w:sz w:val="21"/>
                <w:szCs w:val="21"/>
                <w:highlight w:val="none"/>
              </w:rPr>
              <w:t>9787109336254</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书名：</w:t>
            </w:r>
            <w:r>
              <w:rPr>
                <w:rFonts w:hint="eastAsia" w:ascii="宋体" w:hAnsi="宋体" w:eastAsia="宋体" w:cs="宋体"/>
                <w:color w:val="auto"/>
                <w:sz w:val="21"/>
                <w:szCs w:val="21"/>
                <w:highlight w:val="none"/>
              </w:rPr>
              <w:t>碳金融市场交易机制及其风险监管研究</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出版社：</w:t>
            </w:r>
            <w:r>
              <w:rPr>
                <w:rFonts w:hint="eastAsia" w:ascii="宋体" w:hAnsi="宋体" w:eastAsia="宋体" w:cs="宋体"/>
                <w:color w:val="auto"/>
                <w:sz w:val="21"/>
                <w:szCs w:val="21"/>
                <w:highlight w:val="none"/>
              </w:rPr>
              <w:t>中国农业出版社</w:t>
            </w:r>
            <w:r>
              <w:rPr>
                <w:rFonts w:hint="eastAsia" w:ascii="宋体" w:hAnsi="宋体" w:cs="宋体"/>
                <w:i w:val="0"/>
                <w:iCs w:val="0"/>
                <w:color w:val="auto"/>
                <w:kern w:val="0"/>
                <w:sz w:val="21"/>
                <w:szCs w:val="21"/>
                <w:highlight w:val="none"/>
                <w:u w:val="none"/>
                <w:lang w:val="en-US" w:eastAsia="zh-CN" w:bidi="ar"/>
              </w:rPr>
              <w:t>。</w:t>
            </w:r>
          </w:p>
          <w:p w14:paraId="5030CA96">
            <w:pPr>
              <w:spacing w:line="360" w:lineRule="auto"/>
              <w:ind w:firstLine="0" w:firstLineChars="0"/>
              <w:jc w:val="left"/>
              <w:rPr>
                <w:rFonts w:hint="eastAsia" w:ascii="宋体" w:hAnsi="宋体" w:cs="宋体"/>
                <w:bCs/>
                <w:color w:val="auto"/>
                <w:szCs w:val="21"/>
                <w:highlight w:val="none"/>
              </w:rPr>
            </w:pPr>
            <w:r>
              <w:rPr>
                <w:rFonts w:hint="eastAsia" w:ascii="宋体" w:hAnsi="宋体" w:cs="宋体"/>
                <w:bCs/>
                <w:color w:val="auto"/>
                <w:kern w:val="0"/>
                <w:sz w:val="21"/>
                <w:szCs w:val="21"/>
                <w:highlight w:val="none"/>
                <w:lang w:val="en-US" w:eastAsia="zh-CN"/>
              </w:rPr>
              <w:t>（5）书号：</w:t>
            </w:r>
            <w:r>
              <w:rPr>
                <w:rFonts w:hint="eastAsia" w:ascii="宋体" w:hAnsi="宋体" w:eastAsia="宋体" w:cs="宋体"/>
                <w:color w:val="auto"/>
                <w:sz w:val="21"/>
                <w:szCs w:val="21"/>
                <w:highlight w:val="none"/>
              </w:rPr>
              <w:t>9787109336087</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书名：</w:t>
            </w:r>
            <w:r>
              <w:rPr>
                <w:rFonts w:hint="eastAsia" w:ascii="宋体" w:hAnsi="宋体" w:eastAsia="宋体" w:cs="宋体"/>
                <w:color w:val="auto"/>
                <w:sz w:val="21"/>
                <w:szCs w:val="21"/>
                <w:highlight w:val="none"/>
              </w:rPr>
              <w:t>生物学野外实习指导</w:t>
            </w:r>
            <w:r>
              <w:rPr>
                <w:rFonts w:hint="eastAsia" w:ascii="宋体" w:hAnsi="宋体" w:cs="宋体"/>
                <w:i w:val="0"/>
                <w:iCs w:val="0"/>
                <w:color w:val="auto"/>
                <w:kern w:val="0"/>
                <w:sz w:val="21"/>
                <w:szCs w:val="21"/>
                <w:highlight w:val="none"/>
                <w:u w:val="none"/>
                <w:lang w:val="en-US" w:eastAsia="zh-CN" w:bidi="ar"/>
              </w:rPr>
              <w:t>；</w:t>
            </w:r>
            <w:r>
              <w:rPr>
                <w:rFonts w:hint="eastAsia" w:ascii="宋体" w:hAnsi="宋体" w:cs="宋体"/>
                <w:bCs/>
                <w:color w:val="auto"/>
                <w:kern w:val="0"/>
                <w:sz w:val="21"/>
                <w:szCs w:val="21"/>
                <w:highlight w:val="none"/>
                <w:lang w:val="en-US" w:eastAsia="zh-CN"/>
              </w:rPr>
              <w:t>出版社：</w:t>
            </w:r>
            <w:r>
              <w:rPr>
                <w:rFonts w:hint="eastAsia" w:ascii="宋体" w:hAnsi="宋体" w:eastAsia="宋体" w:cs="宋体"/>
                <w:color w:val="auto"/>
                <w:sz w:val="21"/>
                <w:szCs w:val="21"/>
                <w:highlight w:val="none"/>
              </w:rPr>
              <w:t>中国农业出版社</w:t>
            </w:r>
            <w:r>
              <w:rPr>
                <w:rFonts w:hint="eastAsia" w:ascii="宋体" w:hAnsi="宋体" w:cs="宋体"/>
                <w:i w:val="0"/>
                <w:iCs w:val="0"/>
                <w:color w:val="auto"/>
                <w:kern w:val="0"/>
                <w:sz w:val="21"/>
                <w:szCs w:val="21"/>
                <w:highlight w:val="none"/>
                <w:u w:val="none"/>
                <w:lang w:val="en-US" w:eastAsia="zh-CN" w:bidi="ar"/>
              </w:rPr>
              <w:t>。</w:t>
            </w:r>
          </w:p>
        </w:tc>
        <w:tc>
          <w:tcPr>
            <w:tcW w:w="957" w:type="dxa"/>
            <w:vMerge w:val="continue"/>
            <w:noWrap w:val="0"/>
            <w:vAlign w:val="center"/>
          </w:tcPr>
          <w:p w14:paraId="29CB40DA">
            <w:pPr>
              <w:spacing w:line="360" w:lineRule="auto"/>
              <w:ind w:firstLine="0" w:firstLineChars="0"/>
              <w:jc w:val="left"/>
              <w:rPr>
                <w:rFonts w:hint="eastAsia"/>
                <w:color w:val="auto"/>
                <w:highlight w:val="none"/>
              </w:rPr>
            </w:pPr>
          </w:p>
        </w:tc>
      </w:tr>
      <w:tr w14:paraId="3357D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140F3ACE">
            <w:pPr>
              <w:spacing w:line="360" w:lineRule="auto"/>
              <w:ind w:firstLine="420" w:firstLineChars="200"/>
              <w:jc w:val="center"/>
              <w:rPr>
                <w:color w:val="auto"/>
                <w:highlight w:val="none"/>
              </w:rPr>
            </w:pPr>
          </w:p>
        </w:tc>
        <w:tc>
          <w:tcPr>
            <w:tcW w:w="1086" w:type="dxa"/>
            <w:vMerge w:val="continue"/>
            <w:noWrap w:val="0"/>
            <w:vAlign w:val="center"/>
          </w:tcPr>
          <w:p w14:paraId="188EA909">
            <w:pPr>
              <w:spacing w:line="360" w:lineRule="auto"/>
              <w:ind w:firstLine="420" w:firstLineChars="200"/>
              <w:jc w:val="center"/>
              <w:rPr>
                <w:color w:val="auto"/>
                <w:highlight w:val="none"/>
              </w:rPr>
            </w:pPr>
          </w:p>
        </w:tc>
        <w:tc>
          <w:tcPr>
            <w:tcW w:w="1051" w:type="dxa"/>
            <w:noWrap w:val="0"/>
            <w:vAlign w:val="center"/>
          </w:tcPr>
          <w:p w14:paraId="755058E0">
            <w:pPr>
              <w:spacing w:line="360" w:lineRule="auto"/>
              <w:ind w:firstLine="0" w:firstLineChars="0"/>
              <w:jc w:val="left"/>
              <w:rPr>
                <w:rFonts w:hint="default"/>
                <w:color w:val="auto"/>
                <w:highlight w:val="none"/>
                <w:lang w:val="en-US" w:eastAsia="zh-CN"/>
              </w:rPr>
            </w:pPr>
            <w:r>
              <w:rPr>
                <w:rFonts w:hint="eastAsia"/>
                <w:b w:val="0"/>
                <w:bCs w:val="0"/>
                <w:color w:val="auto"/>
                <w:highlight w:val="none"/>
                <w:lang w:val="en-US" w:eastAsia="zh-CN"/>
              </w:rPr>
              <w:t>2.5</w:t>
            </w:r>
            <w:r>
              <w:rPr>
                <w:rFonts w:hint="eastAsia" w:ascii="宋体" w:hAnsi="宋体" w:cs="宋体"/>
                <w:b w:val="0"/>
                <w:bCs w:val="0"/>
                <w:color w:val="auto"/>
                <w:sz w:val="21"/>
                <w:szCs w:val="21"/>
                <w:highlight w:val="none"/>
                <w:lang w:val="en-US" w:eastAsia="zh-CN"/>
              </w:rPr>
              <w:t>随书光盘</w:t>
            </w:r>
            <w:r>
              <w:rPr>
                <w:rFonts w:hint="eastAsia" w:ascii="宋体" w:hAnsi="宋体" w:eastAsia="宋体" w:cs="宋体"/>
                <w:b w:val="0"/>
                <w:bCs w:val="0"/>
                <w:color w:val="auto"/>
                <w:sz w:val="21"/>
                <w:szCs w:val="21"/>
                <w:highlight w:val="none"/>
                <w:lang w:val="en-US" w:eastAsia="zh-CN"/>
              </w:rPr>
              <w:t>分（</w:t>
            </w:r>
            <w:r>
              <w:rPr>
                <w:rFonts w:hint="eastAsia" w:ascii="宋体" w:hAnsi="宋体" w:cs="宋体"/>
                <w:b w:val="0"/>
                <w:bCs w:val="0"/>
                <w:color w:val="auto"/>
                <w:sz w:val="21"/>
                <w:szCs w:val="21"/>
                <w:highlight w:val="none"/>
                <w:lang w:val="en-US" w:eastAsia="zh-CN"/>
              </w:rPr>
              <w:t>8</w:t>
            </w:r>
            <w:r>
              <w:rPr>
                <w:rFonts w:hint="eastAsia" w:ascii="宋体" w:hAnsi="宋体" w:eastAsia="宋体" w:cs="宋体"/>
                <w:b w:val="0"/>
                <w:bCs w:val="0"/>
                <w:color w:val="auto"/>
                <w:sz w:val="21"/>
                <w:szCs w:val="21"/>
                <w:highlight w:val="none"/>
                <w:lang w:val="en-US" w:eastAsia="zh-CN"/>
              </w:rPr>
              <w:t>分）</w:t>
            </w:r>
          </w:p>
        </w:tc>
        <w:tc>
          <w:tcPr>
            <w:tcW w:w="5922" w:type="dxa"/>
            <w:noWrap w:val="0"/>
            <w:vAlign w:val="center"/>
          </w:tcPr>
          <w:p w14:paraId="3548B62D">
            <w:pPr>
              <w:widowControl/>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rPr>
              <w:t>供应商提供的随书光盘数据要求均为正版，需具有出版社授权书，</w:t>
            </w:r>
            <w:r>
              <w:rPr>
                <w:rFonts w:hint="eastAsia" w:ascii="宋体" w:hAnsi="宋体" w:eastAsia="宋体" w:cs="宋体"/>
                <w:color w:val="auto"/>
                <w:sz w:val="21"/>
                <w:szCs w:val="21"/>
                <w:highlight w:val="none"/>
                <w:lang w:val="en-US" w:eastAsia="zh-CN"/>
              </w:rPr>
              <w:t>提供复印件或扫描件。</w:t>
            </w:r>
            <w:r>
              <w:rPr>
                <w:rFonts w:hint="eastAsia" w:ascii="宋体" w:hAnsi="宋体" w:cs="宋体"/>
                <w:color w:val="auto"/>
                <w:sz w:val="21"/>
                <w:szCs w:val="21"/>
                <w:highlight w:val="none"/>
                <w:lang w:val="en-US" w:eastAsia="zh-CN"/>
              </w:rPr>
              <w:t>提供授权的出版社中需</w:t>
            </w:r>
            <w:r>
              <w:rPr>
                <w:rFonts w:hint="eastAsia" w:ascii="宋体" w:hAnsi="宋体" w:eastAsia="宋体" w:cs="宋体"/>
                <w:color w:val="auto"/>
                <w:sz w:val="21"/>
                <w:szCs w:val="21"/>
                <w:highlight w:val="none"/>
              </w:rPr>
              <w:t>包含</w:t>
            </w:r>
            <w:r>
              <w:rPr>
                <w:rFonts w:hint="eastAsia" w:ascii="宋体" w:hAnsi="宋体" w:cs="宋体"/>
                <w:color w:val="auto"/>
                <w:sz w:val="21"/>
                <w:szCs w:val="21"/>
                <w:highlight w:val="none"/>
                <w:lang w:eastAsia="zh-CN"/>
              </w:rPr>
              <w:t>有类似</w:t>
            </w:r>
            <w:r>
              <w:rPr>
                <w:rFonts w:hint="eastAsia" w:ascii="宋体" w:hAnsi="宋体" w:eastAsia="宋体" w:cs="宋体"/>
                <w:color w:val="auto"/>
                <w:sz w:val="21"/>
                <w:szCs w:val="21"/>
                <w:highlight w:val="none"/>
              </w:rPr>
              <w:t>机械工业出版社有限公司、人民邮电出版社、中国农业科学技术出版社有限公司、商务印书馆有限公司、中华书局有限公司、清华大学出版社有限公司、漓江出版社有限公司、北京师范大学出版社（集团）有限公司、北京大学出版社、复旦大学出版社有限公司、青岛出版社有限公司、广西科学技术出版社有限公司等大型出版社。</w:t>
            </w:r>
          </w:p>
          <w:p w14:paraId="3DF0F93D">
            <w:pPr>
              <w:widowControl/>
              <w:jc w:val="left"/>
              <w:rPr>
                <w:rFonts w:hint="eastAsia" w:ascii="宋体" w:hAnsi="宋体" w:eastAsia="宋体" w:cs="宋体"/>
                <w:color w:val="auto"/>
                <w:sz w:val="21"/>
                <w:szCs w:val="21"/>
                <w:highlight w:val="none"/>
                <w:lang w:eastAsia="zh-CN"/>
              </w:rPr>
            </w:pPr>
            <w:r>
              <w:rPr>
                <w:rFonts w:hint="eastAsia" w:ascii="宋体" w:hAnsi="宋体" w:cs="宋体"/>
                <w:color w:val="auto"/>
                <w:sz w:val="21"/>
                <w:szCs w:val="21"/>
                <w:highlight w:val="none"/>
                <w:lang w:eastAsia="zh-CN"/>
              </w:rPr>
              <w:t>不提供不得分，提供少于</w:t>
            </w:r>
            <w:r>
              <w:rPr>
                <w:rFonts w:hint="eastAsia" w:ascii="宋体" w:hAnsi="宋体" w:cs="宋体"/>
                <w:color w:val="auto"/>
                <w:sz w:val="21"/>
                <w:szCs w:val="21"/>
                <w:highlight w:val="none"/>
                <w:lang w:val="en-US" w:eastAsia="zh-CN"/>
              </w:rPr>
              <w:t>5家得1分，</w:t>
            </w:r>
            <w:r>
              <w:rPr>
                <w:rFonts w:hint="eastAsia" w:ascii="宋体" w:hAnsi="宋体" w:eastAsia="宋体" w:cs="宋体"/>
                <w:color w:val="auto"/>
                <w:sz w:val="21"/>
                <w:szCs w:val="21"/>
                <w:highlight w:val="none"/>
              </w:rPr>
              <w:t>提供5-10家得</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提供11-20家得</w:t>
            </w:r>
            <w:r>
              <w:rPr>
                <w:rFonts w:hint="eastAsia" w:ascii="宋体" w:hAnsi="宋体" w:eastAsia="宋体" w:cs="宋体"/>
                <w:color w:val="auto"/>
                <w:sz w:val="21"/>
                <w:szCs w:val="21"/>
                <w:highlight w:val="none"/>
                <w:lang w:val="en-US" w:eastAsia="zh-CN"/>
              </w:rPr>
              <w:t>3</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提供21-30家得</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分</w:t>
            </w:r>
            <w:r>
              <w:rPr>
                <w:rFonts w:hint="eastAsia" w:ascii="宋体" w:hAnsi="宋体" w:cs="宋体"/>
                <w:color w:val="auto"/>
                <w:sz w:val="21"/>
                <w:szCs w:val="21"/>
                <w:highlight w:val="none"/>
                <w:lang w:eastAsia="zh-CN"/>
              </w:rPr>
              <w:t>，</w:t>
            </w:r>
            <w:r>
              <w:rPr>
                <w:rFonts w:hint="eastAsia" w:ascii="宋体" w:hAnsi="宋体" w:eastAsia="宋体" w:cs="宋体"/>
                <w:color w:val="auto"/>
                <w:sz w:val="21"/>
                <w:szCs w:val="21"/>
                <w:highlight w:val="none"/>
              </w:rPr>
              <w:t>提供31家</w:t>
            </w:r>
            <w:r>
              <w:rPr>
                <w:rFonts w:hint="eastAsia" w:ascii="宋体" w:hAnsi="宋体" w:eastAsia="宋体" w:cs="宋体"/>
                <w:color w:val="auto"/>
                <w:sz w:val="21"/>
                <w:szCs w:val="21"/>
                <w:highlight w:val="none"/>
                <w:lang w:val="en-US" w:eastAsia="zh-CN"/>
              </w:rPr>
              <w:t>及</w:t>
            </w:r>
            <w:r>
              <w:rPr>
                <w:rFonts w:hint="eastAsia" w:ascii="宋体" w:hAnsi="宋体" w:eastAsia="宋体" w:cs="宋体"/>
                <w:color w:val="auto"/>
                <w:sz w:val="21"/>
                <w:szCs w:val="21"/>
                <w:highlight w:val="none"/>
              </w:rPr>
              <w:t>以上得</w:t>
            </w: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分</w:t>
            </w:r>
            <w:r>
              <w:rPr>
                <w:rFonts w:hint="eastAsia" w:ascii="宋体" w:hAnsi="宋体" w:eastAsia="宋体" w:cs="宋体"/>
                <w:color w:val="auto"/>
                <w:sz w:val="21"/>
                <w:szCs w:val="21"/>
                <w:highlight w:val="none"/>
                <w:lang w:eastAsia="zh-CN"/>
              </w:rPr>
              <w:t>。</w:t>
            </w:r>
            <w:r>
              <w:rPr>
                <w:rFonts w:hint="eastAsia" w:ascii="宋体" w:hAnsi="宋体" w:cs="Courier New"/>
                <w:color w:val="auto"/>
                <w:szCs w:val="21"/>
                <w:highlight w:val="none"/>
              </w:rPr>
              <w:t>本项满分</w:t>
            </w:r>
            <w:r>
              <w:rPr>
                <w:rFonts w:hint="eastAsia" w:ascii="宋体" w:hAnsi="宋体" w:cs="Courier New"/>
                <w:color w:val="auto"/>
                <w:szCs w:val="21"/>
                <w:highlight w:val="none"/>
                <w:lang w:val="en-US" w:eastAsia="zh-CN"/>
              </w:rPr>
              <w:t>5</w:t>
            </w:r>
            <w:r>
              <w:rPr>
                <w:rFonts w:hint="eastAsia" w:ascii="宋体" w:hAnsi="宋体" w:cs="Courier New"/>
                <w:color w:val="auto"/>
                <w:szCs w:val="21"/>
                <w:highlight w:val="none"/>
              </w:rPr>
              <w:t>分。</w:t>
            </w:r>
          </w:p>
          <w:p w14:paraId="0CBC1AFE">
            <w:pPr>
              <w:widowControl/>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2、提供知识点检索功能：通过知识点检索功能能够检索到所有包含关键词的图书信息，并能根据关键词打开对应的随书资源内容，资源能够在线阅读和扫码实现移动端的阅读，承诺签订合同时进行现场演示，</w:t>
            </w:r>
            <w:r>
              <w:rPr>
                <w:rFonts w:hint="eastAsia" w:ascii="宋体" w:hAnsi="宋体" w:eastAsia="宋体" w:cs="宋体"/>
                <w:b/>
                <w:bCs/>
                <w:color w:val="auto"/>
                <w:sz w:val="21"/>
                <w:szCs w:val="21"/>
                <w:highlight w:val="none"/>
              </w:rPr>
              <w:t>投标时附相关截图证明材料</w:t>
            </w:r>
            <w:r>
              <w:rPr>
                <w:rFonts w:hint="eastAsia" w:ascii="宋体" w:hAnsi="宋体" w:eastAsia="宋体" w:cs="宋体"/>
                <w:color w:val="auto"/>
                <w:sz w:val="21"/>
                <w:szCs w:val="21"/>
                <w:highlight w:val="none"/>
              </w:rPr>
              <w:t>得1分。</w:t>
            </w:r>
            <w:r>
              <w:rPr>
                <w:rFonts w:hint="eastAsia" w:ascii="宋体" w:hAnsi="宋体" w:cs="Courier New"/>
                <w:color w:val="auto"/>
                <w:szCs w:val="21"/>
                <w:highlight w:val="none"/>
              </w:rPr>
              <w:t>本项满分</w:t>
            </w:r>
            <w:r>
              <w:rPr>
                <w:rFonts w:hint="eastAsia" w:ascii="宋体" w:hAnsi="宋体" w:cs="Courier New"/>
                <w:color w:val="auto"/>
                <w:szCs w:val="21"/>
                <w:highlight w:val="none"/>
                <w:lang w:val="en-US" w:eastAsia="zh-CN"/>
              </w:rPr>
              <w:t>1</w:t>
            </w:r>
            <w:r>
              <w:rPr>
                <w:rFonts w:hint="eastAsia" w:ascii="宋体" w:hAnsi="宋体" w:cs="Courier New"/>
                <w:color w:val="auto"/>
                <w:szCs w:val="21"/>
                <w:highlight w:val="none"/>
              </w:rPr>
              <w:t>分。</w:t>
            </w:r>
          </w:p>
          <w:p w14:paraId="69751355">
            <w:pPr>
              <w:widowControl/>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3、提供按字段检索：可根据题名、作者、ISBN、出版社等进行检索。提供二次检索功能，在检索结果中能二次检索。承诺签订合同时进行现场演示，</w:t>
            </w:r>
            <w:r>
              <w:rPr>
                <w:rFonts w:hint="eastAsia" w:ascii="宋体" w:hAnsi="宋体" w:eastAsia="宋体" w:cs="宋体"/>
                <w:b/>
                <w:bCs/>
                <w:color w:val="auto"/>
                <w:sz w:val="21"/>
                <w:szCs w:val="21"/>
                <w:highlight w:val="none"/>
              </w:rPr>
              <w:t>投标时附相关截图证明材料</w:t>
            </w:r>
            <w:r>
              <w:rPr>
                <w:rFonts w:hint="eastAsia" w:ascii="宋体" w:hAnsi="宋体" w:eastAsia="宋体" w:cs="宋体"/>
                <w:color w:val="auto"/>
                <w:sz w:val="21"/>
                <w:szCs w:val="21"/>
                <w:highlight w:val="none"/>
              </w:rPr>
              <w:t>得1分。</w:t>
            </w:r>
            <w:r>
              <w:rPr>
                <w:rFonts w:hint="eastAsia" w:ascii="宋体" w:hAnsi="宋体" w:cs="Courier New"/>
                <w:color w:val="auto"/>
                <w:szCs w:val="21"/>
                <w:highlight w:val="none"/>
              </w:rPr>
              <w:t>本项满分</w:t>
            </w:r>
            <w:r>
              <w:rPr>
                <w:rFonts w:hint="eastAsia" w:ascii="宋体" w:hAnsi="宋体" w:cs="Courier New"/>
                <w:color w:val="auto"/>
                <w:szCs w:val="21"/>
                <w:highlight w:val="none"/>
                <w:lang w:val="en-US" w:eastAsia="zh-CN"/>
              </w:rPr>
              <w:t>1</w:t>
            </w:r>
            <w:r>
              <w:rPr>
                <w:rFonts w:hint="eastAsia" w:ascii="宋体" w:hAnsi="宋体" w:cs="Courier New"/>
                <w:color w:val="auto"/>
                <w:szCs w:val="21"/>
                <w:highlight w:val="none"/>
              </w:rPr>
              <w:t>分。</w:t>
            </w:r>
          </w:p>
          <w:p w14:paraId="55101730">
            <w:pPr>
              <w:spacing w:line="360" w:lineRule="auto"/>
              <w:ind w:firstLine="0" w:firstLineChars="0"/>
              <w:jc w:val="left"/>
              <w:rPr>
                <w:rFonts w:hint="eastAsia" w:ascii="宋体" w:hAnsi="宋体" w:cs="宋体"/>
                <w:bCs/>
                <w:color w:val="auto"/>
                <w:kern w:val="0"/>
                <w:sz w:val="21"/>
                <w:szCs w:val="21"/>
                <w:highlight w:val="none"/>
                <w:lang w:val="en-US" w:eastAsia="zh-CN"/>
              </w:rPr>
            </w:pPr>
            <w:r>
              <w:rPr>
                <w:rFonts w:hint="eastAsia" w:ascii="宋体" w:hAnsi="宋体" w:eastAsia="宋体" w:cs="宋体"/>
                <w:color w:val="auto"/>
                <w:sz w:val="21"/>
                <w:szCs w:val="21"/>
                <w:highlight w:val="none"/>
              </w:rPr>
              <w:t>4、提供中图法和学科导航栏目：可以根据中图法和学科导航进行分类快速检索，每一分类下标明具体资源数量，承诺签订合同时进行现场演示，</w:t>
            </w:r>
            <w:r>
              <w:rPr>
                <w:rFonts w:hint="eastAsia" w:ascii="宋体" w:hAnsi="宋体" w:eastAsia="宋体" w:cs="宋体"/>
                <w:b/>
                <w:bCs/>
                <w:color w:val="auto"/>
                <w:sz w:val="21"/>
                <w:szCs w:val="21"/>
                <w:highlight w:val="none"/>
              </w:rPr>
              <w:t>投标时附相关截图证明材料</w:t>
            </w:r>
            <w:r>
              <w:rPr>
                <w:rFonts w:hint="eastAsia" w:ascii="宋体" w:hAnsi="宋体" w:eastAsia="宋体" w:cs="宋体"/>
                <w:color w:val="auto"/>
                <w:sz w:val="21"/>
                <w:szCs w:val="21"/>
                <w:highlight w:val="none"/>
              </w:rPr>
              <w:t>得1分。</w:t>
            </w:r>
            <w:r>
              <w:rPr>
                <w:rFonts w:hint="eastAsia" w:ascii="宋体" w:hAnsi="宋体" w:cs="Courier New"/>
                <w:color w:val="auto"/>
                <w:szCs w:val="21"/>
                <w:highlight w:val="none"/>
              </w:rPr>
              <w:t>本项满分</w:t>
            </w:r>
            <w:r>
              <w:rPr>
                <w:rFonts w:hint="eastAsia" w:ascii="宋体" w:hAnsi="宋体" w:cs="Courier New"/>
                <w:color w:val="auto"/>
                <w:szCs w:val="21"/>
                <w:highlight w:val="none"/>
                <w:lang w:val="en-US" w:eastAsia="zh-CN"/>
              </w:rPr>
              <w:t>1</w:t>
            </w:r>
            <w:r>
              <w:rPr>
                <w:rFonts w:hint="eastAsia" w:ascii="宋体" w:hAnsi="宋体" w:cs="Courier New"/>
                <w:color w:val="auto"/>
                <w:szCs w:val="21"/>
                <w:highlight w:val="none"/>
              </w:rPr>
              <w:t>分。</w:t>
            </w:r>
          </w:p>
        </w:tc>
        <w:tc>
          <w:tcPr>
            <w:tcW w:w="957" w:type="dxa"/>
            <w:vMerge w:val="continue"/>
            <w:noWrap w:val="0"/>
            <w:vAlign w:val="center"/>
          </w:tcPr>
          <w:p w14:paraId="24E72897">
            <w:pPr>
              <w:spacing w:line="360" w:lineRule="auto"/>
              <w:ind w:firstLine="0" w:firstLineChars="0"/>
              <w:jc w:val="left"/>
              <w:rPr>
                <w:rFonts w:hint="eastAsia"/>
                <w:color w:val="auto"/>
                <w:highlight w:val="none"/>
              </w:rPr>
            </w:pPr>
          </w:p>
        </w:tc>
      </w:tr>
      <w:tr w14:paraId="69C02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120D0833">
            <w:pPr>
              <w:spacing w:line="360" w:lineRule="auto"/>
              <w:ind w:firstLine="420" w:firstLineChars="200"/>
              <w:jc w:val="center"/>
              <w:rPr>
                <w:color w:val="auto"/>
                <w:highlight w:val="none"/>
              </w:rPr>
            </w:pPr>
          </w:p>
        </w:tc>
        <w:tc>
          <w:tcPr>
            <w:tcW w:w="1086" w:type="dxa"/>
            <w:vMerge w:val="continue"/>
            <w:noWrap w:val="0"/>
            <w:vAlign w:val="center"/>
          </w:tcPr>
          <w:p w14:paraId="4077EF04">
            <w:pPr>
              <w:spacing w:line="360" w:lineRule="auto"/>
              <w:ind w:firstLine="420" w:firstLineChars="200"/>
              <w:jc w:val="center"/>
              <w:rPr>
                <w:color w:val="auto"/>
                <w:highlight w:val="none"/>
              </w:rPr>
            </w:pPr>
          </w:p>
        </w:tc>
        <w:tc>
          <w:tcPr>
            <w:tcW w:w="1051" w:type="dxa"/>
            <w:noWrap w:val="0"/>
            <w:vAlign w:val="center"/>
          </w:tcPr>
          <w:p w14:paraId="12A44466">
            <w:pPr>
              <w:keepNext w:val="0"/>
              <w:keepLines w:val="0"/>
              <w:pageBreakBefore w:val="0"/>
              <w:kinsoku/>
              <w:wordWrap/>
              <w:overflowPunct/>
              <w:topLinePunct w:val="0"/>
              <w:autoSpaceDE/>
              <w:autoSpaceDN/>
              <w:bidi w:val="0"/>
              <w:spacing w:line="360" w:lineRule="auto"/>
              <w:jc w:val="center"/>
              <w:rPr>
                <w:rFonts w:hint="eastAsia" w:ascii="宋体" w:hAnsi="宋体" w:cs="宋体"/>
                <w:color w:val="auto"/>
                <w:sz w:val="21"/>
                <w:szCs w:val="21"/>
                <w:highlight w:val="none"/>
                <w:lang w:val="en-US" w:eastAsia="zh-CN"/>
              </w:rPr>
            </w:pPr>
            <w:r>
              <w:rPr>
                <w:rFonts w:hint="eastAsia"/>
                <w:color w:val="auto"/>
                <w:highlight w:val="none"/>
                <w:lang w:val="en-US" w:eastAsia="zh-CN"/>
              </w:rPr>
              <w:t>2.6</w:t>
            </w:r>
            <w:r>
              <w:rPr>
                <w:rFonts w:hint="eastAsia" w:ascii="宋体" w:hAnsi="宋体" w:eastAsia="宋体" w:cs="宋体"/>
                <w:bCs/>
                <w:color w:val="auto"/>
                <w:sz w:val="21"/>
                <w:szCs w:val="21"/>
                <w:highlight w:val="none"/>
                <w:lang w:val="en-US" w:eastAsia="zh-CN"/>
              </w:rPr>
              <w:t>履约能力</w:t>
            </w:r>
            <w:r>
              <w:rPr>
                <w:rFonts w:hint="eastAsia" w:ascii="宋体" w:hAnsi="宋体" w:cs="宋体"/>
                <w:bCs/>
                <w:color w:val="auto"/>
                <w:sz w:val="21"/>
                <w:szCs w:val="21"/>
                <w:highlight w:val="none"/>
                <w:lang w:val="en-US" w:eastAsia="zh-CN"/>
              </w:rPr>
              <w:t>分（满分5分）</w:t>
            </w:r>
          </w:p>
          <w:p w14:paraId="2B185C2A">
            <w:pPr>
              <w:spacing w:line="360" w:lineRule="auto"/>
              <w:ind w:firstLine="0" w:firstLineChars="0"/>
              <w:jc w:val="left"/>
              <w:rPr>
                <w:rFonts w:hint="eastAsia" w:ascii="Times New Roman" w:hAnsi="Times New Roman" w:eastAsia="宋体" w:cs="Times New Roman"/>
                <w:color w:val="auto"/>
                <w:kern w:val="2"/>
                <w:sz w:val="21"/>
                <w:szCs w:val="24"/>
                <w:highlight w:val="none"/>
                <w:lang w:val="en-US" w:eastAsia="zh-CN" w:bidi="ar-SA"/>
              </w:rPr>
            </w:pPr>
          </w:p>
        </w:tc>
        <w:tc>
          <w:tcPr>
            <w:tcW w:w="5922" w:type="dxa"/>
            <w:noWrap w:val="0"/>
            <w:vAlign w:val="center"/>
          </w:tcPr>
          <w:p w14:paraId="05452818">
            <w:pPr>
              <w:pStyle w:val="17"/>
              <w:keepNext w:val="0"/>
              <w:keepLines w:val="0"/>
              <w:pageBreakBefore w:val="0"/>
              <w:widowControl/>
              <w:kinsoku/>
              <w:wordWrap/>
              <w:overflowPunct/>
              <w:topLinePunct w:val="0"/>
              <w:autoSpaceDE/>
              <w:autoSpaceDN/>
              <w:bidi w:val="0"/>
              <w:adjustRightInd/>
              <w:snapToGrid/>
              <w:spacing w:line="240" w:lineRule="auto"/>
              <w:textAlignment w:val="auto"/>
              <w:rPr>
                <w:rFonts w:hint="eastAsia" w:ascii="宋体" w:hAnsi="宋体" w:eastAsia="宋体" w:cs="宋体"/>
                <w:bCs/>
                <w:color w:val="auto"/>
                <w:sz w:val="21"/>
                <w:szCs w:val="21"/>
                <w:highlight w:val="none"/>
                <w:lang w:val="en-US" w:eastAsia="zh-CN"/>
              </w:rPr>
            </w:pP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投标人具有与CALIS签订的有效编目数据协议的得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分；具有与国家图书馆签订的有效编目数据协议的得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分，此项满分</w:t>
            </w:r>
            <w:r>
              <w:rPr>
                <w:rFonts w:hint="eastAsia" w:hAnsi="宋体" w:cs="宋体"/>
                <w:bCs/>
                <w:color w:val="auto"/>
                <w:sz w:val="21"/>
                <w:szCs w:val="21"/>
                <w:highlight w:val="none"/>
                <w:lang w:val="en-US" w:eastAsia="zh-CN"/>
              </w:rPr>
              <w:t>2</w:t>
            </w:r>
            <w:r>
              <w:rPr>
                <w:rFonts w:hint="eastAsia" w:ascii="宋体" w:hAnsi="宋体" w:eastAsia="宋体" w:cs="宋体"/>
                <w:bCs/>
                <w:color w:val="auto"/>
                <w:sz w:val="21"/>
                <w:szCs w:val="21"/>
                <w:highlight w:val="none"/>
                <w:lang w:val="en-US" w:eastAsia="zh-CN"/>
              </w:rPr>
              <w:t>分（提</w:t>
            </w:r>
            <w:r>
              <w:rPr>
                <w:rFonts w:hint="eastAsia" w:hAnsi="宋体" w:cs="宋体"/>
                <w:bCs/>
                <w:color w:val="auto"/>
                <w:sz w:val="21"/>
                <w:szCs w:val="21"/>
                <w:highlight w:val="none"/>
                <w:lang w:val="en-US" w:eastAsia="zh-CN"/>
              </w:rPr>
              <w:t>供</w:t>
            </w:r>
            <w:r>
              <w:rPr>
                <w:rFonts w:hint="eastAsia" w:ascii="宋体" w:hAnsi="宋体" w:eastAsia="宋体" w:cs="宋体"/>
                <w:bCs/>
                <w:color w:val="auto"/>
                <w:sz w:val="21"/>
                <w:szCs w:val="21"/>
                <w:highlight w:val="none"/>
                <w:lang w:val="en-US" w:eastAsia="zh-CN"/>
              </w:rPr>
              <w:t>协议书原件扫描件并加盖投标人公章</w:t>
            </w:r>
            <w:r>
              <w:rPr>
                <w:rFonts w:hint="eastAsia"/>
                <w:color w:val="auto"/>
                <w:sz w:val="21"/>
                <w:szCs w:val="21"/>
                <w:highlight w:val="none"/>
                <w:lang w:val="en-US" w:eastAsia="zh-CN"/>
              </w:rPr>
              <w:t>，</w:t>
            </w:r>
            <w:r>
              <w:rPr>
                <w:rFonts w:hint="eastAsia" w:ascii="宋体" w:hAnsi="宋体" w:eastAsia="宋体" w:cs="宋体"/>
                <w:bCs/>
                <w:color w:val="auto"/>
                <w:sz w:val="21"/>
                <w:szCs w:val="21"/>
                <w:highlight w:val="none"/>
                <w:lang w:val="en-US" w:eastAsia="zh-CN"/>
              </w:rPr>
              <w:t>否则不得分）。</w:t>
            </w:r>
          </w:p>
          <w:p w14:paraId="630EBDFA">
            <w:pPr>
              <w:spacing w:line="360" w:lineRule="auto"/>
              <w:ind w:firstLine="0" w:firstLineChars="0"/>
              <w:jc w:val="left"/>
              <w:rPr>
                <w:rFonts w:hint="eastAsia" w:ascii="宋体" w:hAnsi="宋体" w:eastAsia="宋体" w:cs="宋体"/>
                <w:bCs/>
                <w:color w:val="auto"/>
                <w:kern w:val="2"/>
                <w:sz w:val="21"/>
                <w:szCs w:val="21"/>
                <w:highlight w:val="none"/>
                <w:lang w:val="en-US" w:eastAsia="zh-CN" w:bidi="ar-SA"/>
              </w:rPr>
            </w:pPr>
            <w:r>
              <w:rPr>
                <w:rFonts w:hint="eastAsia" w:hAnsi="宋体" w:cs="宋体"/>
                <w:bCs/>
                <w:color w:val="auto"/>
                <w:kern w:val="2"/>
                <w:sz w:val="21"/>
                <w:szCs w:val="21"/>
                <w:highlight w:val="none"/>
                <w:lang w:val="en-US" w:eastAsia="zh-CN" w:bidi="ar-SA"/>
              </w:rPr>
              <w:t>2、</w:t>
            </w:r>
            <w:r>
              <w:rPr>
                <w:rFonts w:hint="eastAsia"/>
                <w:color w:val="auto"/>
                <w:highlight w:val="none"/>
                <w:lang w:val="en-US" w:eastAsia="zh-CN"/>
              </w:rPr>
              <w:t>投标人2023年1月1日至今承担过类似项目且已完成验收，每提供一个项目验收合格证明或用户履约评价为良好等级及以上的证明材料，得1分，此项满分3分。（提供原件扫描件或复印件并加盖投标人公章，否则不得分）</w:t>
            </w:r>
          </w:p>
        </w:tc>
        <w:tc>
          <w:tcPr>
            <w:tcW w:w="957" w:type="dxa"/>
            <w:vMerge w:val="continue"/>
            <w:noWrap w:val="0"/>
            <w:vAlign w:val="center"/>
          </w:tcPr>
          <w:p w14:paraId="4996815D">
            <w:pPr>
              <w:spacing w:line="360" w:lineRule="auto"/>
              <w:ind w:firstLine="0" w:firstLineChars="0"/>
              <w:jc w:val="left"/>
              <w:rPr>
                <w:rFonts w:hint="eastAsia"/>
                <w:color w:val="auto"/>
                <w:highlight w:val="none"/>
              </w:rPr>
            </w:pPr>
          </w:p>
        </w:tc>
      </w:tr>
      <w:tr w14:paraId="3F8DE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583" w:type="dxa"/>
            <w:vMerge w:val="restart"/>
            <w:noWrap w:val="0"/>
            <w:vAlign w:val="center"/>
          </w:tcPr>
          <w:p w14:paraId="3B4A0397">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lang w:val="en-US" w:eastAsia="zh-CN"/>
              </w:rPr>
              <w:t>3</w:t>
            </w:r>
          </w:p>
        </w:tc>
        <w:tc>
          <w:tcPr>
            <w:tcW w:w="1086" w:type="dxa"/>
            <w:vMerge w:val="restart"/>
            <w:noWrap w:val="0"/>
            <w:vAlign w:val="center"/>
          </w:tcPr>
          <w:p w14:paraId="59F371D6">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商务</w:t>
            </w:r>
            <w:r>
              <w:rPr>
                <w:rFonts w:hint="eastAsia" w:ascii="宋体" w:hAnsi="宋体" w:eastAsia="宋体" w:cs="宋体"/>
                <w:bCs/>
                <w:color w:val="auto"/>
                <w:szCs w:val="21"/>
                <w:highlight w:val="none"/>
                <w:lang w:eastAsia="zh-CN"/>
              </w:rPr>
              <w:t>分</w:t>
            </w:r>
          </w:p>
        </w:tc>
        <w:tc>
          <w:tcPr>
            <w:tcW w:w="1051" w:type="dxa"/>
            <w:noWrap w:val="0"/>
            <w:vAlign w:val="center"/>
          </w:tcPr>
          <w:p w14:paraId="4E33689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color w:val="auto"/>
                <w:highlight w:val="none"/>
                <w:lang w:eastAsia="zh-CN"/>
              </w:rPr>
            </w:pPr>
            <w:r>
              <w:rPr>
                <w:rFonts w:hint="eastAsia" w:ascii="宋体" w:hAnsi="宋体" w:cs="宋体"/>
                <w:color w:val="auto"/>
                <w:sz w:val="21"/>
                <w:szCs w:val="21"/>
                <w:highlight w:val="none"/>
              </w:rPr>
              <w:t>售后服务分</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满分12分</w:t>
            </w:r>
            <w:r>
              <w:rPr>
                <w:rFonts w:hint="eastAsia" w:ascii="宋体" w:hAnsi="宋体" w:cs="宋体"/>
                <w:color w:val="auto"/>
                <w:sz w:val="21"/>
                <w:szCs w:val="21"/>
                <w:highlight w:val="none"/>
                <w:lang w:eastAsia="zh-CN"/>
              </w:rPr>
              <w:t>）</w:t>
            </w:r>
          </w:p>
        </w:tc>
        <w:tc>
          <w:tcPr>
            <w:tcW w:w="5922" w:type="dxa"/>
            <w:noWrap w:val="0"/>
            <w:vAlign w:val="center"/>
          </w:tcPr>
          <w:p w14:paraId="7F739A83">
            <w:pPr>
              <w:numPr>
                <w:ilvl w:val="0"/>
                <w:numId w:val="0"/>
              </w:numPr>
              <w:rPr>
                <w:rFonts w:hint="eastAsia"/>
                <w:color w:val="auto"/>
                <w:highlight w:val="none"/>
                <w:lang w:eastAsia="zh-CN"/>
              </w:rPr>
            </w:pPr>
            <w:r>
              <w:rPr>
                <w:rFonts w:hint="eastAsia" w:ascii="宋体" w:hAnsi="宋体" w:eastAsia="宋体" w:cs="宋体"/>
                <w:b w:val="0"/>
                <w:bCs w:val="0"/>
                <w:color w:val="auto"/>
                <w:spacing w:val="7"/>
                <w:sz w:val="21"/>
                <w:szCs w:val="21"/>
                <w:highlight w:val="none"/>
                <w:lang w:val="en-US" w:eastAsia="zh-CN"/>
              </w:rPr>
              <w:t>评标小组对各供应商提供的售后服务进行评审，评审内容</w:t>
            </w:r>
            <w:r>
              <w:rPr>
                <w:rFonts w:hint="default" w:ascii="Times New Roman" w:hAnsi="Times New Roman" w:eastAsia="宋体" w:cs="Times New Roman"/>
                <w:color w:val="auto"/>
                <w:szCs w:val="21"/>
                <w:highlight w:val="none"/>
              </w:rPr>
              <w:t>：</w:t>
            </w:r>
            <w:r>
              <w:rPr>
                <w:rFonts w:hint="eastAsia"/>
                <w:color w:val="auto"/>
                <w:highlight w:val="none"/>
              </w:rPr>
              <w:t>①响应时间；②现场到达时间；③重大质量问题处理时限；④质保期；⑤售后服务团队</w:t>
            </w:r>
            <w:r>
              <w:rPr>
                <w:rFonts w:hint="eastAsia"/>
                <w:color w:val="auto"/>
                <w:highlight w:val="none"/>
                <w:lang w:eastAsia="zh-CN"/>
              </w:rPr>
              <w:t>。</w:t>
            </w:r>
          </w:p>
          <w:p w14:paraId="1F1D7408">
            <w:pPr>
              <w:numPr>
                <w:ilvl w:val="0"/>
                <w:numId w:val="0"/>
              </w:numPr>
              <w:rPr>
                <w:rFonts w:hint="default" w:ascii="宋体" w:hAnsi="宋体" w:eastAsia="宋体" w:cs="宋体"/>
                <w:b w:val="0"/>
                <w:bCs w:val="0"/>
                <w:color w:val="auto"/>
                <w:sz w:val="21"/>
                <w:szCs w:val="21"/>
                <w:highlight w:val="none"/>
                <w:lang w:val="en-US" w:eastAsia="zh-CN"/>
              </w:rPr>
            </w:pPr>
            <w:r>
              <w:rPr>
                <w:rFonts w:hint="eastAsia"/>
                <w:b w:val="0"/>
                <w:bCs/>
                <w:color w:val="auto"/>
                <w:sz w:val="21"/>
                <w:szCs w:val="21"/>
                <w:highlight w:val="none"/>
                <w:lang w:val="en-US" w:eastAsia="zh-CN"/>
              </w:rPr>
              <w:t>一档（4分）</w:t>
            </w:r>
            <w:r>
              <w:rPr>
                <w:rFonts w:hint="default" w:ascii="宋体" w:hAnsi="宋体" w:eastAsia="宋体" w:cs="宋体"/>
                <w:b w:val="0"/>
                <w:bCs/>
                <w:color w:val="auto"/>
                <w:sz w:val="21"/>
                <w:szCs w:val="21"/>
                <w:highlight w:val="none"/>
              </w:rPr>
              <w:t>方案满足采购要求，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1</w:t>
            </w:r>
            <w:r>
              <w:rPr>
                <w:rFonts w:hint="eastAsia"/>
                <w:b w:val="0"/>
                <w:bCs/>
                <w:color w:val="auto"/>
                <w:sz w:val="21"/>
                <w:szCs w:val="21"/>
                <w:highlight w:val="none"/>
              </w:rPr>
              <w:t>小时内；②现场到达时间</w:t>
            </w:r>
            <w:r>
              <w:rPr>
                <w:rFonts w:hint="eastAsia"/>
                <w:b w:val="0"/>
                <w:bCs/>
                <w:color w:val="auto"/>
                <w:sz w:val="21"/>
                <w:szCs w:val="21"/>
                <w:highlight w:val="none"/>
                <w:lang w:val="en-US" w:eastAsia="zh-CN"/>
              </w:rPr>
              <w:t>4</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48</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1</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w:t>
            </w:r>
            <w:r>
              <w:rPr>
                <w:rFonts w:hint="default" w:ascii="宋体" w:hAnsi="宋体" w:eastAsia="宋体" w:cs="宋体"/>
                <w:b w:val="0"/>
                <w:bCs w:val="0"/>
                <w:color w:val="auto"/>
                <w:sz w:val="21"/>
                <w:szCs w:val="21"/>
                <w:highlight w:val="none"/>
                <w:lang w:val="en-US" w:eastAsia="zh-CN"/>
              </w:rPr>
              <w:t xml:space="preserve"> </w:t>
            </w:r>
          </w:p>
          <w:p w14:paraId="48DFFEA8">
            <w:pPr>
              <w:numPr>
                <w:ilvl w:val="0"/>
                <w:numId w:val="0"/>
              </w:numPr>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w:t>
            </w:r>
            <w:r>
              <w:rPr>
                <w:rFonts w:hint="eastAsia" w:ascii="宋体" w:hAnsi="宋体" w:cs="宋体"/>
                <w:b w:val="0"/>
                <w:bCs w:val="0"/>
                <w:color w:val="auto"/>
                <w:sz w:val="21"/>
                <w:szCs w:val="21"/>
                <w:highlight w:val="none"/>
                <w:lang w:val="en-US" w:eastAsia="zh-CN"/>
              </w:rPr>
              <w:t>8</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ascii="宋体" w:hAnsi="宋体"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30分钟内</w:t>
            </w:r>
            <w:r>
              <w:rPr>
                <w:rFonts w:hint="eastAsia"/>
                <w:b w:val="0"/>
                <w:bCs/>
                <w:color w:val="auto"/>
                <w:sz w:val="21"/>
                <w:szCs w:val="21"/>
                <w:highlight w:val="none"/>
              </w:rPr>
              <w:t>；②现场到达时间</w:t>
            </w:r>
            <w:r>
              <w:rPr>
                <w:rFonts w:hint="eastAsia"/>
                <w:b w:val="0"/>
                <w:bCs/>
                <w:color w:val="auto"/>
                <w:sz w:val="21"/>
                <w:szCs w:val="21"/>
                <w:highlight w:val="none"/>
                <w:lang w:val="en-US" w:eastAsia="zh-CN"/>
              </w:rPr>
              <w:t>3</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24</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2</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3人</w:t>
            </w:r>
            <w:r>
              <w:rPr>
                <w:rFonts w:hint="eastAsia"/>
                <w:b w:val="0"/>
                <w:bCs/>
                <w:color w:val="auto"/>
                <w:sz w:val="21"/>
                <w:szCs w:val="21"/>
                <w:highlight w:val="none"/>
                <w:lang w:eastAsia="zh-CN"/>
              </w:rPr>
              <w:t>。</w:t>
            </w:r>
            <w:r>
              <w:rPr>
                <w:rFonts w:hint="default" w:ascii="宋体" w:hAnsi="宋体" w:eastAsia="宋体" w:cs="宋体"/>
                <w:b w:val="0"/>
                <w:bCs w:val="0"/>
                <w:color w:val="auto"/>
                <w:sz w:val="21"/>
                <w:szCs w:val="21"/>
                <w:highlight w:val="none"/>
                <w:lang w:val="en-US" w:eastAsia="zh-CN"/>
              </w:rPr>
              <w:t xml:space="preserve"> </w:t>
            </w:r>
          </w:p>
          <w:p w14:paraId="7358B78D">
            <w:pPr>
              <w:keepNext w:val="0"/>
              <w:keepLines w:val="0"/>
              <w:pageBreakBefore w:val="0"/>
              <w:numPr>
                <w:ilvl w:val="0"/>
                <w:numId w:val="0"/>
              </w:numPr>
              <w:kinsoku/>
              <w:wordWrap/>
              <w:overflowPunct/>
              <w:topLinePunct w:val="0"/>
              <w:autoSpaceDE/>
              <w:autoSpaceDN/>
              <w:bidi w:val="0"/>
              <w:adjustRightInd/>
              <w:spacing w:line="240" w:lineRule="auto"/>
              <w:jc w:val="left"/>
              <w:textAlignment w:val="auto"/>
              <w:rPr>
                <w:rFonts w:hint="eastAsia"/>
                <w:b w:val="0"/>
                <w:bCs/>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三</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ascii="宋体" w:hAnsi="宋体"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ascii="宋体" w:hAnsi="宋体" w:cs="宋体"/>
                <w:b w:val="0"/>
                <w:bCs/>
                <w:color w:val="auto"/>
                <w:sz w:val="21"/>
                <w:szCs w:val="21"/>
                <w:highlight w:val="none"/>
                <w:lang w:eastAsia="zh-CN"/>
              </w:rPr>
              <w:t>根据采购人需求针对性优化制定</w:t>
            </w:r>
            <w:r>
              <w:rPr>
                <w:rFonts w:hint="eastAsia" w:ascii="宋体" w:hAnsi="宋体" w:cs="宋体"/>
                <w:b w:val="0"/>
                <w:bCs/>
                <w:color w:val="auto"/>
                <w:sz w:val="21"/>
                <w:szCs w:val="21"/>
                <w:highlight w:val="none"/>
                <w:lang w:val="en-US" w:eastAsia="zh-CN"/>
              </w:rPr>
              <w:t>，</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30分钟</w:t>
            </w:r>
            <w:r>
              <w:rPr>
                <w:rFonts w:hint="eastAsia"/>
                <w:b w:val="0"/>
                <w:bCs/>
                <w:color w:val="auto"/>
                <w:sz w:val="21"/>
                <w:szCs w:val="21"/>
                <w:highlight w:val="none"/>
              </w:rPr>
              <w:t>内；②现场到达时间</w:t>
            </w:r>
            <w:r>
              <w:rPr>
                <w:rFonts w:hint="eastAsia"/>
                <w:b w:val="0"/>
                <w:bCs/>
                <w:color w:val="auto"/>
                <w:sz w:val="21"/>
                <w:szCs w:val="21"/>
                <w:highlight w:val="none"/>
                <w:lang w:val="en-US" w:eastAsia="zh-CN"/>
              </w:rPr>
              <w:t>2</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12</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3</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5人</w:t>
            </w:r>
            <w:r>
              <w:rPr>
                <w:rFonts w:hint="eastAsia"/>
                <w:b w:val="0"/>
                <w:bCs/>
                <w:color w:val="auto"/>
                <w:sz w:val="21"/>
                <w:szCs w:val="21"/>
                <w:highlight w:val="none"/>
                <w:lang w:eastAsia="zh-CN"/>
              </w:rPr>
              <w:t>。</w:t>
            </w:r>
          </w:p>
          <w:p w14:paraId="52D23FF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color w:val="auto"/>
                <w:highlight w:val="none"/>
                <w:lang w:val="en-US" w:eastAsia="zh-CN"/>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705BBE3E">
            <w:pPr>
              <w:spacing w:line="360" w:lineRule="auto"/>
              <w:jc w:val="center"/>
              <w:rPr>
                <w:rFonts w:hint="eastAsia" w:ascii="宋体" w:hAnsi="宋体" w:eastAsia="宋体" w:cs="宋体"/>
                <w:bCs/>
                <w:color w:val="auto"/>
                <w:szCs w:val="21"/>
                <w:highlight w:val="none"/>
                <w:lang w:val="en-US" w:eastAsia="zh-CN"/>
              </w:rPr>
            </w:pPr>
            <w:r>
              <w:rPr>
                <w:rFonts w:hint="eastAsia" w:ascii="宋体" w:hAnsi="宋体" w:cs="宋体"/>
                <w:bCs/>
                <w:color w:val="auto"/>
                <w:szCs w:val="21"/>
                <w:highlight w:val="none"/>
                <w:lang w:val="en-US" w:eastAsia="zh-CN"/>
              </w:rPr>
              <w:t>25</w:t>
            </w:r>
            <w:r>
              <w:rPr>
                <w:rFonts w:hint="eastAsia" w:ascii="宋体" w:hAnsi="宋体" w:eastAsia="宋体" w:cs="宋体"/>
                <w:bCs/>
                <w:color w:val="auto"/>
                <w:szCs w:val="21"/>
                <w:highlight w:val="none"/>
                <w:lang w:eastAsia="zh-CN"/>
              </w:rPr>
              <w:t>分</w:t>
            </w:r>
          </w:p>
        </w:tc>
      </w:tr>
      <w:tr w14:paraId="2EAC3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583" w:type="dxa"/>
            <w:vMerge w:val="continue"/>
            <w:noWrap w:val="0"/>
            <w:vAlign w:val="center"/>
          </w:tcPr>
          <w:p w14:paraId="47D50F84">
            <w:pPr>
              <w:spacing w:line="360" w:lineRule="auto"/>
              <w:jc w:val="center"/>
              <w:rPr>
                <w:rFonts w:hint="eastAsia" w:ascii="宋体" w:hAnsi="宋体" w:eastAsia="宋体" w:cs="宋体"/>
                <w:bCs/>
                <w:color w:val="auto"/>
                <w:szCs w:val="21"/>
                <w:highlight w:val="none"/>
                <w:lang w:eastAsia="zh-CN"/>
              </w:rPr>
            </w:pPr>
          </w:p>
        </w:tc>
        <w:tc>
          <w:tcPr>
            <w:tcW w:w="1086" w:type="dxa"/>
            <w:vMerge w:val="continue"/>
            <w:noWrap w:val="0"/>
            <w:vAlign w:val="center"/>
          </w:tcPr>
          <w:p w14:paraId="7C75A53B">
            <w:pPr>
              <w:spacing w:line="360" w:lineRule="auto"/>
              <w:jc w:val="center"/>
              <w:rPr>
                <w:rFonts w:hint="eastAsia" w:ascii="宋体" w:hAnsi="宋体" w:eastAsia="宋体" w:cs="宋体"/>
                <w:bCs/>
                <w:color w:val="auto"/>
                <w:szCs w:val="21"/>
                <w:highlight w:val="none"/>
                <w:lang w:eastAsia="zh-CN"/>
              </w:rPr>
            </w:pPr>
          </w:p>
        </w:tc>
        <w:tc>
          <w:tcPr>
            <w:tcW w:w="1051" w:type="dxa"/>
            <w:noWrap w:val="0"/>
            <w:vAlign w:val="center"/>
          </w:tcPr>
          <w:p w14:paraId="5F60C66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eastAsia="宋体"/>
                <w:color w:val="auto"/>
                <w:highlight w:val="none"/>
                <w:lang w:eastAsia="zh-CN"/>
              </w:rPr>
            </w:pPr>
            <w:r>
              <w:rPr>
                <w:rFonts w:hint="eastAsia" w:ascii="宋体" w:hAnsi="宋体" w:eastAsia="宋体" w:cs="宋体"/>
                <w:color w:val="auto"/>
                <w:highlight w:val="none"/>
                <w:lang w:eastAsia="zh-CN"/>
              </w:rPr>
              <w:t>业绩</w:t>
            </w:r>
            <w:r>
              <w:rPr>
                <w:rFonts w:hint="eastAsia"/>
                <w:color w:val="auto"/>
                <w:highlight w:val="none"/>
                <w:lang w:eastAsia="zh-CN"/>
              </w:rPr>
              <w:t>信誉分（满分</w:t>
            </w:r>
            <w:r>
              <w:rPr>
                <w:rFonts w:hint="eastAsia"/>
                <w:color w:val="auto"/>
                <w:highlight w:val="none"/>
                <w:lang w:val="en-US" w:eastAsia="zh-CN"/>
              </w:rPr>
              <w:t>13分</w:t>
            </w:r>
            <w:r>
              <w:rPr>
                <w:rFonts w:hint="eastAsia"/>
                <w:color w:val="auto"/>
                <w:highlight w:val="none"/>
                <w:lang w:eastAsia="zh-CN"/>
              </w:rPr>
              <w:t>）</w:t>
            </w:r>
          </w:p>
        </w:tc>
        <w:tc>
          <w:tcPr>
            <w:tcW w:w="5922" w:type="dxa"/>
            <w:noWrap w:val="0"/>
            <w:vAlign w:val="center"/>
          </w:tcPr>
          <w:p w14:paraId="0D29919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供应商需具有有效期内</w:t>
            </w:r>
            <w:r>
              <w:rPr>
                <w:rFonts w:hint="eastAsia" w:ascii="宋体" w:hAnsi="宋体" w:cs="宋体"/>
                <w:color w:val="auto"/>
                <w:highlight w:val="none"/>
                <w:lang w:val="en-US" w:eastAsia="zh-CN"/>
              </w:rPr>
              <w:t>的</w:t>
            </w:r>
            <w:r>
              <w:rPr>
                <w:rFonts w:hint="eastAsia" w:ascii="宋体" w:hAnsi="宋体" w:eastAsia="宋体" w:cs="宋体"/>
                <w:color w:val="auto"/>
                <w:highlight w:val="none"/>
              </w:rPr>
              <w:t>质量管理体系认证</w:t>
            </w:r>
            <w:r>
              <w:rPr>
                <w:rFonts w:hint="eastAsia" w:ascii="宋体" w:hAnsi="宋体" w:eastAsia="宋体" w:cs="宋体"/>
                <w:color w:val="auto"/>
                <w:highlight w:val="none"/>
                <w:lang w:eastAsia="zh-CN"/>
              </w:rPr>
              <w:t>证书（</w:t>
            </w:r>
            <w:r>
              <w:rPr>
                <w:rFonts w:hint="eastAsia" w:ascii="宋体" w:hAnsi="宋体"/>
                <w:color w:val="auto"/>
                <w:szCs w:val="21"/>
                <w:highlight w:val="none"/>
              </w:rPr>
              <w:t>IS09001</w:t>
            </w:r>
            <w:r>
              <w:rPr>
                <w:rFonts w:hint="eastAsia" w:ascii="宋体" w:hAnsi="宋体" w:eastAsia="宋体" w:cs="宋体"/>
                <w:color w:val="auto"/>
                <w:highlight w:val="none"/>
                <w:lang w:eastAsia="zh-CN"/>
              </w:rPr>
              <w:t>）</w:t>
            </w:r>
            <w:r>
              <w:rPr>
                <w:rFonts w:hint="eastAsia" w:ascii="宋体" w:hAnsi="宋体" w:cs="宋体"/>
                <w:color w:val="auto"/>
                <w:highlight w:val="none"/>
                <w:lang w:eastAsia="zh-CN"/>
              </w:rPr>
              <w:t>、</w:t>
            </w:r>
            <w:r>
              <w:rPr>
                <w:rFonts w:hint="eastAsia" w:ascii="宋体" w:hAnsi="宋体" w:eastAsia="宋体" w:cs="宋体"/>
                <w:color w:val="auto"/>
                <w:highlight w:val="none"/>
                <w:lang w:eastAsia="zh-CN"/>
              </w:rPr>
              <w:t>提供</w:t>
            </w:r>
            <w:r>
              <w:rPr>
                <w:rFonts w:hint="eastAsia" w:ascii="宋体" w:hAnsi="宋体" w:eastAsia="宋体" w:cs="宋体"/>
                <w:color w:val="auto"/>
                <w:highlight w:val="none"/>
              </w:rPr>
              <w:t>得1分，满分</w:t>
            </w:r>
            <w:r>
              <w:rPr>
                <w:rFonts w:hint="eastAsia" w:ascii="宋体" w:hAnsi="宋体" w:cs="宋体"/>
                <w:color w:val="auto"/>
                <w:highlight w:val="none"/>
                <w:lang w:val="en-US" w:eastAsia="zh-CN"/>
              </w:rPr>
              <w:t>1</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响应文件中</w:t>
            </w:r>
            <w:r>
              <w:rPr>
                <w:rFonts w:hint="eastAsia" w:ascii="宋体" w:hAnsi="宋体" w:eastAsia="宋体" w:cs="宋体"/>
                <w:color w:val="auto"/>
                <w:highlight w:val="none"/>
              </w:rPr>
              <w:t>提供证书复印件或扫描件、全国认证认可信息公共服务平台查询结果截图，未提供的不得分）</w:t>
            </w:r>
          </w:p>
          <w:p w14:paraId="2309B7D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default"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供应商提供202</w:t>
            </w:r>
            <w:r>
              <w:rPr>
                <w:rFonts w:hint="eastAsia" w:ascii="宋体" w:hAnsi="宋体" w:eastAsia="宋体" w:cs="宋体"/>
                <w:color w:val="auto"/>
                <w:highlight w:val="none"/>
                <w:lang w:eastAsia="zh-CN"/>
              </w:rPr>
              <w:t>3</w:t>
            </w:r>
            <w:r>
              <w:rPr>
                <w:rFonts w:hint="eastAsia" w:ascii="宋体" w:hAnsi="宋体" w:eastAsia="宋体" w:cs="宋体"/>
                <w:color w:val="auto"/>
                <w:highlight w:val="none"/>
              </w:rPr>
              <w:t>年1月1日以来中文纸质图书同类项目业绩【以中标（成交）通知书或合同复印件为准，并提供采购单位的联系电话、联系人】，每提供一份有效的业绩材料得</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分，满分</w:t>
            </w:r>
            <w:r>
              <w:rPr>
                <w:rFonts w:hint="eastAsia" w:ascii="宋体" w:hAnsi="宋体" w:cs="宋体"/>
                <w:color w:val="auto"/>
                <w:highlight w:val="none"/>
                <w:lang w:val="en-US" w:eastAsia="zh-CN"/>
              </w:rPr>
              <w:t>12</w:t>
            </w:r>
            <w:r>
              <w:rPr>
                <w:rFonts w:hint="eastAsia" w:ascii="宋体" w:hAnsi="宋体" w:eastAsia="宋体" w:cs="宋体"/>
                <w:color w:val="auto"/>
                <w:highlight w:val="none"/>
              </w:rPr>
              <w:t>分。</w:t>
            </w:r>
          </w:p>
        </w:tc>
        <w:tc>
          <w:tcPr>
            <w:tcW w:w="957" w:type="dxa"/>
            <w:vMerge w:val="continue"/>
            <w:noWrap w:val="0"/>
            <w:vAlign w:val="center"/>
          </w:tcPr>
          <w:p w14:paraId="0BCB78EC">
            <w:pPr>
              <w:spacing w:line="360" w:lineRule="auto"/>
              <w:jc w:val="center"/>
              <w:rPr>
                <w:rFonts w:hint="eastAsia" w:ascii="宋体" w:hAnsi="宋体" w:eastAsia="宋体" w:cs="宋体"/>
                <w:bCs/>
                <w:color w:val="auto"/>
                <w:szCs w:val="21"/>
                <w:highlight w:val="none"/>
                <w:lang w:val="en-US" w:eastAsia="zh-CN"/>
              </w:rPr>
            </w:pPr>
          </w:p>
        </w:tc>
      </w:tr>
      <w:tr w14:paraId="78183E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9" w:type="dxa"/>
            <w:gridSpan w:val="5"/>
            <w:noWrap w:val="0"/>
            <w:vAlign w:val="center"/>
          </w:tcPr>
          <w:p w14:paraId="7206E757">
            <w:pPr>
              <w:widowControl/>
              <w:numPr>
                <w:ilvl w:val="0"/>
                <w:numId w:val="0"/>
              </w:numPr>
              <w:spacing w:line="360" w:lineRule="auto"/>
              <w:jc w:val="left"/>
              <w:rPr>
                <w:rFonts w:hint="eastAsia" w:ascii="宋体" w:hAnsi="宋体" w:eastAsia="宋体" w:cs="宋体"/>
                <w:bCs/>
                <w:color w:val="auto"/>
                <w:szCs w:val="21"/>
                <w:highlight w:val="none"/>
                <w:lang w:eastAsia="zh-CN"/>
              </w:rPr>
            </w:pPr>
            <w:r>
              <w:rPr>
                <w:rFonts w:hint="eastAsia" w:ascii="宋体" w:hAnsi="宋体" w:cs="Courier New"/>
                <w:bCs/>
                <w:color w:val="auto"/>
                <w:highlight w:val="none"/>
              </w:rPr>
              <w:t>总得分＝1＋2＋3</w:t>
            </w:r>
          </w:p>
        </w:tc>
      </w:tr>
    </w:tbl>
    <w:p w14:paraId="4B307E16">
      <w:pPr>
        <w:rPr>
          <w:color w:val="auto"/>
          <w:highlight w:val="none"/>
        </w:rPr>
      </w:pPr>
    </w:p>
    <w:p w14:paraId="633C1028">
      <w:pPr>
        <w:rPr>
          <w:color w:val="auto"/>
          <w:highlight w:val="none"/>
        </w:rPr>
      </w:pPr>
    </w:p>
    <w:p w14:paraId="633BB0D4">
      <w:pPr>
        <w:rPr>
          <w:color w:val="auto"/>
          <w:highlight w:val="none"/>
        </w:rPr>
      </w:pPr>
    </w:p>
    <w:p w14:paraId="4C49E749">
      <w:pPr>
        <w:spacing w:line="360" w:lineRule="auto"/>
        <w:ind w:firstLine="562" w:firstLineChars="200"/>
        <w:jc w:val="center"/>
        <w:rPr>
          <w:rFonts w:hint="eastAsia" w:ascii="宋体" w:hAnsi="宋体" w:eastAsia="宋体" w:cs="宋体"/>
          <w:bCs/>
          <w:color w:val="auto"/>
          <w:szCs w:val="21"/>
          <w:highlight w:val="none"/>
          <w:lang w:eastAsia="zh-CN"/>
        </w:rPr>
      </w:pPr>
      <w:r>
        <w:rPr>
          <w:rFonts w:hint="eastAsia" w:ascii="宋体" w:hAnsi="宋体" w:eastAsia="宋体" w:cs="宋体"/>
          <w:b/>
          <w:bCs w:val="0"/>
          <w:color w:val="auto"/>
          <w:sz w:val="28"/>
          <w:szCs w:val="28"/>
          <w:highlight w:val="none"/>
          <w:lang w:eastAsia="zh-CN"/>
        </w:rPr>
        <w:t>（适用</w:t>
      </w:r>
      <w:r>
        <w:rPr>
          <w:rFonts w:hint="eastAsia" w:ascii="宋体" w:hAnsi="宋体" w:eastAsia="宋体" w:cs="宋体"/>
          <w:b/>
          <w:bCs w:val="0"/>
          <w:color w:val="auto"/>
          <w:sz w:val="28"/>
          <w:szCs w:val="28"/>
          <w:highlight w:val="none"/>
          <w:lang w:val="en-US" w:eastAsia="zh-CN"/>
        </w:rPr>
        <w:t>C分标</w:t>
      </w:r>
      <w:r>
        <w:rPr>
          <w:rFonts w:hint="eastAsia" w:ascii="宋体" w:hAnsi="宋体" w:eastAsia="宋体" w:cs="宋体"/>
          <w:b/>
          <w:bCs w:val="0"/>
          <w:color w:val="auto"/>
          <w:sz w:val="28"/>
          <w:szCs w:val="28"/>
          <w:highlight w:val="none"/>
          <w:lang w:eastAsia="zh-CN"/>
        </w:rPr>
        <w:t>）</w:t>
      </w:r>
    </w:p>
    <w:tbl>
      <w:tblPr>
        <w:tblStyle w:val="28"/>
        <w:tblW w:w="95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3"/>
        <w:gridCol w:w="1086"/>
        <w:gridCol w:w="1051"/>
        <w:gridCol w:w="5922"/>
        <w:gridCol w:w="957"/>
      </w:tblGrid>
      <w:tr w14:paraId="4332D3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83" w:type="dxa"/>
            <w:noWrap w:val="0"/>
            <w:vAlign w:val="center"/>
          </w:tcPr>
          <w:p w14:paraId="19CF7FA9">
            <w:pPr>
              <w:spacing w:line="360" w:lineRule="auto"/>
              <w:jc w:val="center"/>
              <w:rPr>
                <w:rFonts w:hint="eastAsia"/>
                <w:bCs/>
                <w:color w:val="auto"/>
                <w:szCs w:val="21"/>
                <w:highlight w:val="none"/>
              </w:rPr>
            </w:pPr>
            <w:r>
              <w:rPr>
                <w:rFonts w:hint="eastAsia"/>
                <w:bCs/>
                <w:color w:val="auto"/>
                <w:szCs w:val="21"/>
                <w:highlight w:val="none"/>
              </w:rPr>
              <w:t>序号</w:t>
            </w:r>
          </w:p>
        </w:tc>
        <w:tc>
          <w:tcPr>
            <w:tcW w:w="1086" w:type="dxa"/>
            <w:noWrap w:val="0"/>
            <w:vAlign w:val="center"/>
          </w:tcPr>
          <w:p w14:paraId="7B613D15">
            <w:pPr>
              <w:spacing w:line="360" w:lineRule="auto"/>
              <w:jc w:val="center"/>
              <w:rPr>
                <w:rFonts w:hint="eastAsia"/>
                <w:bCs/>
                <w:color w:val="auto"/>
                <w:szCs w:val="21"/>
                <w:highlight w:val="none"/>
              </w:rPr>
            </w:pPr>
            <w:r>
              <w:rPr>
                <w:rFonts w:hint="eastAsia"/>
                <w:bCs/>
                <w:color w:val="auto"/>
                <w:szCs w:val="21"/>
                <w:highlight w:val="none"/>
              </w:rPr>
              <w:t>评分类型</w:t>
            </w:r>
          </w:p>
        </w:tc>
        <w:tc>
          <w:tcPr>
            <w:tcW w:w="6973" w:type="dxa"/>
            <w:gridSpan w:val="2"/>
            <w:noWrap w:val="0"/>
            <w:vAlign w:val="center"/>
          </w:tcPr>
          <w:p w14:paraId="38EBDADD">
            <w:pPr>
              <w:spacing w:line="360" w:lineRule="auto"/>
              <w:jc w:val="center"/>
              <w:rPr>
                <w:rFonts w:hint="eastAsia"/>
                <w:bCs/>
                <w:color w:val="auto"/>
                <w:szCs w:val="21"/>
                <w:highlight w:val="none"/>
              </w:rPr>
            </w:pPr>
            <w:r>
              <w:rPr>
                <w:rFonts w:hint="eastAsia"/>
                <w:bCs/>
                <w:color w:val="auto"/>
                <w:szCs w:val="21"/>
                <w:highlight w:val="none"/>
              </w:rPr>
              <w:t>评分标准</w:t>
            </w:r>
          </w:p>
        </w:tc>
        <w:tc>
          <w:tcPr>
            <w:tcW w:w="957" w:type="dxa"/>
            <w:noWrap w:val="0"/>
            <w:vAlign w:val="center"/>
          </w:tcPr>
          <w:p w14:paraId="5A3C0519">
            <w:pPr>
              <w:spacing w:line="360" w:lineRule="auto"/>
              <w:jc w:val="center"/>
              <w:rPr>
                <w:rFonts w:hint="eastAsia"/>
                <w:bCs/>
                <w:color w:val="auto"/>
                <w:szCs w:val="21"/>
                <w:highlight w:val="none"/>
              </w:rPr>
            </w:pPr>
            <w:r>
              <w:rPr>
                <w:rFonts w:hint="eastAsia"/>
                <w:bCs/>
                <w:color w:val="auto"/>
                <w:szCs w:val="21"/>
                <w:highlight w:val="none"/>
              </w:rPr>
              <w:t>分值</w:t>
            </w:r>
          </w:p>
        </w:tc>
      </w:tr>
      <w:tr w14:paraId="17923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83" w:type="dxa"/>
            <w:noWrap w:val="0"/>
            <w:vAlign w:val="center"/>
          </w:tcPr>
          <w:p w14:paraId="129C9EFF">
            <w:pPr>
              <w:spacing w:line="360" w:lineRule="auto"/>
              <w:jc w:val="center"/>
              <w:rPr>
                <w:rFonts w:hint="eastAsia"/>
                <w:bCs/>
                <w:color w:val="auto"/>
                <w:szCs w:val="21"/>
                <w:highlight w:val="none"/>
              </w:rPr>
            </w:pPr>
            <w:r>
              <w:rPr>
                <w:rFonts w:hint="eastAsia" w:ascii="宋体" w:hAnsi="宋体" w:eastAsia="宋体" w:cs="宋体"/>
                <w:bCs/>
                <w:color w:val="auto"/>
                <w:szCs w:val="21"/>
                <w:highlight w:val="none"/>
              </w:rPr>
              <w:t>1</w:t>
            </w:r>
          </w:p>
        </w:tc>
        <w:tc>
          <w:tcPr>
            <w:tcW w:w="1086" w:type="dxa"/>
            <w:noWrap w:val="0"/>
            <w:vAlign w:val="center"/>
          </w:tcPr>
          <w:p w14:paraId="5AA2DA31">
            <w:pPr>
              <w:spacing w:line="360" w:lineRule="auto"/>
              <w:jc w:val="center"/>
              <w:rPr>
                <w:rFonts w:hint="eastAsia" w:eastAsia="宋体"/>
                <w:bCs/>
                <w:color w:val="auto"/>
                <w:szCs w:val="21"/>
                <w:highlight w:val="none"/>
                <w:lang w:eastAsia="zh-CN"/>
              </w:rPr>
            </w:pPr>
            <w:r>
              <w:rPr>
                <w:rFonts w:hint="eastAsia"/>
                <w:bCs/>
                <w:color w:val="auto"/>
                <w:szCs w:val="21"/>
                <w:highlight w:val="none"/>
              </w:rPr>
              <w:t>报价</w:t>
            </w:r>
            <w:r>
              <w:rPr>
                <w:rFonts w:hint="eastAsia" w:ascii="Times New Roman" w:hAnsi="Times New Roman" w:eastAsia="宋体" w:cs="Times New Roman"/>
                <w:b w:val="0"/>
                <w:bCs/>
                <w:i w:val="0"/>
                <w:iCs w:val="0"/>
                <w:color w:val="auto"/>
                <w:kern w:val="2"/>
                <w:szCs w:val="21"/>
                <w:highlight w:val="none"/>
                <w:lang w:eastAsia="zh-CN"/>
              </w:rPr>
              <w:t>分</w:t>
            </w:r>
          </w:p>
        </w:tc>
        <w:tc>
          <w:tcPr>
            <w:tcW w:w="6973" w:type="dxa"/>
            <w:gridSpan w:val="2"/>
            <w:noWrap w:val="0"/>
            <w:vAlign w:val="center"/>
          </w:tcPr>
          <w:p w14:paraId="6F902ECA">
            <w:pPr>
              <w:spacing w:line="360" w:lineRule="auto"/>
              <w:ind w:firstLine="420" w:firstLineChars="200"/>
              <w:jc w:val="left"/>
              <w:rPr>
                <w:rFonts w:hint="eastAsia" w:ascii="宋体" w:hAnsi="宋体" w:eastAsia="宋体" w:cs="宋体"/>
                <w:color w:val="auto"/>
                <w:highlight w:val="none"/>
              </w:rPr>
            </w:pPr>
            <w:r>
              <w:rPr>
                <w:rFonts w:hint="eastAsia" w:ascii="宋体" w:hAnsi="宋体" w:eastAsia="宋体" w:cs="宋体"/>
                <w:color w:val="auto"/>
                <w:highlight w:val="none"/>
              </w:rPr>
              <w:t>1.</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为供应商的最后报价进行政策性扣除后的价格，</w:t>
            </w:r>
            <w:r>
              <w:rPr>
                <w:rFonts w:hint="eastAsia" w:ascii="宋体" w:hAnsi="宋体" w:eastAsia="宋体" w:cs="宋体"/>
                <w:color w:val="auto"/>
                <w:highlight w:val="none"/>
                <w:lang w:eastAsia="zh-CN"/>
              </w:rPr>
              <w:t>评审价</w:t>
            </w:r>
            <w:r>
              <w:rPr>
                <w:rFonts w:hint="eastAsia" w:ascii="宋体" w:hAnsi="宋体" w:eastAsia="宋体" w:cs="宋体"/>
                <w:color w:val="auto"/>
                <w:highlight w:val="none"/>
              </w:rPr>
              <w:t>只是作为评审时使用。最终成交供应商的成交金额等于最后报价（如有修正，以确认修正后的最后报价为准）。</w:t>
            </w:r>
          </w:p>
          <w:p w14:paraId="27086222">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1.2</w:t>
            </w:r>
            <w:r>
              <w:rPr>
                <w:rFonts w:hint="eastAsia" w:ascii="宋体" w:hAnsi="宋体" w:eastAsia="宋体" w:cs="宋体"/>
                <w:bCs w:val="0"/>
                <w:color w:val="auto"/>
                <w:szCs w:val="24"/>
                <w:highlight w:val="none"/>
              </w:rPr>
              <w:t>政策性扣除计算方法。</w:t>
            </w:r>
          </w:p>
          <w:p w14:paraId="0C8638FF">
            <w:pPr>
              <w:spacing w:line="360" w:lineRule="auto"/>
              <w:ind w:firstLine="420" w:firstLineChars="200"/>
              <w:jc w:val="left"/>
              <w:rPr>
                <w:rFonts w:hint="eastAsia" w:ascii="宋体" w:hAnsi="宋体" w:eastAsia="宋体" w:cs="宋体"/>
                <w:bCs w:val="0"/>
                <w:color w:val="auto"/>
                <w:szCs w:val="24"/>
                <w:highlight w:val="none"/>
                <w:lang w:eastAsia="zh-CN"/>
              </w:rPr>
            </w:pPr>
            <w:r>
              <w:rPr>
                <w:rFonts w:hint="eastAsia" w:ascii="宋体" w:hAnsi="宋体" w:eastAsia="宋体" w:cs="宋体"/>
                <w:bCs/>
                <w:color w:val="auto"/>
                <w:szCs w:val="21"/>
                <w:highlight w:val="none"/>
                <w:lang w:eastAsia="zh-CN"/>
              </w:rPr>
              <w:t>供应商</w:t>
            </w:r>
            <w:r>
              <w:rPr>
                <w:rFonts w:hint="eastAsia" w:ascii="宋体" w:hAnsi="宋体" w:eastAsia="宋体" w:cs="宋体"/>
                <w:color w:val="auto"/>
                <w:szCs w:val="21"/>
                <w:highlight w:val="none"/>
              </w:rPr>
              <w:t>被评定为</w:t>
            </w:r>
            <w:r>
              <w:rPr>
                <w:rFonts w:hint="eastAsia" w:ascii="宋体" w:hAnsi="宋体" w:eastAsia="宋体" w:cs="宋体"/>
                <w:bCs/>
                <w:color w:val="auto"/>
                <w:szCs w:val="21"/>
                <w:highlight w:val="none"/>
              </w:rPr>
              <w:t>监狱企业或者残疾人福利性单位或者</w:t>
            </w:r>
            <w:r>
              <w:rPr>
                <w:rFonts w:hint="eastAsia" w:ascii="宋体" w:hAnsi="宋体" w:eastAsia="宋体" w:cs="宋体"/>
                <w:bCs/>
                <w:color w:val="auto"/>
                <w:szCs w:val="21"/>
                <w:highlight w:val="none"/>
                <w:lang w:eastAsia="zh-CN"/>
              </w:rPr>
              <w:t>其</w:t>
            </w:r>
            <w:r>
              <w:rPr>
                <w:rFonts w:hint="eastAsia" w:ascii="宋体" w:hAnsi="宋体" w:eastAsia="宋体" w:cs="宋体"/>
                <w:color w:val="auto"/>
                <w:sz w:val="21"/>
                <w:szCs w:val="21"/>
                <w:highlight w:val="none"/>
                <w:lang w:val="en-US" w:eastAsia="zh-CN"/>
              </w:rPr>
              <w:t>服务全部由符合政策要求的小型、微型企业承接的</w:t>
            </w:r>
            <w:r>
              <w:rPr>
                <w:rFonts w:hint="eastAsia" w:ascii="宋体" w:hAnsi="宋体" w:eastAsia="宋体" w:cs="宋体"/>
                <w:color w:val="auto"/>
                <w:szCs w:val="21"/>
                <w:highlight w:val="none"/>
              </w:rPr>
              <w:t>，</w:t>
            </w:r>
            <w:r>
              <w:rPr>
                <w:rFonts w:hint="eastAsia" w:ascii="宋体" w:hAnsi="宋体" w:eastAsia="宋体" w:cs="宋体"/>
                <w:bCs w:val="0"/>
                <w:color w:val="auto"/>
                <w:szCs w:val="24"/>
                <w:highlight w:val="none"/>
              </w:rPr>
              <w:t>该</w:t>
            </w:r>
            <w:r>
              <w:rPr>
                <w:rFonts w:hint="eastAsia" w:ascii="宋体" w:hAnsi="宋体" w:eastAsia="宋体" w:cs="宋体"/>
                <w:bCs w:val="0"/>
                <w:color w:val="auto"/>
                <w:szCs w:val="24"/>
                <w:highlight w:val="none"/>
                <w:lang w:eastAsia="zh-CN"/>
              </w:rPr>
              <w:t>供应商</w:t>
            </w:r>
            <w:r>
              <w:rPr>
                <w:rFonts w:hint="eastAsia" w:ascii="宋体" w:hAnsi="宋体" w:eastAsia="宋体" w:cs="宋体"/>
                <w:bCs w:val="0"/>
                <w:color w:val="auto"/>
                <w:szCs w:val="24"/>
                <w:highlight w:val="none"/>
              </w:rPr>
              <w:t>的</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给予</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Cs w:val="0"/>
                <w:color w:val="auto"/>
                <w:szCs w:val="24"/>
                <w:highlight w:val="none"/>
              </w:rPr>
              <w:t>的扣除，扣除后的价格为</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
                <w:bCs/>
                <w:color w:val="auto"/>
                <w:szCs w:val="24"/>
                <w:highlight w:val="none"/>
                <w:u w:val="none"/>
                <w:lang w:val="en-US" w:eastAsia="zh-CN"/>
              </w:rPr>
              <w:t>10%</w:t>
            </w:r>
            <w:r>
              <w:rPr>
                <w:rFonts w:hint="eastAsia" w:ascii="宋体" w:hAnsi="宋体" w:eastAsia="宋体" w:cs="宋体"/>
                <w:b w:val="0"/>
                <w:bCs w:val="0"/>
                <w:color w:val="auto"/>
                <w:szCs w:val="24"/>
                <w:highlight w:val="none"/>
                <w:u w:val="none"/>
                <w:lang w:val="en-US" w:eastAsia="zh-CN"/>
              </w:rPr>
              <w:t>）</w:t>
            </w:r>
            <w:r>
              <w:rPr>
                <w:rFonts w:hint="eastAsia" w:ascii="宋体" w:hAnsi="宋体" w:eastAsia="宋体" w:cs="宋体"/>
                <w:bCs w:val="0"/>
                <w:color w:val="auto"/>
                <w:szCs w:val="24"/>
                <w:highlight w:val="none"/>
              </w:rPr>
              <w:t>；</w:t>
            </w:r>
            <w:r>
              <w:rPr>
                <w:rFonts w:hint="eastAsia" w:ascii="宋体" w:hAnsi="宋体" w:eastAsia="宋体" w:cs="宋体"/>
                <w:bCs w:val="0"/>
                <w:color w:val="auto"/>
                <w:sz w:val="21"/>
                <w:szCs w:val="24"/>
                <w:highlight w:val="none"/>
              </w:rPr>
              <w:t>接受大中型企业与小微企业组成联合体或者允许大中型企业向一家或者多家小微企业分包的采购项目，对</w:t>
            </w:r>
            <w:r>
              <w:rPr>
                <w:rFonts w:hint="eastAsia" w:ascii="宋体" w:hAnsi="宋体" w:eastAsia="宋体" w:cs="宋体"/>
                <w:bCs w:val="0"/>
                <w:color w:val="auto"/>
                <w:sz w:val="21"/>
                <w:szCs w:val="24"/>
                <w:highlight w:val="none"/>
                <w:lang w:eastAsia="zh-CN"/>
              </w:rPr>
              <w:t>于</w:t>
            </w:r>
            <w:r>
              <w:rPr>
                <w:rFonts w:hint="eastAsia" w:ascii="宋体" w:hAnsi="宋体" w:eastAsia="宋体" w:cs="宋体"/>
                <w:bCs w:val="0"/>
                <w:color w:val="auto"/>
                <w:sz w:val="21"/>
                <w:szCs w:val="24"/>
                <w:highlight w:val="none"/>
              </w:rPr>
              <w:t>联合协议或者分包意向协议约定小微企业的合同份额占到合同总金额 30%以上的，对联合体或者大中型企业的</w:t>
            </w:r>
            <w:r>
              <w:rPr>
                <w:rFonts w:hint="eastAsia" w:ascii="宋体" w:hAnsi="宋体" w:eastAsia="宋体" w:cs="宋体"/>
                <w:bCs w:val="0"/>
                <w:color w:val="auto"/>
                <w:sz w:val="21"/>
                <w:szCs w:val="24"/>
                <w:highlight w:val="none"/>
                <w:lang w:eastAsia="zh-CN"/>
              </w:rPr>
              <w:t>最后</w:t>
            </w:r>
            <w:r>
              <w:rPr>
                <w:rFonts w:hint="eastAsia" w:ascii="宋体" w:hAnsi="宋体" w:eastAsia="宋体" w:cs="宋体"/>
                <w:bCs w:val="0"/>
                <w:color w:val="auto"/>
                <w:sz w:val="21"/>
                <w:szCs w:val="24"/>
                <w:highlight w:val="none"/>
              </w:rPr>
              <w:t>报价给予</w:t>
            </w:r>
            <w:r>
              <w:rPr>
                <w:rFonts w:hint="eastAsia" w:ascii="宋体" w:hAnsi="宋体" w:eastAsia="宋体" w:cs="宋体"/>
                <w:b/>
                <w:bCs/>
                <w:color w:val="auto"/>
                <w:sz w:val="21"/>
                <w:szCs w:val="24"/>
                <w:highlight w:val="none"/>
              </w:rPr>
              <w:t xml:space="preserve"> </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 w:val="21"/>
                <w:szCs w:val="24"/>
                <w:highlight w:val="none"/>
              </w:rPr>
              <w:t>的扣除，用扣除后的价格参加评审</w:t>
            </w:r>
            <w:r>
              <w:rPr>
                <w:rFonts w:hint="eastAsia" w:ascii="宋体" w:hAnsi="宋体" w:eastAsia="宋体" w:cs="宋体"/>
                <w:bCs w:val="0"/>
                <w:color w:val="auto"/>
                <w:szCs w:val="24"/>
                <w:highlight w:val="none"/>
              </w:rPr>
              <w:t>，扣除后的价格为</w:t>
            </w:r>
            <w:r>
              <w:rPr>
                <w:rFonts w:hint="eastAsia" w:ascii="宋体" w:hAnsi="宋体" w:eastAsia="宋体" w:cs="宋体"/>
                <w:bCs w:val="0"/>
                <w:color w:val="auto"/>
                <w:szCs w:val="24"/>
                <w:highlight w:val="none"/>
                <w:lang w:eastAsia="zh-CN"/>
              </w:rPr>
              <w:t>评审</w:t>
            </w:r>
            <w:r>
              <w:rPr>
                <w:rFonts w:hint="eastAsia" w:ascii="宋体" w:hAnsi="宋体" w:eastAsia="宋体" w:cs="宋体"/>
                <w:bCs w:val="0"/>
                <w:color w:val="auto"/>
                <w:szCs w:val="24"/>
                <w:highlight w:val="none"/>
              </w:rPr>
              <w:t>价，即</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最后报价</w:t>
            </w:r>
            <w:r>
              <w:rPr>
                <w:rFonts w:hint="eastAsia" w:ascii="宋体" w:hAnsi="宋体" w:eastAsia="宋体" w:cs="宋体"/>
                <w:bCs w:val="0"/>
                <w:color w:val="auto"/>
                <w:szCs w:val="24"/>
                <w:highlight w:val="none"/>
              </w:rPr>
              <w:t>×（1</w:t>
            </w:r>
            <w:r>
              <w:rPr>
                <w:rFonts w:hint="eastAsia" w:ascii="宋体" w:hAnsi="宋体" w:eastAsia="宋体" w:cs="宋体"/>
                <w:bCs w:val="0"/>
                <w:color w:val="auto"/>
                <w:szCs w:val="24"/>
                <w:highlight w:val="none"/>
                <w:lang w:eastAsia="zh-CN"/>
              </w:rPr>
              <w:t>－</w:t>
            </w:r>
            <w:r>
              <w:rPr>
                <w:rFonts w:hint="eastAsia" w:ascii="宋体" w:hAnsi="宋体" w:eastAsia="宋体" w:cs="宋体"/>
                <w:b/>
                <w:bCs/>
                <w:color w:val="auto"/>
                <w:szCs w:val="24"/>
                <w:highlight w:val="none"/>
                <w:u w:val="none"/>
                <w:lang w:val="en-US" w:eastAsia="zh-CN"/>
              </w:rPr>
              <w:t>4%</w:t>
            </w:r>
            <w:r>
              <w:rPr>
                <w:rFonts w:hint="eastAsia" w:ascii="宋体" w:hAnsi="宋体" w:eastAsia="宋体" w:cs="宋体"/>
                <w:bCs w:val="0"/>
                <w:color w:val="auto"/>
                <w:szCs w:val="24"/>
                <w:highlight w:val="none"/>
              </w:rPr>
              <w:t>）</w:t>
            </w:r>
            <w:r>
              <w:rPr>
                <w:rFonts w:hint="eastAsia" w:ascii="宋体" w:hAnsi="宋体" w:eastAsia="宋体" w:cs="宋体"/>
                <w:bCs w:val="0"/>
                <w:color w:val="auto"/>
                <w:szCs w:val="24"/>
                <w:highlight w:val="none"/>
                <w:lang w:eastAsia="zh-CN"/>
              </w:rPr>
              <w:t>。</w:t>
            </w:r>
          </w:p>
          <w:p w14:paraId="187FB4EB">
            <w:pPr>
              <w:snapToGrid/>
              <w:spacing w:line="360" w:lineRule="auto"/>
              <w:ind w:firstLine="420" w:firstLineChars="200"/>
              <w:jc w:val="left"/>
              <w:rPr>
                <w:rFonts w:hint="eastAsia" w:ascii="宋体" w:hAnsi="宋体" w:eastAsia="宋体" w:cs="宋体"/>
                <w:color w:val="auto"/>
                <w:szCs w:val="24"/>
                <w:highlight w:val="none"/>
              </w:rPr>
            </w:pPr>
            <w:r>
              <w:rPr>
                <w:rFonts w:hint="eastAsia" w:ascii="宋体" w:hAnsi="宋体" w:eastAsia="宋体" w:cs="宋体"/>
                <w:color w:val="auto"/>
                <w:szCs w:val="24"/>
                <w:highlight w:val="none"/>
              </w:rPr>
              <w:t>除上述情况外，</w:t>
            </w:r>
            <w:r>
              <w:rPr>
                <w:rFonts w:hint="eastAsia" w:ascii="宋体" w:hAnsi="宋体" w:eastAsia="宋体" w:cs="宋体"/>
                <w:color w:val="auto"/>
                <w:szCs w:val="24"/>
                <w:highlight w:val="none"/>
                <w:lang w:eastAsia="zh-CN"/>
              </w:rPr>
              <w:t>评审价</w:t>
            </w:r>
            <w:r>
              <w:rPr>
                <w:rFonts w:hint="eastAsia" w:ascii="宋体" w:hAnsi="宋体" w:eastAsia="宋体" w:cs="宋体"/>
                <w:color w:val="auto"/>
                <w:szCs w:val="24"/>
                <w:highlight w:val="none"/>
              </w:rPr>
              <w:t>=</w:t>
            </w:r>
            <w:r>
              <w:rPr>
                <w:rFonts w:hint="eastAsia" w:ascii="宋体" w:hAnsi="宋体" w:eastAsia="宋体" w:cs="宋体"/>
                <w:color w:val="auto"/>
                <w:szCs w:val="24"/>
                <w:highlight w:val="none"/>
                <w:lang w:eastAsia="zh-CN"/>
              </w:rPr>
              <w:t>最后报价</w:t>
            </w:r>
            <w:r>
              <w:rPr>
                <w:rFonts w:hint="eastAsia" w:ascii="宋体" w:hAnsi="宋体" w:eastAsia="宋体" w:cs="宋体"/>
                <w:color w:val="auto"/>
                <w:szCs w:val="24"/>
                <w:highlight w:val="none"/>
              </w:rPr>
              <w:t>。</w:t>
            </w:r>
          </w:p>
          <w:p w14:paraId="5C826B38">
            <w:pPr>
              <w:snapToGrid/>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1.3 </w:t>
            </w:r>
            <w:r>
              <w:rPr>
                <w:rFonts w:hint="eastAsia" w:ascii="宋体" w:hAnsi="宋体" w:eastAsia="宋体" w:cs="宋体"/>
                <w:bCs w:val="0"/>
                <w:color w:val="auto"/>
                <w:szCs w:val="24"/>
                <w:highlight w:val="none"/>
              </w:rPr>
              <w:t>满足</w:t>
            </w:r>
            <w:r>
              <w:rPr>
                <w:rFonts w:hint="eastAsia" w:ascii="宋体" w:hAnsi="宋体" w:eastAsia="宋体" w:cs="宋体"/>
                <w:bCs w:val="0"/>
                <w:color w:val="auto"/>
                <w:szCs w:val="24"/>
                <w:highlight w:val="none"/>
                <w:lang w:eastAsia="zh-CN"/>
              </w:rPr>
              <w:t>磋商文件</w:t>
            </w:r>
            <w:r>
              <w:rPr>
                <w:rFonts w:hint="eastAsia" w:ascii="宋体" w:hAnsi="宋体" w:eastAsia="宋体" w:cs="宋体"/>
                <w:bCs w:val="0"/>
                <w:color w:val="auto"/>
                <w:szCs w:val="24"/>
                <w:highlight w:val="none"/>
              </w:rPr>
              <w:t>要求且</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最低的</w:t>
            </w:r>
            <w:r>
              <w:rPr>
                <w:rFonts w:hint="eastAsia" w:ascii="宋体" w:hAnsi="宋体" w:eastAsia="宋体" w:cs="宋体"/>
                <w:bCs w:val="0"/>
                <w:color w:val="auto"/>
                <w:szCs w:val="24"/>
                <w:highlight w:val="none"/>
                <w:lang w:eastAsia="zh-CN"/>
              </w:rPr>
              <w:t>评审价</w:t>
            </w:r>
            <w:r>
              <w:rPr>
                <w:rFonts w:hint="eastAsia" w:ascii="宋体" w:hAnsi="宋体" w:eastAsia="宋体" w:cs="宋体"/>
                <w:bCs w:val="0"/>
                <w:color w:val="auto"/>
                <w:szCs w:val="24"/>
                <w:highlight w:val="none"/>
              </w:rPr>
              <w:t>为</w:t>
            </w:r>
            <w:r>
              <w:rPr>
                <w:rFonts w:hint="eastAsia" w:ascii="宋体" w:hAnsi="宋体" w:eastAsia="宋体" w:cs="宋体"/>
                <w:bCs w:val="0"/>
                <w:color w:val="auto"/>
                <w:szCs w:val="24"/>
                <w:highlight w:val="none"/>
                <w:lang w:eastAsia="zh-CN"/>
              </w:rPr>
              <w:t>评审基准价</w:t>
            </w:r>
            <w:r>
              <w:rPr>
                <w:rFonts w:hint="eastAsia" w:ascii="宋体" w:hAnsi="宋体" w:eastAsia="宋体" w:cs="宋体"/>
                <w:bCs w:val="0"/>
                <w:color w:val="auto"/>
                <w:szCs w:val="24"/>
                <w:highlight w:val="none"/>
              </w:rPr>
              <w:t>，基准价得分为</w:t>
            </w:r>
            <w:r>
              <w:rPr>
                <w:rFonts w:hint="eastAsia" w:ascii="宋体" w:hAnsi="宋体" w:eastAsia="宋体" w:cs="宋体"/>
                <w:bCs w:val="0"/>
                <w:color w:val="auto"/>
                <w:szCs w:val="24"/>
                <w:highlight w:val="none"/>
                <w:u w:val="none"/>
                <w:lang w:val="en-US" w:eastAsia="zh-CN"/>
              </w:rPr>
              <w:t>20</w:t>
            </w:r>
            <w:r>
              <w:rPr>
                <w:rFonts w:hint="eastAsia" w:ascii="宋体" w:hAnsi="宋体" w:eastAsia="宋体" w:cs="宋体"/>
                <w:bCs w:val="0"/>
                <w:color w:val="auto"/>
                <w:szCs w:val="24"/>
                <w:highlight w:val="none"/>
              </w:rPr>
              <w:t>分。</w:t>
            </w:r>
          </w:p>
          <w:p w14:paraId="62528EFC">
            <w:pPr>
              <w:spacing w:line="360" w:lineRule="auto"/>
              <w:ind w:firstLine="420" w:firstLineChars="200"/>
              <w:jc w:val="left"/>
              <w:rPr>
                <w:rFonts w:hint="eastAsia" w:ascii="宋体" w:hAnsi="宋体" w:eastAsia="宋体" w:cs="宋体"/>
                <w:bCs w:val="0"/>
                <w:color w:val="auto"/>
                <w:szCs w:val="24"/>
                <w:highlight w:val="none"/>
              </w:rPr>
            </w:pPr>
            <w:r>
              <w:rPr>
                <w:rFonts w:hint="eastAsia" w:ascii="宋体" w:hAnsi="宋体" w:eastAsia="宋体" w:cs="宋体"/>
                <w:bCs w:val="0"/>
                <w:color w:val="auto"/>
                <w:szCs w:val="24"/>
                <w:highlight w:val="none"/>
                <w:lang w:val="en-US" w:eastAsia="zh-CN"/>
              </w:rPr>
              <w:t xml:space="preserve">1.4 </w:t>
            </w:r>
            <w:r>
              <w:rPr>
                <w:rFonts w:hint="eastAsia" w:ascii="宋体" w:hAnsi="宋体" w:eastAsia="宋体" w:cs="宋体"/>
                <w:bCs w:val="0"/>
                <w:color w:val="auto"/>
                <w:szCs w:val="24"/>
                <w:highlight w:val="none"/>
              </w:rPr>
              <w:t>价格分计算公式：</w:t>
            </w:r>
          </w:p>
          <w:p w14:paraId="02B32501">
            <w:pPr>
              <w:spacing w:line="360" w:lineRule="auto"/>
              <w:ind w:firstLine="420" w:firstLineChars="200"/>
              <w:jc w:val="center"/>
              <w:rPr>
                <w:rFonts w:hint="eastAsia"/>
                <w:color w:val="auto"/>
                <w:highlight w:val="none"/>
              </w:rPr>
            </w:pPr>
            <w:r>
              <w:rPr>
                <w:rFonts w:hint="eastAsia" w:ascii="宋体" w:hAnsi="宋体" w:eastAsia="宋体" w:cs="宋体"/>
                <w:bCs/>
                <w:color w:val="auto"/>
                <w:sz w:val="21"/>
                <w:highlight w:val="none"/>
                <w:lang w:val="en-US" w:eastAsia="zh-CN"/>
              </w:rPr>
              <w:t>价格分</w:t>
            </w:r>
            <w:r>
              <w:rPr>
                <w:rFonts w:hint="eastAsia" w:ascii="宋体" w:hAnsi="宋体" w:eastAsia="宋体" w:cs="宋体"/>
                <w:bCs/>
                <w:color w:val="auto"/>
                <w:kern w:val="2"/>
                <w:sz w:val="21"/>
                <w:highlight w:val="none"/>
                <w:lang w:val="en-US" w:eastAsia="zh-CN"/>
              </w:rPr>
              <w:t>=(评审基准价／评审价)×</w:t>
            </w:r>
            <w:r>
              <w:rPr>
                <w:rFonts w:hint="eastAsia" w:ascii="宋体" w:hAnsi="宋体" w:eastAsia="宋体" w:cs="宋体"/>
                <w:bCs/>
                <w:color w:val="auto"/>
                <w:sz w:val="21"/>
                <w:highlight w:val="none"/>
                <w:u w:val="single"/>
                <w:lang w:val="en-US" w:eastAsia="zh-CN"/>
              </w:rPr>
              <w:t xml:space="preserve"> 20  </w:t>
            </w:r>
            <w:r>
              <w:rPr>
                <w:rFonts w:hint="eastAsia" w:ascii="宋体" w:hAnsi="宋体" w:eastAsia="宋体" w:cs="宋体"/>
                <w:bCs/>
                <w:color w:val="auto"/>
                <w:kern w:val="2"/>
                <w:sz w:val="21"/>
                <w:highlight w:val="none"/>
                <w:lang w:val="en-US" w:eastAsia="zh-CN"/>
              </w:rPr>
              <w:t>分</w:t>
            </w:r>
          </w:p>
        </w:tc>
        <w:tc>
          <w:tcPr>
            <w:tcW w:w="957" w:type="dxa"/>
            <w:noWrap w:val="0"/>
            <w:vAlign w:val="center"/>
          </w:tcPr>
          <w:p w14:paraId="2E00CD41">
            <w:pPr>
              <w:spacing w:line="360" w:lineRule="auto"/>
              <w:jc w:val="center"/>
              <w:rPr>
                <w:rFonts w:hint="eastAsia"/>
                <w:bCs/>
                <w:color w:val="auto"/>
                <w:szCs w:val="21"/>
                <w:highlight w:val="none"/>
              </w:rPr>
            </w:pPr>
            <w:r>
              <w:rPr>
                <w:rFonts w:hint="eastAsia" w:ascii="宋体" w:hAnsi="宋体" w:cs="Tahoma"/>
                <w:color w:val="auto"/>
                <w:kern w:val="0"/>
                <w:szCs w:val="21"/>
                <w:highlight w:val="none"/>
                <w:lang w:val="en-US" w:eastAsia="zh-CN"/>
              </w:rPr>
              <w:t>20</w:t>
            </w:r>
            <w:r>
              <w:rPr>
                <w:rFonts w:hint="eastAsia" w:ascii="宋体" w:hAnsi="宋体" w:cs="Tahoma"/>
                <w:color w:val="auto"/>
                <w:kern w:val="0"/>
                <w:szCs w:val="21"/>
                <w:highlight w:val="none"/>
              </w:rPr>
              <w:t>分</w:t>
            </w:r>
          </w:p>
        </w:tc>
      </w:tr>
      <w:tr w14:paraId="3FD4A3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restart"/>
            <w:noWrap w:val="0"/>
            <w:vAlign w:val="center"/>
          </w:tcPr>
          <w:p w14:paraId="1C3658A1">
            <w:pPr>
              <w:spacing w:line="360" w:lineRule="auto"/>
              <w:jc w:val="center"/>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2</w:t>
            </w:r>
          </w:p>
        </w:tc>
        <w:tc>
          <w:tcPr>
            <w:tcW w:w="1086" w:type="dxa"/>
            <w:vMerge w:val="restart"/>
            <w:noWrap w:val="0"/>
            <w:vAlign w:val="center"/>
          </w:tcPr>
          <w:p w14:paraId="76AD8962">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技术</w:t>
            </w:r>
            <w:r>
              <w:rPr>
                <w:rFonts w:hint="eastAsia" w:ascii="宋体" w:hAnsi="宋体" w:eastAsia="宋体" w:cs="宋体"/>
                <w:bCs/>
                <w:color w:val="auto"/>
                <w:szCs w:val="21"/>
                <w:highlight w:val="none"/>
                <w:lang w:eastAsia="zh-CN"/>
              </w:rPr>
              <w:t>分</w:t>
            </w:r>
          </w:p>
        </w:tc>
        <w:tc>
          <w:tcPr>
            <w:tcW w:w="1051" w:type="dxa"/>
            <w:noWrap w:val="0"/>
            <w:vAlign w:val="center"/>
          </w:tcPr>
          <w:p w14:paraId="728B564B">
            <w:pPr>
              <w:spacing w:line="360" w:lineRule="auto"/>
              <w:ind w:firstLine="0" w:firstLineChars="0"/>
              <w:jc w:val="left"/>
              <w:rPr>
                <w:rFonts w:hint="eastAsia" w:ascii="宋体" w:hAnsi="宋体" w:eastAsia="宋体" w:cs="宋体"/>
                <w:color w:val="auto"/>
                <w:highlight w:val="none"/>
                <w:lang w:eastAsia="zh-CN"/>
              </w:rPr>
            </w:pPr>
            <w:r>
              <w:rPr>
                <w:rFonts w:hint="eastAsia" w:ascii="宋体" w:hAnsi="宋体" w:eastAsia="宋体" w:cs="宋体"/>
                <w:color w:val="auto"/>
                <w:highlight w:val="none"/>
                <w:lang w:val="en-US" w:eastAsia="zh-CN"/>
              </w:rPr>
              <w:t>2.1项目实施方案分（</w:t>
            </w:r>
            <w:r>
              <w:rPr>
                <w:rFonts w:hint="eastAsia" w:ascii="宋体" w:hAnsi="宋体" w:eastAsia="宋体" w:cs="宋体"/>
                <w:color w:val="auto"/>
                <w:highlight w:val="none"/>
                <w:lang w:eastAsia="zh-CN"/>
              </w:rPr>
              <w:t>满分</w:t>
            </w:r>
            <w:r>
              <w:rPr>
                <w:rFonts w:hint="eastAsia" w:ascii="宋体" w:hAnsi="宋体" w:cs="宋体"/>
                <w:color w:val="auto"/>
                <w:highlight w:val="none"/>
                <w:lang w:val="en-US" w:eastAsia="zh-CN"/>
              </w:rPr>
              <w:t>15</w:t>
            </w:r>
            <w:r>
              <w:rPr>
                <w:rFonts w:hint="eastAsia" w:ascii="宋体" w:hAnsi="宋体" w:eastAsia="宋体" w:cs="宋体"/>
                <w:color w:val="auto"/>
                <w:highlight w:val="none"/>
                <w:lang w:val="en-US" w:eastAsia="zh-CN"/>
              </w:rPr>
              <w:t>分</w:t>
            </w:r>
            <w:r>
              <w:rPr>
                <w:rFonts w:hint="eastAsia" w:ascii="宋体" w:hAnsi="宋体" w:eastAsia="宋体" w:cs="宋体"/>
                <w:color w:val="auto"/>
                <w:highlight w:val="none"/>
                <w:lang w:eastAsia="zh-CN"/>
              </w:rPr>
              <w:t>）</w:t>
            </w:r>
          </w:p>
        </w:tc>
        <w:tc>
          <w:tcPr>
            <w:tcW w:w="5922" w:type="dxa"/>
            <w:noWrap w:val="0"/>
            <w:vAlign w:val="center"/>
          </w:tcPr>
          <w:p w14:paraId="2253494E">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评标</w:t>
            </w:r>
            <w:r>
              <w:rPr>
                <w:rFonts w:hint="eastAsia" w:ascii="宋体" w:hAnsi="宋体" w:eastAsia="宋体" w:cs="宋体"/>
                <w:b w:val="0"/>
                <w:bCs w:val="0"/>
                <w:color w:val="auto"/>
                <w:sz w:val="21"/>
                <w:szCs w:val="21"/>
                <w:highlight w:val="none"/>
                <w:lang w:eastAsia="zh-CN"/>
              </w:rPr>
              <w:t>小组</w:t>
            </w:r>
            <w:r>
              <w:rPr>
                <w:rFonts w:hint="eastAsia" w:ascii="宋体" w:hAnsi="宋体" w:eastAsia="宋体" w:cs="宋体"/>
                <w:b w:val="0"/>
                <w:bCs w:val="0"/>
                <w:color w:val="auto"/>
                <w:sz w:val="21"/>
                <w:szCs w:val="21"/>
                <w:highlight w:val="none"/>
              </w:rPr>
              <w:t>根据</w:t>
            </w:r>
            <w:r>
              <w:rPr>
                <w:rFonts w:hint="eastAsia" w:ascii="宋体" w:hAnsi="宋体" w:eastAsia="宋体" w:cs="宋体"/>
                <w:b w:val="0"/>
                <w:bCs w:val="0"/>
                <w:color w:val="auto"/>
                <w:sz w:val="21"/>
                <w:szCs w:val="21"/>
                <w:highlight w:val="none"/>
                <w:lang w:eastAsia="zh-CN"/>
              </w:rPr>
              <w:t>供应商</w:t>
            </w:r>
            <w:r>
              <w:rPr>
                <w:rFonts w:hint="eastAsia" w:ascii="宋体" w:hAnsi="宋体" w:eastAsia="宋体" w:cs="宋体"/>
                <w:b w:val="0"/>
                <w:bCs w:val="0"/>
                <w:color w:val="auto"/>
                <w:sz w:val="21"/>
                <w:szCs w:val="21"/>
                <w:highlight w:val="none"/>
              </w:rPr>
              <w:t>提供的项目实施方案</w:t>
            </w:r>
            <w:r>
              <w:rPr>
                <w:rFonts w:hint="eastAsia" w:ascii="宋体" w:hAnsi="宋体" w:eastAsia="宋体" w:cs="宋体"/>
                <w:b w:val="0"/>
                <w:bCs w:val="0"/>
                <w:color w:val="auto"/>
                <w:sz w:val="21"/>
                <w:szCs w:val="21"/>
                <w:highlight w:val="none"/>
                <w:lang w:val="en-US" w:eastAsia="zh-CN"/>
              </w:rPr>
              <w:t>进行评审，</w:t>
            </w:r>
            <w:r>
              <w:rPr>
                <w:rFonts w:hint="eastAsia" w:ascii="宋体" w:hAnsi="宋体" w:eastAsia="宋体" w:cs="宋体"/>
                <w:b w:val="0"/>
                <w:bCs w:val="0"/>
                <w:color w:val="auto"/>
                <w:spacing w:val="7"/>
                <w:sz w:val="21"/>
                <w:szCs w:val="21"/>
                <w:highlight w:val="none"/>
                <w:lang w:val="en-US" w:eastAsia="zh-CN"/>
              </w:rPr>
              <w:t>评审内容：</w:t>
            </w:r>
            <w:r>
              <w:rPr>
                <w:rFonts w:hint="eastAsia" w:ascii="宋体" w:hAnsi="宋体" w:eastAsia="宋体" w:cs="宋体"/>
                <w:b w:val="0"/>
                <w:bCs w:val="0"/>
                <w:color w:val="auto"/>
                <w:sz w:val="21"/>
                <w:szCs w:val="21"/>
                <w:highlight w:val="none"/>
              </w:rPr>
              <w:t>①</w:t>
            </w:r>
            <w:r>
              <w:rPr>
                <w:rFonts w:hint="eastAsia" w:ascii="宋体" w:hAnsi="宋体" w:eastAsia="宋体" w:cs="宋体"/>
                <w:b w:val="0"/>
                <w:bCs w:val="0"/>
                <w:color w:val="auto"/>
                <w:sz w:val="21"/>
                <w:szCs w:val="21"/>
                <w:highlight w:val="none"/>
                <w:lang w:val="en-US" w:eastAsia="zh-CN"/>
              </w:rPr>
              <w:t>供货进度计划</w:t>
            </w:r>
            <w:r>
              <w:rPr>
                <w:rFonts w:hint="eastAsia" w:ascii="宋体" w:hAnsi="宋体" w:eastAsia="宋体" w:cs="宋体"/>
                <w:b w:val="0"/>
                <w:bCs w:val="0"/>
                <w:color w:val="auto"/>
                <w:sz w:val="21"/>
                <w:szCs w:val="21"/>
                <w:highlight w:val="none"/>
              </w:rPr>
              <w:t>；②</w:t>
            </w:r>
            <w:r>
              <w:rPr>
                <w:rFonts w:hint="eastAsia" w:ascii="宋体" w:hAnsi="宋体" w:eastAsia="宋体" w:cs="宋体"/>
                <w:b w:val="0"/>
                <w:bCs w:val="0"/>
                <w:color w:val="auto"/>
                <w:sz w:val="21"/>
                <w:szCs w:val="21"/>
                <w:highlight w:val="none"/>
                <w:lang w:val="en-US" w:eastAsia="zh-CN"/>
              </w:rPr>
              <w:t>人员配备</w:t>
            </w:r>
            <w:r>
              <w:rPr>
                <w:rFonts w:hint="eastAsia" w:ascii="宋体" w:hAnsi="宋体" w:eastAsia="宋体" w:cs="宋体"/>
                <w:b w:val="0"/>
                <w:bCs w:val="0"/>
                <w:color w:val="auto"/>
                <w:sz w:val="21"/>
                <w:szCs w:val="21"/>
                <w:highlight w:val="none"/>
              </w:rPr>
              <w:t>；③</w:t>
            </w:r>
            <w:r>
              <w:rPr>
                <w:rFonts w:hint="eastAsia" w:ascii="宋体" w:hAnsi="宋体" w:eastAsia="宋体" w:cs="宋体"/>
                <w:b w:val="0"/>
                <w:bCs w:val="0"/>
                <w:color w:val="auto"/>
                <w:sz w:val="21"/>
                <w:szCs w:val="21"/>
                <w:highlight w:val="none"/>
                <w:lang w:val="en-US" w:eastAsia="zh-CN"/>
              </w:rPr>
              <w:t>订单处理流程</w:t>
            </w:r>
            <w:r>
              <w:rPr>
                <w:rFonts w:hint="eastAsia" w:ascii="宋体" w:hAnsi="宋体" w:eastAsia="宋体" w:cs="宋体"/>
                <w:b w:val="0"/>
                <w:bCs w:val="0"/>
                <w:color w:val="auto"/>
                <w:sz w:val="21"/>
                <w:szCs w:val="21"/>
                <w:highlight w:val="none"/>
              </w:rPr>
              <w:t>；④</w:t>
            </w:r>
            <w:r>
              <w:rPr>
                <w:rFonts w:hint="eastAsia" w:ascii="宋体" w:hAnsi="宋体" w:eastAsia="宋体" w:cs="宋体"/>
                <w:b w:val="0"/>
                <w:bCs w:val="0"/>
                <w:color w:val="auto"/>
                <w:sz w:val="21"/>
                <w:szCs w:val="21"/>
                <w:highlight w:val="none"/>
                <w:lang w:val="en-US" w:eastAsia="zh-CN"/>
              </w:rPr>
              <w:t>图书的包装及配送方案</w:t>
            </w:r>
            <w:r>
              <w:rPr>
                <w:rFonts w:hint="eastAsia" w:ascii="宋体" w:hAnsi="宋体" w:eastAsia="宋体" w:cs="宋体"/>
                <w:b w:val="0"/>
                <w:bCs w:val="0"/>
                <w:color w:val="auto"/>
                <w:sz w:val="21"/>
                <w:szCs w:val="21"/>
                <w:highlight w:val="none"/>
              </w:rPr>
              <w:t>；⑤项目实施过程中的沟通渠道便捷顺畅</w:t>
            </w:r>
            <w:r>
              <w:rPr>
                <w:rFonts w:hint="eastAsia" w:ascii="宋体" w:hAnsi="宋体" w:eastAsia="宋体" w:cs="宋体"/>
                <w:b w:val="0"/>
                <w:bCs w:val="0"/>
                <w:color w:val="auto"/>
                <w:sz w:val="21"/>
                <w:szCs w:val="21"/>
                <w:highlight w:val="none"/>
                <w:lang w:eastAsia="zh-CN"/>
              </w:rPr>
              <w:t>。</w:t>
            </w:r>
          </w:p>
          <w:p w14:paraId="4E83EE44">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一</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分）：有总体进度表；配备项目负责人及基础服务人员；有基础订单接收、确认、反馈流程；采用标准包装，明确配送方式；提供 1 种沟通方式（电话 / 邮箱）</w:t>
            </w:r>
            <w:r>
              <w:rPr>
                <w:rFonts w:hint="eastAsia" w:ascii="宋体" w:hAnsi="宋体" w:eastAsia="宋体" w:cs="宋体"/>
                <w:b w:val="0"/>
                <w:bCs w:val="0"/>
                <w:color w:val="auto"/>
                <w:sz w:val="21"/>
                <w:szCs w:val="21"/>
                <w:highlight w:val="none"/>
                <w:lang w:eastAsia="zh-CN"/>
              </w:rPr>
              <w:t>。</w:t>
            </w:r>
          </w:p>
          <w:p w14:paraId="64169E06">
            <w:pPr>
              <w:pStyle w:val="13"/>
              <w:spacing w:before="193" w:line="240" w:lineRule="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二</w:t>
            </w:r>
            <w:r>
              <w:rPr>
                <w:rFonts w:hint="eastAsia" w:ascii="宋体" w:hAnsi="宋体" w:eastAsia="宋体" w:cs="宋体"/>
                <w:b w:val="0"/>
                <w:bCs w:val="0"/>
                <w:color w:val="auto"/>
                <w:sz w:val="21"/>
                <w:szCs w:val="21"/>
                <w:highlight w:val="none"/>
              </w:rPr>
              <w:t>档（</w:t>
            </w:r>
            <w:r>
              <w:rPr>
                <w:rFonts w:hint="eastAsia" w:ascii="宋体" w:hAnsi="宋体" w:cs="宋体"/>
                <w:b w:val="0"/>
                <w:bCs w:val="0"/>
                <w:color w:val="auto"/>
                <w:sz w:val="21"/>
                <w:szCs w:val="21"/>
                <w:highlight w:val="none"/>
                <w:lang w:val="en-US" w:eastAsia="zh-CN"/>
              </w:rPr>
              <w:t>10</w:t>
            </w:r>
            <w:r>
              <w:rPr>
                <w:rFonts w:hint="eastAsia" w:ascii="宋体" w:hAnsi="宋体" w:eastAsia="宋体" w:cs="宋体"/>
                <w:b w:val="0"/>
                <w:bCs w:val="0"/>
                <w:color w:val="auto"/>
                <w:sz w:val="21"/>
                <w:szCs w:val="21"/>
                <w:highlight w:val="none"/>
              </w:rPr>
              <w:t>分）：分阶段制定进度表；项目负责人具备图书采购项目经验，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现场服务人员≥2人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订单处理时效≤24小时；采用标准包装，明确配送方式图书使用防潮、防破损包装，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w:t>
            </w:r>
            <w:r>
              <w:rPr>
                <w:rFonts w:hint="eastAsia" w:ascii="宋体" w:hAnsi="宋体" w:eastAsia="宋体" w:cs="宋体"/>
                <w:b w:val="0"/>
                <w:bCs w:val="0"/>
                <w:color w:val="auto"/>
                <w:sz w:val="21"/>
                <w:szCs w:val="21"/>
                <w:highlight w:val="none"/>
                <w:lang w:val="en-US" w:eastAsia="zh-CN"/>
              </w:rPr>
              <w:t>3</w:t>
            </w:r>
            <w:r>
              <w:rPr>
                <w:rFonts w:hint="eastAsia" w:ascii="宋体" w:hAnsi="宋体" w:eastAsia="宋体" w:cs="宋体"/>
                <w:b w:val="0"/>
                <w:bCs w:val="0"/>
                <w:color w:val="auto"/>
                <w:sz w:val="21"/>
                <w:szCs w:val="21"/>
                <w:highlight w:val="none"/>
              </w:rPr>
              <w:t>%；提供电话、邮箱</w:t>
            </w:r>
            <w:r>
              <w:rPr>
                <w:rFonts w:hint="eastAsia" w:ascii="宋体" w:hAnsi="宋体" w:eastAsia="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rPr>
              <w:t xml:space="preserve"> 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 2 小时内响应</w:t>
            </w:r>
            <w:r>
              <w:rPr>
                <w:rFonts w:hint="eastAsia" w:ascii="宋体" w:hAnsi="宋体" w:eastAsia="宋体" w:cs="宋体"/>
                <w:b w:val="0"/>
                <w:bCs w:val="0"/>
                <w:color w:val="auto"/>
                <w:sz w:val="21"/>
                <w:szCs w:val="21"/>
                <w:highlight w:val="none"/>
                <w:lang w:eastAsia="zh-CN"/>
              </w:rPr>
              <w:t>。</w:t>
            </w:r>
          </w:p>
          <w:p w14:paraId="4DCD3731">
            <w:pPr>
              <w:pStyle w:val="13"/>
              <w:keepNext w:val="0"/>
              <w:keepLines w:val="0"/>
              <w:pageBreakBefore w:val="0"/>
              <w:widowControl w:val="0"/>
              <w:kinsoku/>
              <w:wordWrap/>
              <w:overflowPunct/>
              <w:topLinePunct w:val="0"/>
              <w:autoSpaceDE/>
              <w:autoSpaceDN/>
              <w:bidi w:val="0"/>
              <w:adjustRightInd/>
              <w:snapToGrid/>
              <w:spacing w:before="193" w:line="240" w:lineRule="auto"/>
              <w:textAlignment w:val="auto"/>
              <w:rPr>
                <w:rFonts w:hint="eastAsia" w:ascii="宋体" w:hAnsi="宋体" w:eastAsia="宋体" w:cs="宋体"/>
                <w:b w:val="0"/>
                <w:bCs w:val="0"/>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三</w:t>
            </w:r>
            <w:r>
              <w:rPr>
                <w:rFonts w:hint="eastAsia" w:ascii="宋体" w:hAnsi="宋体" w:eastAsia="宋体" w:cs="宋体"/>
                <w:b w:val="0"/>
                <w:bCs w:val="0"/>
                <w:color w:val="auto"/>
                <w:sz w:val="21"/>
                <w:szCs w:val="21"/>
                <w:highlight w:val="none"/>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分）：进度表细化到每日任务；项目负责人具备图书采购项目经验，</w:t>
            </w:r>
            <w:r>
              <w:rPr>
                <w:rFonts w:hint="eastAsia" w:ascii="宋体" w:hAnsi="宋体" w:cs="宋体"/>
                <w:b w:val="0"/>
                <w:bCs w:val="0"/>
                <w:color w:val="auto"/>
                <w:sz w:val="21"/>
                <w:szCs w:val="21"/>
                <w:highlight w:val="none"/>
                <w:lang w:val="en-US" w:eastAsia="zh-CN"/>
              </w:rPr>
              <w:t>并</w:t>
            </w:r>
            <w:r>
              <w:rPr>
                <w:rFonts w:hint="eastAsia"/>
                <w:color w:val="auto"/>
                <w:highlight w:val="none"/>
                <w:lang w:val="en-US" w:eastAsia="zh-CN"/>
              </w:rPr>
              <w:t>提供具备图书采购项目经验的承诺函，</w:t>
            </w:r>
            <w:r>
              <w:rPr>
                <w:rFonts w:hint="eastAsia" w:ascii="宋体" w:hAnsi="宋体" w:eastAsia="宋体" w:cs="宋体"/>
                <w:b w:val="0"/>
                <w:bCs w:val="0"/>
                <w:color w:val="auto"/>
                <w:sz w:val="21"/>
                <w:szCs w:val="21"/>
                <w:highlight w:val="none"/>
              </w:rPr>
              <w:t>现场服务人员≥</w:t>
            </w:r>
            <w:r>
              <w:rPr>
                <w:rFonts w:hint="eastAsia" w:ascii="宋体" w:hAnsi="宋体" w:eastAsia="宋体" w:cs="宋体"/>
                <w:b w:val="0"/>
                <w:bCs w:val="0"/>
                <w:color w:val="auto"/>
                <w:sz w:val="21"/>
                <w:szCs w:val="21"/>
                <w:highlight w:val="none"/>
                <w:lang w:val="en-US" w:eastAsia="zh-CN"/>
              </w:rPr>
              <w:t>5</w:t>
            </w:r>
            <w:r>
              <w:rPr>
                <w:rFonts w:hint="eastAsia" w:ascii="宋体" w:hAnsi="宋体" w:eastAsia="宋体" w:cs="宋体"/>
                <w:b w:val="0"/>
                <w:bCs w:val="0"/>
                <w:color w:val="auto"/>
                <w:sz w:val="21"/>
                <w:szCs w:val="21"/>
                <w:highlight w:val="none"/>
              </w:rPr>
              <w:t>人</w:t>
            </w:r>
            <w:r>
              <w:rPr>
                <w:rFonts w:hint="eastAsia" w:ascii="宋体" w:hAnsi="宋体" w:cs="宋体"/>
                <w:b w:val="0"/>
                <w:bCs w:val="0"/>
                <w:color w:val="auto"/>
                <w:sz w:val="21"/>
                <w:szCs w:val="21"/>
                <w:highlight w:val="none"/>
                <w:lang w:eastAsia="zh-CN"/>
              </w:rPr>
              <w:t>（含项目负责人）</w:t>
            </w:r>
            <w:r>
              <w:rPr>
                <w:rFonts w:hint="eastAsia" w:ascii="宋体" w:hAnsi="宋体" w:eastAsia="宋体" w:cs="宋体"/>
                <w:b w:val="0"/>
                <w:bCs w:val="0"/>
                <w:color w:val="auto"/>
                <w:sz w:val="21"/>
                <w:szCs w:val="21"/>
                <w:highlight w:val="none"/>
              </w:rPr>
              <w:t>，有人员联系方式；有基础订单接收、确认、反馈流程</w:t>
            </w:r>
            <w:r>
              <w:rPr>
                <w:rFonts w:hint="eastAsia" w:ascii="宋体" w:hAnsi="宋体" w:eastAsia="宋体" w:cs="宋体"/>
                <w:b w:val="0"/>
                <w:bCs w:val="0"/>
                <w:color w:val="auto"/>
                <w:sz w:val="21"/>
                <w:szCs w:val="21"/>
                <w:highlight w:val="none"/>
                <w:lang w:eastAsia="zh-CN"/>
              </w:rPr>
              <w:t>，</w:t>
            </w:r>
            <w:r>
              <w:rPr>
                <w:rFonts w:hint="eastAsia" w:ascii="宋体" w:hAnsi="宋体" w:eastAsia="宋体" w:cs="宋体"/>
                <w:b w:val="0"/>
                <w:bCs w:val="0"/>
                <w:color w:val="auto"/>
                <w:sz w:val="21"/>
                <w:szCs w:val="21"/>
                <w:highlight w:val="none"/>
              </w:rPr>
              <w:t>订单处理时效≤</w:t>
            </w:r>
            <w:r>
              <w:rPr>
                <w:rFonts w:hint="eastAsia" w:ascii="宋体" w:hAnsi="宋体" w:eastAsia="宋体" w:cs="宋体"/>
                <w:b w:val="0"/>
                <w:bCs w:val="0"/>
                <w:color w:val="auto"/>
                <w:sz w:val="21"/>
                <w:szCs w:val="21"/>
                <w:highlight w:val="none"/>
                <w:lang w:val="en-US" w:eastAsia="zh-CN"/>
              </w:rPr>
              <w:t>12</w:t>
            </w:r>
            <w:r>
              <w:rPr>
                <w:rFonts w:hint="eastAsia" w:ascii="宋体" w:hAnsi="宋体" w:eastAsia="宋体" w:cs="宋体"/>
                <w:b w:val="0"/>
                <w:bCs w:val="0"/>
                <w:color w:val="auto"/>
                <w:sz w:val="21"/>
                <w:szCs w:val="21"/>
                <w:highlight w:val="none"/>
              </w:rPr>
              <w:t>小时；采用标准包装，明确配送方式图书使用防潮、防破损包装，</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单册图书破损率≤0.1%；提供电话、微信、邮箱3种沟通方式，</w:t>
            </w:r>
            <w:r>
              <w:rPr>
                <w:rFonts w:hint="eastAsia" w:ascii="宋体" w:hAnsi="宋体" w:cs="宋体"/>
                <w:b w:val="0"/>
                <w:bCs w:val="0"/>
                <w:color w:val="auto"/>
                <w:sz w:val="21"/>
                <w:szCs w:val="21"/>
                <w:highlight w:val="none"/>
                <w:lang w:eastAsia="zh-CN"/>
              </w:rPr>
              <w:t>承诺</w:t>
            </w:r>
            <w:r>
              <w:rPr>
                <w:rFonts w:hint="eastAsia" w:ascii="宋体" w:hAnsi="宋体" w:eastAsia="宋体" w:cs="宋体"/>
                <w:b w:val="0"/>
                <w:bCs w:val="0"/>
                <w:color w:val="auto"/>
                <w:sz w:val="21"/>
                <w:szCs w:val="21"/>
                <w:highlight w:val="none"/>
              </w:rPr>
              <w:t>工作日</w:t>
            </w:r>
            <w:r>
              <w:rPr>
                <w:rFonts w:hint="eastAsia" w:ascii="宋体" w:hAnsi="宋体" w:eastAsia="宋体" w:cs="宋体"/>
                <w:b w:val="0"/>
                <w:bCs w:val="0"/>
                <w:color w:val="auto"/>
                <w:sz w:val="21"/>
                <w:szCs w:val="21"/>
                <w:highlight w:val="none"/>
                <w:lang w:val="en-US" w:eastAsia="zh-CN"/>
              </w:rPr>
              <w:t>1</w:t>
            </w:r>
            <w:r>
              <w:rPr>
                <w:rFonts w:hint="eastAsia" w:ascii="宋体" w:hAnsi="宋体" w:eastAsia="宋体" w:cs="宋体"/>
                <w:b w:val="0"/>
                <w:bCs w:val="0"/>
                <w:color w:val="auto"/>
                <w:sz w:val="21"/>
                <w:szCs w:val="21"/>
                <w:highlight w:val="none"/>
              </w:rPr>
              <w:t>小时内响应</w:t>
            </w:r>
            <w:r>
              <w:rPr>
                <w:rFonts w:hint="eastAsia" w:ascii="宋体" w:hAnsi="宋体" w:eastAsia="宋体" w:cs="宋体"/>
                <w:b w:val="0"/>
                <w:bCs w:val="0"/>
                <w:color w:val="auto"/>
                <w:sz w:val="21"/>
                <w:szCs w:val="21"/>
                <w:highlight w:val="none"/>
                <w:lang w:eastAsia="zh-CN"/>
              </w:rPr>
              <w:t>。</w:t>
            </w:r>
          </w:p>
          <w:p w14:paraId="68171D7F">
            <w:pPr>
              <w:spacing w:line="360" w:lineRule="auto"/>
              <w:ind w:firstLine="0" w:firstLineChars="0"/>
              <w:jc w:val="left"/>
              <w:rPr>
                <w:rFonts w:hint="eastAsia" w:ascii="宋体" w:hAnsi="宋体" w:eastAsia="宋体" w:cs="宋体"/>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0B422F20">
            <w:pPr>
              <w:spacing w:line="360" w:lineRule="auto"/>
              <w:jc w:val="center"/>
              <w:rPr>
                <w:rFonts w:hint="eastAsia" w:ascii="宋体" w:hAnsi="宋体" w:eastAsia="宋体" w:cs="宋体"/>
                <w:bCs/>
                <w:color w:val="auto"/>
                <w:szCs w:val="21"/>
                <w:highlight w:val="none"/>
                <w:lang w:val="en-US" w:eastAsia="zh-CN"/>
              </w:rPr>
            </w:pPr>
            <w:r>
              <w:rPr>
                <w:rFonts w:hint="eastAsia" w:ascii="宋体" w:hAnsi="宋体" w:cs="宋体"/>
                <w:bCs/>
                <w:color w:val="auto"/>
                <w:szCs w:val="21"/>
                <w:highlight w:val="none"/>
                <w:lang w:val="en-US" w:eastAsia="zh-CN"/>
              </w:rPr>
              <w:t>55</w:t>
            </w:r>
            <w:r>
              <w:rPr>
                <w:rFonts w:hint="eastAsia" w:ascii="宋体" w:hAnsi="宋体" w:eastAsia="宋体" w:cs="宋体"/>
                <w:bCs/>
                <w:color w:val="auto"/>
                <w:szCs w:val="21"/>
                <w:highlight w:val="none"/>
                <w:lang w:eastAsia="zh-CN"/>
              </w:rPr>
              <w:t>分</w:t>
            </w:r>
          </w:p>
        </w:tc>
      </w:tr>
      <w:tr w14:paraId="40BCEF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90" w:hRule="atLeast"/>
          <w:jc w:val="center"/>
        </w:trPr>
        <w:tc>
          <w:tcPr>
            <w:tcW w:w="583" w:type="dxa"/>
            <w:vMerge w:val="continue"/>
            <w:noWrap w:val="0"/>
            <w:vAlign w:val="center"/>
          </w:tcPr>
          <w:p w14:paraId="3C509E93">
            <w:pPr>
              <w:spacing w:line="360" w:lineRule="auto"/>
              <w:ind w:firstLine="420" w:firstLineChars="200"/>
              <w:jc w:val="center"/>
              <w:rPr>
                <w:color w:val="auto"/>
                <w:highlight w:val="none"/>
              </w:rPr>
            </w:pPr>
          </w:p>
        </w:tc>
        <w:tc>
          <w:tcPr>
            <w:tcW w:w="1086" w:type="dxa"/>
            <w:vMerge w:val="continue"/>
            <w:noWrap w:val="0"/>
            <w:vAlign w:val="center"/>
          </w:tcPr>
          <w:p w14:paraId="6A30D3E3">
            <w:pPr>
              <w:spacing w:line="360" w:lineRule="auto"/>
              <w:ind w:firstLine="420" w:firstLineChars="200"/>
              <w:jc w:val="center"/>
              <w:rPr>
                <w:color w:val="auto"/>
                <w:highlight w:val="none"/>
              </w:rPr>
            </w:pPr>
          </w:p>
        </w:tc>
        <w:tc>
          <w:tcPr>
            <w:tcW w:w="1051" w:type="dxa"/>
            <w:noWrap w:val="0"/>
            <w:vAlign w:val="center"/>
          </w:tcPr>
          <w:p w14:paraId="1E2A5B7F">
            <w:pPr>
              <w:spacing w:line="360" w:lineRule="auto"/>
              <w:ind w:firstLine="0" w:firstLineChars="0"/>
              <w:jc w:val="left"/>
              <w:rPr>
                <w:rFonts w:hint="eastAsia" w:eastAsia="宋体"/>
                <w:color w:val="auto"/>
                <w:highlight w:val="none"/>
                <w:lang w:eastAsia="zh-CN"/>
              </w:rPr>
            </w:pPr>
            <w:r>
              <w:rPr>
                <w:rFonts w:hint="eastAsia"/>
                <w:color w:val="auto"/>
                <w:highlight w:val="none"/>
                <w:lang w:val="en-US" w:eastAsia="zh-CN"/>
              </w:rPr>
              <w:t>2.2</w:t>
            </w:r>
            <w:r>
              <w:rPr>
                <w:rFonts w:hint="eastAsia" w:ascii="宋体" w:hAnsi="宋体" w:eastAsia="宋体" w:cs="宋体"/>
                <w:b w:val="0"/>
                <w:bCs w:val="0"/>
                <w:color w:val="auto"/>
                <w:spacing w:val="7"/>
                <w:sz w:val="21"/>
                <w:szCs w:val="21"/>
                <w:highlight w:val="none"/>
                <w:lang w:val="en-US" w:eastAsia="zh-CN"/>
              </w:rPr>
              <w:t>图书加工服务方案（满分15分）</w:t>
            </w:r>
          </w:p>
        </w:tc>
        <w:tc>
          <w:tcPr>
            <w:tcW w:w="5922" w:type="dxa"/>
            <w:noWrap w:val="0"/>
            <w:vAlign w:val="center"/>
          </w:tcPr>
          <w:p w14:paraId="3812B788">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评标小组对各供应商提供的图书加工服务方案进行评审，评审内容：①针对本项目图书加工方案及步骤；②加工人员配备情况；③图书上架方案；④验收方案；⑤加工质量标准。</w:t>
            </w:r>
          </w:p>
          <w:p w14:paraId="7BA04DA9">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一档（5分）：供应商的图书加工服务方案基本满足采购要求；</w:t>
            </w:r>
          </w:p>
          <w:p w14:paraId="3B5368F3">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二档（10分）：①加工方案包含基本流程（如收书、分类、著录、贴标等）；②明确加工人员数量不少于3人；③制定上架流程，包含图书排序规则；④验收方案包含明确验收流程（如自检、初验、终验）；⑤明确承诺加工误差率≤1%，标签脱落率≤0.3%，明确粘贴牢固度测试标准（如粘贴后经3次模拟翻阅不脱落）。</w:t>
            </w:r>
          </w:p>
          <w:p w14:paraId="02DFB3B4">
            <w:pPr>
              <w:keepNext w:val="0"/>
              <w:keepLines w:val="0"/>
              <w:pageBreakBefore w:val="0"/>
              <w:numPr>
                <w:ilvl w:val="0"/>
                <w:numId w:val="0"/>
              </w:numPr>
              <w:kinsoku/>
              <w:wordWrap/>
              <w:overflowPunct/>
              <w:topLinePunct w:val="0"/>
              <w:autoSpaceDE/>
              <w:autoSpaceDN/>
              <w:bidi w:val="0"/>
              <w:adjustRightInd/>
              <w:snapToGrid/>
              <w:spacing w:line="240" w:lineRule="auto"/>
              <w:rPr>
                <w:rFonts w:hint="eastAsia" w:ascii="宋体" w:hAnsi="宋体" w:eastAsia="宋体" w:cs="宋体"/>
                <w:b w:val="0"/>
                <w:bCs w:val="0"/>
                <w:color w:val="auto"/>
                <w:spacing w:val="7"/>
                <w:sz w:val="21"/>
                <w:szCs w:val="21"/>
                <w:highlight w:val="none"/>
                <w:lang w:val="en-US" w:eastAsia="zh-CN"/>
              </w:rPr>
            </w:pPr>
            <w:r>
              <w:rPr>
                <w:rFonts w:hint="eastAsia" w:ascii="宋体" w:hAnsi="宋体" w:eastAsia="宋体" w:cs="宋体"/>
                <w:b w:val="0"/>
                <w:bCs w:val="0"/>
                <w:color w:val="auto"/>
                <w:spacing w:val="7"/>
                <w:sz w:val="21"/>
                <w:szCs w:val="21"/>
                <w:highlight w:val="none"/>
                <w:lang w:val="en-US" w:eastAsia="zh-CN"/>
              </w:rPr>
              <w:t>三档（15分）：①加工方案包含基本流程（如收书、分类、著录、贴标等）并标注各环节预估时限；②明确加工人员数量不少于4人，制定人员岗前培训计划；③制定详细上架流程，包含图书排序规则、上架前核对环节；④验收方案明确自检、初验、终验且覆盖所有图书类型的具体要求；⑤明确承诺加工误差率≤0.5%，标签脱落率≤0.2%，明确粘贴牢固度测试标准（如粘贴后经5次模拟翻阅、2次轻微摩擦不脱落）。</w:t>
            </w:r>
          </w:p>
          <w:p w14:paraId="395DC1DF">
            <w:pPr>
              <w:numPr>
                <w:ilvl w:val="0"/>
                <w:numId w:val="0"/>
              </w:numPr>
              <w:rPr>
                <w:color w:val="auto"/>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continue"/>
            <w:noWrap w:val="0"/>
            <w:vAlign w:val="center"/>
          </w:tcPr>
          <w:p w14:paraId="11814A7C">
            <w:pPr>
              <w:spacing w:line="360" w:lineRule="auto"/>
              <w:ind w:firstLine="420" w:firstLineChars="200"/>
              <w:jc w:val="center"/>
              <w:rPr>
                <w:color w:val="auto"/>
                <w:highlight w:val="none"/>
              </w:rPr>
            </w:pPr>
          </w:p>
        </w:tc>
      </w:tr>
      <w:tr w14:paraId="3655E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1" w:hRule="atLeast"/>
          <w:jc w:val="center"/>
        </w:trPr>
        <w:tc>
          <w:tcPr>
            <w:tcW w:w="583" w:type="dxa"/>
            <w:vMerge w:val="continue"/>
            <w:noWrap w:val="0"/>
            <w:vAlign w:val="center"/>
          </w:tcPr>
          <w:p w14:paraId="3DAEA4F7">
            <w:pPr>
              <w:spacing w:line="360" w:lineRule="auto"/>
              <w:ind w:firstLine="420" w:firstLineChars="200"/>
              <w:jc w:val="center"/>
              <w:rPr>
                <w:color w:val="auto"/>
                <w:highlight w:val="none"/>
              </w:rPr>
            </w:pPr>
          </w:p>
        </w:tc>
        <w:tc>
          <w:tcPr>
            <w:tcW w:w="1086" w:type="dxa"/>
            <w:vMerge w:val="continue"/>
            <w:noWrap w:val="0"/>
            <w:vAlign w:val="center"/>
          </w:tcPr>
          <w:p w14:paraId="3AE03976">
            <w:pPr>
              <w:spacing w:line="360" w:lineRule="auto"/>
              <w:ind w:firstLine="420" w:firstLineChars="200"/>
              <w:jc w:val="center"/>
              <w:rPr>
                <w:color w:val="auto"/>
                <w:highlight w:val="none"/>
              </w:rPr>
            </w:pPr>
          </w:p>
        </w:tc>
        <w:tc>
          <w:tcPr>
            <w:tcW w:w="1051" w:type="dxa"/>
            <w:noWrap w:val="0"/>
            <w:vAlign w:val="center"/>
          </w:tcPr>
          <w:p w14:paraId="22DEDD1E">
            <w:pPr>
              <w:spacing w:line="360" w:lineRule="auto"/>
              <w:ind w:firstLine="0" w:firstLineChars="0"/>
              <w:jc w:val="center"/>
              <w:rPr>
                <w:rFonts w:hint="eastAsia"/>
                <w:color w:val="auto"/>
                <w:highlight w:val="none"/>
              </w:rPr>
            </w:pPr>
            <w:r>
              <w:rPr>
                <w:rFonts w:hint="eastAsia"/>
                <w:color w:val="auto"/>
                <w:highlight w:val="none"/>
              </w:rPr>
              <w:t>2.</w:t>
            </w:r>
            <w:r>
              <w:rPr>
                <w:rFonts w:hint="eastAsia"/>
                <w:color w:val="auto"/>
                <w:highlight w:val="none"/>
                <w:lang w:val="en-US" w:eastAsia="zh-CN"/>
              </w:rPr>
              <w:t>3服务团队</w:t>
            </w:r>
            <w:r>
              <w:rPr>
                <w:rFonts w:hint="eastAsia"/>
                <w:color w:val="auto"/>
                <w:highlight w:val="none"/>
              </w:rPr>
              <w:t>分</w:t>
            </w:r>
          </w:p>
          <w:p w14:paraId="119A0843">
            <w:pPr>
              <w:spacing w:line="360" w:lineRule="auto"/>
              <w:ind w:firstLine="0" w:firstLineChars="0"/>
              <w:jc w:val="center"/>
              <w:rPr>
                <w:rFonts w:hint="eastAsia"/>
                <w:color w:val="auto"/>
                <w:highlight w:val="none"/>
                <w:lang w:val="en-US" w:eastAsia="zh-CN"/>
              </w:rPr>
            </w:pPr>
            <w:r>
              <w:rPr>
                <w:rFonts w:hint="eastAsia"/>
                <w:color w:val="auto"/>
                <w:highlight w:val="none"/>
              </w:rPr>
              <w:t>（满分</w:t>
            </w:r>
            <w:r>
              <w:rPr>
                <w:rFonts w:hint="eastAsia"/>
                <w:color w:val="auto"/>
                <w:highlight w:val="none"/>
                <w:lang w:val="en-US" w:eastAsia="zh-CN"/>
              </w:rPr>
              <w:t>7</w:t>
            </w:r>
            <w:r>
              <w:rPr>
                <w:rFonts w:hint="eastAsia"/>
                <w:color w:val="auto"/>
                <w:highlight w:val="none"/>
              </w:rPr>
              <w:t>分）</w:t>
            </w:r>
          </w:p>
        </w:tc>
        <w:tc>
          <w:tcPr>
            <w:tcW w:w="5922" w:type="dxa"/>
            <w:noWrap w:val="0"/>
            <w:vAlign w:val="center"/>
          </w:tcPr>
          <w:p w14:paraId="7EAB2D34">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1.拟投入本项目的服务团队人员中具备</w:t>
            </w:r>
            <w:r>
              <w:rPr>
                <w:rFonts w:hint="eastAsia" w:hAnsi="宋体" w:cs="宋体"/>
                <w:bCs/>
                <w:color w:val="auto"/>
                <w:sz w:val="21"/>
                <w:szCs w:val="21"/>
                <w:highlight w:val="none"/>
                <w:lang w:val="en-US" w:eastAsia="zh-CN"/>
              </w:rPr>
              <w:t>高等教育文献保障系统管理中心颁发的</w:t>
            </w:r>
            <w:r>
              <w:rPr>
                <w:rFonts w:hint="eastAsia" w:ascii="宋体" w:hAnsi="宋体" w:eastAsia="宋体" w:cs="宋体"/>
                <w:bCs/>
                <w:color w:val="auto"/>
                <w:sz w:val="21"/>
                <w:szCs w:val="21"/>
                <w:highlight w:val="none"/>
                <w:lang w:val="en-US" w:eastAsia="zh-CN"/>
              </w:rPr>
              <w:t>“CALIS联合目录中文三级编目员”资格证书，每提供1人得1分，满分</w:t>
            </w:r>
            <w:r>
              <w:rPr>
                <w:rFonts w:hint="eastAsia" w:hAnsi="宋体" w:cs="宋体"/>
                <w:bCs/>
                <w:color w:val="auto"/>
                <w:sz w:val="21"/>
                <w:szCs w:val="21"/>
                <w:highlight w:val="none"/>
                <w:lang w:val="en-US" w:eastAsia="zh-CN"/>
              </w:rPr>
              <w:t>3</w:t>
            </w:r>
            <w:r>
              <w:rPr>
                <w:rFonts w:hint="eastAsia" w:ascii="宋体" w:hAnsi="宋体" w:eastAsia="宋体" w:cs="宋体"/>
                <w:bCs/>
                <w:color w:val="auto"/>
                <w:sz w:val="21"/>
                <w:szCs w:val="21"/>
                <w:highlight w:val="none"/>
                <w:lang w:val="en-US" w:eastAsia="zh-CN"/>
              </w:rPr>
              <w:t>分（提供相应有效的证明材料，如编目员资格证书扫描件或网络证书截图，以及202</w:t>
            </w:r>
            <w:r>
              <w:rPr>
                <w:rFonts w:hint="eastAsia"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p w14:paraId="6ACBD77E">
            <w:pPr>
              <w:spacing w:line="360" w:lineRule="auto"/>
              <w:ind w:firstLine="0" w:firstLineChars="0"/>
              <w:jc w:val="left"/>
              <w:rPr>
                <w:rFonts w:hint="eastAsia"/>
                <w:color w:val="auto"/>
                <w:highlight w:val="none"/>
              </w:rPr>
            </w:pPr>
            <w:r>
              <w:rPr>
                <w:rFonts w:hint="eastAsia" w:ascii="宋体" w:hAnsi="宋体" w:eastAsia="宋体" w:cs="宋体"/>
                <w:bCs/>
                <w:color w:val="auto"/>
                <w:sz w:val="21"/>
                <w:szCs w:val="21"/>
                <w:highlight w:val="none"/>
                <w:lang w:val="en-US" w:eastAsia="zh-CN"/>
              </w:rPr>
              <w:t>2.具有全国图书馆联合编目中心上传资格证书（证书需网上核验），每有1人得1分，满分</w:t>
            </w:r>
            <w:r>
              <w:rPr>
                <w:rFonts w:hint="eastAsia" w:ascii="宋体" w:hAnsi="宋体" w:cs="宋体"/>
                <w:bCs/>
                <w:color w:val="auto"/>
                <w:sz w:val="21"/>
                <w:szCs w:val="21"/>
                <w:highlight w:val="none"/>
                <w:lang w:val="en-US" w:eastAsia="zh-CN"/>
              </w:rPr>
              <w:t>4</w:t>
            </w:r>
            <w:r>
              <w:rPr>
                <w:rFonts w:hint="eastAsia" w:ascii="宋体" w:hAnsi="宋体" w:eastAsia="宋体" w:cs="宋体"/>
                <w:bCs/>
                <w:color w:val="auto"/>
                <w:sz w:val="21"/>
                <w:szCs w:val="21"/>
                <w:highlight w:val="none"/>
                <w:lang w:val="en-US" w:eastAsia="zh-CN"/>
              </w:rPr>
              <w:t>分。（提供相应有效的证明材料，如上传资格培训证书扫描件或网络证书截图，以及202</w:t>
            </w:r>
            <w:r>
              <w:rPr>
                <w:rFonts w:hint="eastAsia" w:ascii="宋体" w:hAnsi="宋体" w:cs="宋体"/>
                <w:bCs/>
                <w:color w:val="auto"/>
                <w:sz w:val="21"/>
                <w:szCs w:val="21"/>
                <w:highlight w:val="none"/>
                <w:lang w:val="en-US" w:eastAsia="zh-CN"/>
              </w:rPr>
              <w:t>6</w:t>
            </w:r>
            <w:r>
              <w:rPr>
                <w:rFonts w:hint="eastAsia" w:ascii="宋体" w:hAnsi="宋体" w:eastAsia="宋体" w:cs="宋体"/>
                <w:bCs/>
                <w:color w:val="auto"/>
                <w:sz w:val="21"/>
                <w:szCs w:val="21"/>
                <w:highlight w:val="none"/>
                <w:lang w:val="en-US" w:eastAsia="zh-CN"/>
              </w:rPr>
              <w:t>年</w:t>
            </w:r>
            <w:r>
              <w:rPr>
                <w:rFonts w:hint="eastAsia" w:ascii="宋体"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月至投标文件递交截止时间内任意1个月社保证明并加盖投标人公章，否则不得分）。</w:t>
            </w:r>
          </w:p>
        </w:tc>
        <w:tc>
          <w:tcPr>
            <w:tcW w:w="957" w:type="dxa"/>
            <w:vMerge w:val="continue"/>
            <w:noWrap w:val="0"/>
            <w:vAlign w:val="center"/>
          </w:tcPr>
          <w:p w14:paraId="39CAB29D">
            <w:pPr>
              <w:spacing w:line="360" w:lineRule="auto"/>
              <w:ind w:firstLine="420" w:firstLineChars="200"/>
              <w:jc w:val="center"/>
              <w:rPr>
                <w:color w:val="auto"/>
                <w:highlight w:val="none"/>
              </w:rPr>
            </w:pPr>
          </w:p>
        </w:tc>
      </w:tr>
      <w:tr w14:paraId="5C3F6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1F69B255">
            <w:pPr>
              <w:spacing w:line="360" w:lineRule="auto"/>
              <w:ind w:firstLine="420" w:firstLineChars="200"/>
              <w:jc w:val="center"/>
              <w:rPr>
                <w:color w:val="auto"/>
                <w:highlight w:val="none"/>
              </w:rPr>
            </w:pPr>
          </w:p>
        </w:tc>
        <w:tc>
          <w:tcPr>
            <w:tcW w:w="1086" w:type="dxa"/>
            <w:vMerge w:val="continue"/>
            <w:noWrap w:val="0"/>
            <w:vAlign w:val="center"/>
          </w:tcPr>
          <w:p w14:paraId="0B745934">
            <w:pPr>
              <w:spacing w:line="360" w:lineRule="auto"/>
              <w:ind w:firstLine="420" w:firstLineChars="200"/>
              <w:jc w:val="center"/>
              <w:rPr>
                <w:color w:val="auto"/>
                <w:highlight w:val="none"/>
              </w:rPr>
            </w:pPr>
          </w:p>
        </w:tc>
        <w:tc>
          <w:tcPr>
            <w:tcW w:w="1051" w:type="dxa"/>
            <w:noWrap w:val="0"/>
            <w:vAlign w:val="center"/>
          </w:tcPr>
          <w:p w14:paraId="5334E29F">
            <w:pPr>
              <w:spacing w:line="360" w:lineRule="auto"/>
              <w:jc w:val="left"/>
              <w:rPr>
                <w:rFonts w:hint="default"/>
                <w:color w:val="auto"/>
                <w:highlight w:val="none"/>
                <w:lang w:val="en-US" w:eastAsia="zh-CN"/>
              </w:rPr>
            </w:pPr>
            <w:r>
              <w:rPr>
                <w:rFonts w:hint="eastAsia"/>
                <w:color w:val="auto"/>
                <w:highlight w:val="none"/>
                <w:lang w:val="en-US" w:eastAsia="zh-CN"/>
              </w:rPr>
              <w:t>2.4</w:t>
            </w:r>
            <w:r>
              <w:rPr>
                <w:rFonts w:hint="eastAsia" w:ascii="宋体" w:hAnsi="宋体" w:eastAsia="宋体" w:cs="宋体"/>
                <w:bCs/>
                <w:color w:val="auto"/>
                <w:sz w:val="21"/>
                <w:szCs w:val="21"/>
                <w:highlight w:val="none"/>
                <w:lang w:val="en-US" w:eastAsia="zh-CN"/>
              </w:rPr>
              <w:t>个性化服务分（满分5分）</w:t>
            </w:r>
          </w:p>
        </w:tc>
        <w:tc>
          <w:tcPr>
            <w:tcW w:w="5922" w:type="dxa"/>
            <w:noWrap w:val="0"/>
            <w:vAlign w:val="center"/>
          </w:tcPr>
          <w:p w14:paraId="02FCF239">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评标</w:t>
            </w:r>
            <w:r>
              <w:rPr>
                <w:rFonts w:hint="eastAsia" w:ascii="宋体" w:hAnsi="宋体" w:eastAsia="宋体" w:cs="宋体"/>
                <w:b w:val="0"/>
                <w:bCs w:val="0"/>
                <w:color w:val="auto"/>
                <w:sz w:val="21"/>
                <w:szCs w:val="21"/>
                <w:highlight w:val="none"/>
                <w:lang w:eastAsia="zh-CN"/>
              </w:rPr>
              <w:t>小组</w:t>
            </w:r>
            <w:r>
              <w:rPr>
                <w:rFonts w:hint="eastAsia" w:ascii="宋体" w:hAnsi="宋体" w:eastAsia="宋体" w:cs="宋体"/>
                <w:b w:val="0"/>
                <w:bCs w:val="0"/>
                <w:color w:val="auto"/>
                <w:sz w:val="21"/>
                <w:szCs w:val="21"/>
                <w:highlight w:val="none"/>
              </w:rPr>
              <w:t>根据</w:t>
            </w:r>
            <w:r>
              <w:rPr>
                <w:rFonts w:hint="eastAsia" w:ascii="宋体" w:hAnsi="宋体" w:eastAsia="宋体" w:cs="宋体"/>
                <w:b w:val="0"/>
                <w:bCs w:val="0"/>
                <w:color w:val="auto"/>
                <w:sz w:val="21"/>
                <w:szCs w:val="21"/>
                <w:highlight w:val="none"/>
                <w:lang w:eastAsia="zh-CN"/>
              </w:rPr>
              <w:t>供应商</w:t>
            </w:r>
            <w:r>
              <w:rPr>
                <w:rFonts w:hint="eastAsia" w:ascii="宋体" w:hAnsi="宋体" w:eastAsia="宋体" w:cs="宋体"/>
                <w:bCs/>
                <w:color w:val="auto"/>
                <w:sz w:val="21"/>
                <w:szCs w:val="21"/>
                <w:highlight w:val="none"/>
                <w:lang w:val="en-US" w:eastAsia="zh-CN"/>
              </w:rPr>
              <w:t>制订</w:t>
            </w:r>
            <w:r>
              <w:rPr>
                <w:rFonts w:hint="eastAsia" w:hAnsi="宋体" w:cs="宋体"/>
                <w:bCs/>
                <w:color w:val="auto"/>
                <w:sz w:val="21"/>
                <w:szCs w:val="21"/>
                <w:highlight w:val="none"/>
                <w:lang w:val="en-US" w:eastAsia="zh-CN"/>
              </w:rPr>
              <w:t>的</w:t>
            </w:r>
            <w:r>
              <w:rPr>
                <w:rFonts w:hint="eastAsia" w:ascii="宋体" w:hAnsi="宋体" w:eastAsia="宋体" w:cs="宋体"/>
                <w:bCs/>
                <w:color w:val="auto"/>
                <w:sz w:val="21"/>
                <w:szCs w:val="21"/>
                <w:highlight w:val="none"/>
                <w:lang w:val="en-US" w:eastAsia="zh-CN"/>
              </w:rPr>
              <w:t>线下阅读推广活动方案</w:t>
            </w:r>
            <w:r>
              <w:rPr>
                <w:rFonts w:hint="eastAsia" w:ascii="宋体" w:hAnsi="宋体" w:eastAsia="宋体" w:cs="宋体"/>
                <w:b w:val="0"/>
                <w:bCs w:val="0"/>
                <w:color w:val="auto"/>
                <w:sz w:val="21"/>
                <w:szCs w:val="21"/>
                <w:highlight w:val="none"/>
                <w:lang w:val="en-US" w:eastAsia="zh-CN"/>
              </w:rPr>
              <w:t>进行评审，</w:t>
            </w:r>
            <w:r>
              <w:rPr>
                <w:rFonts w:hint="eastAsia" w:ascii="宋体" w:hAnsi="宋体" w:eastAsia="宋体" w:cs="宋体"/>
                <w:b w:val="0"/>
                <w:bCs w:val="0"/>
                <w:color w:val="auto"/>
                <w:spacing w:val="7"/>
                <w:sz w:val="21"/>
                <w:szCs w:val="21"/>
                <w:highlight w:val="none"/>
                <w:lang w:val="en-US" w:eastAsia="zh-CN"/>
              </w:rPr>
              <w:t>评审内容：①</w:t>
            </w:r>
            <w:r>
              <w:rPr>
                <w:rFonts w:hint="eastAsia" w:ascii="宋体" w:hAnsi="宋体" w:eastAsia="宋体" w:cs="宋体"/>
                <w:bCs/>
                <w:color w:val="auto"/>
                <w:sz w:val="21"/>
                <w:szCs w:val="21"/>
                <w:highlight w:val="none"/>
                <w:lang w:val="en-US" w:eastAsia="zh-CN"/>
              </w:rPr>
              <w:t>活动方案</w:t>
            </w:r>
            <w:r>
              <w:rPr>
                <w:rFonts w:hint="eastAsia" w:hAnsi="宋体" w:cs="宋体"/>
                <w:bCs/>
                <w:color w:val="auto"/>
                <w:sz w:val="21"/>
                <w:szCs w:val="21"/>
                <w:highlight w:val="none"/>
                <w:lang w:val="en-US" w:eastAsia="zh-CN"/>
              </w:rPr>
              <w:t>；</w:t>
            </w:r>
            <w:r>
              <w:rPr>
                <w:rFonts w:hint="eastAsia" w:ascii="宋体" w:hAnsi="宋体" w:eastAsia="宋体" w:cs="宋体"/>
                <w:b w:val="0"/>
                <w:bCs w:val="0"/>
                <w:color w:val="auto"/>
                <w:spacing w:val="7"/>
                <w:sz w:val="21"/>
                <w:szCs w:val="21"/>
                <w:highlight w:val="none"/>
                <w:lang w:val="en-US" w:eastAsia="zh-CN"/>
              </w:rPr>
              <w:t>②</w:t>
            </w:r>
            <w:r>
              <w:rPr>
                <w:rFonts w:hint="eastAsia" w:ascii="宋体" w:hAnsi="宋体" w:eastAsia="宋体" w:cs="宋体"/>
                <w:bCs/>
                <w:color w:val="auto"/>
                <w:sz w:val="21"/>
                <w:szCs w:val="21"/>
                <w:highlight w:val="none"/>
                <w:lang w:val="en-US" w:eastAsia="zh-CN"/>
              </w:rPr>
              <w:t>人员安排</w:t>
            </w:r>
            <w:r>
              <w:rPr>
                <w:rFonts w:hint="eastAsia" w:hAnsi="宋体" w:cs="宋体"/>
                <w:bCs/>
                <w:color w:val="auto"/>
                <w:sz w:val="21"/>
                <w:szCs w:val="21"/>
                <w:highlight w:val="none"/>
                <w:lang w:val="en-US" w:eastAsia="zh-CN"/>
              </w:rPr>
              <w:t>。</w:t>
            </w:r>
          </w:p>
          <w:p w14:paraId="2CC303EB">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一档（</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w:t>
            </w:r>
            <w:r>
              <w:rPr>
                <w:rFonts w:hint="eastAsia" w:ascii="宋体" w:hAnsi="宋体" w:eastAsia="宋体" w:cs="宋体"/>
                <w:b w:val="0"/>
                <w:bCs w:val="0"/>
                <w:color w:val="auto"/>
                <w:spacing w:val="7"/>
                <w:sz w:val="21"/>
                <w:szCs w:val="21"/>
                <w:highlight w:val="none"/>
                <w:lang w:val="en-US" w:eastAsia="zh-CN"/>
              </w:rPr>
              <w:t>①</w:t>
            </w:r>
            <w:r>
              <w:rPr>
                <w:rFonts w:hint="eastAsia" w:ascii="宋体" w:hAnsi="宋体" w:eastAsia="宋体" w:cs="宋体"/>
                <w:bCs/>
                <w:color w:val="auto"/>
                <w:sz w:val="21"/>
                <w:szCs w:val="21"/>
                <w:highlight w:val="none"/>
                <w:lang w:val="en-US" w:eastAsia="zh-CN"/>
              </w:rPr>
              <w:t>方案内容基本完整</w:t>
            </w:r>
            <w:r>
              <w:rPr>
                <w:rFonts w:hint="eastAsia" w:hAnsi="宋体" w:cs="宋体"/>
                <w:bCs/>
                <w:color w:val="auto"/>
                <w:sz w:val="21"/>
                <w:szCs w:val="21"/>
                <w:highlight w:val="none"/>
                <w:lang w:val="en-US" w:eastAsia="zh-CN"/>
              </w:rPr>
              <w:t>，能为采购人提供1次线下阅读推广活动；</w:t>
            </w:r>
            <w:r>
              <w:rPr>
                <w:rFonts w:hint="eastAsia" w:ascii="宋体" w:hAnsi="宋体" w:eastAsia="宋体" w:cs="宋体"/>
                <w:b w:val="0"/>
                <w:bCs w:val="0"/>
                <w:color w:val="auto"/>
                <w:spacing w:val="7"/>
                <w:sz w:val="21"/>
                <w:szCs w:val="21"/>
                <w:highlight w:val="none"/>
                <w:lang w:val="en-US" w:eastAsia="zh-CN"/>
              </w:rPr>
              <w:t>②</w:t>
            </w:r>
            <w:r>
              <w:rPr>
                <w:rFonts w:hint="eastAsia" w:ascii="宋体" w:hAnsi="宋体" w:eastAsia="宋体" w:cs="宋体"/>
                <w:bCs/>
                <w:color w:val="auto"/>
                <w:sz w:val="21"/>
                <w:szCs w:val="21"/>
                <w:highlight w:val="none"/>
                <w:lang w:val="en-US" w:eastAsia="zh-CN"/>
              </w:rPr>
              <w:t>配备有过相关大型活动经验的实施人员</w:t>
            </w:r>
            <w:r>
              <w:rPr>
                <w:rFonts w:hint="eastAsia" w:hAnsi="宋体" w:cs="宋体"/>
                <w:bCs/>
                <w:color w:val="auto"/>
                <w:sz w:val="21"/>
                <w:szCs w:val="21"/>
                <w:highlight w:val="none"/>
                <w:lang w:val="en-US" w:eastAsia="zh-CN"/>
              </w:rPr>
              <w:t>1人。</w:t>
            </w:r>
          </w:p>
          <w:p w14:paraId="094A6FE3">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二档（</w:t>
            </w:r>
            <w:r>
              <w:rPr>
                <w:rFonts w:hint="eastAsia" w:hAnsi="宋体" w:cs="宋体"/>
                <w:bCs/>
                <w:color w:val="auto"/>
                <w:sz w:val="21"/>
                <w:szCs w:val="21"/>
                <w:highlight w:val="none"/>
                <w:lang w:val="en-US" w:eastAsia="zh-CN"/>
              </w:rPr>
              <w:t>3</w:t>
            </w:r>
            <w:r>
              <w:rPr>
                <w:rFonts w:hint="eastAsia" w:ascii="宋体" w:hAnsi="宋体" w:eastAsia="宋体" w:cs="宋体"/>
                <w:bCs/>
                <w:color w:val="auto"/>
                <w:sz w:val="21"/>
                <w:szCs w:val="21"/>
                <w:highlight w:val="none"/>
                <w:lang w:val="en-US" w:eastAsia="zh-CN"/>
              </w:rPr>
              <w:t>分）：</w:t>
            </w:r>
            <w:r>
              <w:rPr>
                <w:rFonts w:hint="eastAsia" w:ascii="宋体" w:hAnsi="宋体" w:eastAsia="宋体" w:cs="宋体"/>
                <w:b w:val="0"/>
                <w:bCs w:val="0"/>
                <w:color w:val="auto"/>
                <w:spacing w:val="7"/>
                <w:sz w:val="21"/>
                <w:szCs w:val="21"/>
                <w:highlight w:val="none"/>
                <w:lang w:val="en-US" w:eastAsia="zh-CN"/>
              </w:rPr>
              <w:t>①</w:t>
            </w:r>
            <w:r>
              <w:rPr>
                <w:rFonts w:hint="eastAsia" w:ascii="宋体" w:hAnsi="宋体" w:eastAsia="宋体" w:cs="宋体"/>
                <w:bCs/>
                <w:color w:val="auto"/>
                <w:sz w:val="21"/>
                <w:szCs w:val="21"/>
                <w:highlight w:val="none"/>
                <w:lang w:val="en-US" w:eastAsia="zh-CN"/>
              </w:rPr>
              <w:t>方案内容</w:t>
            </w:r>
            <w:r>
              <w:rPr>
                <w:rFonts w:hint="eastAsia" w:hAnsi="宋体" w:cs="宋体"/>
                <w:bCs/>
                <w:color w:val="auto"/>
                <w:sz w:val="21"/>
                <w:szCs w:val="21"/>
                <w:highlight w:val="none"/>
                <w:lang w:val="en-US" w:eastAsia="zh-CN"/>
              </w:rPr>
              <w:t>满足采购人服务要求，能为采购人提供2次线下阅读推广活动；</w:t>
            </w:r>
            <w:r>
              <w:rPr>
                <w:rFonts w:hint="eastAsia" w:ascii="宋体" w:hAnsi="宋体" w:eastAsia="宋体" w:cs="宋体"/>
                <w:b w:val="0"/>
                <w:bCs w:val="0"/>
                <w:color w:val="auto"/>
                <w:spacing w:val="7"/>
                <w:sz w:val="21"/>
                <w:szCs w:val="21"/>
                <w:highlight w:val="none"/>
                <w:lang w:val="en-US" w:eastAsia="zh-CN"/>
              </w:rPr>
              <w:t>②</w:t>
            </w:r>
            <w:r>
              <w:rPr>
                <w:rFonts w:hint="eastAsia" w:ascii="宋体" w:hAnsi="宋体" w:eastAsia="宋体" w:cs="宋体"/>
                <w:bCs/>
                <w:color w:val="auto"/>
                <w:sz w:val="21"/>
                <w:szCs w:val="21"/>
                <w:highlight w:val="none"/>
                <w:lang w:val="en-US" w:eastAsia="zh-CN"/>
              </w:rPr>
              <w:t>配备有过相关大型活动经验的实施人员</w:t>
            </w:r>
            <w:r>
              <w:rPr>
                <w:rFonts w:hint="eastAsia" w:hAnsi="宋体" w:cs="宋体"/>
                <w:bCs/>
                <w:color w:val="auto"/>
                <w:sz w:val="21"/>
                <w:szCs w:val="21"/>
                <w:highlight w:val="none"/>
                <w:lang w:val="en-US" w:eastAsia="zh-CN"/>
              </w:rPr>
              <w:t>3人，</w:t>
            </w:r>
            <w:r>
              <w:rPr>
                <w:rFonts w:hint="eastAsia" w:ascii="宋体" w:hAnsi="宋体" w:eastAsia="宋体" w:cs="宋体"/>
                <w:bCs/>
                <w:color w:val="auto"/>
                <w:sz w:val="21"/>
                <w:szCs w:val="21"/>
                <w:highlight w:val="none"/>
                <w:lang w:val="en-US" w:eastAsia="zh-CN"/>
              </w:rPr>
              <w:t>能为采购人开展读书活动提供线下活动场地</w:t>
            </w:r>
            <w:r>
              <w:rPr>
                <w:rFonts w:hint="eastAsia" w:hAnsi="宋体" w:cs="宋体"/>
                <w:bCs/>
                <w:color w:val="auto"/>
                <w:sz w:val="21"/>
                <w:szCs w:val="21"/>
                <w:highlight w:val="none"/>
                <w:lang w:val="en-US" w:eastAsia="zh-CN"/>
              </w:rPr>
              <w:t>。</w:t>
            </w:r>
          </w:p>
          <w:p w14:paraId="5BBC59CB">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eastAsia="宋体" w:cs="宋体"/>
                <w:bCs/>
                <w:color w:val="auto"/>
                <w:sz w:val="21"/>
                <w:szCs w:val="21"/>
                <w:highlight w:val="none"/>
                <w:lang w:val="en-US" w:eastAsia="zh-CN"/>
              </w:rPr>
            </w:pPr>
            <w:r>
              <w:rPr>
                <w:rFonts w:hint="eastAsia" w:ascii="宋体" w:hAnsi="宋体" w:eastAsia="宋体" w:cs="宋体"/>
                <w:bCs/>
                <w:color w:val="auto"/>
                <w:sz w:val="21"/>
                <w:szCs w:val="21"/>
                <w:highlight w:val="none"/>
                <w:lang w:val="en-US" w:eastAsia="zh-CN"/>
              </w:rPr>
              <w:t>三档（</w:t>
            </w:r>
            <w:r>
              <w:rPr>
                <w:rFonts w:hint="eastAsia" w:hAnsi="宋体" w:cs="宋体"/>
                <w:bCs/>
                <w:color w:val="auto"/>
                <w:sz w:val="21"/>
                <w:szCs w:val="21"/>
                <w:highlight w:val="none"/>
                <w:lang w:val="en-US" w:eastAsia="zh-CN"/>
              </w:rPr>
              <w:t>5</w:t>
            </w:r>
            <w:r>
              <w:rPr>
                <w:rFonts w:hint="eastAsia" w:ascii="宋体" w:hAnsi="宋体" w:eastAsia="宋体" w:cs="宋体"/>
                <w:bCs/>
                <w:color w:val="auto"/>
                <w:sz w:val="21"/>
                <w:szCs w:val="21"/>
                <w:highlight w:val="none"/>
                <w:lang w:val="en-US" w:eastAsia="zh-CN"/>
              </w:rPr>
              <w:t>分）：</w:t>
            </w:r>
            <w:r>
              <w:rPr>
                <w:rFonts w:hint="eastAsia" w:ascii="宋体" w:hAnsi="宋体" w:eastAsia="宋体" w:cs="宋体"/>
                <w:b w:val="0"/>
                <w:bCs w:val="0"/>
                <w:color w:val="auto"/>
                <w:spacing w:val="7"/>
                <w:sz w:val="21"/>
                <w:szCs w:val="21"/>
                <w:highlight w:val="none"/>
                <w:lang w:val="en-US" w:eastAsia="zh-CN"/>
              </w:rPr>
              <w:t>①</w:t>
            </w:r>
            <w:r>
              <w:rPr>
                <w:rFonts w:hint="eastAsia" w:ascii="宋体" w:hAnsi="宋体" w:eastAsia="宋体" w:cs="宋体"/>
                <w:bCs/>
                <w:color w:val="auto"/>
                <w:sz w:val="21"/>
                <w:szCs w:val="21"/>
                <w:highlight w:val="none"/>
                <w:lang w:val="en-US" w:eastAsia="zh-CN"/>
              </w:rPr>
              <w:t>方案内容</w:t>
            </w:r>
            <w:r>
              <w:rPr>
                <w:rFonts w:hint="eastAsia" w:hAnsi="宋体" w:cs="宋体"/>
                <w:bCs/>
                <w:color w:val="auto"/>
                <w:sz w:val="21"/>
                <w:szCs w:val="21"/>
                <w:highlight w:val="none"/>
                <w:lang w:val="en-US" w:eastAsia="zh-CN"/>
              </w:rPr>
              <w:t>满足采购人服务要求，能为采购人提供3次线下阅读推广活动，</w:t>
            </w:r>
            <w:r>
              <w:rPr>
                <w:rFonts w:hint="eastAsia" w:ascii="宋体" w:hAnsi="宋体" w:eastAsia="宋体" w:cs="宋体"/>
                <w:bCs/>
                <w:color w:val="auto"/>
                <w:sz w:val="21"/>
                <w:szCs w:val="21"/>
                <w:highlight w:val="none"/>
                <w:lang w:val="en-US" w:eastAsia="zh-CN"/>
              </w:rPr>
              <w:t>方案含活动主题、活动时间和地点、活动内容</w:t>
            </w:r>
            <w:r>
              <w:rPr>
                <w:rFonts w:hint="eastAsia" w:hAnsi="宋体" w:cs="宋体"/>
                <w:bCs/>
                <w:color w:val="auto"/>
                <w:sz w:val="21"/>
                <w:szCs w:val="21"/>
                <w:highlight w:val="none"/>
                <w:lang w:val="en-US" w:eastAsia="zh-CN"/>
              </w:rPr>
              <w:t>；</w:t>
            </w:r>
            <w:r>
              <w:rPr>
                <w:rFonts w:hint="eastAsia" w:ascii="宋体" w:hAnsi="宋体" w:eastAsia="宋体" w:cs="宋体"/>
                <w:b w:val="0"/>
                <w:bCs w:val="0"/>
                <w:color w:val="auto"/>
                <w:spacing w:val="7"/>
                <w:sz w:val="21"/>
                <w:szCs w:val="21"/>
                <w:highlight w:val="none"/>
                <w:lang w:val="en-US" w:eastAsia="zh-CN"/>
              </w:rPr>
              <w:t>②</w:t>
            </w:r>
            <w:r>
              <w:rPr>
                <w:rFonts w:hint="eastAsia" w:ascii="宋体" w:hAnsi="宋体" w:eastAsia="宋体" w:cs="宋体"/>
                <w:bCs/>
                <w:color w:val="auto"/>
                <w:sz w:val="21"/>
                <w:szCs w:val="21"/>
                <w:highlight w:val="none"/>
                <w:lang w:val="en-US" w:eastAsia="zh-CN"/>
              </w:rPr>
              <w:t>配备有过相关大型活动经验的实施人员</w:t>
            </w:r>
            <w:r>
              <w:rPr>
                <w:rFonts w:hint="eastAsia" w:hAnsi="宋体" w:cs="宋体"/>
                <w:bCs/>
                <w:color w:val="auto"/>
                <w:sz w:val="21"/>
                <w:szCs w:val="21"/>
                <w:highlight w:val="none"/>
                <w:lang w:val="en-US" w:eastAsia="zh-CN"/>
              </w:rPr>
              <w:t>5人，</w:t>
            </w:r>
            <w:r>
              <w:rPr>
                <w:rFonts w:hint="eastAsia" w:ascii="宋体" w:hAnsi="宋体" w:eastAsia="宋体" w:cs="宋体"/>
                <w:bCs/>
                <w:color w:val="auto"/>
                <w:sz w:val="21"/>
                <w:szCs w:val="21"/>
                <w:highlight w:val="none"/>
                <w:lang w:val="en-US" w:eastAsia="zh-CN"/>
              </w:rPr>
              <w:t>能为采购人开展读书活动提供线下活动场地，并有支持和协助采购人开展阅读推广活动的成果经验。</w:t>
            </w:r>
          </w:p>
          <w:p w14:paraId="3ACAB223">
            <w:pPr>
              <w:pStyle w:val="17"/>
              <w:keepNext w:val="0"/>
              <w:keepLines w:val="0"/>
              <w:pageBreakBefore w:val="0"/>
              <w:widowControl/>
              <w:kinsoku/>
              <w:wordWrap/>
              <w:overflowPunct/>
              <w:topLinePunct w:val="0"/>
              <w:autoSpaceDE/>
              <w:autoSpaceDN/>
              <w:bidi w:val="0"/>
              <w:adjustRightInd/>
              <w:snapToGrid/>
              <w:spacing w:line="400" w:lineRule="exact"/>
              <w:textAlignment w:val="auto"/>
              <w:rPr>
                <w:rFonts w:hint="eastAsia" w:ascii="宋体" w:hAnsi="宋体" w:cs="Courier New"/>
                <w:color w:val="auto"/>
                <w:szCs w:val="21"/>
                <w:highlight w:val="none"/>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continue"/>
            <w:noWrap w:val="0"/>
            <w:vAlign w:val="center"/>
          </w:tcPr>
          <w:p w14:paraId="183A563F">
            <w:pPr>
              <w:spacing w:line="360" w:lineRule="auto"/>
              <w:ind w:firstLine="0" w:firstLineChars="0"/>
              <w:jc w:val="left"/>
              <w:rPr>
                <w:rFonts w:hint="eastAsia"/>
                <w:color w:val="auto"/>
                <w:highlight w:val="none"/>
              </w:rPr>
            </w:pPr>
          </w:p>
        </w:tc>
      </w:tr>
      <w:tr w14:paraId="67AD8D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1A100709">
            <w:pPr>
              <w:spacing w:line="360" w:lineRule="auto"/>
              <w:ind w:firstLine="420" w:firstLineChars="200"/>
              <w:jc w:val="center"/>
              <w:rPr>
                <w:color w:val="auto"/>
                <w:highlight w:val="none"/>
              </w:rPr>
            </w:pPr>
          </w:p>
        </w:tc>
        <w:tc>
          <w:tcPr>
            <w:tcW w:w="1086" w:type="dxa"/>
            <w:vMerge w:val="continue"/>
            <w:noWrap w:val="0"/>
            <w:vAlign w:val="center"/>
          </w:tcPr>
          <w:p w14:paraId="2D46F17A">
            <w:pPr>
              <w:spacing w:line="360" w:lineRule="auto"/>
              <w:ind w:firstLine="420" w:firstLineChars="200"/>
              <w:jc w:val="center"/>
              <w:rPr>
                <w:color w:val="auto"/>
                <w:highlight w:val="none"/>
              </w:rPr>
            </w:pPr>
          </w:p>
        </w:tc>
        <w:tc>
          <w:tcPr>
            <w:tcW w:w="1051" w:type="dxa"/>
            <w:noWrap w:val="0"/>
            <w:vAlign w:val="center"/>
          </w:tcPr>
          <w:p w14:paraId="0C2859FC">
            <w:pPr>
              <w:spacing w:line="360" w:lineRule="auto"/>
              <w:ind w:firstLine="0" w:firstLineChars="0"/>
              <w:jc w:val="left"/>
              <w:rPr>
                <w:rFonts w:hint="default"/>
                <w:color w:val="auto"/>
                <w:highlight w:val="none"/>
                <w:lang w:val="en-US" w:eastAsia="zh-CN"/>
              </w:rPr>
            </w:pPr>
            <w:r>
              <w:rPr>
                <w:rFonts w:hint="eastAsia"/>
                <w:color w:val="auto"/>
                <w:highlight w:val="none"/>
                <w:lang w:val="en-US" w:eastAsia="zh-CN"/>
              </w:rPr>
              <w:t>2.5</w:t>
            </w:r>
            <w:r>
              <w:rPr>
                <w:rFonts w:hint="eastAsia" w:ascii="宋体" w:hAnsi="宋体" w:cs="Courier New"/>
                <w:b w:val="0"/>
                <w:bCs w:val="0"/>
                <w:color w:val="auto"/>
                <w:szCs w:val="21"/>
                <w:highlight w:val="none"/>
              </w:rPr>
              <w:t>正规供货渠道</w:t>
            </w:r>
            <w:r>
              <w:rPr>
                <w:rFonts w:hint="eastAsia" w:ascii="宋体" w:hAnsi="宋体" w:cs="Courier New"/>
                <w:b w:val="0"/>
                <w:bCs w:val="0"/>
                <w:color w:val="auto"/>
                <w:szCs w:val="21"/>
                <w:highlight w:val="none"/>
                <w:lang w:val="en-US" w:eastAsia="zh-CN"/>
              </w:rPr>
              <w:t>分</w:t>
            </w:r>
            <w:r>
              <w:rPr>
                <w:rFonts w:hint="eastAsia" w:ascii="宋体" w:hAnsi="宋体" w:eastAsia="宋体" w:cs="宋体"/>
                <w:b w:val="0"/>
                <w:bCs/>
                <w:color w:val="auto"/>
                <w:sz w:val="21"/>
                <w:szCs w:val="21"/>
                <w:highlight w:val="none"/>
                <w:lang w:val="en-US" w:eastAsia="zh-CN"/>
              </w:rPr>
              <w:t>（</w:t>
            </w:r>
            <w:r>
              <w:rPr>
                <w:rFonts w:hint="eastAsia" w:ascii="宋体" w:hAnsi="宋体" w:cs="宋体"/>
                <w:b w:val="0"/>
                <w:bCs/>
                <w:color w:val="auto"/>
                <w:sz w:val="21"/>
                <w:szCs w:val="21"/>
                <w:highlight w:val="none"/>
                <w:lang w:val="en-US" w:eastAsia="zh-CN"/>
              </w:rPr>
              <w:t>满分</w:t>
            </w:r>
            <w:r>
              <w:rPr>
                <w:rFonts w:hint="eastAsia" w:ascii="宋体" w:hAnsi="宋体" w:eastAsia="宋体" w:cs="宋体"/>
                <w:b w:val="0"/>
                <w:bCs/>
                <w:color w:val="auto"/>
                <w:sz w:val="21"/>
                <w:szCs w:val="21"/>
                <w:highlight w:val="none"/>
                <w:lang w:val="en-US" w:eastAsia="zh-CN"/>
              </w:rPr>
              <w:t>8分）</w:t>
            </w:r>
          </w:p>
        </w:tc>
        <w:tc>
          <w:tcPr>
            <w:tcW w:w="5922" w:type="dxa"/>
            <w:noWrap w:val="0"/>
            <w:vAlign w:val="center"/>
          </w:tcPr>
          <w:p w14:paraId="6AD59F93">
            <w:pPr>
              <w:spacing w:line="240" w:lineRule="auto"/>
              <w:rPr>
                <w:rFonts w:hint="eastAsia" w:ascii="宋体" w:hAnsi="宋体" w:cs="Courier New"/>
                <w:b w:val="0"/>
                <w:bCs w:val="0"/>
                <w:color w:val="auto"/>
                <w:szCs w:val="21"/>
                <w:highlight w:val="none"/>
              </w:rPr>
            </w:pPr>
            <w:r>
              <w:rPr>
                <w:rFonts w:hint="eastAsia" w:ascii="宋体" w:hAnsi="宋体" w:cs="Courier New"/>
                <w:b w:val="0"/>
                <w:bCs w:val="0"/>
                <w:color w:val="auto"/>
                <w:szCs w:val="21"/>
                <w:highlight w:val="none"/>
              </w:rPr>
              <w:t>为满足采购方图书采购需求，投标人有正规的供货渠道，能提供</w:t>
            </w:r>
            <w:r>
              <w:rPr>
                <w:rFonts w:hint="eastAsia" w:ascii="宋体" w:hAnsi="宋体" w:cs="Courier New"/>
                <w:b w:val="0"/>
                <w:bCs w:val="0"/>
                <w:color w:val="auto"/>
                <w:szCs w:val="21"/>
                <w:highlight w:val="none"/>
                <w:lang w:val="en-US" w:eastAsia="zh-CN"/>
              </w:rPr>
              <w:t>采购人所列核心出版社</w:t>
            </w:r>
            <w:r>
              <w:rPr>
                <w:rFonts w:hint="eastAsia" w:ascii="宋体" w:hAnsi="宋体" w:cs="Courier New"/>
                <w:b w:val="0"/>
                <w:bCs w:val="0"/>
                <w:color w:val="auto"/>
                <w:szCs w:val="21"/>
                <w:highlight w:val="none"/>
              </w:rPr>
              <w:t>有供货关系的相关证明材料。（满分</w:t>
            </w:r>
            <w:r>
              <w:rPr>
                <w:rFonts w:hint="eastAsia" w:ascii="宋体" w:hAnsi="宋体" w:cs="Courier New"/>
                <w:b w:val="0"/>
                <w:bCs w:val="0"/>
                <w:color w:val="auto"/>
                <w:szCs w:val="21"/>
                <w:highlight w:val="none"/>
                <w:lang w:val="en-US" w:eastAsia="zh-CN"/>
              </w:rPr>
              <w:t>8</w:t>
            </w:r>
            <w:r>
              <w:rPr>
                <w:rFonts w:hint="eastAsia" w:ascii="宋体" w:hAnsi="宋体" w:cs="Courier New"/>
                <w:b w:val="0"/>
                <w:bCs w:val="0"/>
                <w:color w:val="auto"/>
                <w:szCs w:val="21"/>
                <w:highlight w:val="none"/>
              </w:rPr>
              <w:t>分）</w:t>
            </w:r>
          </w:p>
          <w:p w14:paraId="08F5536E">
            <w:pPr>
              <w:spacing w:line="360" w:lineRule="auto"/>
              <w:ind w:firstLine="0" w:firstLineChars="0"/>
              <w:jc w:val="left"/>
              <w:rPr>
                <w:rFonts w:hint="eastAsia" w:ascii="宋体" w:hAnsi="宋体" w:cs="宋体"/>
                <w:bCs/>
                <w:color w:val="auto"/>
                <w:kern w:val="0"/>
                <w:sz w:val="21"/>
                <w:szCs w:val="21"/>
                <w:highlight w:val="none"/>
                <w:lang w:val="en-US" w:eastAsia="zh-CN"/>
              </w:rPr>
            </w:pPr>
            <w:r>
              <w:rPr>
                <w:rFonts w:hint="eastAsia" w:ascii="宋体" w:hAnsi="宋体" w:cs="Courier New"/>
                <w:color w:val="auto"/>
                <w:szCs w:val="21"/>
                <w:highlight w:val="none"/>
              </w:rPr>
              <w:t>投标人自行提供202</w:t>
            </w:r>
            <w:r>
              <w:rPr>
                <w:rFonts w:hint="eastAsia" w:ascii="宋体" w:hAnsi="宋体" w:cs="Courier New"/>
                <w:color w:val="auto"/>
                <w:szCs w:val="21"/>
                <w:highlight w:val="none"/>
                <w:lang w:val="en-US" w:eastAsia="zh-CN"/>
              </w:rPr>
              <w:t>3</w:t>
            </w:r>
            <w:r>
              <w:rPr>
                <w:rFonts w:hint="eastAsia" w:ascii="宋体" w:hAnsi="宋体" w:cs="Courier New"/>
                <w:color w:val="auto"/>
                <w:szCs w:val="21"/>
                <w:highlight w:val="none"/>
              </w:rPr>
              <w:t>年</w:t>
            </w:r>
            <w:r>
              <w:rPr>
                <w:rFonts w:hint="eastAsia" w:ascii="宋体" w:hAnsi="宋体" w:cs="Courier New"/>
                <w:color w:val="auto"/>
                <w:szCs w:val="21"/>
                <w:highlight w:val="none"/>
                <w:lang w:val="en-US" w:eastAsia="zh-CN"/>
              </w:rPr>
              <w:t>1月1日</w:t>
            </w:r>
            <w:r>
              <w:rPr>
                <w:rFonts w:hint="eastAsia" w:ascii="宋体" w:hAnsi="宋体" w:cs="Courier New"/>
                <w:color w:val="auto"/>
                <w:szCs w:val="21"/>
                <w:highlight w:val="none"/>
              </w:rPr>
              <w:t>以来与出版社的结算发票扫描件（不提供不得分），提供少于20份的得1分，提供21-50份的得2分，提供51-70份的得</w:t>
            </w:r>
            <w:r>
              <w:rPr>
                <w:rFonts w:hint="eastAsia" w:ascii="宋体" w:hAnsi="宋体" w:cs="Courier New"/>
                <w:color w:val="auto"/>
                <w:szCs w:val="21"/>
                <w:highlight w:val="none"/>
                <w:lang w:val="en-US" w:eastAsia="zh-CN"/>
              </w:rPr>
              <w:t>4</w:t>
            </w:r>
            <w:r>
              <w:rPr>
                <w:rFonts w:hint="eastAsia" w:ascii="宋体" w:hAnsi="宋体" w:cs="Courier New"/>
                <w:color w:val="auto"/>
                <w:szCs w:val="21"/>
                <w:highlight w:val="none"/>
              </w:rPr>
              <w:t>分，提供71-</w:t>
            </w:r>
            <w:r>
              <w:rPr>
                <w:rFonts w:hint="eastAsia" w:ascii="宋体" w:hAnsi="宋体" w:cs="Courier New"/>
                <w:color w:val="auto"/>
                <w:szCs w:val="21"/>
                <w:highlight w:val="none"/>
                <w:lang w:val="en-US" w:eastAsia="zh-CN"/>
              </w:rPr>
              <w:t>9</w:t>
            </w:r>
            <w:r>
              <w:rPr>
                <w:rFonts w:hint="eastAsia" w:ascii="宋体" w:hAnsi="宋体" w:cs="Courier New"/>
                <w:color w:val="auto"/>
                <w:szCs w:val="21"/>
                <w:highlight w:val="none"/>
              </w:rPr>
              <w:t>0份的得</w:t>
            </w:r>
            <w:r>
              <w:rPr>
                <w:rFonts w:hint="eastAsia" w:ascii="宋体" w:hAnsi="宋体" w:cs="Courier New"/>
                <w:color w:val="auto"/>
                <w:szCs w:val="21"/>
                <w:highlight w:val="none"/>
                <w:lang w:val="en-US" w:eastAsia="zh-CN"/>
              </w:rPr>
              <w:t>6</w:t>
            </w:r>
            <w:r>
              <w:rPr>
                <w:rFonts w:hint="eastAsia" w:ascii="宋体" w:hAnsi="宋体" w:cs="Courier New"/>
                <w:color w:val="auto"/>
                <w:szCs w:val="21"/>
                <w:highlight w:val="none"/>
              </w:rPr>
              <w:t>分，提供91份</w:t>
            </w:r>
            <w:r>
              <w:rPr>
                <w:rFonts w:hint="eastAsia" w:ascii="宋体" w:hAnsi="宋体" w:cs="Courier New"/>
                <w:color w:val="auto"/>
                <w:szCs w:val="21"/>
                <w:highlight w:val="none"/>
                <w:lang w:val="en-US" w:eastAsia="zh-CN"/>
              </w:rPr>
              <w:t>及</w:t>
            </w:r>
            <w:r>
              <w:rPr>
                <w:rFonts w:hint="eastAsia" w:ascii="宋体" w:hAnsi="宋体" w:cs="Courier New"/>
                <w:color w:val="auto"/>
                <w:szCs w:val="21"/>
                <w:highlight w:val="none"/>
              </w:rPr>
              <w:t>以上的</w:t>
            </w:r>
            <w:bookmarkStart w:id="156" w:name="_GoBack"/>
            <w:bookmarkEnd w:id="156"/>
            <w:r>
              <w:rPr>
                <w:rFonts w:hint="eastAsia" w:ascii="宋体" w:hAnsi="宋体" w:cs="Courier New"/>
                <w:color w:val="auto"/>
                <w:szCs w:val="21"/>
                <w:highlight w:val="none"/>
              </w:rPr>
              <w:t>得</w:t>
            </w:r>
            <w:r>
              <w:rPr>
                <w:rFonts w:hint="eastAsia" w:ascii="宋体" w:hAnsi="宋体" w:cs="Courier New"/>
                <w:color w:val="auto"/>
                <w:szCs w:val="21"/>
                <w:highlight w:val="none"/>
                <w:lang w:val="en-US" w:eastAsia="zh-CN"/>
              </w:rPr>
              <w:t>8</w:t>
            </w:r>
            <w:r>
              <w:rPr>
                <w:rFonts w:hint="eastAsia" w:ascii="宋体" w:hAnsi="宋体" w:cs="Courier New"/>
                <w:color w:val="auto"/>
                <w:szCs w:val="21"/>
                <w:highlight w:val="none"/>
              </w:rPr>
              <w:t>分。本项满分</w:t>
            </w:r>
            <w:r>
              <w:rPr>
                <w:rFonts w:hint="eastAsia" w:ascii="宋体" w:hAnsi="宋体" w:cs="Courier New"/>
                <w:color w:val="auto"/>
                <w:szCs w:val="21"/>
                <w:highlight w:val="none"/>
                <w:lang w:val="en-US" w:eastAsia="zh-CN"/>
              </w:rPr>
              <w:t>8</w:t>
            </w:r>
            <w:r>
              <w:rPr>
                <w:rFonts w:hint="eastAsia" w:ascii="宋体" w:hAnsi="宋体" w:cs="Courier New"/>
                <w:color w:val="auto"/>
                <w:szCs w:val="21"/>
                <w:highlight w:val="none"/>
              </w:rPr>
              <w:t>分。</w:t>
            </w:r>
          </w:p>
        </w:tc>
        <w:tc>
          <w:tcPr>
            <w:tcW w:w="957" w:type="dxa"/>
            <w:vMerge w:val="continue"/>
            <w:noWrap w:val="0"/>
            <w:vAlign w:val="center"/>
          </w:tcPr>
          <w:p w14:paraId="1FF1F81C">
            <w:pPr>
              <w:spacing w:line="360" w:lineRule="auto"/>
              <w:ind w:firstLine="0" w:firstLineChars="0"/>
              <w:jc w:val="left"/>
              <w:rPr>
                <w:rFonts w:hint="eastAsia"/>
                <w:color w:val="auto"/>
                <w:highlight w:val="none"/>
              </w:rPr>
            </w:pPr>
          </w:p>
        </w:tc>
      </w:tr>
      <w:tr w14:paraId="6D3317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4" w:hRule="atLeast"/>
          <w:jc w:val="center"/>
        </w:trPr>
        <w:tc>
          <w:tcPr>
            <w:tcW w:w="583" w:type="dxa"/>
            <w:vMerge w:val="continue"/>
            <w:noWrap w:val="0"/>
            <w:vAlign w:val="center"/>
          </w:tcPr>
          <w:p w14:paraId="6BAE86B5">
            <w:pPr>
              <w:spacing w:line="360" w:lineRule="auto"/>
              <w:ind w:firstLine="420" w:firstLineChars="200"/>
              <w:jc w:val="center"/>
              <w:rPr>
                <w:color w:val="auto"/>
                <w:highlight w:val="none"/>
              </w:rPr>
            </w:pPr>
          </w:p>
        </w:tc>
        <w:tc>
          <w:tcPr>
            <w:tcW w:w="1086" w:type="dxa"/>
            <w:vMerge w:val="continue"/>
            <w:noWrap w:val="0"/>
            <w:vAlign w:val="center"/>
          </w:tcPr>
          <w:p w14:paraId="0B1E21FF">
            <w:pPr>
              <w:spacing w:line="360" w:lineRule="auto"/>
              <w:ind w:firstLine="420" w:firstLineChars="200"/>
              <w:jc w:val="center"/>
              <w:rPr>
                <w:color w:val="auto"/>
                <w:highlight w:val="none"/>
              </w:rPr>
            </w:pPr>
          </w:p>
        </w:tc>
        <w:tc>
          <w:tcPr>
            <w:tcW w:w="1051" w:type="dxa"/>
            <w:noWrap w:val="0"/>
            <w:vAlign w:val="center"/>
          </w:tcPr>
          <w:p w14:paraId="7409414C">
            <w:pPr>
              <w:keepNext w:val="0"/>
              <w:keepLines w:val="0"/>
              <w:pageBreakBefore w:val="0"/>
              <w:kinsoku/>
              <w:wordWrap/>
              <w:overflowPunct/>
              <w:topLinePunct w:val="0"/>
              <w:autoSpaceDE/>
              <w:autoSpaceDN/>
              <w:bidi w:val="0"/>
              <w:spacing w:line="360" w:lineRule="auto"/>
              <w:jc w:val="center"/>
              <w:rPr>
                <w:rFonts w:hint="eastAsia" w:ascii="宋体" w:hAnsi="宋体" w:cs="宋体"/>
                <w:color w:val="auto"/>
                <w:sz w:val="21"/>
                <w:szCs w:val="21"/>
                <w:highlight w:val="none"/>
                <w:lang w:val="en-US" w:eastAsia="zh-CN"/>
              </w:rPr>
            </w:pPr>
            <w:r>
              <w:rPr>
                <w:rFonts w:hint="eastAsia"/>
                <w:color w:val="auto"/>
                <w:highlight w:val="none"/>
                <w:lang w:val="en-US" w:eastAsia="zh-CN"/>
              </w:rPr>
              <w:t>2.6</w:t>
            </w:r>
            <w:r>
              <w:rPr>
                <w:rFonts w:hint="eastAsia" w:ascii="宋体" w:hAnsi="宋体" w:eastAsia="宋体" w:cs="宋体"/>
                <w:bCs/>
                <w:color w:val="auto"/>
                <w:sz w:val="21"/>
                <w:szCs w:val="21"/>
                <w:highlight w:val="none"/>
                <w:lang w:val="en-US" w:eastAsia="zh-CN"/>
              </w:rPr>
              <w:t>履约能力</w:t>
            </w:r>
            <w:r>
              <w:rPr>
                <w:rFonts w:hint="eastAsia" w:ascii="宋体" w:hAnsi="宋体" w:cs="宋体"/>
                <w:bCs/>
                <w:color w:val="auto"/>
                <w:sz w:val="21"/>
                <w:szCs w:val="21"/>
                <w:highlight w:val="none"/>
                <w:lang w:val="en-US" w:eastAsia="zh-CN"/>
              </w:rPr>
              <w:t>分（满分5分）</w:t>
            </w:r>
          </w:p>
          <w:p w14:paraId="13527B0E">
            <w:pPr>
              <w:spacing w:line="360" w:lineRule="auto"/>
              <w:ind w:firstLine="0" w:firstLineChars="0"/>
              <w:jc w:val="left"/>
              <w:rPr>
                <w:rFonts w:hint="eastAsia" w:ascii="Times New Roman" w:hAnsi="Times New Roman" w:eastAsia="宋体" w:cs="Times New Roman"/>
                <w:color w:val="auto"/>
                <w:kern w:val="2"/>
                <w:sz w:val="21"/>
                <w:szCs w:val="24"/>
                <w:highlight w:val="none"/>
                <w:lang w:val="en-US" w:eastAsia="zh-CN" w:bidi="ar-SA"/>
              </w:rPr>
            </w:pPr>
          </w:p>
        </w:tc>
        <w:tc>
          <w:tcPr>
            <w:tcW w:w="5922" w:type="dxa"/>
            <w:noWrap w:val="0"/>
            <w:vAlign w:val="center"/>
          </w:tcPr>
          <w:p w14:paraId="66E8A584">
            <w:pPr>
              <w:pStyle w:val="17"/>
              <w:keepNext w:val="0"/>
              <w:keepLines w:val="0"/>
              <w:pageBreakBefore w:val="0"/>
              <w:widowControl/>
              <w:kinsoku/>
              <w:wordWrap/>
              <w:overflowPunct/>
              <w:topLinePunct w:val="0"/>
              <w:autoSpaceDE/>
              <w:autoSpaceDN/>
              <w:bidi w:val="0"/>
              <w:adjustRightInd/>
              <w:snapToGrid/>
              <w:spacing w:line="360" w:lineRule="auto"/>
              <w:textAlignment w:val="auto"/>
              <w:rPr>
                <w:rFonts w:hint="eastAsia" w:ascii="宋体" w:hAnsi="宋体" w:eastAsia="宋体" w:cs="宋体"/>
                <w:bCs/>
                <w:color w:val="auto"/>
                <w:sz w:val="21"/>
                <w:szCs w:val="21"/>
                <w:highlight w:val="none"/>
                <w:lang w:val="en-US" w:eastAsia="zh-CN"/>
              </w:rPr>
            </w:pP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投标人具有与CALIS签订的有效编目数据协议的得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分；具有与国家图书馆签订的有效编目数据协议的得</w:t>
            </w:r>
            <w:r>
              <w:rPr>
                <w:rFonts w:hint="eastAsia" w:hAnsi="宋体" w:cs="宋体"/>
                <w:bCs/>
                <w:color w:val="auto"/>
                <w:sz w:val="21"/>
                <w:szCs w:val="21"/>
                <w:highlight w:val="none"/>
                <w:lang w:val="en-US" w:eastAsia="zh-CN"/>
              </w:rPr>
              <w:t>1</w:t>
            </w:r>
            <w:r>
              <w:rPr>
                <w:rFonts w:hint="eastAsia" w:ascii="宋体" w:hAnsi="宋体" w:eastAsia="宋体" w:cs="宋体"/>
                <w:bCs/>
                <w:color w:val="auto"/>
                <w:sz w:val="21"/>
                <w:szCs w:val="21"/>
                <w:highlight w:val="none"/>
                <w:lang w:val="en-US" w:eastAsia="zh-CN"/>
              </w:rPr>
              <w:t>分，此项满分</w:t>
            </w:r>
            <w:r>
              <w:rPr>
                <w:rFonts w:hint="eastAsia" w:hAnsi="宋体" w:cs="宋体"/>
                <w:bCs/>
                <w:color w:val="auto"/>
                <w:sz w:val="21"/>
                <w:szCs w:val="21"/>
                <w:highlight w:val="none"/>
                <w:lang w:val="en-US" w:eastAsia="zh-CN"/>
              </w:rPr>
              <w:t>2</w:t>
            </w:r>
            <w:r>
              <w:rPr>
                <w:rFonts w:hint="eastAsia" w:ascii="宋体" w:hAnsi="宋体" w:eastAsia="宋体" w:cs="宋体"/>
                <w:bCs/>
                <w:color w:val="auto"/>
                <w:sz w:val="21"/>
                <w:szCs w:val="21"/>
                <w:highlight w:val="none"/>
                <w:lang w:val="en-US" w:eastAsia="zh-CN"/>
              </w:rPr>
              <w:t>分（提</w:t>
            </w:r>
            <w:r>
              <w:rPr>
                <w:rFonts w:hint="eastAsia" w:hAnsi="宋体" w:cs="宋体"/>
                <w:bCs/>
                <w:color w:val="auto"/>
                <w:sz w:val="21"/>
                <w:szCs w:val="21"/>
                <w:highlight w:val="none"/>
                <w:lang w:val="en-US" w:eastAsia="zh-CN"/>
              </w:rPr>
              <w:t>供</w:t>
            </w:r>
            <w:r>
              <w:rPr>
                <w:rFonts w:hint="eastAsia" w:ascii="宋体" w:hAnsi="宋体" w:eastAsia="宋体" w:cs="宋体"/>
                <w:bCs/>
                <w:color w:val="auto"/>
                <w:sz w:val="21"/>
                <w:szCs w:val="21"/>
                <w:highlight w:val="none"/>
                <w:lang w:val="en-US" w:eastAsia="zh-CN"/>
              </w:rPr>
              <w:t>协议书原件扫描件并加盖投标人公章</w:t>
            </w:r>
            <w:r>
              <w:rPr>
                <w:rFonts w:hint="eastAsia"/>
                <w:color w:val="auto"/>
                <w:sz w:val="21"/>
                <w:szCs w:val="21"/>
                <w:highlight w:val="none"/>
                <w:lang w:val="en-US" w:eastAsia="zh-CN"/>
              </w:rPr>
              <w:t>，</w:t>
            </w:r>
            <w:r>
              <w:rPr>
                <w:rFonts w:hint="eastAsia" w:ascii="宋体" w:hAnsi="宋体" w:eastAsia="宋体" w:cs="宋体"/>
                <w:bCs/>
                <w:color w:val="auto"/>
                <w:sz w:val="21"/>
                <w:szCs w:val="21"/>
                <w:highlight w:val="none"/>
                <w:lang w:val="en-US" w:eastAsia="zh-CN"/>
              </w:rPr>
              <w:t>否则不得分）。</w:t>
            </w:r>
          </w:p>
          <w:p w14:paraId="17DBC64A">
            <w:pPr>
              <w:spacing w:line="360" w:lineRule="auto"/>
              <w:ind w:firstLine="0" w:firstLineChars="0"/>
              <w:jc w:val="left"/>
              <w:rPr>
                <w:rFonts w:hint="eastAsia" w:ascii="宋体" w:hAnsi="宋体" w:eastAsia="宋体" w:cs="宋体"/>
                <w:bCs/>
                <w:color w:val="auto"/>
                <w:kern w:val="2"/>
                <w:sz w:val="21"/>
                <w:szCs w:val="21"/>
                <w:highlight w:val="none"/>
                <w:lang w:val="en-US" w:eastAsia="zh-CN" w:bidi="ar-SA"/>
              </w:rPr>
            </w:pPr>
            <w:r>
              <w:rPr>
                <w:rFonts w:hint="eastAsia" w:hAnsi="宋体" w:cs="宋体"/>
                <w:bCs/>
                <w:color w:val="auto"/>
                <w:kern w:val="2"/>
                <w:sz w:val="21"/>
                <w:szCs w:val="21"/>
                <w:highlight w:val="none"/>
                <w:lang w:val="en-US" w:eastAsia="zh-CN" w:bidi="ar-SA"/>
              </w:rPr>
              <w:t>2、</w:t>
            </w:r>
            <w:r>
              <w:rPr>
                <w:rFonts w:hint="eastAsia"/>
                <w:color w:val="auto"/>
                <w:highlight w:val="none"/>
                <w:lang w:val="en-US" w:eastAsia="zh-CN"/>
              </w:rPr>
              <w:t>投标人2023年1月1日至今承担过类似项目且已完成验收，每提供一个项目验收合格证明或用户履约评价为良好等级及以上的证明材料，得1分，此项满分3分。（提供原件扫描件或复印件并加盖投标人公章，否则不得分）。</w:t>
            </w:r>
          </w:p>
        </w:tc>
        <w:tc>
          <w:tcPr>
            <w:tcW w:w="957" w:type="dxa"/>
            <w:vMerge w:val="continue"/>
            <w:noWrap w:val="0"/>
            <w:vAlign w:val="center"/>
          </w:tcPr>
          <w:p w14:paraId="1072AD60">
            <w:pPr>
              <w:spacing w:line="360" w:lineRule="auto"/>
              <w:ind w:firstLine="0" w:firstLineChars="0"/>
              <w:jc w:val="left"/>
              <w:rPr>
                <w:rFonts w:hint="eastAsia"/>
                <w:color w:val="auto"/>
                <w:highlight w:val="none"/>
              </w:rPr>
            </w:pPr>
          </w:p>
        </w:tc>
      </w:tr>
      <w:tr w14:paraId="5F963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583" w:type="dxa"/>
            <w:vMerge w:val="restart"/>
            <w:noWrap w:val="0"/>
            <w:vAlign w:val="center"/>
          </w:tcPr>
          <w:p w14:paraId="4680BCC0">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lang w:val="en-US" w:eastAsia="zh-CN"/>
              </w:rPr>
              <w:t>3</w:t>
            </w:r>
          </w:p>
        </w:tc>
        <w:tc>
          <w:tcPr>
            <w:tcW w:w="1086" w:type="dxa"/>
            <w:vMerge w:val="restart"/>
            <w:noWrap w:val="0"/>
            <w:vAlign w:val="center"/>
          </w:tcPr>
          <w:p w14:paraId="1440E4B0">
            <w:pPr>
              <w:spacing w:line="360" w:lineRule="auto"/>
              <w:jc w:val="center"/>
              <w:rPr>
                <w:rFonts w:hint="eastAsia" w:ascii="宋体" w:hAnsi="宋体" w:eastAsia="宋体" w:cs="宋体"/>
                <w:bCs/>
                <w:color w:val="auto"/>
                <w:szCs w:val="21"/>
                <w:highlight w:val="none"/>
                <w:lang w:eastAsia="zh-CN"/>
              </w:rPr>
            </w:pPr>
            <w:r>
              <w:rPr>
                <w:rFonts w:hint="eastAsia" w:ascii="宋体" w:hAnsi="宋体" w:eastAsia="宋体" w:cs="宋体"/>
                <w:bCs/>
                <w:color w:val="auto"/>
                <w:szCs w:val="21"/>
                <w:highlight w:val="none"/>
              </w:rPr>
              <w:t>商务</w:t>
            </w:r>
            <w:r>
              <w:rPr>
                <w:rFonts w:hint="eastAsia" w:ascii="宋体" w:hAnsi="宋体" w:eastAsia="宋体" w:cs="宋体"/>
                <w:bCs/>
                <w:color w:val="auto"/>
                <w:szCs w:val="21"/>
                <w:highlight w:val="none"/>
                <w:lang w:eastAsia="zh-CN"/>
              </w:rPr>
              <w:t>分</w:t>
            </w:r>
          </w:p>
        </w:tc>
        <w:tc>
          <w:tcPr>
            <w:tcW w:w="1051" w:type="dxa"/>
            <w:noWrap w:val="0"/>
            <w:vAlign w:val="center"/>
          </w:tcPr>
          <w:p w14:paraId="61EF797F">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color w:val="auto"/>
                <w:highlight w:val="none"/>
                <w:lang w:eastAsia="zh-CN"/>
              </w:rPr>
            </w:pPr>
            <w:r>
              <w:rPr>
                <w:rFonts w:hint="eastAsia" w:ascii="宋体" w:hAnsi="宋体" w:cs="宋体"/>
                <w:color w:val="auto"/>
                <w:sz w:val="21"/>
                <w:szCs w:val="21"/>
                <w:highlight w:val="none"/>
              </w:rPr>
              <w:t>售后服务分</w:t>
            </w:r>
            <w:r>
              <w:rPr>
                <w:rFonts w:hint="eastAsia" w:ascii="宋体" w:hAnsi="宋体" w:cs="宋体"/>
                <w:color w:val="auto"/>
                <w:sz w:val="21"/>
                <w:szCs w:val="21"/>
                <w:highlight w:val="none"/>
                <w:lang w:eastAsia="zh-CN"/>
              </w:rPr>
              <w:t>（</w:t>
            </w:r>
            <w:r>
              <w:rPr>
                <w:rFonts w:hint="eastAsia" w:ascii="宋体" w:hAnsi="宋体" w:cs="宋体"/>
                <w:color w:val="auto"/>
                <w:sz w:val="21"/>
                <w:szCs w:val="21"/>
                <w:highlight w:val="none"/>
                <w:lang w:val="en-US" w:eastAsia="zh-CN"/>
              </w:rPr>
              <w:t>满分12分</w:t>
            </w:r>
            <w:r>
              <w:rPr>
                <w:rFonts w:hint="eastAsia" w:ascii="宋体" w:hAnsi="宋体" w:cs="宋体"/>
                <w:color w:val="auto"/>
                <w:sz w:val="21"/>
                <w:szCs w:val="21"/>
                <w:highlight w:val="none"/>
                <w:lang w:eastAsia="zh-CN"/>
              </w:rPr>
              <w:t>）</w:t>
            </w:r>
          </w:p>
        </w:tc>
        <w:tc>
          <w:tcPr>
            <w:tcW w:w="5922" w:type="dxa"/>
            <w:noWrap w:val="0"/>
            <w:vAlign w:val="center"/>
          </w:tcPr>
          <w:p w14:paraId="5C7DAE1A">
            <w:pPr>
              <w:numPr>
                <w:ilvl w:val="0"/>
                <w:numId w:val="0"/>
              </w:numPr>
              <w:rPr>
                <w:rFonts w:hint="eastAsia"/>
                <w:color w:val="auto"/>
                <w:highlight w:val="none"/>
                <w:lang w:eastAsia="zh-CN"/>
              </w:rPr>
            </w:pPr>
            <w:r>
              <w:rPr>
                <w:rFonts w:hint="eastAsia" w:ascii="宋体" w:hAnsi="宋体" w:eastAsia="宋体" w:cs="宋体"/>
                <w:b w:val="0"/>
                <w:bCs w:val="0"/>
                <w:color w:val="auto"/>
                <w:spacing w:val="7"/>
                <w:sz w:val="21"/>
                <w:szCs w:val="21"/>
                <w:highlight w:val="none"/>
                <w:lang w:val="en-US" w:eastAsia="zh-CN"/>
              </w:rPr>
              <w:t>评标小组对各供应商提供的售后服务进行评审，评审内容</w:t>
            </w:r>
            <w:r>
              <w:rPr>
                <w:rFonts w:hint="default" w:ascii="Times New Roman" w:hAnsi="Times New Roman" w:eastAsia="宋体" w:cs="Times New Roman"/>
                <w:color w:val="auto"/>
                <w:szCs w:val="21"/>
                <w:highlight w:val="none"/>
              </w:rPr>
              <w:t>：</w:t>
            </w:r>
            <w:r>
              <w:rPr>
                <w:rFonts w:hint="eastAsia"/>
                <w:color w:val="auto"/>
                <w:highlight w:val="none"/>
              </w:rPr>
              <w:t>①响应时间；②现场到达时间；③重大质量问题处理时限；④质保期；⑤售后服务团队</w:t>
            </w:r>
            <w:r>
              <w:rPr>
                <w:rFonts w:hint="eastAsia"/>
                <w:color w:val="auto"/>
                <w:highlight w:val="none"/>
                <w:lang w:eastAsia="zh-CN"/>
              </w:rPr>
              <w:t>。</w:t>
            </w:r>
          </w:p>
          <w:p w14:paraId="0B9C6424">
            <w:pPr>
              <w:numPr>
                <w:ilvl w:val="0"/>
                <w:numId w:val="0"/>
              </w:numPr>
              <w:rPr>
                <w:rFonts w:hint="eastAsia"/>
                <w:b w:val="0"/>
                <w:bCs/>
                <w:color w:val="auto"/>
                <w:sz w:val="21"/>
                <w:szCs w:val="21"/>
                <w:highlight w:val="none"/>
                <w:lang w:eastAsia="zh-CN"/>
              </w:rPr>
            </w:pPr>
            <w:r>
              <w:rPr>
                <w:rFonts w:hint="eastAsia"/>
                <w:b w:val="0"/>
                <w:bCs/>
                <w:color w:val="auto"/>
                <w:sz w:val="21"/>
                <w:szCs w:val="21"/>
                <w:highlight w:val="none"/>
                <w:lang w:val="en-US" w:eastAsia="zh-CN"/>
              </w:rPr>
              <w:t>一档（4分）</w:t>
            </w:r>
            <w:r>
              <w:rPr>
                <w:rFonts w:hint="default" w:ascii="宋体" w:hAnsi="宋体" w:eastAsia="宋体" w:cs="宋体"/>
                <w:b w:val="0"/>
                <w:bCs/>
                <w:color w:val="auto"/>
                <w:sz w:val="21"/>
                <w:szCs w:val="21"/>
                <w:highlight w:val="none"/>
              </w:rPr>
              <w:t>方案满足采购要求，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1</w:t>
            </w:r>
            <w:r>
              <w:rPr>
                <w:rFonts w:hint="eastAsia"/>
                <w:b w:val="0"/>
                <w:bCs/>
                <w:color w:val="auto"/>
                <w:sz w:val="21"/>
                <w:szCs w:val="21"/>
                <w:highlight w:val="none"/>
              </w:rPr>
              <w:t>小时内；②现场到达时间</w:t>
            </w:r>
            <w:r>
              <w:rPr>
                <w:rFonts w:hint="eastAsia"/>
                <w:b w:val="0"/>
                <w:bCs/>
                <w:color w:val="auto"/>
                <w:sz w:val="21"/>
                <w:szCs w:val="21"/>
                <w:highlight w:val="none"/>
                <w:lang w:val="en-US" w:eastAsia="zh-CN"/>
              </w:rPr>
              <w:t>4</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48</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1</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w:t>
            </w:r>
          </w:p>
          <w:p w14:paraId="3C1FAF7D">
            <w:pPr>
              <w:numPr>
                <w:ilvl w:val="0"/>
                <w:numId w:val="0"/>
              </w:numPr>
              <w:rPr>
                <w:rFonts w:hint="default" w:ascii="宋体" w:hAnsi="宋体" w:eastAsia="宋体" w:cs="宋体"/>
                <w:b w:val="0"/>
                <w:bCs w:val="0"/>
                <w:color w:val="auto"/>
                <w:sz w:val="21"/>
                <w:szCs w:val="21"/>
                <w:highlight w:val="none"/>
                <w:lang w:val="en-US" w:eastAsia="zh-CN"/>
              </w:rPr>
            </w:pPr>
            <w:r>
              <w:rPr>
                <w:rFonts w:hint="eastAsia" w:ascii="宋体" w:hAnsi="宋体" w:eastAsia="宋体" w:cs="宋体"/>
                <w:b w:val="0"/>
                <w:bCs w:val="0"/>
                <w:color w:val="auto"/>
                <w:sz w:val="21"/>
                <w:szCs w:val="21"/>
                <w:highlight w:val="none"/>
                <w:lang w:val="en-US" w:eastAsia="zh-CN"/>
              </w:rPr>
              <w:t>二</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w:t>
            </w:r>
            <w:r>
              <w:rPr>
                <w:rFonts w:hint="eastAsia" w:ascii="宋体" w:hAnsi="宋体" w:cs="宋体"/>
                <w:b w:val="0"/>
                <w:bCs w:val="0"/>
                <w:color w:val="auto"/>
                <w:sz w:val="21"/>
                <w:szCs w:val="21"/>
                <w:highlight w:val="none"/>
                <w:lang w:val="en-US" w:eastAsia="zh-CN"/>
              </w:rPr>
              <w:t>8</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ascii="宋体" w:hAnsi="宋体"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30分钟</w:t>
            </w:r>
            <w:r>
              <w:rPr>
                <w:rFonts w:hint="eastAsia"/>
                <w:b w:val="0"/>
                <w:bCs/>
                <w:color w:val="auto"/>
                <w:sz w:val="21"/>
                <w:szCs w:val="21"/>
                <w:highlight w:val="none"/>
              </w:rPr>
              <w:t>内；②现场到达时间</w:t>
            </w:r>
            <w:r>
              <w:rPr>
                <w:rFonts w:hint="eastAsia"/>
                <w:b w:val="0"/>
                <w:bCs/>
                <w:color w:val="auto"/>
                <w:sz w:val="21"/>
                <w:szCs w:val="21"/>
                <w:highlight w:val="none"/>
                <w:lang w:val="en-US" w:eastAsia="zh-CN"/>
              </w:rPr>
              <w:t>3</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24</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2</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3人</w:t>
            </w:r>
            <w:r>
              <w:rPr>
                <w:rFonts w:hint="eastAsia"/>
                <w:b w:val="0"/>
                <w:bCs/>
                <w:color w:val="auto"/>
                <w:sz w:val="21"/>
                <w:szCs w:val="21"/>
                <w:highlight w:val="none"/>
                <w:lang w:eastAsia="zh-CN"/>
              </w:rPr>
              <w:t>。</w:t>
            </w:r>
            <w:r>
              <w:rPr>
                <w:rFonts w:hint="default" w:ascii="宋体" w:hAnsi="宋体" w:eastAsia="宋体" w:cs="宋体"/>
                <w:b w:val="0"/>
                <w:bCs w:val="0"/>
                <w:color w:val="auto"/>
                <w:sz w:val="21"/>
                <w:szCs w:val="21"/>
                <w:highlight w:val="none"/>
                <w:lang w:val="en-US" w:eastAsia="zh-CN"/>
              </w:rPr>
              <w:t xml:space="preserve"> </w:t>
            </w:r>
          </w:p>
          <w:p w14:paraId="0DD70A5C">
            <w:pPr>
              <w:keepNext w:val="0"/>
              <w:keepLines w:val="0"/>
              <w:pageBreakBefore w:val="0"/>
              <w:numPr>
                <w:ilvl w:val="0"/>
                <w:numId w:val="0"/>
              </w:numPr>
              <w:kinsoku/>
              <w:wordWrap/>
              <w:overflowPunct/>
              <w:topLinePunct w:val="0"/>
              <w:autoSpaceDE/>
              <w:autoSpaceDN/>
              <w:bidi w:val="0"/>
              <w:adjustRightInd/>
              <w:spacing w:line="240" w:lineRule="auto"/>
              <w:jc w:val="left"/>
              <w:textAlignment w:val="auto"/>
              <w:rPr>
                <w:rFonts w:hint="eastAsia"/>
                <w:b w:val="0"/>
                <w:bCs/>
                <w:color w:val="auto"/>
                <w:sz w:val="21"/>
                <w:szCs w:val="21"/>
                <w:highlight w:val="none"/>
                <w:lang w:eastAsia="zh-CN"/>
              </w:rPr>
            </w:pPr>
            <w:r>
              <w:rPr>
                <w:rFonts w:hint="eastAsia" w:ascii="宋体" w:hAnsi="宋体" w:eastAsia="宋体" w:cs="宋体"/>
                <w:b w:val="0"/>
                <w:bCs w:val="0"/>
                <w:color w:val="auto"/>
                <w:sz w:val="21"/>
                <w:szCs w:val="21"/>
                <w:highlight w:val="none"/>
                <w:lang w:val="en-US" w:eastAsia="zh-CN"/>
              </w:rPr>
              <w:t>三</w:t>
            </w:r>
            <w:r>
              <w:rPr>
                <w:rFonts w:hint="default" w:ascii="宋体" w:hAnsi="宋体" w:eastAsia="宋体" w:cs="宋体"/>
                <w:b w:val="0"/>
                <w:bCs w:val="0"/>
                <w:color w:val="auto"/>
                <w:sz w:val="21"/>
                <w:szCs w:val="21"/>
                <w:highlight w:val="none"/>
                <w:lang w:val="en-US" w:eastAsia="zh-CN"/>
              </w:rPr>
              <w:t>档</w:t>
            </w:r>
            <w:r>
              <w:rPr>
                <w:rFonts w:hint="eastAsia" w:ascii="宋体" w:hAnsi="宋体" w:eastAsia="宋体" w:cs="宋体"/>
                <w:b w:val="0"/>
                <w:bCs w:val="0"/>
                <w:color w:val="auto"/>
                <w:sz w:val="21"/>
                <w:szCs w:val="21"/>
                <w:highlight w:val="none"/>
                <w:lang w:val="en-US" w:eastAsia="zh-CN"/>
              </w:rPr>
              <w:t>（1</w:t>
            </w:r>
            <w:r>
              <w:rPr>
                <w:rFonts w:hint="eastAsia" w:ascii="宋体" w:hAnsi="宋体" w:cs="宋体"/>
                <w:b w:val="0"/>
                <w:bCs w:val="0"/>
                <w:color w:val="auto"/>
                <w:sz w:val="21"/>
                <w:szCs w:val="21"/>
                <w:highlight w:val="none"/>
                <w:lang w:val="en-US" w:eastAsia="zh-CN"/>
              </w:rPr>
              <w:t>2</w:t>
            </w:r>
            <w:r>
              <w:rPr>
                <w:rFonts w:hint="eastAsia" w:ascii="宋体" w:hAnsi="宋体" w:eastAsia="宋体" w:cs="宋体"/>
                <w:b w:val="0"/>
                <w:bCs w:val="0"/>
                <w:color w:val="auto"/>
                <w:sz w:val="21"/>
                <w:szCs w:val="21"/>
                <w:highlight w:val="none"/>
                <w:lang w:val="en-US" w:eastAsia="zh-CN"/>
              </w:rPr>
              <w:t>分）</w:t>
            </w:r>
            <w:r>
              <w:rPr>
                <w:rFonts w:hint="default" w:ascii="宋体" w:hAnsi="宋体" w:eastAsia="宋体" w:cs="宋体"/>
                <w:b w:val="0"/>
                <w:bCs w:val="0"/>
                <w:color w:val="auto"/>
                <w:sz w:val="21"/>
                <w:szCs w:val="21"/>
                <w:highlight w:val="none"/>
                <w:lang w:val="en-US" w:eastAsia="zh-CN"/>
              </w:rPr>
              <w:t>：</w:t>
            </w:r>
            <w:r>
              <w:rPr>
                <w:rFonts w:hint="default" w:ascii="宋体" w:hAnsi="宋体" w:eastAsia="宋体" w:cs="宋体"/>
                <w:b w:val="0"/>
                <w:bCs/>
                <w:color w:val="auto"/>
                <w:sz w:val="21"/>
                <w:szCs w:val="21"/>
                <w:highlight w:val="none"/>
              </w:rPr>
              <w:t>方案</w:t>
            </w:r>
            <w:r>
              <w:rPr>
                <w:rFonts w:hint="eastAsia" w:ascii="宋体" w:hAnsi="宋体" w:cs="宋体"/>
                <w:b w:val="0"/>
                <w:bCs/>
                <w:color w:val="auto"/>
                <w:sz w:val="21"/>
                <w:szCs w:val="21"/>
                <w:highlight w:val="none"/>
                <w:lang w:eastAsia="zh-CN"/>
              </w:rPr>
              <w:t>优于</w:t>
            </w:r>
            <w:r>
              <w:rPr>
                <w:rFonts w:hint="default" w:ascii="宋体" w:hAnsi="宋体" w:eastAsia="宋体" w:cs="宋体"/>
                <w:b w:val="0"/>
                <w:bCs/>
                <w:color w:val="auto"/>
                <w:sz w:val="21"/>
                <w:szCs w:val="21"/>
                <w:highlight w:val="none"/>
              </w:rPr>
              <w:t>采购要求，</w:t>
            </w:r>
            <w:r>
              <w:rPr>
                <w:rFonts w:hint="eastAsia" w:ascii="宋体" w:hAnsi="宋体" w:cs="宋体"/>
                <w:b w:val="0"/>
                <w:bCs/>
                <w:color w:val="auto"/>
                <w:sz w:val="21"/>
                <w:szCs w:val="21"/>
                <w:highlight w:val="none"/>
                <w:lang w:eastAsia="zh-CN"/>
              </w:rPr>
              <w:t>根据采购人需求针对性优化制定</w:t>
            </w:r>
            <w:r>
              <w:rPr>
                <w:rFonts w:hint="eastAsia" w:ascii="宋体" w:hAnsi="宋体" w:eastAsia="宋体" w:cs="宋体"/>
                <w:b w:val="0"/>
                <w:bCs/>
                <w:color w:val="auto"/>
                <w:sz w:val="21"/>
                <w:szCs w:val="21"/>
                <w:highlight w:val="none"/>
                <w:lang w:val="en-US" w:eastAsia="zh-CN"/>
              </w:rPr>
              <w:t>，</w:t>
            </w:r>
            <w:r>
              <w:rPr>
                <w:rFonts w:hint="eastAsia"/>
                <w:b w:val="0"/>
                <w:bCs/>
                <w:color w:val="auto"/>
                <w:sz w:val="21"/>
                <w:szCs w:val="21"/>
                <w:highlight w:val="none"/>
              </w:rPr>
              <w:t>①响应时间</w:t>
            </w:r>
            <w:r>
              <w:rPr>
                <w:rFonts w:hint="eastAsia"/>
                <w:b w:val="0"/>
                <w:bCs/>
                <w:color w:val="auto"/>
                <w:sz w:val="21"/>
                <w:szCs w:val="21"/>
                <w:highlight w:val="none"/>
                <w:lang w:val="en-US" w:eastAsia="zh-CN"/>
              </w:rPr>
              <w:t>30分钟</w:t>
            </w:r>
            <w:r>
              <w:rPr>
                <w:rFonts w:hint="eastAsia"/>
                <w:b w:val="0"/>
                <w:bCs/>
                <w:color w:val="auto"/>
                <w:sz w:val="21"/>
                <w:szCs w:val="21"/>
                <w:highlight w:val="none"/>
              </w:rPr>
              <w:t>内；②现场到达时间</w:t>
            </w:r>
            <w:r>
              <w:rPr>
                <w:rFonts w:hint="eastAsia"/>
                <w:b w:val="0"/>
                <w:bCs/>
                <w:color w:val="auto"/>
                <w:sz w:val="21"/>
                <w:szCs w:val="21"/>
                <w:highlight w:val="none"/>
                <w:lang w:val="en-US" w:eastAsia="zh-CN"/>
              </w:rPr>
              <w:t>2</w:t>
            </w:r>
            <w:r>
              <w:rPr>
                <w:rFonts w:hint="eastAsia"/>
                <w:b w:val="0"/>
                <w:bCs/>
                <w:color w:val="auto"/>
                <w:sz w:val="21"/>
                <w:szCs w:val="21"/>
                <w:highlight w:val="none"/>
              </w:rPr>
              <w:t>小时内；③重大质量问题处理时限</w:t>
            </w:r>
            <w:r>
              <w:rPr>
                <w:rFonts w:hint="eastAsia"/>
                <w:b w:val="0"/>
                <w:bCs/>
                <w:color w:val="auto"/>
                <w:sz w:val="21"/>
                <w:szCs w:val="21"/>
                <w:highlight w:val="none"/>
                <w:lang w:val="en-US" w:eastAsia="zh-CN"/>
              </w:rPr>
              <w:t>12</w:t>
            </w:r>
            <w:r>
              <w:rPr>
                <w:rFonts w:hint="eastAsia"/>
                <w:b w:val="0"/>
                <w:bCs/>
                <w:color w:val="auto"/>
                <w:sz w:val="21"/>
                <w:szCs w:val="21"/>
                <w:highlight w:val="none"/>
              </w:rPr>
              <w:t>小时内；④质保期</w:t>
            </w:r>
            <w:r>
              <w:rPr>
                <w:rFonts w:hint="eastAsia"/>
                <w:b w:val="0"/>
                <w:bCs/>
                <w:color w:val="auto"/>
                <w:sz w:val="21"/>
                <w:szCs w:val="21"/>
                <w:highlight w:val="none"/>
                <w:lang w:val="en-US" w:eastAsia="zh-CN"/>
              </w:rPr>
              <w:t>3</w:t>
            </w:r>
            <w:r>
              <w:rPr>
                <w:rFonts w:hint="eastAsia"/>
                <w:b w:val="0"/>
                <w:bCs/>
                <w:color w:val="auto"/>
                <w:sz w:val="21"/>
                <w:szCs w:val="21"/>
                <w:highlight w:val="none"/>
              </w:rPr>
              <w:t>年；⑤</w:t>
            </w:r>
            <w:r>
              <w:rPr>
                <w:rFonts w:hint="eastAsia"/>
                <w:b w:val="0"/>
                <w:bCs/>
                <w:color w:val="auto"/>
                <w:sz w:val="21"/>
                <w:szCs w:val="21"/>
                <w:highlight w:val="none"/>
                <w:lang w:val="en-US" w:eastAsia="zh-CN"/>
              </w:rPr>
              <w:t>有</w:t>
            </w:r>
            <w:r>
              <w:rPr>
                <w:rFonts w:hint="eastAsia"/>
                <w:b w:val="0"/>
                <w:bCs/>
                <w:color w:val="auto"/>
                <w:sz w:val="21"/>
                <w:szCs w:val="21"/>
                <w:highlight w:val="none"/>
              </w:rPr>
              <w:t>售后服务团队</w:t>
            </w:r>
            <w:r>
              <w:rPr>
                <w:rFonts w:hint="eastAsia"/>
                <w:b w:val="0"/>
                <w:bCs/>
                <w:color w:val="auto"/>
                <w:sz w:val="21"/>
                <w:szCs w:val="21"/>
                <w:highlight w:val="none"/>
                <w:lang w:eastAsia="zh-CN"/>
              </w:rPr>
              <w:t>至少</w:t>
            </w:r>
            <w:r>
              <w:rPr>
                <w:rFonts w:hint="eastAsia"/>
                <w:b w:val="0"/>
                <w:bCs/>
                <w:color w:val="auto"/>
                <w:sz w:val="21"/>
                <w:szCs w:val="21"/>
                <w:highlight w:val="none"/>
                <w:lang w:val="en-US" w:eastAsia="zh-CN"/>
              </w:rPr>
              <w:t>5人</w:t>
            </w:r>
            <w:r>
              <w:rPr>
                <w:rFonts w:hint="eastAsia"/>
                <w:b w:val="0"/>
                <w:bCs/>
                <w:color w:val="auto"/>
                <w:sz w:val="21"/>
                <w:szCs w:val="21"/>
                <w:highlight w:val="none"/>
                <w:lang w:eastAsia="zh-CN"/>
              </w:rPr>
              <w:t>。</w:t>
            </w:r>
          </w:p>
          <w:p w14:paraId="709E147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color w:val="auto"/>
                <w:highlight w:val="none"/>
                <w:lang w:val="en-US" w:eastAsia="zh-CN"/>
              </w:rPr>
            </w:pPr>
            <w:r>
              <w:rPr>
                <w:rFonts w:hint="eastAsia" w:ascii="宋体" w:hAnsi="宋体" w:cs="宋体"/>
                <w:b w:val="0"/>
                <w:bCs w:val="0"/>
                <w:color w:val="auto"/>
                <w:spacing w:val="7"/>
                <w:sz w:val="21"/>
                <w:szCs w:val="21"/>
                <w:highlight w:val="none"/>
                <w:lang w:val="en-US" w:eastAsia="zh-CN"/>
              </w:rPr>
              <w:t>注：不满足一档要求或未提供方案不得分。</w:t>
            </w:r>
          </w:p>
        </w:tc>
        <w:tc>
          <w:tcPr>
            <w:tcW w:w="957" w:type="dxa"/>
            <w:vMerge w:val="restart"/>
            <w:noWrap w:val="0"/>
            <w:vAlign w:val="center"/>
          </w:tcPr>
          <w:p w14:paraId="5F74E23B">
            <w:pPr>
              <w:spacing w:line="360" w:lineRule="auto"/>
              <w:jc w:val="center"/>
              <w:rPr>
                <w:rFonts w:hint="eastAsia" w:ascii="宋体" w:hAnsi="宋体" w:eastAsia="宋体" w:cs="宋体"/>
                <w:bCs/>
                <w:color w:val="auto"/>
                <w:szCs w:val="21"/>
                <w:highlight w:val="none"/>
                <w:lang w:val="en-US" w:eastAsia="zh-CN"/>
              </w:rPr>
            </w:pPr>
            <w:r>
              <w:rPr>
                <w:rFonts w:hint="eastAsia" w:ascii="宋体" w:hAnsi="宋体" w:cs="宋体"/>
                <w:bCs/>
                <w:color w:val="auto"/>
                <w:szCs w:val="21"/>
                <w:highlight w:val="none"/>
                <w:lang w:val="en-US" w:eastAsia="zh-CN"/>
              </w:rPr>
              <w:t>25</w:t>
            </w:r>
            <w:r>
              <w:rPr>
                <w:rFonts w:hint="eastAsia" w:ascii="宋体" w:hAnsi="宋体" w:eastAsia="宋体" w:cs="宋体"/>
                <w:bCs/>
                <w:color w:val="auto"/>
                <w:szCs w:val="21"/>
                <w:highlight w:val="none"/>
                <w:lang w:eastAsia="zh-CN"/>
              </w:rPr>
              <w:t>分</w:t>
            </w:r>
          </w:p>
        </w:tc>
      </w:tr>
      <w:tr w14:paraId="3853B8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12" w:hRule="atLeast"/>
          <w:jc w:val="center"/>
        </w:trPr>
        <w:tc>
          <w:tcPr>
            <w:tcW w:w="583" w:type="dxa"/>
            <w:vMerge w:val="continue"/>
            <w:noWrap w:val="0"/>
            <w:vAlign w:val="center"/>
          </w:tcPr>
          <w:p w14:paraId="66FA7669">
            <w:pPr>
              <w:spacing w:line="360" w:lineRule="auto"/>
              <w:jc w:val="center"/>
              <w:rPr>
                <w:rFonts w:hint="eastAsia" w:ascii="宋体" w:hAnsi="宋体" w:eastAsia="宋体" w:cs="宋体"/>
                <w:bCs/>
                <w:color w:val="auto"/>
                <w:szCs w:val="21"/>
                <w:highlight w:val="none"/>
                <w:lang w:eastAsia="zh-CN"/>
              </w:rPr>
            </w:pPr>
          </w:p>
        </w:tc>
        <w:tc>
          <w:tcPr>
            <w:tcW w:w="1086" w:type="dxa"/>
            <w:vMerge w:val="continue"/>
            <w:noWrap w:val="0"/>
            <w:vAlign w:val="center"/>
          </w:tcPr>
          <w:p w14:paraId="4783A1AB">
            <w:pPr>
              <w:spacing w:line="360" w:lineRule="auto"/>
              <w:jc w:val="center"/>
              <w:rPr>
                <w:rFonts w:hint="eastAsia" w:ascii="宋体" w:hAnsi="宋体" w:eastAsia="宋体" w:cs="宋体"/>
                <w:bCs/>
                <w:color w:val="auto"/>
                <w:szCs w:val="21"/>
                <w:highlight w:val="none"/>
                <w:lang w:eastAsia="zh-CN"/>
              </w:rPr>
            </w:pPr>
          </w:p>
        </w:tc>
        <w:tc>
          <w:tcPr>
            <w:tcW w:w="1051" w:type="dxa"/>
            <w:noWrap w:val="0"/>
            <w:vAlign w:val="center"/>
          </w:tcPr>
          <w:p w14:paraId="394904C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eastAsia="宋体"/>
                <w:color w:val="auto"/>
                <w:highlight w:val="none"/>
                <w:lang w:eastAsia="zh-CN"/>
              </w:rPr>
            </w:pPr>
            <w:r>
              <w:rPr>
                <w:rFonts w:hint="eastAsia" w:ascii="宋体" w:hAnsi="宋体" w:eastAsia="宋体" w:cs="宋体"/>
                <w:color w:val="auto"/>
                <w:highlight w:val="none"/>
                <w:lang w:eastAsia="zh-CN"/>
              </w:rPr>
              <w:t>业绩</w:t>
            </w:r>
            <w:r>
              <w:rPr>
                <w:rFonts w:hint="eastAsia"/>
                <w:color w:val="auto"/>
                <w:highlight w:val="none"/>
                <w:lang w:eastAsia="zh-CN"/>
              </w:rPr>
              <w:t>信誉分（满分</w:t>
            </w:r>
            <w:r>
              <w:rPr>
                <w:rFonts w:hint="eastAsia"/>
                <w:color w:val="auto"/>
                <w:highlight w:val="none"/>
                <w:lang w:val="en-US" w:eastAsia="zh-CN"/>
              </w:rPr>
              <w:t>13分</w:t>
            </w:r>
            <w:r>
              <w:rPr>
                <w:rFonts w:hint="eastAsia"/>
                <w:color w:val="auto"/>
                <w:highlight w:val="none"/>
                <w:lang w:eastAsia="zh-CN"/>
              </w:rPr>
              <w:t>）</w:t>
            </w:r>
          </w:p>
        </w:tc>
        <w:tc>
          <w:tcPr>
            <w:tcW w:w="5922" w:type="dxa"/>
            <w:noWrap w:val="0"/>
            <w:vAlign w:val="center"/>
          </w:tcPr>
          <w:p w14:paraId="4DDCA6F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供应商需具有有效期内</w:t>
            </w:r>
            <w:r>
              <w:rPr>
                <w:rFonts w:hint="eastAsia" w:ascii="宋体" w:hAnsi="宋体" w:cs="宋体"/>
                <w:color w:val="auto"/>
                <w:highlight w:val="none"/>
                <w:lang w:val="en-US" w:eastAsia="zh-CN"/>
              </w:rPr>
              <w:t>的</w:t>
            </w:r>
            <w:r>
              <w:rPr>
                <w:rFonts w:hint="eastAsia" w:ascii="宋体" w:hAnsi="宋体" w:eastAsia="宋体" w:cs="宋体"/>
                <w:color w:val="auto"/>
                <w:highlight w:val="none"/>
              </w:rPr>
              <w:t>质量管理体系认证</w:t>
            </w:r>
            <w:r>
              <w:rPr>
                <w:rFonts w:hint="eastAsia" w:ascii="宋体" w:hAnsi="宋体" w:eastAsia="宋体" w:cs="宋体"/>
                <w:color w:val="auto"/>
                <w:highlight w:val="none"/>
                <w:lang w:eastAsia="zh-CN"/>
              </w:rPr>
              <w:t>证书（</w:t>
            </w:r>
            <w:r>
              <w:rPr>
                <w:rFonts w:hint="eastAsia" w:ascii="宋体" w:hAnsi="宋体"/>
                <w:color w:val="auto"/>
                <w:szCs w:val="21"/>
                <w:highlight w:val="none"/>
              </w:rPr>
              <w:t>IS09001</w:t>
            </w:r>
            <w:r>
              <w:rPr>
                <w:rFonts w:hint="eastAsia" w:ascii="宋体" w:hAnsi="宋体" w:eastAsia="宋体" w:cs="宋体"/>
                <w:color w:val="auto"/>
                <w:highlight w:val="none"/>
                <w:lang w:eastAsia="zh-CN"/>
              </w:rPr>
              <w:t>）</w:t>
            </w:r>
            <w:r>
              <w:rPr>
                <w:rFonts w:hint="eastAsia" w:ascii="宋体" w:hAnsi="宋体" w:cs="宋体"/>
                <w:color w:val="auto"/>
                <w:highlight w:val="none"/>
                <w:lang w:eastAsia="zh-CN"/>
              </w:rPr>
              <w:t>、</w:t>
            </w:r>
            <w:r>
              <w:rPr>
                <w:rFonts w:hint="eastAsia" w:ascii="宋体" w:hAnsi="宋体" w:eastAsia="宋体" w:cs="宋体"/>
                <w:color w:val="auto"/>
                <w:highlight w:val="none"/>
                <w:lang w:eastAsia="zh-CN"/>
              </w:rPr>
              <w:t>提供</w:t>
            </w:r>
            <w:r>
              <w:rPr>
                <w:rFonts w:hint="eastAsia" w:ascii="宋体" w:hAnsi="宋体" w:eastAsia="宋体" w:cs="宋体"/>
                <w:color w:val="auto"/>
                <w:highlight w:val="none"/>
              </w:rPr>
              <w:t>得1分，满分</w:t>
            </w:r>
            <w:r>
              <w:rPr>
                <w:rFonts w:hint="eastAsia" w:ascii="宋体" w:hAnsi="宋体" w:cs="宋体"/>
                <w:color w:val="auto"/>
                <w:highlight w:val="none"/>
                <w:lang w:val="en-US" w:eastAsia="zh-CN"/>
              </w:rPr>
              <w:t>1</w:t>
            </w:r>
            <w:r>
              <w:rPr>
                <w:rFonts w:hint="eastAsia" w:ascii="宋体" w:hAnsi="宋体" w:eastAsia="宋体" w:cs="宋体"/>
                <w:color w:val="auto"/>
                <w:highlight w:val="none"/>
              </w:rPr>
              <w:t>分。（</w:t>
            </w:r>
            <w:r>
              <w:rPr>
                <w:rFonts w:hint="eastAsia" w:ascii="宋体" w:hAnsi="宋体" w:eastAsia="宋体" w:cs="宋体"/>
                <w:color w:val="auto"/>
                <w:highlight w:val="none"/>
                <w:lang w:eastAsia="zh-CN"/>
              </w:rPr>
              <w:t>响应文件中</w:t>
            </w:r>
            <w:r>
              <w:rPr>
                <w:rFonts w:hint="eastAsia" w:ascii="宋体" w:hAnsi="宋体" w:eastAsia="宋体" w:cs="宋体"/>
                <w:color w:val="auto"/>
                <w:highlight w:val="none"/>
              </w:rPr>
              <w:t>提供证书复印件或扫描件、全国认证认可信息公共服务平台查询结果截图，未提供的不得分）</w:t>
            </w:r>
          </w:p>
          <w:p w14:paraId="219BE99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0" w:firstLineChars="0"/>
              <w:jc w:val="left"/>
              <w:textAlignment w:val="auto"/>
              <w:rPr>
                <w:rFonts w:hint="default"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供应商提供202</w:t>
            </w:r>
            <w:r>
              <w:rPr>
                <w:rFonts w:hint="eastAsia" w:ascii="宋体" w:hAnsi="宋体" w:eastAsia="宋体" w:cs="宋体"/>
                <w:color w:val="auto"/>
                <w:highlight w:val="none"/>
                <w:lang w:eastAsia="zh-CN"/>
              </w:rPr>
              <w:t>3</w:t>
            </w:r>
            <w:r>
              <w:rPr>
                <w:rFonts w:hint="eastAsia" w:ascii="宋体" w:hAnsi="宋体" w:eastAsia="宋体" w:cs="宋体"/>
                <w:color w:val="auto"/>
                <w:highlight w:val="none"/>
              </w:rPr>
              <w:t>年1月1日以来中文纸质图书同类项目业绩【以中标（成交）通知书或合同复印件为准，并提供采购单位的联系电话、联系人】，每提供一份有效的业绩材料得</w:t>
            </w: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分，满分</w:t>
            </w:r>
            <w:r>
              <w:rPr>
                <w:rFonts w:hint="eastAsia" w:ascii="宋体" w:hAnsi="宋体" w:cs="宋体"/>
                <w:color w:val="auto"/>
                <w:highlight w:val="none"/>
                <w:lang w:val="en-US" w:eastAsia="zh-CN"/>
              </w:rPr>
              <w:t>12</w:t>
            </w:r>
            <w:r>
              <w:rPr>
                <w:rFonts w:hint="eastAsia" w:ascii="宋体" w:hAnsi="宋体" w:eastAsia="宋体" w:cs="宋体"/>
                <w:color w:val="auto"/>
                <w:highlight w:val="none"/>
              </w:rPr>
              <w:t>分。</w:t>
            </w:r>
          </w:p>
        </w:tc>
        <w:tc>
          <w:tcPr>
            <w:tcW w:w="957" w:type="dxa"/>
            <w:vMerge w:val="continue"/>
            <w:noWrap w:val="0"/>
            <w:vAlign w:val="center"/>
          </w:tcPr>
          <w:p w14:paraId="614613F4">
            <w:pPr>
              <w:spacing w:line="360" w:lineRule="auto"/>
              <w:jc w:val="center"/>
              <w:rPr>
                <w:rFonts w:hint="eastAsia" w:ascii="宋体" w:hAnsi="宋体" w:eastAsia="宋体" w:cs="宋体"/>
                <w:bCs/>
                <w:color w:val="auto"/>
                <w:szCs w:val="21"/>
                <w:highlight w:val="none"/>
                <w:lang w:val="en-US" w:eastAsia="zh-CN"/>
              </w:rPr>
            </w:pPr>
          </w:p>
        </w:tc>
      </w:tr>
      <w:tr w14:paraId="572C1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599" w:type="dxa"/>
            <w:gridSpan w:val="5"/>
            <w:noWrap w:val="0"/>
            <w:vAlign w:val="center"/>
          </w:tcPr>
          <w:p w14:paraId="065A4DA9">
            <w:pPr>
              <w:widowControl/>
              <w:numPr>
                <w:ilvl w:val="0"/>
                <w:numId w:val="0"/>
              </w:numPr>
              <w:spacing w:line="360" w:lineRule="auto"/>
              <w:jc w:val="left"/>
              <w:rPr>
                <w:rFonts w:hint="eastAsia" w:ascii="宋体" w:hAnsi="宋体" w:eastAsia="宋体" w:cs="宋体"/>
                <w:bCs/>
                <w:color w:val="auto"/>
                <w:szCs w:val="21"/>
                <w:highlight w:val="none"/>
                <w:lang w:eastAsia="zh-CN"/>
              </w:rPr>
            </w:pPr>
            <w:r>
              <w:rPr>
                <w:rFonts w:hint="eastAsia" w:ascii="宋体" w:hAnsi="宋体" w:cs="Courier New"/>
                <w:bCs/>
                <w:color w:val="auto"/>
                <w:highlight w:val="none"/>
              </w:rPr>
              <w:t>总得分＝1＋2＋3</w:t>
            </w:r>
          </w:p>
        </w:tc>
      </w:tr>
    </w:tbl>
    <w:p w14:paraId="16849A37">
      <w:pPr>
        <w:spacing w:line="360" w:lineRule="auto"/>
        <w:ind w:firstLine="420" w:firstLineChars="200"/>
        <w:rPr>
          <w:rFonts w:hint="eastAsia" w:ascii="宋体" w:hAnsi="宋体" w:eastAsia="宋体" w:cs="宋体"/>
          <w:color w:val="auto"/>
          <w:highlight w:val="none"/>
        </w:rPr>
      </w:pPr>
    </w:p>
    <w:p w14:paraId="5572EA86">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7.2终止竞争性磋商采购活动</w:t>
      </w:r>
    </w:p>
    <w:p w14:paraId="2D8096D7">
      <w:pPr>
        <w:spacing w:line="360" w:lineRule="auto"/>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磋商小组发现竞争性磋商文件存在歧义、重大缺陷导致评审工作无法进行，或者竞争性磋商文件内容违反国家有关规定的，要停止评审工作并向采购人或采购代理机构书面说明情况，采购人或采购代理机构应当修改竞争性磋商文件后重新组织采购活动；发现供应商提供虚假材料、串通等违法违规行为的，要及时向采购人或采购代理机构报告。</w:t>
      </w:r>
    </w:p>
    <w:p w14:paraId="7CAF4CDE">
      <w:pPr>
        <w:pStyle w:val="4"/>
        <w:spacing w:before="0" w:after="0" w:line="360" w:lineRule="auto"/>
        <w:ind w:firstLine="640" w:firstLineChars="200"/>
        <w:jc w:val="center"/>
        <w:rPr>
          <w:rFonts w:hint="eastAsia" w:ascii="宋体" w:hAnsi="宋体"/>
          <w:b w:val="0"/>
          <w:color w:val="auto"/>
          <w:highlight w:val="none"/>
        </w:rPr>
      </w:pPr>
      <w:bookmarkStart w:id="109" w:name="_Toc80886939"/>
      <w:bookmarkStart w:id="110" w:name="_Toc22545"/>
      <w:bookmarkStart w:id="111" w:name="_Toc11595"/>
      <w:r>
        <w:rPr>
          <w:rFonts w:hint="eastAsia" w:ascii="宋体" w:hAnsi="宋体"/>
          <w:b w:val="0"/>
          <w:color w:val="auto"/>
          <w:highlight w:val="none"/>
        </w:rPr>
        <w:t>第二节 评</w:t>
      </w:r>
      <w:r>
        <w:rPr>
          <w:rFonts w:hint="eastAsia" w:ascii="宋体" w:hAnsi="宋体"/>
          <w:b w:val="0"/>
          <w:color w:val="auto"/>
          <w:highlight w:val="none"/>
          <w:lang w:eastAsia="zh-CN"/>
        </w:rPr>
        <w:t>审</w:t>
      </w:r>
      <w:r>
        <w:rPr>
          <w:rFonts w:hint="eastAsia" w:ascii="宋体" w:hAnsi="宋体"/>
          <w:b w:val="0"/>
          <w:color w:val="auto"/>
          <w:highlight w:val="none"/>
        </w:rPr>
        <w:t>报告</w:t>
      </w:r>
      <w:bookmarkEnd w:id="108"/>
      <w:bookmarkEnd w:id="109"/>
      <w:bookmarkEnd w:id="110"/>
      <w:bookmarkEnd w:id="111"/>
    </w:p>
    <w:p w14:paraId="1AD1E882">
      <w:pPr>
        <w:spacing w:line="360" w:lineRule="auto"/>
        <w:ind w:firstLine="480" w:firstLineChars="200"/>
        <w:rPr>
          <w:rFonts w:hint="eastAsia" w:ascii="黑体" w:hAnsi="黑体" w:eastAsia="黑体" w:cs="宋体"/>
          <w:color w:val="auto"/>
          <w:sz w:val="24"/>
          <w:szCs w:val="32"/>
          <w:highlight w:val="none"/>
        </w:rPr>
      </w:pPr>
      <w:r>
        <w:rPr>
          <w:rFonts w:hint="eastAsia" w:ascii="黑体" w:hAnsi="黑体" w:eastAsia="黑体" w:cs="宋体"/>
          <w:color w:val="auto"/>
          <w:sz w:val="24"/>
          <w:szCs w:val="32"/>
          <w:highlight w:val="none"/>
        </w:rPr>
        <w:t>1.成交标准</w:t>
      </w:r>
    </w:p>
    <w:p w14:paraId="43D96F23">
      <w:pPr>
        <w:spacing w:line="360" w:lineRule="auto"/>
        <w:ind w:firstLine="420" w:firstLineChars="20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磋商小组根据综合评分情况，按照评审得分由高到低顺序推荐3名以上成交候选供应商，并编写评审报告。</w:t>
      </w:r>
      <w:r>
        <w:rPr>
          <w:rFonts w:hint="eastAsia" w:ascii="宋体" w:hAnsi="宋体" w:eastAsia="宋体" w:cs="宋体"/>
          <w:color w:val="auto"/>
          <w:kern w:val="0"/>
          <w:szCs w:val="21"/>
          <w:highlight w:val="none"/>
        </w:rPr>
        <w:t>符合本章第</w:t>
      </w:r>
      <w:r>
        <w:rPr>
          <w:rFonts w:hint="eastAsia" w:ascii="宋体" w:hAnsi="宋体" w:eastAsia="宋体" w:cs="宋体"/>
          <w:color w:val="auto"/>
          <w:kern w:val="0"/>
          <w:szCs w:val="21"/>
          <w:highlight w:val="none"/>
          <w:lang w:val="en-US" w:eastAsia="zh-CN"/>
        </w:rPr>
        <w:t>5</w:t>
      </w:r>
      <w:r>
        <w:rPr>
          <w:rFonts w:hint="eastAsia" w:ascii="宋体" w:hAnsi="宋体" w:eastAsia="宋体" w:cs="宋体"/>
          <w:color w:val="auto"/>
          <w:kern w:val="0"/>
          <w:szCs w:val="21"/>
          <w:highlight w:val="none"/>
        </w:rPr>
        <w:t>.3条情形的</w:t>
      </w:r>
      <w:r>
        <w:rPr>
          <w:rFonts w:hint="eastAsia" w:ascii="宋体" w:hAnsi="宋体" w:eastAsia="宋体" w:cs="宋体"/>
          <w:color w:val="auto"/>
          <w:kern w:val="0"/>
          <w:szCs w:val="21"/>
          <w:highlight w:val="none"/>
          <w:lang w:eastAsia="zh-CN"/>
        </w:rPr>
        <w:t>，</w:t>
      </w:r>
      <w:r>
        <w:rPr>
          <w:rFonts w:hint="eastAsia" w:ascii="宋体" w:hAnsi="宋体" w:eastAsia="宋体" w:cs="宋体"/>
          <w:color w:val="auto"/>
          <w:kern w:val="0"/>
          <w:sz w:val="21"/>
          <w:szCs w:val="21"/>
          <w:highlight w:val="none"/>
        </w:rPr>
        <w:t>可以推荐2家成交候选供应商。评审得分相同的，按照最后报价（不计算价格折扣）由低到高的顺序推荐。</w:t>
      </w:r>
      <w:r>
        <w:rPr>
          <w:rFonts w:hint="eastAsia" w:ascii="宋体" w:hAnsi="宋体" w:eastAsia="宋体" w:cs="宋体"/>
          <w:color w:val="auto"/>
          <w:kern w:val="0"/>
          <w:szCs w:val="21"/>
          <w:highlight w:val="none"/>
        </w:rPr>
        <w:t>评审得分且最后报价（不计算价格折扣）相同的，按照技术指标优劣顺序推荐（按技术分得分由高到低排序）。评审得分、最后报价（不计算价格折扣）、技术分得分均相同的，由磋商小组随机抽取推荐。</w:t>
      </w:r>
      <w:r>
        <w:rPr>
          <w:rFonts w:hint="eastAsia" w:ascii="宋体" w:hAnsi="宋体" w:eastAsia="宋体" w:cs="宋体"/>
          <w:color w:val="auto"/>
          <w:kern w:val="0"/>
          <w:sz w:val="21"/>
          <w:szCs w:val="21"/>
          <w:highlight w:val="none"/>
        </w:rPr>
        <w:t>响应文件满足磋商文件全部实质性要求，且按照评审因素的量化指标评审得分最高的供应商为排名第一的成交候选供应商。采购人应当确定磋商小组推荐排名第一的成交候选供应商为成交供应商。</w:t>
      </w:r>
    </w:p>
    <w:p w14:paraId="067E6A4B">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本项目分为A分标、B分标、C分标三个分标，供应商可以参与任意一个或多个分标的竞标，但最多只能成为其中一个分标的成交供应商，推荐成交候选供应商原则如下：</w:t>
      </w:r>
    </w:p>
    <w:p w14:paraId="7924FDE0">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1）本项目评审顺序为A分标→B分标→C分标，若某供应商同时在两个或以上分标综合得分排名第一时，则按A分标→B分标→C分标的先后顺序推荐为第一成交候选供应商。该供应商一旦被推荐为某一分标的第一成交候选供应商，则该供应商在其他分标将被列为供应商排名末位，相应分标的其他供应商排名依次自动上升一位。</w:t>
      </w:r>
    </w:p>
    <w:p w14:paraId="3F6BED48">
      <w:pPr>
        <w:spacing w:line="360" w:lineRule="auto"/>
        <w:ind w:firstLine="420" w:firstLineChars="200"/>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（2）因前述第（1）款的原因导致某供应商在两个或以上分标被推荐为第一成交候选供应商的，则按前述第（1）款规定的原则重新推荐相应分标成交候选供应商。</w:t>
      </w:r>
    </w:p>
    <w:p w14:paraId="64A482E6">
      <w:pPr>
        <w:spacing w:line="360" w:lineRule="auto"/>
        <w:ind w:firstLine="420" w:firstLineChars="200"/>
        <w:rPr>
          <w:rFonts w:hint="eastAsia" w:ascii="宋体" w:hAnsi="宋体" w:eastAsia="宋体" w:cs="宋体"/>
          <w:bCs w:val="0"/>
          <w:color w:val="auto"/>
          <w:kern w:val="0"/>
          <w:szCs w:val="21"/>
          <w:highlight w:val="none"/>
        </w:rPr>
      </w:pPr>
      <w:r>
        <w:rPr>
          <w:rFonts w:hint="eastAsia" w:ascii="宋体" w:hAnsi="宋体" w:eastAsia="宋体" w:cs="宋体"/>
          <w:color w:val="auto"/>
          <w:kern w:val="0"/>
          <w:szCs w:val="21"/>
          <w:highlight w:val="none"/>
        </w:rPr>
        <w:t>（3）按上述（1）→（2）的先后顺序类推，直至所有分标成交候选供应商推荐顺序确定为止。</w:t>
      </w:r>
    </w:p>
    <w:p w14:paraId="696BCA0F">
      <w:pPr>
        <w:spacing w:line="360" w:lineRule="auto"/>
        <w:ind w:firstLine="480" w:firstLineChars="200"/>
        <w:rPr>
          <w:rFonts w:hint="eastAsia" w:ascii="黑体" w:hAnsi="黑体" w:eastAsia="黑体" w:cs="宋体"/>
          <w:color w:val="auto"/>
          <w:sz w:val="24"/>
          <w:szCs w:val="32"/>
          <w:highlight w:val="none"/>
        </w:rPr>
      </w:pPr>
      <w:r>
        <w:rPr>
          <w:rFonts w:hint="eastAsia" w:ascii="黑体" w:hAnsi="黑体" w:eastAsia="黑体" w:cs="宋体"/>
          <w:color w:val="auto"/>
          <w:sz w:val="24"/>
          <w:szCs w:val="32"/>
          <w:highlight w:val="none"/>
        </w:rPr>
        <w:t>2.</w:t>
      </w:r>
      <w:r>
        <w:rPr>
          <w:rFonts w:hint="eastAsia" w:ascii="黑体" w:hAnsi="黑体" w:eastAsia="黑体" w:cs="宋体"/>
          <w:color w:val="auto"/>
          <w:sz w:val="24"/>
          <w:szCs w:val="32"/>
          <w:highlight w:val="none"/>
          <w:lang w:eastAsia="zh-CN"/>
        </w:rPr>
        <w:t>评审</w:t>
      </w:r>
      <w:r>
        <w:rPr>
          <w:rFonts w:hint="eastAsia" w:ascii="黑体" w:hAnsi="黑体" w:eastAsia="黑体" w:cs="宋体"/>
          <w:color w:val="auto"/>
          <w:sz w:val="24"/>
          <w:szCs w:val="32"/>
          <w:highlight w:val="none"/>
        </w:rPr>
        <w:t>争议</w:t>
      </w:r>
      <w:r>
        <w:rPr>
          <w:rFonts w:ascii="黑体" w:hAnsi="黑体" w:eastAsia="黑体" w:cs="宋体"/>
          <w:color w:val="auto"/>
          <w:sz w:val="24"/>
          <w:szCs w:val="32"/>
          <w:highlight w:val="none"/>
        </w:rPr>
        <w:t>事项</w:t>
      </w:r>
      <w:r>
        <w:rPr>
          <w:rFonts w:hint="eastAsia" w:ascii="黑体" w:hAnsi="黑体" w:eastAsia="黑体" w:cs="宋体"/>
          <w:color w:val="auto"/>
          <w:sz w:val="24"/>
          <w:szCs w:val="32"/>
          <w:highlight w:val="none"/>
        </w:rPr>
        <w:t>处理</w:t>
      </w:r>
    </w:p>
    <w:p w14:paraId="2A82B4DF">
      <w:pPr>
        <w:pStyle w:val="59"/>
        <w:spacing w:before="0"/>
        <w:ind w:firstLine="420"/>
        <w:rPr>
          <w:rFonts w:hint="eastAsia" w:ascii="宋体" w:hAnsi="宋体" w:eastAsia="宋体" w:cs="宋体"/>
          <w:color w:val="auto"/>
          <w:kern w:val="2"/>
          <w:sz w:val="21"/>
          <w:szCs w:val="24"/>
          <w:highlight w:val="none"/>
        </w:rPr>
      </w:pPr>
      <w:r>
        <w:rPr>
          <w:rFonts w:hint="eastAsia" w:ascii="宋体" w:hAnsi="宋体" w:eastAsia="宋体" w:cs="宋体"/>
          <w:color w:val="auto"/>
          <w:kern w:val="2"/>
          <w:sz w:val="21"/>
          <w:szCs w:val="24"/>
          <w:highlight w:val="none"/>
        </w:rPr>
        <w:t>磋商小组成员对需要共同认定的事项存在争议的，应当按照少数服从多数的原则作出结论。持不同意见的磋商小组成员应当在评</w:t>
      </w:r>
      <w:r>
        <w:rPr>
          <w:rFonts w:hint="eastAsia" w:ascii="宋体" w:hAnsi="宋体" w:eastAsia="宋体" w:cs="宋体"/>
          <w:color w:val="auto"/>
          <w:kern w:val="2"/>
          <w:sz w:val="21"/>
          <w:szCs w:val="24"/>
          <w:highlight w:val="none"/>
          <w:lang w:eastAsia="zh-CN"/>
        </w:rPr>
        <w:t>审</w:t>
      </w:r>
      <w:r>
        <w:rPr>
          <w:rFonts w:hint="eastAsia" w:ascii="宋体" w:hAnsi="宋体" w:eastAsia="宋体" w:cs="宋体"/>
          <w:color w:val="auto"/>
          <w:kern w:val="2"/>
          <w:sz w:val="21"/>
          <w:szCs w:val="24"/>
          <w:highlight w:val="none"/>
        </w:rPr>
        <w:t>报告上签署不同意见及理由，否则视为同意评</w:t>
      </w:r>
      <w:r>
        <w:rPr>
          <w:rFonts w:hint="eastAsia" w:ascii="宋体" w:hAnsi="宋体" w:eastAsia="宋体" w:cs="宋体"/>
          <w:color w:val="auto"/>
          <w:kern w:val="2"/>
          <w:sz w:val="21"/>
          <w:szCs w:val="24"/>
          <w:highlight w:val="none"/>
          <w:lang w:eastAsia="zh-CN"/>
        </w:rPr>
        <w:t>审</w:t>
      </w:r>
      <w:r>
        <w:rPr>
          <w:rFonts w:hint="eastAsia" w:ascii="宋体" w:hAnsi="宋体" w:eastAsia="宋体" w:cs="宋体"/>
          <w:color w:val="auto"/>
          <w:kern w:val="2"/>
          <w:sz w:val="21"/>
          <w:szCs w:val="24"/>
          <w:highlight w:val="none"/>
        </w:rPr>
        <w:t>报告。</w:t>
      </w:r>
    </w:p>
    <w:p w14:paraId="42EA69C0">
      <w:pPr>
        <w:pStyle w:val="59"/>
        <w:spacing w:before="0"/>
        <w:ind w:firstLine="420"/>
        <w:rPr>
          <w:rFonts w:hint="default" w:eastAsia="宋体" w:cs="宋体"/>
          <w:color w:val="auto"/>
          <w:kern w:val="2"/>
          <w:sz w:val="21"/>
          <w:szCs w:val="24"/>
          <w:highlight w:val="none"/>
          <w:lang w:val="en-US" w:eastAsia="zh-CN"/>
        </w:rPr>
      </w:pPr>
    </w:p>
    <w:p w14:paraId="2801583C">
      <w:pPr>
        <w:pStyle w:val="4"/>
        <w:spacing w:before="0" w:after="0" w:line="360" w:lineRule="auto"/>
        <w:ind w:firstLine="640" w:firstLineChars="200"/>
        <w:jc w:val="center"/>
        <w:rPr>
          <w:rFonts w:ascii="宋体" w:hAnsi="宋体"/>
          <w:b w:val="0"/>
          <w:color w:val="auto"/>
          <w:highlight w:val="none"/>
        </w:rPr>
      </w:pPr>
      <w:bookmarkStart w:id="112" w:name="_Toc20045"/>
      <w:bookmarkStart w:id="113" w:name="_Toc80205936"/>
      <w:bookmarkStart w:id="114" w:name="_Toc2025"/>
      <w:bookmarkStart w:id="115" w:name="_Toc80886940"/>
      <w:r>
        <w:rPr>
          <w:rFonts w:hint="eastAsia" w:ascii="宋体" w:hAnsi="宋体"/>
          <w:b w:val="0"/>
          <w:color w:val="auto"/>
          <w:highlight w:val="none"/>
        </w:rPr>
        <w:t>第三节 评审过程的保密与录像</w:t>
      </w:r>
      <w:bookmarkEnd w:id="112"/>
      <w:bookmarkEnd w:id="113"/>
      <w:bookmarkEnd w:id="114"/>
      <w:bookmarkEnd w:id="115"/>
    </w:p>
    <w:p w14:paraId="7BDAC47D">
      <w:pPr>
        <w:spacing w:line="360" w:lineRule="auto"/>
        <w:ind w:firstLine="480" w:firstLineChars="200"/>
        <w:rPr>
          <w:rFonts w:hint="eastAsia" w:ascii="黑体" w:hAnsi="黑体" w:eastAsia="黑体" w:cs="宋体"/>
          <w:color w:val="auto"/>
          <w:sz w:val="24"/>
          <w:szCs w:val="32"/>
          <w:highlight w:val="none"/>
        </w:rPr>
      </w:pPr>
      <w:r>
        <w:rPr>
          <w:rFonts w:hint="eastAsia" w:ascii="黑体" w:hAnsi="黑体" w:eastAsia="黑体" w:cs="宋体"/>
          <w:color w:val="auto"/>
          <w:sz w:val="24"/>
          <w:szCs w:val="32"/>
          <w:highlight w:val="none"/>
        </w:rPr>
        <w:t>1.保密。</w:t>
      </w:r>
    </w:p>
    <w:p w14:paraId="694EDAB2">
      <w:pPr>
        <w:widowControl/>
        <w:spacing w:line="360" w:lineRule="auto"/>
        <w:ind w:firstLine="420" w:firstLineChars="200"/>
        <w:rPr>
          <w:rFonts w:cs="宋体"/>
          <w:color w:val="auto"/>
          <w:highlight w:val="none"/>
        </w:rPr>
      </w:pPr>
      <w:r>
        <w:rPr>
          <w:rFonts w:cs="宋体"/>
          <w:color w:val="auto"/>
          <w:highlight w:val="none"/>
        </w:rPr>
        <w:t>评审活动在严格保密的情况下进行。评审过程中凡是与响应文件评审和比较、成交供应商推荐等评审有关的情况，以及涉及国家秘密和商业秘密等信息，</w:t>
      </w:r>
      <w:r>
        <w:rPr>
          <w:rFonts w:hint="eastAsia" w:cs="宋体"/>
          <w:color w:val="auto"/>
          <w:kern w:val="2"/>
          <w:sz w:val="21"/>
          <w:szCs w:val="24"/>
          <w:highlight w:val="none"/>
        </w:rPr>
        <w:t>磋商小组</w:t>
      </w:r>
      <w:r>
        <w:rPr>
          <w:rFonts w:cs="宋体"/>
          <w:color w:val="auto"/>
          <w:kern w:val="2"/>
          <w:sz w:val="21"/>
          <w:szCs w:val="24"/>
          <w:highlight w:val="none"/>
        </w:rPr>
        <w:t>成员</w:t>
      </w:r>
      <w:r>
        <w:rPr>
          <w:rFonts w:cs="宋体"/>
          <w:color w:val="auto"/>
          <w:highlight w:val="none"/>
        </w:rPr>
        <w:t>、采购人和采购</w:t>
      </w:r>
      <w:r>
        <w:rPr>
          <w:rFonts w:hint="eastAsia" w:cs="宋体"/>
          <w:color w:val="auto"/>
          <w:highlight w:val="none"/>
          <w:lang w:eastAsia="zh-CN"/>
        </w:rPr>
        <w:t>代理</w:t>
      </w:r>
      <w:r>
        <w:rPr>
          <w:rFonts w:cs="宋体"/>
          <w:color w:val="auto"/>
          <w:highlight w:val="none"/>
        </w:rPr>
        <w:t>机构工作人员、相关监督人员等与评审有关的人员应当予以保密。</w:t>
      </w:r>
    </w:p>
    <w:p w14:paraId="398A1759">
      <w:pPr>
        <w:widowControl/>
        <w:spacing w:line="360" w:lineRule="auto"/>
        <w:ind w:firstLine="480" w:firstLineChars="200"/>
        <w:rPr>
          <w:rFonts w:hint="eastAsia" w:ascii="黑体" w:hAnsi="黑体" w:eastAsia="黑体" w:cs="宋体"/>
          <w:color w:val="auto"/>
          <w:sz w:val="24"/>
          <w:szCs w:val="32"/>
          <w:highlight w:val="none"/>
        </w:rPr>
      </w:pPr>
      <w:r>
        <w:rPr>
          <w:rFonts w:hint="eastAsia" w:ascii="黑体" w:hAnsi="黑体" w:eastAsia="黑体" w:cs="宋体"/>
          <w:color w:val="auto"/>
          <w:sz w:val="24"/>
          <w:szCs w:val="32"/>
          <w:highlight w:val="none"/>
        </w:rPr>
        <w:t>2.录音录像。</w:t>
      </w:r>
    </w:p>
    <w:p w14:paraId="57A3B139">
      <w:pPr>
        <w:spacing w:line="360" w:lineRule="auto"/>
        <w:ind w:firstLine="420" w:firstLineChars="200"/>
        <w:rPr>
          <w:rFonts w:hint="eastAsia" w:cs="宋体"/>
          <w:color w:val="auto"/>
          <w:highlight w:val="none"/>
        </w:rPr>
      </w:pPr>
      <w:r>
        <w:rPr>
          <w:rFonts w:hint="eastAsia" w:cs="宋体"/>
          <w:color w:val="auto"/>
          <w:highlight w:val="none"/>
        </w:rPr>
        <w:t>采购代理机构对评审工作现场及操作屏幕进行全过程录音录像，录音录像资料作为采购项目文件随其他文件一并存档。</w:t>
      </w:r>
    </w:p>
    <w:p w14:paraId="6AEA3C5F">
      <w:pPr>
        <w:spacing w:line="400" w:lineRule="exact"/>
        <w:ind w:firstLine="420" w:firstLineChars="200"/>
        <w:rPr>
          <w:rFonts w:hint="eastAsia" w:cs="宋体"/>
          <w:color w:val="auto"/>
          <w:highlight w:val="none"/>
        </w:rPr>
      </w:pPr>
    </w:p>
    <w:p w14:paraId="20840DF9">
      <w:pPr>
        <w:spacing w:line="400" w:lineRule="exact"/>
        <w:ind w:firstLine="420" w:firstLineChars="200"/>
        <w:rPr>
          <w:rFonts w:hint="eastAsia" w:cs="宋体"/>
          <w:color w:val="auto"/>
          <w:highlight w:val="none"/>
        </w:rPr>
      </w:pPr>
    </w:p>
    <w:p w14:paraId="2242BEA8">
      <w:pPr>
        <w:pStyle w:val="4"/>
        <w:jc w:val="center"/>
        <w:rPr>
          <w:color w:val="auto"/>
          <w:highlight w:val="none"/>
        </w:rPr>
      </w:pPr>
      <w:r>
        <w:rPr>
          <w:color w:val="auto"/>
          <w:highlight w:val="none"/>
        </w:rPr>
        <w:br w:type="page"/>
      </w:r>
    </w:p>
    <w:p w14:paraId="19BF4DC7">
      <w:pPr>
        <w:pStyle w:val="4"/>
        <w:jc w:val="center"/>
        <w:rPr>
          <w:color w:val="auto"/>
          <w:highlight w:val="none"/>
        </w:rPr>
      </w:pPr>
    </w:p>
    <w:p w14:paraId="4E47D459">
      <w:pPr>
        <w:pStyle w:val="4"/>
        <w:jc w:val="center"/>
        <w:rPr>
          <w:color w:val="auto"/>
          <w:highlight w:val="none"/>
        </w:rPr>
      </w:pPr>
    </w:p>
    <w:p w14:paraId="679E8BA9">
      <w:pPr>
        <w:pStyle w:val="4"/>
        <w:jc w:val="center"/>
        <w:rPr>
          <w:color w:val="auto"/>
          <w:highlight w:val="none"/>
        </w:rPr>
      </w:pPr>
    </w:p>
    <w:p w14:paraId="0D5A7104">
      <w:pPr>
        <w:pStyle w:val="4"/>
        <w:jc w:val="center"/>
        <w:rPr>
          <w:color w:val="auto"/>
          <w:highlight w:val="none"/>
        </w:rPr>
      </w:pPr>
    </w:p>
    <w:p w14:paraId="20799BE5">
      <w:pPr>
        <w:pStyle w:val="4"/>
        <w:jc w:val="center"/>
        <w:rPr>
          <w:color w:val="auto"/>
          <w:highlight w:val="none"/>
        </w:rPr>
      </w:pPr>
    </w:p>
    <w:p w14:paraId="79FAA862">
      <w:pPr>
        <w:pStyle w:val="3"/>
        <w:jc w:val="center"/>
        <w:rPr>
          <w:color w:val="auto"/>
          <w:highlight w:val="none"/>
        </w:rPr>
        <w:sectPr>
          <w:pgSz w:w="11911" w:h="16838"/>
          <w:pgMar w:top="1134" w:right="1134" w:bottom="1134" w:left="1134" w:header="720" w:footer="720" w:gutter="0"/>
          <w:pgNumType w:fmt="decimal"/>
          <w:cols w:space="720" w:num="1"/>
        </w:sectPr>
      </w:pPr>
      <w:bookmarkStart w:id="116" w:name="_Toc17404"/>
      <w:bookmarkStart w:id="117" w:name="_Toc22302"/>
      <w:bookmarkStart w:id="118" w:name="_Toc7776"/>
      <w:bookmarkStart w:id="119" w:name="_Toc26272"/>
      <w:bookmarkStart w:id="120" w:name="_Toc5005"/>
      <w:bookmarkStart w:id="121" w:name="_Toc80886941"/>
      <w:bookmarkStart w:id="122" w:name="_Toc12890"/>
      <w:bookmarkStart w:id="123" w:name="_Toc27282"/>
      <w:r>
        <w:rPr>
          <w:rFonts w:hint="eastAsia" w:ascii="Calibri" w:hAnsi="Calibri"/>
          <w:color w:val="auto"/>
          <w:highlight w:val="none"/>
        </w:rPr>
        <w:t>第五章 响应文件格式</w:t>
      </w:r>
      <w:bookmarkEnd w:id="116"/>
      <w:bookmarkEnd w:id="117"/>
      <w:bookmarkEnd w:id="118"/>
      <w:bookmarkEnd w:id="119"/>
      <w:bookmarkEnd w:id="120"/>
      <w:bookmarkEnd w:id="121"/>
      <w:bookmarkEnd w:id="122"/>
      <w:bookmarkEnd w:id="123"/>
    </w:p>
    <w:p w14:paraId="6A479FE3">
      <w:pPr>
        <w:pStyle w:val="4"/>
        <w:jc w:val="center"/>
        <w:rPr>
          <w:rFonts w:hint="eastAsia" w:ascii="宋体" w:hAnsi="宋体"/>
          <w:bCs w:val="0"/>
          <w:color w:val="auto"/>
          <w:highlight w:val="none"/>
        </w:rPr>
      </w:pPr>
      <w:bookmarkStart w:id="124" w:name="_Toc80886943"/>
      <w:bookmarkStart w:id="125" w:name="_Toc22245"/>
      <w:bookmarkStart w:id="126" w:name="_Toc80205939"/>
      <w:bookmarkStart w:id="127" w:name="_Toc12994"/>
      <w:r>
        <w:rPr>
          <w:rFonts w:hint="eastAsia" w:ascii="宋体" w:hAnsi="宋体"/>
          <w:bCs w:val="0"/>
          <w:color w:val="auto"/>
          <w:highlight w:val="none"/>
        </w:rPr>
        <w:t>第</w:t>
      </w:r>
      <w:r>
        <w:rPr>
          <w:rFonts w:hint="eastAsia" w:ascii="宋体" w:hAnsi="宋体"/>
          <w:bCs w:val="0"/>
          <w:color w:val="auto"/>
          <w:highlight w:val="none"/>
          <w:lang w:eastAsia="zh-CN"/>
        </w:rPr>
        <w:t>一</w:t>
      </w:r>
      <w:r>
        <w:rPr>
          <w:rFonts w:hint="eastAsia" w:ascii="宋体" w:hAnsi="宋体"/>
          <w:bCs w:val="0"/>
          <w:color w:val="auto"/>
          <w:highlight w:val="none"/>
        </w:rPr>
        <w:t>节 资格文件格式</w:t>
      </w:r>
      <w:bookmarkEnd w:id="124"/>
      <w:bookmarkEnd w:id="125"/>
      <w:bookmarkEnd w:id="126"/>
      <w:bookmarkEnd w:id="127"/>
    </w:p>
    <w:p w14:paraId="472DB22E">
      <w:pPr>
        <w:snapToGrid w:val="0"/>
        <w:spacing w:before="120" w:beforeLines="50" w:after="50"/>
        <w:jc w:val="left"/>
        <w:rPr>
          <w:rFonts w:hint="eastAsia"/>
          <w:color w:val="auto"/>
          <w:sz w:val="24"/>
          <w:highlight w:val="none"/>
        </w:rPr>
      </w:pPr>
      <w:r>
        <w:rPr>
          <w:rFonts w:hint="eastAsia" w:hAnsi="宋体" w:cs="宋体"/>
          <w:b/>
          <w:bCs/>
          <w:color w:val="auto"/>
          <w:sz w:val="28"/>
          <w:szCs w:val="28"/>
          <w:highlight w:val="none"/>
          <w:lang w:val="en-US" w:eastAsia="zh-CN"/>
        </w:rPr>
        <w:t>1.资格文件封面的格式</w:t>
      </w:r>
      <w:r>
        <w:rPr>
          <w:rFonts w:hint="eastAsia" w:ascii="宋体" w:hAnsi="宋体" w:eastAsia="宋体" w:cs="宋体"/>
          <w:b/>
          <w:color w:val="auto"/>
          <w:sz w:val="28"/>
          <w:szCs w:val="28"/>
          <w:highlight w:val="none"/>
        </w:rPr>
        <w:t>（参照此格式自拟）</w:t>
      </w:r>
      <w:r>
        <w:rPr>
          <w:rFonts w:hint="eastAsia" w:hAnsi="宋体" w:cs="宋体"/>
          <w:b/>
          <w:bCs/>
          <w:color w:val="auto"/>
          <w:sz w:val="28"/>
          <w:szCs w:val="28"/>
          <w:highlight w:val="none"/>
          <w:lang w:val="en-US" w:eastAsia="zh-CN"/>
        </w:rPr>
        <w:t>：</w:t>
      </w:r>
      <w:r>
        <w:rPr>
          <w:rFonts w:hint="eastAsia"/>
          <w:color w:val="auto"/>
          <w:sz w:val="24"/>
          <w:highlight w:val="none"/>
        </w:rPr>
        <w:t xml:space="preserve">                                      </w:t>
      </w:r>
    </w:p>
    <w:p w14:paraId="2AB2A1E0">
      <w:pPr>
        <w:snapToGrid w:val="0"/>
        <w:spacing w:before="120" w:beforeLines="50" w:after="50"/>
        <w:ind w:firstLine="6930" w:firstLineChars="3300"/>
        <w:rPr>
          <w:rFonts w:hint="eastAsia"/>
          <w:bCs/>
          <w:color w:val="auto"/>
          <w:sz w:val="32"/>
          <w:szCs w:val="20"/>
          <w:highlight w:val="none"/>
        </w:rPr>
      </w:pPr>
      <w:r>
        <w:rPr>
          <w:rFonts w:hint="eastAsia"/>
          <w:bCs/>
          <w:color w:val="auto"/>
          <w:highlight w:val="none"/>
        </w:rPr>
        <w:t>全流程电子文件</w:t>
      </w:r>
    </w:p>
    <w:p w14:paraId="38DEFACB">
      <w:pPr>
        <w:snapToGrid w:val="0"/>
        <w:spacing w:before="120" w:beforeLines="50" w:after="50"/>
        <w:rPr>
          <w:rFonts w:hint="eastAsia"/>
          <w:color w:val="auto"/>
          <w:sz w:val="24"/>
          <w:szCs w:val="20"/>
          <w:highlight w:val="none"/>
        </w:rPr>
      </w:pPr>
    </w:p>
    <w:p w14:paraId="64B1A3B0">
      <w:pPr>
        <w:snapToGrid w:val="0"/>
        <w:spacing w:before="120" w:beforeLines="50" w:after="50"/>
        <w:rPr>
          <w:rFonts w:hint="eastAsia"/>
          <w:color w:val="auto"/>
          <w:sz w:val="24"/>
          <w:szCs w:val="20"/>
          <w:highlight w:val="none"/>
        </w:rPr>
      </w:pPr>
    </w:p>
    <w:p w14:paraId="6BC5EB9B">
      <w:pPr>
        <w:snapToGrid w:val="0"/>
        <w:spacing w:before="120" w:beforeLines="50" w:after="50"/>
        <w:jc w:val="center"/>
        <w:rPr>
          <w:rFonts w:hint="eastAsia" w:ascii="方正小标宋简体" w:hAnsi="方正小标宋简体" w:eastAsia="方正小标宋简体" w:cs="方正小标宋简体"/>
          <w:bCs/>
          <w:color w:val="auto"/>
          <w:sz w:val="44"/>
          <w:szCs w:val="44"/>
          <w:highlight w:val="none"/>
        </w:rPr>
      </w:pPr>
      <w:r>
        <w:rPr>
          <w:rFonts w:hint="eastAsia" w:ascii="方正小标宋简体" w:hAnsi="方正小标宋简体" w:eastAsia="方正小标宋简体" w:cs="方正小标宋简体"/>
          <w:bCs/>
          <w:color w:val="auto"/>
          <w:sz w:val="44"/>
          <w:szCs w:val="44"/>
          <w:highlight w:val="none"/>
        </w:rPr>
        <w:t>资  格  文  件</w:t>
      </w:r>
    </w:p>
    <w:p w14:paraId="7615556A">
      <w:pPr>
        <w:snapToGrid w:val="0"/>
        <w:spacing w:before="120" w:beforeLines="50" w:after="50"/>
        <w:rPr>
          <w:rFonts w:hint="eastAsia"/>
          <w:bCs/>
          <w:color w:val="auto"/>
          <w:sz w:val="24"/>
          <w:szCs w:val="20"/>
          <w:highlight w:val="none"/>
        </w:rPr>
      </w:pPr>
    </w:p>
    <w:p w14:paraId="4CB027CF">
      <w:pPr>
        <w:snapToGrid w:val="0"/>
        <w:spacing w:before="120" w:beforeLines="50" w:after="50"/>
        <w:rPr>
          <w:rFonts w:hint="eastAsia"/>
          <w:bCs/>
          <w:color w:val="auto"/>
          <w:sz w:val="24"/>
          <w:szCs w:val="20"/>
          <w:highlight w:val="none"/>
        </w:rPr>
      </w:pPr>
    </w:p>
    <w:p w14:paraId="4EF19391">
      <w:pPr>
        <w:snapToGrid w:val="0"/>
        <w:spacing w:before="120" w:beforeLines="50" w:after="50"/>
        <w:rPr>
          <w:rFonts w:hint="eastAsia"/>
          <w:bCs/>
          <w:color w:val="auto"/>
          <w:sz w:val="24"/>
          <w:szCs w:val="20"/>
          <w:highlight w:val="none"/>
        </w:rPr>
      </w:pPr>
    </w:p>
    <w:p w14:paraId="38F864E2">
      <w:pPr>
        <w:snapToGrid w:val="0"/>
        <w:spacing w:before="120" w:beforeLines="50" w:after="50"/>
        <w:rPr>
          <w:rFonts w:hint="eastAsia"/>
          <w:bCs/>
          <w:color w:val="auto"/>
          <w:sz w:val="24"/>
          <w:szCs w:val="20"/>
          <w:highlight w:val="none"/>
        </w:rPr>
      </w:pPr>
    </w:p>
    <w:p w14:paraId="2B38EE6C">
      <w:pPr>
        <w:snapToGrid w:val="0"/>
        <w:spacing w:before="120" w:beforeLines="50" w:after="50"/>
        <w:rPr>
          <w:rFonts w:hint="eastAsia"/>
          <w:bCs/>
          <w:color w:val="auto"/>
          <w:sz w:val="24"/>
          <w:szCs w:val="20"/>
          <w:highlight w:val="none"/>
        </w:rPr>
      </w:pPr>
    </w:p>
    <w:p w14:paraId="44672B22">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项目名称：</w:t>
      </w:r>
    </w:p>
    <w:p w14:paraId="133A1910">
      <w:pPr>
        <w:snapToGrid w:val="0"/>
        <w:spacing w:before="120" w:beforeLines="50" w:after="50"/>
        <w:ind w:firstLine="720" w:firstLineChars="225"/>
        <w:rPr>
          <w:rFonts w:hint="eastAsia" w:cs="仿宋_GB2312"/>
          <w:bCs/>
          <w:color w:val="auto"/>
          <w:sz w:val="32"/>
          <w:szCs w:val="32"/>
          <w:highlight w:val="none"/>
        </w:rPr>
      </w:pPr>
    </w:p>
    <w:p w14:paraId="0C3396AB">
      <w:pPr>
        <w:snapToGrid w:val="0"/>
        <w:spacing w:before="120" w:beforeLines="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项目编号：</w:t>
      </w:r>
    </w:p>
    <w:p w14:paraId="22060A0A">
      <w:pPr>
        <w:snapToGrid w:val="0"/>
        <w:spacing w:before="120" w:beforeLines="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 xml:space="preserve"> </w:t>
      </w:r>
    </w:p>
    <w:p w14:paraId="5779B925">
      <w:pPr>
        <w:snapToGrid w:val="0"/>
        <w:spacing w:before="120" w:beforeLines="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所竞分标（如有则填写，无分标时填写“无”或者留空）：</w:t>
      </w:r>
    </w:p>
    <w:p w14:paraId="4AF1536D">
      <w:pPr>
        <w:snapToGrid w:val="0"/>
        <w:spacing w:before="120" w:beforeLines="50" w:after="50"/>
        <w:ind w:firstLine="720" w:firstLineChars="225"/>
        <w:rPr>
          <w:rFonts w:hint="eastAsia" w:cs="仿宋_GB2312"/>
          <w:bCs/>
          <w:color w:val="auto"/>
          <w:sz w:val="32"/>
          <w:szCs w:val="32"/>
          <w:highlight w:val="none"/>
        </w:rPr>
      </w:pPr>
    </w:p>
    <w:p w14:paraId="3122340E">
      <w:pPr>
        <w:pStyle w:val="7"/>
        <w:snapToGrid w:val="0"/>
        <w:spacing w:before="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供应商名称：</w:t>
      </w:r>
    </w:p>
    <w:p w14:paraId="3F3C4173">
      <w:pPr>
        <w:pStyle w:val="7"/>
        <w:snapToGrid w:val="0"/>
        <w:spacing w:before="50" w:after="50"/>
        <w:ind w:firstLine="720" w:firstLineChars="225"/>
        <w:rPr>
          <w:rFonts w:hint="eastAsia" w:cs="仿宋_GB2312"/>
          <w:bCs/>
          <w:color w:val="auto"/>
          <w:sz w:val="32"/>
          <w:szCs w:val="32"/>
          <w:highlight w:val="none"/>
        </w:rPr>
      </w:pPr>
    </w:p>
    <w:p w14:paraId="0DE2F9C4">
      <w:pPr>
        <w:pStyle w:val="7"/>
        <w:snapToGrid w:val="0"/>
        <w:spacing w:before="50" w:after="50"/>
        <w:ind w:firstLine="720" w:firstLineChars="225"/>
        <w:rPr>
          <w:rFonts w:hint="eastAsia" w:cs="仿宋_GB2312"/>
          <w:bCs/>
          <w:color w:val="auto"/>
          <w:sz w:val="32"/>
          <w:szCs w:val="32"/>
          <w:highlight w:val="none"/>
        </w:rPr>
      </w:pPr>
    </w:p>
    <w:p w14:paraId="2C53417C">
      <w:pPr>
        <w:pStyle w:val="7"/>
        <w:snapToGrid w:val="0"/>
        <w:spacing w:before="50" w:after="50"/>
        <w:ind w:firstLine="720" w:firstLineChars="225"/>
        <w:rPr>
          <w:rFonts w:hint="eastAsia" w:cs="仿宋_GB2312"/>
          <w:bCs/>
          <w:color w:val="auto"/>
          <w:sz w:val="32"/>
          <w:szCs w:val="32"/>
          <w:highlight w:val="none"/>
        </w:rPr>
      </w:pPr>
    </w:p>
    <w:p w14:paraId="38BE70DF">
      <w:pPr>
        <w:pStyle w:val="7"/>
        <w:snapToGrid w:val="0"/>
        <w:spacing w:before="50" w:after="50"/>
        <w:ind w:firstLine="1280" w:firstLineChars="400"/>
        <w:rPr>
          <w:rFonts w:hint="eastAsia" w:cs="仿宋_GB2312"/>
          <w:bCs/>
          <w:color w:val="auto"/>
          <w:sz w:val="32"/>
          <w:szCs w:val="32"/>
          <w:highlight w:val="none"/>
        </w:rPr>
      </w:pPr>
    </w:p>
    <w:p w14:paraId="132B9C27">
      <w:pPr>
        <w:snapToGrid w:val="0"/>
        <w:spacing w:before="120" w:beforeLines="50" w:after="50"/>
        <w:jc w:val="center"/>
        <w:rPr>
          <w:rFonts w:hint="eastAsia" w:cs="仿宋_GB2312"/>
          <w:color w:val="auto"/>
          <w:sz w:val="32"/>
          <w:szCs w:val="32"/>
          <w:highlight w:val="none"/>
        </w:rPr>
      </w:pPr>
      <w:r>
        <w:rPr>
          <w:rFonts w:hint="eastAsia" w:cs="仿宋_GB2312"/>
          <w:color w:val="auto"/>
          <w:sz w:val="32"/>
          <w:szCs w:val="32"/>
          <w:highlight w:val="none"/>
        </w:rPr>
        <w:t>年    月    日</w:t>
      </w:r>
    </w:p>
    <w:p w14:paraId="2A8AF2BC">
      <w:pPr>
        <w:snapToGrid w:val="0"/>
        <w:spacing w:before="156" w:beforeLines="50" w:after="50" w:line="360" w:lineRule="auto"/>
        <w:ind w:left="0"/>
        <w:jc w:val="left"/>
        <w:rPr>
          <w:rFonts w:hint="eastAsia" w:ascii="宋体" w:hAnsi="宋体" w:eastAsia="宋体" w:cs="宋体"/>
          <w:b/>
          <w:bCs/>
          <w:color w:val="auto"/>
          <w:sz w:val="28"/>
          <w:szCs w:val="28"/>
          <w:highlight w:val="none"/>
        </w:rPr>
      </w:pPr>
      <w:r>
        <w:rPr>
          <w:color w:val="auto"/>
          <w:sz w:val="24"/>
          <w:highlight w:val="none"/>
        </w:rPr>
        <w:br w:type="page"/>
      </w:r>
      <w:r>
        <w:rPr>
          <w:rFonts w:hint="eastAsia" w:ascii="宋体" w:hAnsi="宋体" w:eastAsia="宋体" w:cs="宋体"/>
          <w:b/>
          <w:bCs/>
          <w:color w:val="auto"/>
          <w:sz w:val="28"/>
          <w:szCs w:val="28"/>
          <w:highlight w:val="none"/>
        </w:rPr>
        <w:t>2.资格文件目录</w:t>
      </w:r>
    </w:p>
    <w:p w14:paraId="609A6591">
      <w:pPr>
        <w:spacing w:line="360" w:lineRule="auto"/>
        <w:rPr>
          <w:rFonts w:hint="eastAsia" w:ascii="宋体" w:hAnsi="宋体" w:eastAsia="宋体" w:cs="宋体"/>
          <w:b/>
          <w:bCs/>
          <w:color w:val="auto"/>
          <w:sz w:val="28"/>
          <w:szCs w:val="28"/>
          <w:highlight w:val="none"/>
        </w:rPr>
      </w:pP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根据竞争性磋商文件规定及供应商提供的材料自行编写目录（部分格式后附）。</w:t>
      </w:r>
    </w:p>
    <w:p w14:paraId="7497E51F">
      <w:pPr>
        <w:spacing w:line="320" w:lineRule="exact"/>
        <w:ind w:firstLine="0" w:firstLineChars="0"/>
        <w:jc w:val="left"/>
        <w:rPr>
          <w:rFonts w:hint="eastAsia"/>
          <w:color w:val="auto"/>
          <w:szCs w:val="21"/>
          <w:highlight w:val="none"/>
        </w:rPr>
        <w:sectPr>
          <w:pgSz w:w="11911" w:h="16838"/>
          <w:pgMar w:top="1134" w:right="1134" w:bottom="1134" w:left="1134" w:header="720" w:footer="720" w:gutter="0"/>
          <w:pgNumType w:fmt="decimal"/>
          <w:cols w:space="720" w:num="1"/>
        </w:sectPr>
      </w:pPr>
    </w:p>
    <w:p w14:paraId="04B97607">
      <w:pPr>
        <w:snapToGrid w:val="0"/>
        <w:spacing w:before="50" w:after="120" w:afterLines="50" w:line="360" w:lineRule="auto"/>
        <w:jc w:val="both"/>
        <w:rPr>
          <w:rFonts w:hint="eastAsia" w:ascii="仿宋_GB2312" w:hAnsi="仿宋" w:eastAsia="仿宋_GB2312" w:cs="仿宋_GB2312"/>
          <w:b/>
          <w:color w:val="auto"/>
          <w:kern w:val="0"/>
          <w:sz w:val="32"/>
          <w:szCs w:val="32"/>
          <w:highlight w:val="none"/>
        </w:rPr>
      </w:pPr>
      <w:r>
        <w:rPr>
          <w:rFonts w:hint="eastAsia" w:ascii="宋体" w:hAnsi="宋体" w:cs="宋体"/>
          <w:b/>
          <w:color w:val="auto"/>
          <w:kern w:val="0"/>
          <w:sz w:val="32"/>
          <w:szCs w:val="32"/>
          <w:highlight w:val="none"/>
          <w:lang w:val="en-US" w:eastAsia="zh-CN"/>
        </w:rPr>
        <w:t>3.</w:t>
      </w:r>
      <w:r>
        <w:rPr>
          <w:rFonts w:hint="eastAsia" w:ascii="宋体" w:hAnsi="宋体" w:eastAsia="宋体" w:cs="宋体"/>
          <w:b/>
          <w:color w:val="auto"/>
          <w:kern w:val="2"/>
          <w:sz w:val="28"/>
          <w:szCs w:val="28"/>
          <w:highlight w:val="none"/>
          <w:lang w:eastAsia="zh-CN"/>
        </w:rPr>
        <w:t>供应商</w:t>
      </w:r>
      <w:r>
        <w:rPr>
          <w:rFonts w:hint="eastAsia" w:ascii="宋体" w:hAnsi="宋体" w:eastAsia="宋体" w:cs="宋体"/>
          <w:b/>
          <w:color w:val="auto"/>
          <w:kern w:val="2"/>
          <w:sz w:val="28"/>
          <w:szCs w:val="28"/>
          <w:highlight w:val="none"/>
        </w:rPr>
        <w:t>直接控股股东信息表</w:t>
      </w:r>
      <w:r>
        <w:rPr>
          <w:rFonts w:hint="eastAsia" w:ascii="宋体" w:hAnsi="宋体" w:cs="宋体"/>
          <w:b/>
          <w:color w:val="auto"/>
          <w:sz w:val="28"/>
          <w:szCs w:val="28"/>
          <w:highlight w:val="none"/>
          <w:lang w:eastAsia="zh-CN"/>
        </w:rPr>
        <w:t>格式</w:t>
      </w:r>
      <w:r>
        <w:rPr>
          <w:rFonts w:hint="eastAsia"/>
          <w:color w:val="auto"/>
          <w:sz w:val="28"/>
          <w:szCs w:val="28"/>
          <w:highlight w:val="none"/>
          <w:lang w:eastAsia="zh-CN"/>
        </w:rPr>
        <w:t>：</w:t>
      </w:r>
    </w:p>
    <w:p w14:paraId="336548CE">
      <w:pPr>
        <w:snapToGrid w:val="0"/>
        <w:spacing w:before="50" w:after="120" w:afterLines="50" w:line="360" w:lineRule="auto"/>
        <w:jc w:val="center"/>
        <w:rPr>
          <w:rFonts w:hint="eastAsia" w:ascii="仿宋_GB2312" w:hAnsi="仿宋" w:eastAsia="仿宋_GB2312" w:cs="仿宋_GB2312"/>
          <w:b/>
          <w:color w:val="auto"/>
          <w:kern w:val="0"/>
          <w:sz w:val="32"/>
          <w:szCs w:val="32"/>
          <w:highlight w:val="none"/>
        </w:rPr>
      </w:pPr>
      <w:r>
        <w:rPr>
          <w:rFonts w:hint="eastAsia" w:ascii="宋体" w:hAnsi="宋体" w:eastAsia="宋体" w:cs="宋体"/>
          <w:b/>
          <w:color w:val="auto"/>
          <w:kern w:val="2"/>
          <w:sz w:val="28"/>
          <w:szCs w:val="28"/>
          <w:highlight w:val="none"/>
          <w:lang w:eastAsia="zh-CN"/>
        </w:rPr>
        <w:t>供应商</w:t>
      </w:r>
      <w:r>
        <w:rPr>
          <w:rFonts w:hint="eastAsia" w:ascii="宋体" w:hAnsi="宋体" w:eastAsia="宋体" w:cs="宋体"/>
          <w:b/>
          <w:color w:val="auto"/>
          <w:kern w:val="2"/>
          <w:sz w:val="28"/>
          <w:szCs w:val="28"/>
          <w:highlight w:val="none"/>
        </w:rPr>
        <w:t>直接控股股东信息表</w:t>
      </w:r>
    </w:p>
    <w:tbl>
      <w:tblPr>
        <w:tblStyle w:val="28"/>
        <w:tblW w:w="0" w:type="auto"/>
        <w:tblInd w:w="125" w:type="dxa"/>
        <w:shd w:val="clear" w:color="auto" w:fill="FBFBFB"/>
        <w:tblLayout w:type="fixed"/>
        <w:tblCellMar>
          <w:top w:w="0" w:type="dxa"/>
          <w:left w:w="0" w:type="dxa"/>
          <w:bottom w:w="0" w:type="dxa"/>
          <w:right w:w="0" w:type="dxa"/>
        </w:tblCellMar>
      </w:tblPr>
      <w:tblGrid>
        <w:gridCol w:w="828"/>
        <w:gridCol w:w="2269"/>
        <w:gridCol w:w="1239"/>
        <w:gridCol w:w="3879"/>
        <w:gridCol w:w="1261"/>
      </w:tblGrid>
      <w:tr w14:paraId="377AA884">
        <w:tblPrEx>
          <w:shd w:val="clear" w:color="auto" w:fill="FBFBFB"/>
          <w:tblCellMar>
            <w:top w:w="0" w:type="dxa"/>
            <w:left w:w="0" w:type="dxa"/>
            <w:bottom w:w="0" w:type="dxa"/>
            <w:right w:w="0" w:type="dxa"/>
          </w:tblCellMar>
        </w:tblPrEx>
        <w:trPr>
          <w:tblHeader/>
        </w:trPr>
        <w:tc>
          <w:tcPr>
            <w:tcW w:w="828"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6CDA2544">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序号</w:t>
            </w:r>
          </w:p>
        </w:tc>
        <w:tc>
          <w:tcPr>
            <w:tcW w:w="2269"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342BD41D">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直接控股股东名称</w:t>
            </w:r>
          </w:p>
        </w:tc>
        <w:tc>
          <w:tcPr>
            <w:tcW w:w="1239"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33100B72">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出资比例</w:t>
            </w:r>
          </w:p>
        </w:tc>
        <w:tc>
          <w:tcPr>
            <w:tcW w:w="3879"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30D793E5">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身份证号码或者统一社会信用代码</w:t>
            </w:r>
          </w:p>
        </w:tc>
        <w:tc>
          <w:tcPr>
            <w:tcW w:w="1261"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6177E92E">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备注</w:t>
            </w:r>
          </w:p>
        </w:tc>
      </w:tr>
      <w:tr w14:paraId="3D5B97AC">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138E8603">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1</w:t>
            </w:r>
          </w:p>
        </w:tc>
        <w:tc>
          <w:tcPr>
            <w:tcW w:w="226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946D205">
            <w:pPr>
              <w:spacing w:line="360" w:lineRule="auto"/>
              <w:jc w:val="center"/>
              <w:rPr>
                <w:rFonts w:hint="eastAsia"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5F4DCAC">
            <w:pPr>
              <w:spacing w:line="360" w:lineRule="auto"/>
              <w:jc w:val="center"/>
              <w:rPr>
                <w:rFonts w:hint="eastAsia" w:ascii="宋体" w:hAnsi="宋体" w:cs="宋体"/>
                <w:color w:val="auto"/>
                <w:kern w:val="0"/>
                <w:sz w:val="24"/>
                <w:highlight w:val="none"/>
              </w:rPr>
            </w:pPr>
          </w:p>
        </w:tc>
        <w:tc>
          <w:tcPr>
            <w:tcW w:w="387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1557A39">
            <w:pPr>
              <w:spacing w:line="360" w:lineRule="auto"/>
              <w:jc w:val="center"/>
              <w:rPr>
                <w:rFonts w:hint="eastAsia" w:ascii="宋体" w:hAnsi="宋体" w:cs="宋体"/>
                <w:color w:val="auto"/>
                <w:kern w:val="0"/>
                <w:sz w:val="24"/>
                <w:highlight w:val="none"/>
              </w:rPr>
            </w:pPr>
          </w:p>
        </w:tc>
        <w:tc>
          <w:tcPr>
            <w:tcW w:w="1261"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52F8835">
            <w:pPr>
              <w:spacing w:line="360" w:lineRule="auto"/>
              <w:jc w:val="center"/>
              <w:rPr>
                <w:rFonts w:hint="eastAsia" w:ascii="宋体" w:hAnsi="宋体" w:cs="宋体"/>
                <w:color w:val="auto"/>
                <w:kern w:val="0"/>
                <w:sz w:val="24"/>
                <w:highlight w:val="none"/>
              </w:rPr>
            </w:pPr>
          </w:p>
        </w:tc>
      </w:tr>
      <w:tr w14:paraId="688FC75F">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631442E2">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2</w:t>
            </w:r>
          </w:p>
        </w:tc>
        <w:tc>
          <w:tcPr>
            <w:tcW w:w="226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7D3F3C78">
            <w:pPr>
              <w:spacing w:line="360" w:lineRule="auto"/>
              <w:jc w:val="center"/>
              <w:rPr>
                <w:rFonts w:hint="eastAsia"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D21ED3D">
            <w:pPr>
              <w:spacing w:line="360" w:lineRule="auto"/>
              <w:jc w:val="center"/>
              <w:rPr>
                <w:rFonts w:hint="eastAsia" w:ascii="宋体" w:hAnsi="宋体" w:cs="宋体"/>
                <w:color w:val="auto"/>
                <w:kern w:val="0"/>
                <w:sz w:val="24"/>
                <w:highlight w:val="none"/>
              </w:rPr>
            </w:pPr>
          </w:p>
        </w:tc>
        <w:tc>
          <w:tcPr>
            <w:tcW w:w="387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00A85C76">
            <w:pPr>
              <w:spacing w:line="360" w:lineRule="auto"/>
              <w:jc w:val="center"/>
              <w:rPr>
                <w:rFonts w:hint="eastAsia" w:ascii="宋体" w:hAnsi="宋体" w:cs="宋体"/>
                <w:color w:val="auto"/>
                <w:kern w:val="0"/>
                <w:sz w:val="24"/>
                <w:highlight w:val="none"/>
              </w:rPr>
            </w:pPr>
          </w:p>
        </w:tc>
        <w:tc>
          <w:tcPr>
            <w:tcW w:w="1261"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32CC987A">
            <w:pPr>
              <w:spacing w:line="360" w:lineRule="auto"/>
              <w:jc w:val="center"/>
              <w:rPr>
                <w:rFonts w:hint="eastAsia" w:ascii="宋体" w:hAnsi="宋体" w:cs="宋体"/>
                <w:color w:val="auto"/>
                <w:kern w:val="0"/>
                <w:sz w:val="24"/>
                <w:highlight w:val="none"/>
              </w:rPr>
            </w:pPr>
          </w:p>
        </w:tc>
      </w:tr>
      <w:tr w14:paraId="3831CFC4">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3B9D231">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3</w:t>
            </w:r>
          </w:p>
        </w:tc>
        <w:tc>
          <w:tcPr>
            <w:tcW w:w="226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7D955FF9">
            <w:pPr>
              <w:spacing w:line="360" w:lineRule="auto"/>
              <w:jc w:val="center"/>
              <w:rPr>
                <w:rFonts w:hint="eastAsia"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164F113D">
            <w:pPr>
              <w:spacing w:line="360" w:lineRule="auto"/>
              <w:jc w:val="center"/>
              <w:rPr>
                <w:rFonts w:hint="eastAsia" w:ascii="宋体" w:hAnsi="宋体" w:cs="宋体"/>
                <w:color w:val="auto"/>
                <w:kern w:val="0"/>
                <w:sz w:val="24"/>
                <w:highlight w:val="none"/>
              </w:rPr>
            </w:pPr>
          </w:p>
        </w:tc>
        <w:tc>
          <w:tcPr>
            <w:tcW w:w="387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2CF4AD17">
            <w:pPr>
              <w:spacing w:line="360" w:lineRule="auto"/>
              <w:jc w:val="center"/>
              <w:rPr>
                <w:rFonts w:hint="eastAsia" w:ascii="宋体" w:hAnsi="宋体" w:cs="宋体"/>
                <w:color w:val="auto"/>
                <w:kern w:val="0"/>
                <w:sz w:val="24"/>
                <w:highlight w:val="none"/>
              </w:rPr>
            </w:pPr>
          </w:p>
        </w:tc>
        <w:tc>
          <w:tcPr>
            <w:tcW w:w="1261"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05E149B4">
            <w:pPr>
              <w:spacing w:line="360" w:lineRule="auto"/>
              <w:jc w:val="center"/>
              <w:rPr>
                <w:rFonts w:hint="eastAsia" w:ascii="宋体" w:hAnsi="宋体" w:cs="宋体"/>
                <w:color w:val="auto"/>
                <w:kern w:val="0"/>
                <w:sz w:val="24"/>
                <w:highlight w:val="none"/>
              </w:rPr>
            </w:pPr>
          </w:p>
        </w:tc>
      </w:tr>
      <w:tr w14:paraId="22FE2F6E">
        <w:tblPrEx>
          <w:tblCellMar>
            <w:top w:w="0" w:type="dxa"/>
            <w:left w:w="0" w:type="dxa"/>
            <w:bottom w:w="0" w:type="dxa"/>
            <w:right w:w="0" w:type="dxa"/>
          </w:tblCellMar>
        </w:tblPrEx>
        <w:tc>
          <w:tcPr>
            <w:tcW w:w="828"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6C5E594">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w:t>
            </w:r>
          </w:p>
        </w:tc>
        <w:tc>
          <w:tcPr>
            <w:tcW w:w="226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CCEE386">
            <w:pPr>
              <w:spacing w:line="360" w:lineRule="auto"/>
              <w:jc w:val="center"/>
              <w:rPr>
                <w:rFonts w:hint="eastAsia" w:ascii="宋体" w:hAnsi="宋体" w:cs="宋体"/>
                <w:color w:val="auto"/>
                <w:kern w:val="0"/>
                <w:sz w:val="24"/>
                <w:highlight w:val="none"/>
              </w:rPr>
            </w:pPr>
          </w:p>
        </w:tc>
        <w:tc>
          <w:tcPr>
            <w:tcW w:w="123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1887CFB3">
            <w:pPr>
              <w:spacing w:line="360" w:lineRule="auto"/>
              <w:jc w:val="center"/>
              <w:rPr>
                <w:rFonts w:hint="eastAsia" w:ascii="宋体" w:hAnsi="宋体" w:cs="宋体"/>
                <w:color w:val="auto"/>
                <w:kern w:val="0"/>
                <w:sz w:val="24"/>
                <w:highlight w:val="none"/>
              </w:rPr>
            </w:pPr>
          </w:p>
        </w:tc>
        <w:tc>
          <w:tcPr>
            <w:tcW w:w="387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D2BCEA0">
            <w:pPr>
              <w:spacing w:line="360" w:lineRule="auto"/>
              <w:jc w:val="center"/>
              <w:rPr>
                <w:rFonts w:hint="eastAsia" w:ascii="宋体" w:hAnsi="宋体" w:cs="宋体"/>
                <w:color w:val="auto"/>
                <w:kern w:val="0"/>
                <w:sz w:val="24"/>
                <w:highlight w:val="none"/>
              </w:rPr>
            </w:pPr>
          </w:p>
        </w:tc>
        <w:tc>
          <w:tcPr>
            <w:tcW w:w="1261"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24A378CB">
            <w:pPr>
              <w:spacing w:line="360" w:lineRule="auto"/>
              <w:jc w:val="center"/>
              <w:rPr>
                <w:rFonts w:hint="eastAsia" w:ascii="宋体" w:hAnsi="宋体" w:cs="宋体"/>
                <w:color w:val="auto"/>
                <w:kern w:val="0"/>
                <w:sz w:val="24"/>
                <w:highlight w:val="none"/>
              </w:rPr>
            </w:pPr>
          </w:p>
        </w:tc>
      </w:tr>
    </w:tbl>
    <w:p w14:paraId="188256F2">
      <w:pPr>
        <w:snapToGrid w:val="0"/>
        <w:spacing w:line="360" w:lineRule="auto"/>
        <w:jc w:val="left"/>
        <w:rPr>
          <w:rFonts w:hint="eastAsia" w:ascii="宋体" w:hAnsi="宋体"/>
          <w:color w:val="auto"/>
          <w:sz w:val="21"/>
          <w:szCs w:val="21"/>
          <w:highlight w:val="none"/>
        </w:rPr>
      </w:pPr>
      <w:r>
        <w:rPr>
          <w:rFonts w:hint="eastAsia" w:ascii="宋体" w:hAnsi="宋体"/>
          <w:color w:val="auto"/>
          <w:sz w:val="21"/>
          <w:szCs w:val="21"/>
          <w:highlight w:val="none"/>
        </w:rPr>
        <w:t>注：</w:t>
      </w:r>
    </w:p>
    <w:p w14:paraId="2B74672D">
      <w:pPr>
        <w:snapToGrid w:val="0"/>
        <w:spacing w:line="360" w:lineRule="auto"/>
        <w:ind w:firstLine="420" w:firstLineChars="200"/>
        <w:jc w:val="left"/>
        <w:rPr>
          <w:rFonts w:hint="eastAsia" w:ascii="宋体" w:hAnsi="宋体"/>
          <w:color w:val="auto"/>
          <w:sz w:val="21"/>
          <w:szCs w:val="21"/>
          <w:highlight w:val="none"/>
        </w:rPr>
      </w:pPr>
      <w:r>
        <w:rPr>
          <w:rFonts w:hint="eastAsia" w:ascii="宋体" w:hAnsi="宋体"/>
          <w:color w:val="auto"/>
          <w:sz w:val="21"/>
          <w:szCs w:val="21"/>
          <w:highlight w:val="none"/>
        </w:rPr>
        <w:t>1.直接控股股东：是指其出资额占有限责任公司资本总额百分之五十以上或者其持有的股份占股份有限公司股份总额百分之五十以上的股东；出资额或者持有股份的比例虽然不足百分之五十，但依其出资额或者持有的股份所享有的表决权已足以对股东会、股东大会的决议产生重大影响的股东。</w:t>
      </w:r>
    </w:p>
    <w:p w14:paraId="751F2319">
      <w:pPr>
        <w:snapToGrid w:val="0"/>
        <w:spacing w:line="360" w:lineRule="auto"/>
        <w:ind w:firstLine="420" w:firstLineChars="200"/>
        <w:jc w:val="left"/>
        <w:rPr>
          <w:rFonts w:hint="eastAsia" w:ascii="宋体" w:hAnsi="宋体"/>
          <w:color w:val="auto"/>
          <w:sz w:val="21"/>
          <w:szCs w:val="21"/>
          <w:highlight w:val="none"/>
        </w:rPr>
      </w:pPr>
      <w:r>
        <w:rPr>
          <w:rFonts w:hint="eastAsia" w:ascii="宋体" w:hAnsi="宋体"/>
          <w:color w:val="auto"/>
          <w:sz w:val="21"/>
          <w:szCs w:val="21"/>
          <w:highlight w:val="none"/>
        </w:rPr>
        <w:t>2.本表所指的控股关系仅限于直接控股关系，不包括间接的控股关系。公司实际控制人与公司之间的关系不属于本表所指的直接控股关系。</w:t>
      </w:r>
    </w:p>
    <w:p w14:paraId="75A4C4AA">
      <w:pPr>
        <w:snapToGrid w:val="0"/>
        <w:spacing w:line="360" w:lineRule="auto"/>
        <w:ind w:firstLine="420" w:firstLineChars="200"/>
        <w:jc w:val="left"/>
        <w:rPr>
          <w:rFonts w:hint="eastAsia" w:ascii="宋体" w:hAnsi="宋体"/>
          <w:color w:val="auto"/>
          <w:sz w:val="24"/>
          <w:highlight w:val="none"/>
        </w:rPr>
      </w:pPr>
      <w:r>
        <w:rPr>
          <w:rFonts w:hint="eastAsia" w:ascii="宋体" w:hAnsi="宋体"/>
          <w:color w:val="auto"/>
          <w:sz w:val="21"/>
          <w:szCs w:val="21"/>
          <w:highlight w:val="none"/>
        </w:rPr>
        <w:t>3.供应商不存在直接控股股东的，则填“无”。</w:t>
      </w:r>
    </w:p>
    <w:p w14:paraId="7D7105C8">
      <w:pPr>
        <w:snapToGrid w:val="0"/>
        <w:spacing w:line="360" w:lineRule="auto"/>
        <w:jc w:val="left"/>
        <w:rPr>
          <w:rFonts w:hint="eastAsia" w:ascii="宋体" w:hAnsi="宋体"/>
          <w:color w:val="auto"/>
          <w:sz w:val="24"/>
          <w:highlight w:val="none"/>
        </w:rPr>
      </w:pPr>
    </w:p>
    <w:p w14:paraId="7F6A3546">
      <w:pPr>
        <w:snapToGrid w:val="0"/>
        <w:spacing w:line="360" w:lineRule="auto"/>
        <w:jc w:val="left"/>
        <w:rPr>
          <w:rFonts w:hint="eastAsia" w:ascii="宋体" w:hAnsi="宋体"/>
          <w:color w:val="auto"/>
          <w:sz w:val="24"/>
          <w:highlight w:val="none"/>
        </w:rPr>
      </w:pPr>
    </w:p>
    <w:p w14:paraId="47D8C405">
      <w:pPr>
        <w:snapToGrid w:val="0"/>
        <w:spacing w:line="360" w:lineRule="auto"/>
        <w:ind w:firstLine="0" w:firstLineChars="0"/>
        <w:jc w:val="center"/>
        <w:rPr>
          <w:rFonts w:hint="eastAsia" w:ascii="宋体" w:hAnsi="宋体" w:eastAsia="宋体" w:cs="Times New Roman"/>
          <w:color w:val="auto"/>
          <w:kern w:val="2"/>
          <w:sz w:val="24"/>
          <w:highlight w:val="none"/>
        </w:rPr>
      </w:pPr>
      <w:r>
        <w:rPr>
          <w:rFonts w:hint="eastAsia" w:ascii="宋体" w:hAnsi="宋体" w:eastAsia="宋体" w:cs="Times New Roman"/>
          <w:color w:val="auto"/>
          <w:kern w:val="2"/>
          <w:sz w:val="24"/>
          <w:highlight w:val="none"/>
          <w:lang w:val="zh-CN"/>
        </w:rPr>
        <w:t>供应商名称(盖公章)：</w:t>
      </w:r>
    </w:p>
    <w:p w14:paraId="2806C623">
      <w:pPr>
        <w:snapToGrid w:val="0"/>
        <w:spacing w:line="360" w:lineRule="auto"/>
        <w:ind w:firstLine="0" w:firstLineChars="0"/>
        <w:jc w:val="center"/>
        <w:rPr>
          <w:rFonts w:hint="eastAsia" w:ascii="宋体" w:hAnsi="宋体" w:eastAsia="宋体" w:cs="Times New Roman"/>
          <w:color w:val="auto"/>
          <w:kern w:val="2"/>
          <w:sz w:val="24"/>
          <w:highlight w:val="none"/>
          <w:lang w:val="zh-CN"/>
        </w:rPr>
      </w:pPr>
      <w:r>
        <w:rPr>
          <w:rFonts w:hint="eastAsia" w:ascii="宋体" w:hAnsi="宋体" w:eastAsia="宋体" w:cs="Times New Roman"/>
          <w:color w:val="auto"/>
          <w:kern w:val="2"/>
          <w:sz w:val="24"/>
          <w:highlight w:val="none"/>
          <w:lang w:val="zh-CN"/>
        </w:rPr>
        <w:t>日期</w:t>
      </w:r>
      <w:r>
        <w:rPr>
          <w:rFonts w:hint="eastAsia" w:ascii="宋体" w:hAnsi="宋体" w:eastAsia="宋体" w:cs="Times New Roman"/>
          <w:color w:val="auto"/>
          <w:kern w:val="2"/>
          <w:sz w:val="24"/>
          <w:highlight w:val="none"/>
        </w:rPr>
        <w:t xml:space="preserve">：  年  </w:t>
      </w:r>
      <w:r>
        <w:rPr>
          <w:rFonts w:hint="eastAsia" w:ascii="宋体" w:hAnsi="宋体" w:eastAsia="宋体" w:cs="Times New Roman"/>
          <w:color w:val="auto"/>
          <w:kern w:val="2"/>
          <w:sz w:val="24"/>
          <w:highlight w:val="none"/>
          <w:lang w:val="zh-CN"/>
        </w:rPr>
        <w:t>月</w:t>
      </w:r>
      <w:r>
        <w:rPr>
          <w:rFonts w:hint="eastAsia" w:ascii="宋体" w:hAnsi="宋体" w:eastAsia="宋体" w:cs="Times New Roman"/>
          <w:color w:val="auto"/>
          <w:kern w:val="2"/>
          <w:sz w:val="24"/>
          <w:highlight w:val="none"/>
        </w:rPr>
        <w:t xml:space="preserve">   </w:t>
      </w:r>
      <w:r>
        <w:rPr>
          <w:rFonts w:hint="eastAsia" w:ascii="宋体" w:hAnsi="宋体" w:eastAsia="宋体" w:cs="Times New Roman"/>
          <w:color w:val="auto"/>
          <w:kern w:val="2"/>
          <w:sz w:val="24"/>
          <w:highlight w:val="none"/>
          <w:lang w:val="zh-CN"/>
        </w:rPr>
        <w:t>日</w:t>
      </w:r>
    </w:p>
    <w:p w14:paraId="68F09550">
      <w:pPr>
        <w:spacing w:line="360" w:lineRule="auto"/>
        <w:rPr>
          <w:rFonts w:hint="eastAsia" w:ascii="宋体" w:hAnsi="宋体" w:eastAsia="宋体" w:cs="宋体"/>
          <w:color w:val="auto"/>
          <w:sz w:val="28"/>
          <w:szCs w:val="28"/>
          <w:highlight w:val="none"/>
        </w:rPr>
        <w:sectPr>
          <w:pgSz w:w="11911" w:h="16838"/>
          <w:pgMar w:top="1134" w:right="1134" w:bottom="1134" w:left="1134" w:header="720" w:footer="720" w:gutter="0"/>
          <w:pgNumType w:fmt="decimal"/>
          <w:cols w:space="720" w:num="1"/>
        </w:sectPr>
      </w:pPr>
    </w:p>
    <w:p w14:paraId="083A44FD">
      <w:pPr>
        <w:snapToGrid w:val="0"/>
        <w:jc w:val="both"/>
        <w:rPr>
          <w:rFonts w:hint="eastAsia" w:ascii="宋体" w:hAnsi="宋体"/>
          <w:b/>
          <w:color w:val="auto"/>
          <w:sz w:val="28"/>
          <w:szCs w:val="28"/>
          <w:highlight w:val="none"/>
        </w:rPr>
      </w:pPr>
      <w:r>
        <w:rPr>
          <w:rFonts w:hint="eastAsia" w:ascii="宋体" w:hAnsi="宋体" w:cs="宋体"/>
          <w:b/>
          <w:color w:val="auto"/>
          <w:kern w:val="0"/>
          <w:sz w:val="32"/>
          <w:szCs w:val="32"/>
          <w:highlight w:val="none"/>
          <w:lang w:val="en-US" w:eastAsia="zh-CN"/>
        </w:rPr>
        <w:t>4.</w:t>
      </w:r>
      <w:r>
        <w:rPr>
          <w:rFonts w:hint="eastAsia" w:ascii="宋体" w:hAnsi="宋体"/>
          <w:b/>
          <w:color w:val="auto"/>
          <w:sz w:val="28"/>
          <w:szCs w:val="28"/>
          <w:highlight w:val="none"/>
          <w:lang w:eastAsia="zh-CN"/>
        </w:rPr>
        <w:t>供应商</w:t>
      </w:r>
      <w:r>
        <w:rPr>
          <w:rFonts w:hint="eastAsia" w:ascii="宋体" w:hAnsi="宋体"/>
          <w:b/>
          <w:color w:val="auto"/>
          <w:sz w:val="28"/>
          <w:szCs w:val="28"/>
          <w:highlight w:val="none"/>
        </w:rPr>
        <w:t>直接管理关系信息表</w:t>
      </w:r>
      <w:r>
        <w:rPr>
          <w:rFonts w:hint="eastAsia" w:ascii="宋体" w:hAnsi="宋体" w:cs="宋体"/>
          <w:b/>
          <w:color w:val="auto"/>
          <w:sz w:val="28"/>
          <w:szCs w:val="28"/>
          <w:highlight w:val="none"/>
          <w:lang w:eastAsia="zh-CN"/>
        </w:rPr>
        <w:t>格式</w:t>
      </w:r>
      <w:r>
        <w:rPr>
          <w:rFonts w:hint="eastAsia"/>
          <w:color w:val="auto"/>
          <w:sz w:val="28"/>
          <w:szCs w:val="28"/>
          <w:highlight w:val="none"/>
          <w:lang w:eastAsia="zh-CN"/>
        </w:rPr>
        <w:t>：</w:t>
      </w:r>
    </w:p>
    <w:p w14:paraId="1A1C697C">
      <w:pPr>
        <w:snapToGrid w:val="0"/>
        <w:spacing w:line="360" w:lineRule="auto"/>
        <w:jc w:val="center"/>
        <w:rPr>
          <w:rFonts w:hint="eastAsia" w:ascii="宋体" w:hAnsi="宋体"/>
          <w:b/>
          <w:color w:val="auto"/>
          <w:sz w:val="32"/>
          <w:szCs w:val="32"/>
          <w:highlight w:val="none"/>
        </w:rPr>
      </w:pPr>
    </w:p>
    <w:p w14:paraId="53F36F7D">
      <w:pPr>
        <w:snapToGrid w:val="0"/>
        <w:spacing w:line="360" w:lineRule="auto"/>
        <w:jc w:val="center"/>
        <w:rPr>
          <w:rFonts w:hint="eastAsia" w:ascii="宋体" w:hAnsi="宋体"/>
          <w:color w:val="auto"/>
          <w:sz w:val="32"/>
          <w:szCs w:val="32"/>
          <w:highlight w:val="none"/>
        </w:rPr>
      </w:pPr>
      <w:r>
        <w:rPr>
          <w:rFonts w:hint="eastAsia" w:ascii="宋体" w:hAnsi="宋体"/>
          <w:b/>
          <w:color w:val="auto"/>
          <w:sz w:val="28"/>
          <w:szCs w:val="28"/>
          <w:highlight w:val="none"/>
          <w:lang w:eastAsia="zh-CN"/>
        </w:rPr>
        <w:t>供应商</w:t>
      </w:r>
      <w:r>
        <w:rPr>
          <w:rFonts w:hint="eastAsia" w:ascii="宋体" w:hAnsi="宋体"/>
          <w:b/>
          <w:color w:val="auto"/>
          <w:sz w:val="28"/>
          <w:szCs w:val="28"/>
          <w:highlight w:val="none"/>
        </w:rPr>
        <w:t>直接管理关系信息表</w:t>
      </w:r>
    </w:p>
    <w:tbl>
      <w:tblPr>
        <w:tblStyle w:val="28"/>
        <w:tblW w:w="0" w:type="auto"/>
        <w:tblInd w:w="125" w:type="dxa"/>
        <w:shd w:val="clear" w:color="auto" w:fill="FBFBFB"/>
        <w:tblLayout w:type="fixed"/>
        <w:tblCellMar>
          <w:top w:w="0" w:type="dxa"/>
          <w:left w:w="0" w:type="dxa"/>
          <w:bottom w:w="0" w:type="dxa"/>
          <w:right w:w="0" w:type="dxa"/>
        </w:tblCellMar>
      </w:tblPr>
      <w:tblGrid>
        <w:gridCol w:w="1005"/>
        <w:gridCol w:w="2659"/>
        <w:gridCol w:w="3924"/>
        <w:gridCol w:w="2064"/>
      </w:tblGrid>
      <w:tr w14:paraId="1918BE90">
        <w:tblPrEx>
          <w:shd w:val="clear" w:color="auto" w:fill="FBFBFB"/>
          <w:tblCellMar>
            <w:top w:w="0" w:type="dxa"/>
            <w:left w:w="0" w:type="dxa"/>
            <w:bottom w:w="0" w:type="dxa"/>
            <w:right w:w="0" w:type="dxa"/>
          </w:tblCellMar>
        </w:tblPrEx>
        <w:trPr>
          <w:tblHeader/>
        </w:trPr>
        <w:tc>
          <w:tcPr>
            <w:tcW w:w="1005"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7CC3FAF2">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序号</w:t>
            </w:r>
          </w:p>
        </w:tc>
        <w:tc>
          <w:tcPr>
            <w:tcW w:w="2659"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4EFF34D2">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直接管理关系单位名称</w:t>
            </w:r>
          </w:p>
        </w:tc>
        <w:tc>
          <w:tcPr>
            <w:tcW w:w="3924"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4A60E5D2">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统一社会信用代码</w:t>
            </w:r>
          </w:p>
        </w:tc>
        <w:tc>
          <w:tcPr>
            <w:tcW w:w="2064" w:type="dxa"/>
            <w:tcBorders>
              <w:top w:val="single" w:color="auto" w:sz="4" w:space="0"/>
              <w:left w:val="single" w:color="auto" w:sz="4" w:space="0"/>
              <w:bottom w:val="single" w:color="auto" w:sz="4" w:space="0"/>
              <w:right w:val="single" w:color="auto" w:sz="4" w:space="0"/>
            </w:tcBorders>
            <w:shd w:val="clear" w:color="auto" w:fill="EAE3D8"/>
            <w:noWrap w:val="0"/>
            <w:tcMar>
              <w:top w:w="120" w:type="dxa"/>
              <w:left w:w="120" w:type="dxa"/>
              <w:bottom w:w="120" w:type="dxa"/>
              <w:right w:w="120" w:type="dxa"/>
            </w:tcMar>
            <w:vAlign w:val="center"/>
          </w:tcPr>
          <w:p w14:paraId="58EF8867">
            <w:pPr>
              <w:spacing w:line="360" w:lineRule="auto"/>
              <w:jc w:val="center"/>
              <w:rPr>
                <w:rFonts w:hint="eastAsia" w:ascii="宋体" w:hAnsi="宋体" w:cs="宋体"/>
                <w:b/>
                <w:bCs/>
                <w:color w:val="auto"/>
                <w:kern w:val="0"/>
                <w:sz w:val="24"/>
                <w:highlight w:val="none"/>
              </w:rPr>
            </w:pPr>
            <w:r>
              <w:rPr>
                <w:rFonts w:hint="eastAsia" w:ascii="宋体" w:hAnsi="宋体" w:cs="宋体"/>
                <w:b/>
                <w:bCs/>
                <w:color w:val="auto"/>
                <w:kern w:val="0"/>
                <w:sz w:val="24"/>
                <w:highlight w:val="none"/>
              </w:rPr>
              <w:t>备注</w:t>
            </w:r>
          </w:p>
        </w:tc>
      </w:tr>
      <w:tr w14:paraId="3A07C927">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0DDD9C9">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1</w:t>
            </w:r>
          </w:p>
        </w:tc>
        <w:tc>
          <w:tcPr>
            <w:tcW w:w="265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48895BE">
            <w:pPr>
              <w:spacing w:line="360" w:lineRule="auto"/>
              <w:jc w:val="center"/>
              <w:rPr>
                <w:rFonts w:hint="eastAsia"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3F265745">
            <w:pPr>
              <w:spacing w:line="360" w:lineRule="auto"/>
              <w:jc w:val="center"/>
              <w:rPr>
                <w:rFonts w:hint="eastAsia"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51276DD">
            <w:pPr>
              <w:spacing w:line="360" w:lineRule="auto"/>
              <w:jc w:val="center"/>
              <w:rPr>
                <w:rFonts w:hint="eastAsia" w:ascii="宋体" w:hAnsi="宋体" w:cs="宋体"/>
                <w:color w:val="auto"/>
                <w:kern w:val="0"/>
                <w:sz w:val="24"/>
                <w:highlight w:val="none"/>
              </w:rPr>
            </w:pPr>
          </w:p>
        </w:tc>
      </w:tr>
      <w:tr w14:paraId="40BE31C5">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324223CB">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2</w:t>
            </w:r>
          </w:p>
        </w:tc>
        <w:tc>
          <w:tcPr>
            <w:tcW w:w="265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65473BA1">
            <w:pPr>
              <w:spacing w:line="360" w:lineRule="auto"/>
              <w:jc w:val="center"/>
              <w:rPr>
                <w:rFonts w:hint="eastAsia"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0502E944">
            <w:pPr>
              <w:spacing w:line="360" w:lineRule="auto"/>
              <w:jc w:val="center"/>
              <w:rPr>
                <w:rFonts w:hint="eastAsia"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445CD850">
            <w:pPr>
              <w:spacing w:line="360" w:lineRule="auto"/>
              <w:jc w:val="center"/>
              <w:rPr>
                <w:rFonts w:hint="eastAsia" w:ascii="宋体" w:hAnsi="宋体" w:cs="宋体"/>
                <w:color w:val="auto"/>
                <w:kern w:val="0"/>
                <w:sz w:val="24"/>
                <w:highlight w:val="none"/>
              </w:rPr>
            </w:pPr>
          </w:p>
        </w:tc>
      </w:tr>
      <w:tr w14:paraId="4622BD33">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2B05A5BF">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3</w:t>
            </w:r>
          </w:p>
        </w:tc>
        <w:tc>
          <w:tcPr>
            <w:tcW w:w="265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6B61C9DB">
            <w:pPr>
              <w:spacing w:line="360" w:lineRule="auto"/>
              <w:jc w:val="center"/>
              <w:rPr>
                <w:rFonts w:hint="eastAsia"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06801877">
            <w:pPr>
              <w:spacing w:line="360" w:lineRule="auto"/>
              <w:jc w:val="center"/>
              <w:rPr>
                <w:rFonts w:hint="eastAsia"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6E544522">
            <w:pPr>
              <w:spacing w:line="360" w:lineRule="auto"/>
              <w:jc w:val="center"/>
              <w:rPr>
                <w:rFonts w:hint="eastAsia" w:ascii="宋体" w:hAnsi="宋体" w:cs="宋体"/>
                <w:color w:val="auto"/>
                <w:kern w:val="0"/>
                <w:sz w:val="24"/>
                <w:highlight w:val="none"/>
              </w:rPr>
            </w:pPr>
          </w:p>
        </w:tc>
      </w:tr>
      <w:tr w14:paraId="3982C10A">
        <w:tblPrEx>
          <w:tblCellMar>
            <w:top w:w="0" w:type="dxa"/>
            <w:left w:w="0" w:type="dxa"/>
            <w:bottom w:w="0" w:type="dxa"/>
            <w:right w:w="0" w:type="dxa"/>
          </w:tblCellMar>
        </w:tblPrEx>
        <w:tc>
          <w:tcPr>
            <w:tcW w:w="1005"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5F5D137">
            <w:pPr>
              <w:spacing w:line="360" w:lineRule="auto"/>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w:t>
            </w:r>
          </w:p>
        </w:tc>
        <w:tc>
          <w:tcPr>
            <w:tcW w:w="2659"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7EDA9159">
            <w:pPr>
              <w:spacing w:line="360" w:lineRule="auto"/>
              <w:jc w:val="center"/>
              <w:rPr>
                <w:rFonts w:hint="eastAsia" w:ascii="宋体" w:hAnsi="宋体" w:cs="宋体"/>
                <w:color w:val="auto"/>
                <w:kern w:val="0"/>
                <w:sz w:val="24"/>
                <w:highlight w:val="none"/>
              </w:rPr>
            </w:pPr>
          </w:p>
        </w:tc>
        <w:tc>
          <w:tcPr>
            <w:tcW w:w="392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5BCAC541">
            <w:pPr>
              <w:spacing w:line="360" w:lineRule="auto"/>
              <w:jc w:val="center"/>
              <w:rPr>
                <w:rFonts w:hint="eastAsia" w:ascii="宋体" w:hAnsi="宋体" w:cs="宋体"/>
                <w:color w:val="auto"/>
                <w:kern w:val="0"/>
                <w:sz w:val="24"/>
                <w:highlight w:val="none"/>
              </w:rPr>
            </w:pPr>
          </w:p>
        </w:tc>
        <w:tc>
          <w:tcPr>
            <w:tcW w:w="2064" w:type="dxa"/>
            <w:tcBorders>
              <w:top w:val="single" w:color="auto" w:sz="4" w:space="0"/>
              <w:left w:val="single" w:color="auto" w:sz="4" w:space="0"/>
              <w:bottom w:val="single" w:color="auto" w:sz="4" w:space="0"/>
              <w:right w:val="single" w:color="auto" w:sz="4" w:space="0"/>
            </w:tcBorders>
            <w:shd w:val="clear" w:color="auto" w:fill="F9F9F9"/>
            <w:noWrap w:val="0"/>
            <w:tcMar>
              <w:top w:w="120" w:type="dxa"/>
              <w:left w:w="120" w:type="dxa"/>
              <w:bottom w:w="120" w:type="dxa"/>
              <w:right w:w="120" w:type="dxa"/>
            </w:tcMar>
            <w:vAlign w:val="center"/>
          </w:tcPr>
          <w:p w14:paraId="14D9B0E4">
            <w:pPr>
              <w:spacing w:line="360" w:lineRule="auto"/>
              <w:jc w:val="center"/>
              <w:rPr>
                <w:rFonts w:hint="eastAsia" w:ascii="宋体" w:hAnsi="宋体" w:cs="宋体"/>
                <w:color w:val="auto"/>
                <w:kern w:val="0"/>
                <w:sz w:val="24"/>
                <w:highlight w:val="none"/>
              </w:rPr>
            </w:pPr>
          </w:p>
        </w:tc>
      </w:tr>
    </w:tbl>
    <w:p w14:paraId="0B777AA0">
      <w:pPr>
        <w:snapToGrid w:val="0"/>
        <w:spacing w:line="360" w:lineRule="auto"/>
        <w:jc w:val="left"/>
        <w:rPr>
          <w:rFonts w:hint="eastAsia" w:ascii="宋体" w:hAnsi="宋体"/>
          <w:color w:val="auto"/>
          <w:sz w:val="21"/>
          <w:szCs w:val="21"/>
          <w:highlight w:val="none"/>
        </w:rPr>
      </w:pPr>
      <w:r>
        <w:rPr>
          <w:rFonts w:hint="eastAsia" w:ascii="宋体" w:hAnsi="宋体"/>
          <w:color w:val="auto"/>
          <w:sz w:val="21"/>
          <w:szCs w:val="21"/>
          <w:highlight w:val="none"/>
        </w:rPr>
        <w:t>注：</w:t>
      </w:r>
    </w:p>
    <w:p w14:paraId="533C7D04">
      <w:pPr>
        <w:snapToGrid w:val="0"/>
        <w:spacing w:line="360" w:lineRule="auto"/>
        <w:ind w:firstLine="420" w:firstLineChars="200"/>
        <w:jc w:val="left"/>
        <w:rPr>
          <w:rFonts w:hint="eastAsia" w:ascii="宋体" w:hAnsi="宋体"/>
          <w:color w:val="auto"/>
          <w:sz w:val="21"/>
          <w:szCs w:val="21"/>
          <w:highlight w:val="none"/>
        </w:rPr>
      </w:pPr>
      <w:r>
        <w:rPr>
          <w:rFonts w:hint="eastAsia" w:ascii="宋体" w:hAnsi="宋体"/>
          <w:color w:val="auto"/>
          <w:sz w:val="21"/>
          <w:szCs w:val="21"/>
          <w:highlight w:val="none"/>
        </w:rPr>
        <w:t>1.管理关系：是指不具有出资持股关系的其他单位之间存在的管理与被管理关系，如一些上下级关系的事业单位和团体组织。</w:t>
      </w:r>
    </w:p>
    <w:p w14:paraId="48404087">
      <w:pPr>
        <w:snapToGrid w:val="0"/>
        <w:spacing w:line="360" w:lineRule="auto"/>
        <w:ind w:firstLine="420" w:firstLineChars="200"/>
        <w:jc w:val="left"/>
        <w:rPr>
          <w:rFonts w:hint="eastAsia" w:ascii="宋体" w:hAnsi="宋体"/>
          <w:color w:val="auto"/>
          <w:sz w:val="21"/>
          <w:szCs w:val="21"/>
          <w:highlight w:val="none"/>
        </w:rPr>
      </w:pPr>
      <w:r>
        <w:rPr>
          <w:rFonts w:hint="eastAsia" w:ascii="宋体" w:hAnsi="宋体"/>
          <w:color w:val="auto"/>
          <w:sz w:val="21"/>
          <w:szCs w:val="21"/>
          <w:highlight w:val="none"/>
        </w:rPr>
        <w:t>2.</w:t>
      </w:r>
      <w:r>
        <w:rPr>
          <w:rFonts w:hint="eastAsia" w:ascii="宋体" w:hAnsi="宋体"/>
          <w:color w:val="auto"/>
          <w:spacing w:val="-6"/>
          <w:sz w:val="21"/>
          <w:szCs w:val="21"/>
          <w:highlight w:val="none"/>
        </w:rPr>
        <w:t>本表所指的管理关系仅限于直接管理关系，不包括间接的管理关系。</w:t>
      </w:r>
    </w:p>
    <w:p w14:paraId="11DC42F4">
      <w:pPr>
        <w:snapToGrid w:val="0"/>
        <w:spacing w:line="360" w:lineRule="auto"/>
        <w:ind w:firstLine="420" w:firstLineChars="200"/>
        <w:jc w:val="left"/>
        <w:rPr>
          <w:rFonts w:hint="eastAsia" w:ascii="宋体" w:hAnsi="宋体"/>
          <w:color w:val="auto"/>
          <w:sz w:val="21"/>
          <w:szCs w:val="21"/>
          <w:highlight w:val="none"/>
        </w:rPr>
      </w:pPr>
      <w:r>
        <w:rPr>
          <w:rFonts w:hint="eastAsia" w:ascii="宋体" w:hAnsi="宋体"/>
          <w:color w:val="auto"/>
          <w:sz w:val="21"/>
          <w:szCs w:val="21"/>
          <w:highlight w:val="none"/>
        </w:rPr>
        <w:t>3.供应商不存在直接管理关系的，则填“无”。</w:t>
      </w:r>
    </w:p>
    <w:p w14:paraId="1A5E3340">
      <w:pPr>
        <w:snapToGrid w:val="0"/>
        <w:spacing w:line="360" w:lineRule="auto"/>
        <w:jc w:val="left"/>
        <w:rPr>
          <w:color w:val="auto"/>
          <w:sz w:val="24"/>
          <w:highlight w:val="none"/>
        </w:rPr>
      </w:pPr>
    </w:p>
    <w:p w14:paraId="054EC860">
      <w:pPr>
        <w:snapToGrid w:val="0"/>
        <w:spacing w:line="360" w:lineRule="auto"/>
        <w:jc w:val="left"/>
        <w:rPr>
          <w:rFonts w:ascii="宋体" w:hAnsi="宋体"/>
          <w:color w:val="auto"/>
          <w:sz w:val="24"/>
          <w:highlight w:val="none"/>
        </w:rPr>
      </w:pPr>
    </w:p>
    <w:p w14:paraId="1A2FC345">
      <w:pPr>
        <w:snapToGrid w:val="0"/>
        <w:spacing w:line="360" w:lineRule="auto"/>
        <w:jc w:val="left"/>
        <w:rPr>
          <w:rFonts w:hint="eastAsia" w:ascii="宋体" w:hAnsi="宋体"/>
          <w:color w:val="auto"/>
          <w:sz w:val="24"/>
          <w:highlight w:val="none"/>
        </w:rPr>
      </w:pPr>
    </w:p>
    <w:p w14:paraId="239198EA">
      <w:pPr>
        <w:snapToGrid/>
        <w:spacing w:line="360" w:lineRule="auto"/>
        <w:ind w:firstLine="0" w:firstLineChars="0"/>
        <w:jc w:val="center"/>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lang w:val="zh-CN"/>
        </w:rPr>
        <w:t>供应商名称(盖公章)：</w:t>
      </w:r>
    </w:p>
    <w:p w14:paraId="536BA402">
      <w:pPr>
        <w:snapToGrid/>
        <w:spacing w:line="360" w:lineRule="auto"/>
        <w:ind w:firstLine="0" w:firstLineChars="0"/>
        <w:jc w:val="center"/>
        <w:rPr>
          <w:rFonts w:hint="eastAsia" w:ascii="宋体" w:hAnsi="宋体" w:eastAsia="宋体" w:cs="宋体"/>
          <w:b/>
          <w:bCs/>
          <w:color w:val="auto"/>
          <w:kern w:val="0"/>
          <w:sz w:val="24"/>
          <w:highlight w:val="none"/>
          <w:lang w:val="zh-CN"/>
        </w:rPr>
      </w:pPr>
      <w:r>
        <w:rPr>
          <w:rFonts w:hint="eastAsia" w:ascii="宋体" w:hAnsi="宋体" w:eastAsia="宋体" w:cs="宋体"/>
          <w:b/>
          <w:bCs/>
          <w:color w:val="auto"/>
          <w:kern w:val="0"/>
          <w:sz w:val="24"/>
          <w:highlight w:val="none"/>
          <w:lang w:val="zh-CN"/>
        </w:rPr>
        <w:t>日期</w:t>
      </w:r>
      <w:r>
        <w:rPr>
          <w:rFonts w:hint="eastAsia" w:ascii="宋体" w:hAnsi="宋体" w:eastAsia="宋体" w:cs="宋体"/>
          <w:b/>
          <w:bCs/>
          <w:color w:val="auto"/>
          <w:kern w:val="0"/>
          <w:sz w:val="24"/>
          <w:highlight w:val="none"/>
        </w:rPr>
        <w:t xml:space="preserve">：  年  </w:t>
      </w:r>
      <w:r>
        <w:rPr>
          <w:rFonts w:hint="eastAsia" w:ascii="宋体" w:hAnsi="宋体" w:eastAsia="宋体" w:cs="宋体"/>
          <w:b/>
          <w:bCs/>
          <w:color w:val="auto"/>
          <w:kern w:val="0"/>
          <w:sz w:val="24"/>
          <w:highlight w:val="none"/>
          <w:lang w:val="zh-CN"/>
        </w:rPr>
        <w:t>月</w:t>
      </w:r>
      <w:r>
        <w:rPr>
          <w:rFonts w:hint="eastAsia" w:ascii="宋体" w:hAnsi="宋体" w:eastAsia="宋体" w:cs="宋体"/>
          <w:b/>
          <w:bCs/>
          <w:color w:val="auto"/>
          <w:kern w:val="0"/>
          <w:sz w:val="24"/>
          <w:highlight w:val="none"/>
        </w:rPr>
        <w:t xml:space="preserve">   </w:t>
      </w:r>
      <w:r>
        <w:rPr>
          <w:rFonts w:hint="eastAsia" w:ascii="宋体" w:hAnsi="宋体" w:eastAsia="宋体" w:cs="宋体"/>
          <w:b/>
          <w:bCs/>
          <w:color w:val="auto"/>
          <w:kern w:val="0"/>
          <w:sz w:val="24"/>
          <w:highlight w:val="none"/>
          <w:lang w:val="zh-CN"/>
        </w:rPr>
        <w:t>日</w:t>
      </w:r>
    </w:p>
    <w:p w14:paraId="4E21E4A7">
      <w:pPr>
        <w:spacing w:line="360" w:lineRule="auto"/>
        <w:rPr>
          <w:rFonts w:hint="eastAsia" w:ascii="宋体" w:hAnsi="宋体" w:eastAsia="宋体" w:cs="宋体"/>
          <w:color w:val="auto"/>
          <w:sz w:val="28"/>
          <w:szCs w:val="28"/>
          <w:highlight w:val="none"/>
        </w:rPr>
      </w:pPr>
    </w:p>
    <w:p w14:paraId="57E11D33">
      <w:pPr>
        <w:spacing w:line="320" w:lineRule="exact"/>
        <w:ind w:firstLine="0" w:firstLineChars="0"/>
        <w:jc w:val="left"/>
        <w:rPr>
          <w:rFonts w:hint="eastAsia"/>
          <w:color w:val="auto"/>
          <w:szCs w:val="21"/>
          <w:highlight w:val="none"/>
        </w:rPr>
        <w:sectPr>
          <w:pgSz w:w="11911" w:h="16838"/>
          <w:pgMar w:top="1134" w:right="1134" w:bottom="1134" w:left="1134" w:header="720" w:footer="720" w:gutter="0"/>
          <w:pgNumType w:fmt="decimal"/>
          <w:cols w:space="720" w:num="1"/>
        </w:sectPr>
      </w:pPr>
    </w:p>
    <w:p w14:paraId="22351879">
      <w:pPr>
        <w:spacing w:line="320" w:lineRule="exact"/>
        <w:ind w:firstLine="0" w:firstLineChars="0"/>
        <w:jc w:val="left"/>
        <w:rPr>
          <w:rFonts w:hint="eastAsia" w:ascii="宋体" w:hAnsi="宋体" w:eastAsia="宋体" w:cs="宋体"/>
          <w:b/>
          <w:bCs/>
          <w:color w:val="auto"/>
          <w:sz w:val="28"/>
          <w:szCs w:val="28"/>
          <w:highlight w:val="none"/>
        </w:rPr>
      </w:pPr>
      <w:r>
        <w:rPr>
          <w:rFonts w:hint="eastAsia" w:eastAsia="宋体"/>
          <w:color w:val="auto"/>
          <w:szCs w:val="21"/>
          <w:highlight w:val="none"/>
          <w:lang w:val="en-US" w:eastAsia="zh-CN"/>
        </w:rPr>
        <w:t>5</w:t>
      </w:r>
      <w:r>
        <w:rPr>
          <w:rFonts w:hint="eastAsia" w:ascii="宋体" w:hAnsi="宋体" w:eastAsia="宋体" w:cs="宋体"/>
          <w:b/>
          <w:bCs/>
          <w:color w:val="auto"/>
          <w:kern w:val="0"/>
          <w:sz w:val="28"/>
          <w:szCs w:val="28"/>
          <w:highlight w:val="none"/>
          <w:lang w:val="en-US" w:eastAsia="zh-CN"/>
        </w:rPr>
        <w:t>.</w:t>
      </w:r>
      <w:r>
        <w:rPr>
          <w:rFonts w:hint="eastAsia" w:ascii="宋体" w:hAnsi="宋体" w:eastAsia="宋体" w:cs="宋体"/>
          <w:b/>
          <w:bCs/>
          <w:color w:val="auto"/>
          <w:kern w:val="0"/>
          <w:sz w:val="28"/>
          <w:szCs w:val="28"/>
          <w:highlight w:val="none"/>
        </w:rPr>
        <w:t>声明函</w:t>
      </w:r>
      <w:r>
        <w:rPr>
          <w:rFonts w:hint="eastAsia" w:ascii="宋体" w:hAnsi="宋体" w:eastAsia="宋体" w:cs="宋体"/>
          <w:b/>
          <w:bCs/>
          <w:color w:val="auto"/>
          <w:kern w:val="0"/>
          <w:sz w:val="28"/>
          <w:szCs w:val="28"/>
          <w:highlight w:val="none"/>
          <w:lang w:eastAsia="zh-CN"/>
        </w:rPr>
        <w:t>的格式：</w:t>
      </w:r>
    </w:p>
    <w:p w14:paraId="104B28EF">
      <w:pPr>
        <w:spacing w:line="320" w:lineRule="exact"/>
        <w:jc w:val="center"/>
        <w:rPr>
          <w:rFonts w:hint="eastAsia"/>
          <w:b/>
          <w:color w:val="auto"/>
          <w:sz w:val="32"/>
          <w:szCs w:val="32"/>
          <w:highlight w:val="none"/>
        </w:rPr>
      </w:pPr>
    </w:p>
    <w:p w14:paraId="2374EB35">
      <w:pPr>
        <w:spacing w:line="320" w:lineRule="exact"/>
        <w:jc w:val="center"/>
        <w:rPr>
          <w:rFonts w:hint="eastAsia"/>
          <w:b/>
          <w:color w:val="auto"/>
          <w:sz w:val="32"/>
          <w:szCs w:val="32"/>
          <w:highlight w:val="none"/>
        </w:rPr>
      </w:pPr>
      <w:r>
        <w:rPr>
          <w:rFonts w:hint="eastAsia"/>
          <w:b/>
          <w:color w:val="auto"/>
          <w:sz w:val="32"/>
          <w:szCs w:val="32"/>
          <w:highlight w:val="none"/>
        </w:rPr>
        <w:t>声明函</w:t>
      </w:r>
    </w:p>
    <w:p w14:paraId="30975291">
      <w:pPr>
        <w:spacing w:line="320" w:lineRule="exact"/>
        <w:jc w:val="center"/>
        <w:rPr>
          <w:rFonts w:hint="eastAsia"/>
          <w:color w:val="auto"/>
          <w:sz w:val="24"/>
          <w:szCs w:val="20"/>
          <w:highlight w:val="none"/>
        </w:rPr>
      </w:pPr>
    </w:p>
    <w:p w14:paraId="6EE9A878">
      <w:pPr>
        <w:spacing w:line="400" w:lineRule="exact"/>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致：</w:t>
      </w:r>
      <w:r>
        <w:rPr>
          <w:rFonts w:hint="eastAsia" w:ascii="宋体" w:hAnsi="宋体" w:eastAsia="宋体" w:cs="宋体"/>
          <w:color w:val="auto"/>
          <w:sz w:val="24"/>
          <w:highlight w:val="none"/>
          <w:u w:val="single"/>
        </w:rPr>
        <w:t>（采购代理机构名称）</w:t>
      </w:r>
      <w:r>
        <w:rPr>
          <w:rFonts w:hint="eastAsia" w:ascii="宋体" w:hAnsi="宋体" w:eastAsia="宋体" w:cs="宋体"/>
          <w:color w:val="auto"/>
          <w:sz w:val="24"/>
          <w:highlight w:val="none"/>
        </w:rPr>
        <w:t>：</w:t>
      </w:r>
    </w:p>
    <w:p w14:paraId="5D269469">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i/>
          <w:iCs/>
          <w:color w:val="auto"/>
          <w:sz w:val="24"/>
          <w:highlight w:val="none"/>
          <w:u w:val="single"/>
        </w:rPr>
        <w:t>（供应商名称）</w:t>
      </w:r>
      <w:r>
        <w:rPr>
          <w:rFonts w:hint="eastAsia" w:ascii="宋体" w:hAnsi="宋体" w:eastAsia="宋体" w:cs="宋体"/>
          <w:color w:val="auto"/>
          <w:sz w:val="24"/>
          <w:highlight w:val="none"/>
        </w:rPr>
        <w:t>系中华人民共和国合法供应商，经营地址</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w:t>
      </w:r>
    </w:p>
    <w:p w14:paraId="18D00691">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我方愿意参加贵方组织的</w:t>
      </w:r>
      <w:r>
        <w:rPr>
          <w:rFonts w:hint="eastAsia" w:ascii="宋体" w:hAnsi="宋体" w:eastAsia="宋体" w:cs="宋体"/>
          <w:i/>
          <w:iCs/>
          <w:color w:val="auto"/>
          <w:sz w:val="24"/>
          <w:highlight w:val="none"/>
          <w:u w:val="single"/>
        </w:rPr>
        <w:t>（项目名称）</w:t>
      </w:r>
      <w:r>
        <w:rPr>
          <w:rFonts w:hint="eastAsia" w:ascii="宋体" w:hAnsi="宋体" w:eastAsia="宋体" w:cs="宋体"/>
          <w:color w:val="auto"/>
          <w:sz w:val="24"/>
          <w:highlight w:val="none"/>
        </w:rPr>
        <w:t>项目的竞标，为便于贵方公正、择优地确定成交供应商及其竞标产品和服务，我方就本次竞标有关事项郑重声明如下：</w:t>
      </w:r>
    </w:p>
    <w:p w14:paraId="685020E2">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1.我方向贵方提交的所有响应文件、资料都是准确的和真实的。</w:t>
      </w:r>
    </w:p>
    <w:p w14:paraId="2FAAE3C8">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2.我方不是采购人的附属机构；不是为本次采购项目提供整体设计、规范编制或者项目管理、监理、检测等服务的供应商；在获知本项目采购信息后，与采购人聘请的为此项目提供咨询服务的公司及其附属机构没有任何联系。</w:t>
      </w:r>
    </w:p>
    <w:p w14:paraId="7751EEA1">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3.在此，我方宣布同意如下：</w:t>
      </w:r>
    </w:p>
    <w:p w14:paraId="66F565D9">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（1）将按磋商文件的约定履行合同责任和义务；</w:t>
      </w:r>
    </w:p>
    <w:p w14:paraId="23243864">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（2）已详细审查</w:t>
      </w:r>
      <w:r>
        <w:rPr>
          <w:rFonts w:hint="eastAsia" w:ascii="宋体" w:hAnsi="宋体" w:eastAsia="宋体" w:cs="宋体"/>
          <w:color w:val="auto"/>
          <w:sz w:val="24"/>
          <w:szCs w:val="24"/>
          <w:highlight w:val="none"/>
          <w:lang w:val="en-US" w:eastAsia="zh-CN"/>
        </w:rPr>
        <w:t>磋商</w:t>
      </w:r>
      <w:r>
        <w:rPr>
          <w:rFonts w:hint="eastAsia" w:ascii="宋体" w:hAnsi="宋体" w:eastAsia="宋体" w:cs="宋体"/>
          <w:color w:val="auto"/>
          <w:sz w:val="24"/>
          <w:szCs w:val="24"/>
          <w:highlight w:val="none"/>
        </w:rPr>
        <w:t>文件</w:t>
      </w:r>
      <w:r>
        <w:rPr>
          <w:rFonts w:hint="eastAsia" w:ascii="宋体" w:hAnsi="宋体" w:eastAsia="宋体" w:cs="宋体"/>
          <w:color w:val="auto"/>
          <w:sz w:val="24"/>
          <w:szCs w:val="24"/>
          <w:highlight w:val="none"/>
          <w:lang w:val="en-US" w:eastAsia="zh-CN"/>
        </w:rPr>
        <w:t>的</w:t>
      </w:r>
      <w:r>
        <w:rPr>
          <w:rFonts w:hint="eastAsia" w:ascii="宋体" w:hAnsi="宋体" w:eastAsia="宋体" w:cs="宋体"/>
          <w:color w:val="auto"/>
          <w:sz w:val="24"/>
          <w:szCs w:val="24"/>
          <w:highlight w:val="none"/>
        </w:rPr>
        <w:t>全部</w:t>
      </w:r>
      <w:r>
        <w:rPr>
          <w:rFonts w:hint="eastAsia" w:ascii="宋体" w:hAnsi="宋体" w:eastAsia="宋体" w:cs="宋体"/>
          <w:color w:val="auto"/>
          <w:sz w:val="24"/>
          <w:szCs w:val="24"/>
          <w:highlight w:val="none"/>
          <w:lang w:val="en-US" w:eastAsia="zh-CN"/>
        </w:rPr>
        <w:t>内容</w:t>
      </w:r>
      <w:r>
        <w:rPr>
          <w:rFonts w:hint="eastAsia" w:ascii="宋体" w:hAnsi="宋体" w:eastAsia="宋体" w:cs="宋体"/>
          <w:color w:val="auto"/>
          <w:sz w:val="24"/>
          <w:highlight w:val="none"/>
        </w:rPr>
        <w:t>，包括澄清或者更正公告（如有）；</w:t>
      </w:r>
    </w:p>
    <w:p w14:paraId="25A3FCA1">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（3）同意提供按照贵方可能要求的与磋商有关的一切数据或者资料。</w:t>
      </w:r>
    </w:p>
    <w:p w14:paraId="1C8F5253">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4.我方在此声明，我方在参加本项目的政府采购活动前三年内，在经营活动中没有重大违法记录（重大违法记录是指供应商因违法经营受到刑事处罚或者责令停产停业、吊销许可证或者执照、较大数额罚款等行政处罚），未被列入失信被执行人、</w:t>
      </w:r>
      <w:r>
        <w:rPr>
          <w:rFonts w:hint="eastAsia" w:ascii="宋体" w:hAnsi="宋体" w:eastAsia="宋体" w:cs="宋体"/>
          <w:color w:val="auto"/>
          <w:sz w:val="24"/>
          <w:highlight w:val="none"/>
          <w:lang w:eastAsia="zh-CN"/>
        </w:rPr>
        <w:t>重大税收违法失信主体</w:t>
      </w:r>
      <w:r>
        <w:rPr>
          <w:rFonts w:hint="eastAsia" w:ascii="宋体" w:hAnsi="宋体" w:eastAsia="宋体" w:cs="宋体"/>
          <w:color w:val="auto"/>
          <w:sz w:val="24"/>
          <w:highlight w:val="none"/>
        </w:rPr>
        <w:t>、政府采购严重违法失信行为记录名单。</w:t>
      </w:r>
    </w:p>
    <w:p w14:paraId="4CBC81A7">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根据《中华人民共和国政府采购法实施条例》第五十条要求对政府采购合同进行公告，但政府采购合同中涉及国家秘密、商业秘密的内容除外。我方就对本次响应文件进行注明如下：（两项内容中必须选择一项）</w:t>
      </w:r>
    </w:p>
    <w:p w14:paraId="6C22B683">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□我方本次响应文件</w:t>
      </w:r>
      <w:r>
        <w:rPr>
          <w:rFonts w:hint="eastAsia" w:ascii="宋体" w:hAnsi="宋体" w:eastAsia="宋体" w:cs="宋体"/>
          <w:color w:val="auto"/>
          <w:kern w:val="0"/>
          <w:sz w:val="24"/>
          <w:highlight w:val="none"/>
        </w:rPr>
        <w:t>内容中</w:t>
      </w:r>
      <w:r>
        <w:rPr>
          <w:rFonts w:hint="eastAsia" w:ascii="宋体" w:hAnsi="宋体" w:eastAsia="宋体" w:cs="宋体"/>
          <w:color w:val="auto"/>
          <w:sz w:val="24"/>
          <w:highlight w:val="none"/>
        </w:rPr>
        <w:t>未</w:t>
      </w:r>
      <w:r>
        <w:rPr>
          <w:rFonts w:hint="eastAsia" w:ascii="宋体" w:hAnsi="宋体" w:eastAsia="宋体" w:cs="宋体"/>
          <w:color w:val="auto"/>
          <w:kern w:val="0"/>
          <w:sz w:val="24"/>
          <w:highlight w:val="none"/>
        </w:rPr>
        <w:t>涉及商业秘密；</w:t>
      </w:r>
    </w:p>
    <w:p w14:paraId="630BF6FB">
      <w:pPr>
        <w:spacing w:line="400" w:lineRule="exact"/>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□我方本次响应文件</w:t>
      </w:r>
      <w:r>
        <w:rPr>
          <w:rFonts w:hint="eastAsia" w:ascii="宋体" w:hAnsi="宋体" w:eastAsia="宋体" w:cs="宋体"/>
          <w:color w:val="auto"/>
          <w:kern w:val="0"/>
          <w:sz w:val="24"/>
          <w:highlight w:val="none"/>
        </w:rPr>
        <w:t>涉及商业秘密的内容有：</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w:t>
      </w:r>
    </w:p>
    <w:p w14:paraId="126B3901">
      <w:pPr>
        <w:pStyle w:val="15"/>
        <w:tabs>
          <w:tab w:val="left" w:pos="939"/>
        </w:tabs>
        <w:spacing w:line="400" w:lineRule="exact"/>
        <w:ind w:left="0" w:leftChars="0" w:firstLine="480" w:firstLineChars="200"/>
        <w:rPr>
          <w:rFonts w:hint="eastAsia" w:ascii="宋体" w:hAnsi="宋体" w:eastAsia="宋体" w:cs="宋体"/>
          <w:color w:val="auto"/>
          <w:sz w:val="24"/>
          <w:highlight w:val="none"/>
        </w:rPr>
      </w:pPr>
      <w:r>
        <w:rPr>
          <w:rFonts w:hint="eastAsia" w:ascii="宋体" w:hAnsi="宋体" w:eastAsia="宋体" w:cs="宋体"/>
          <w:color w:val="auto"/>
          <w:kern w:val="0"/>
          <w:sz w:val="24"/>
          <w:highlight w:val="none"/>
          <w:lang w:val="en-US" w:eastAsia="zh-CN"/>
        </w:rPr>
        <w:t>6</w:t>
      </w:r>
      <w:r>
        <w:rPr>
          <w:rFonts w:hint="eastAsia" w:ascii="宋体" w:hAnsi="宋体" w:eastAsia="宋体" w:cs="宋体"/>
          <w:color w:val="auto"/>
          <w:kern w:val="0"/>
          <w:sz w:val="24"/>
          <w:highlight w:val="none"/>
        </w:rPr>
        <w:t>.</w:t>
      </w:r>
      <w:r>
        <w:rPr>
          <w:rFonts w:hint="eastAsia" w:ascii="宋体" w:hAnsi="宋体" w:eastAsia="宋体" w:cs="宋体"/>
          <w:color w:val="auto"/>
          <w:sz w:val="24"/>
          <w:highlight w:val="none"/>
        </w:rPr>
        <w:t>以上事项如有虚假或者隐瞒，我方愿意承担一切后果，并不再寻求任何旨在减轻或者免除法律责任的辩解。</w:t>
      </w:r>
    </w:p>
    <w:p w14:paraId="60BDFD17">
      <w:pPr>
        <w:pStyle w:val="15"/>
        <w:tabs>
          <w:tab w:val="left" w:pos="939"/>
        </w:tabs>
        <w:spacing w:line="400" w:lineRule="exact"/>
        <w:ind w:left="141" w:leftChars="67" w:firstLine="360" w:firstLineChars="150"/>
        <w:rPr>
          <w:rFonts w:hint="eastAsia" w:ascii="宋体" w:hAnsi="宋体" w:eastAsia="宋体" w:cs="宋体"/>
          <w:color w:val="auto"/>
          <w:sz w:val="24"/>
          <w:highlight w:val="none"/>
        </w:rPr>
      </w:pPr>
      <w:r>
        <w:rPr>
          <w:rFonts w:hint="eastAsia" w:ascii="宋体" w:hAnsi="宋体" w:eastAsia="宋体" w:cs="宋体"/>
          <w:color w:val="auto"/>
          <w:sz w:val="24"/>
          <w:highlight w:val="none"/>
        </w:rPr>
        <w:t>特此承诺。</w:t>
      </w:r>
    </w:p>
    <w:p w14:paraId="24E24FC9">
      <w:pPr>
        <w:pStyle w:val="15"/>
        <w:tabs>
          <w:tab w:val="left" w:pos="939"/>
        </w:tabs>
        <w:spacing w:line="400" w:lineRule="exact"/>
        <w:ind w:left="0" w:leftChars="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注：如为联合体竞标，盖章处须加盖联合体各方公章，否则其响应文件按无效响应处理。</w:t>
      </w:r>
    </w:p>
    <w:p w14:paraId="108DCC7D">
      <w:pPr>
        <w:pStyle w:val="15"/>
        <w:tabs>
          <w:tab w:val="left" w:pos="939"/>
        </w:tabs>
        <w:spacing w:line="400" w:lineRule="exact"/>
        <w:ind w:left="0" w:leftChars="0" w:firstLine="480" w:firstLineChars="200"/>
        <w:rPr>
          <w:rFonts w:hint="eastAsia" w:ascii="宋体" w:hAnsi="宋体" w:eastAsia="宋体" w:cs="宋体"/>
          <w:color w:val="auto"/>
          <w:sz w:val="24"/>
          <w:highlight w:val="none"/>
        </w:rPr>
      </w:pPr>
    </w:p>
    <w:p w14:paraId="1C5C1010">
      <w:pPr>
        <w:autoSpaceDE w:val="0"/>
        <w:autoSpaceDN w:val="0"/>
        <w:spacing w:line="240" w:lineRule="auto"/>
        <w:ind w:left="4365" w:leftChars="1850" w:hanging="480" w:hangingChars="200"/>
        <w:rPr>
          <w:rFonts w:hint="eastAsia" w:ascii="宋体" w:hAnsi="宋体" w:eastAsia="宋体" w:cs="宋体"/>
          <w:color w:val="auto"/>
          <w:kern w:val="0"/>
          <w:sz w:val="24"/>
          <w:highlight w:val="none"/>
        </w:rPr>
      </w:pPr>
    </w:p>
    <w:p w14:paraId="6A0776CE">
      <w:pPr>
        <w:autoSpaceDE w:val="0"/>
        <w:autoSpaceDN w:val="0"/>
        <w:spacing w:line="240" w:lineRule="auto"/>
        <w:ind w:left="4365" w:leftChars="1850" w:hanging="480" w:hangingChars="200"/>
        <w:rPr>
          <w:rFonts w:hint="eastAsia" w:ascii="宋体" w:hAnsi="宋体" w:eastAsia="宋体" w:cs="宋体"/>
          <w:color w:val="auto"/>
          <w:kern w:val="0"/>
          <w:sz w:val="24"/>
          <w:highlight w:val="none"/>
        </w:rPr>
      </w:pPr>
    </w:p>
    <w:p w14:paraId="5269C0DC">
      <w:pPr>
        <w:autoSpaceDE w:val="0"/>
        <w:autoSpaceDN w:val="0"/>
        <w:spacing w:line="360" w:lineRule="auto"/>
        <w:ind w:left="4365" w:leftChars="1850" w:hanging="480" w:hanging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5A026982">
      <w:pPr>
        <w:autoSpaceDE w:val="0"/>
        <w:autoSpaceDN w:val="0"/>
        <w:spacing w:line="360" w:lineRule="auto"/>
        <w:ind w:firstLine="6120" w:firstLineChars="2550"/>
        <w:rPr>
          <w:rFonts w:hint="eastAsia" w:ascii="宋体" w:hAnsi="宋体" w:eastAsia="宋体" w:cs="宋体"/>
          <w:color w:val="auto"/>
          <w:kern w:val="0"/>
          <w:sz w:val="24"/>
          <w:highlight w:val="none"/>
          <w:lang w:val="zh-CN"/>
        </w:rPr>
        <w:sectPr>
          <w:pgSz w:w="11911" w:h="16838"/>
          <w:pgMar w:top="1134" w:right="1134" w:bottom="1134" w:left="1134" w:header="720" w:footer="720" w:gutter="0"/>
          <w:pgNumType w:fmt="decimal"/>
          <w:cols w:space="720" w:num="1"/>
        </w:sectPr>
      </w:pPr>
      <w:r>
        <w:rPr>
          <w:rFonts w:hint="eastAsia" w:ascii="宋体" w:hAnsi="宋体" w:eastAsia="宋体" w:cs="宋体"/>
          <w:color w:val="auto"/>
          <w:kern w:val="0"/>
          <w:sz w:val="24"/>
          <w:highlight w:val="none"/>
          <w:lang w:val="zh-CN"/>
        </w:rPr>
        <w:t>日期：  年  月   日</w:t>
      </w:r>
    </w:p>
    <w:p w14:paraId="0F7CA8CB">
      <w:pPr>
        <w:pStyle w:val="7"/>
        <w:overflowPunct w:val="0"/>
        <w:spacing w:line="520" w:lineRule="exact"/>
        <w:ind w:firstLine="0"/>
        <w:rPr>
          <w:rFonts w:hint="eastAsia" w:ascii="宋体" w:hAnsi="宋体" w:eastAsia="宋体" w:cs="宋体"/>
          <w:b/>
          <w:bCs/>
          <w:color w:val="auto"/>
          <w:sz w:val="28"/>
          <w:szCs w:val="28"/>
          <w:highlight w:val="none"/>
          <w:lang w:eastAsia="zh-CN"/>
        </w:rPr>
      </w:pPr>
      <w:r>
        <w:rPr>
          <w:rFonts w:hint="eastAsia" w:ascii="宋体" w:hAnsi="宋体" w:eastAsia="宋体" w:cs="宋体"/>
          <w:b/>
          <w:color w:val="auto"/>
          <w:kern w:val="0"/>
          <w:sz w:val="28"/>
          <w:szCs w:val="28"/>
          <w:highlight w:val="none"/>
          <w:lang w:val="en-US" w:eastAsia="zh-CN"/>
        </w:rPr>
        <w:t>6.</w:t>
      </w:r>
      <w:r>
        <w:rPr>
          <w:rFonts w:hint="eastAsia" w:ascii="宋体" w:hAnsi="宋体" w:eastAsia="宋体" w:cs="宋体"/>
          <w:b/>
          <w:color w:val="auto"/>
          <w:kern w:val="0"/>
          <w:sz w:val="28"/>
          <w:szCs w:val="28"/>
          <w:highlight w:val="none"/>
        </w:rPr>
        <w:t>联合体</w:t>
      </w:r>
      <w:r>
        <w:rPr>
          <w:rFonts w:hint="eastAsia" w:ascii="宋体" w:hAnsi="宋体" w:eastAsia="宋体" w:cs="宋体"/>
          <w:b/>
          <w:color w:val="auto"/>
          <w:kern w:val="0"/>
          <w:sz w:val="28"/>
          <w:szCs w:val="28"/>
          <w:highlight w:val="none"/>
          <w:lang w:eastAsia="zh-CN"/>
        </w:rPr>
        <w:t>竞标</w:t>
      </w:r>
      <w:r>
        <w:rPr>
          <w:rFonts w:hint="eastAsia" w:ascii="宋体" w:hAnsi="宋体" w:eastAsia="宋体" w:cs="宋体"/>
          <w:b/>
          <w:color w:val="auto"/>
          <w:kern w:val="0"/>
          <w:sz w:val="28"/>
          <w:szCs w:val="28"/>
          <w:highlight w:val="none"/>
        </w:rPr>
        <w:t>协议书</w:t>
      </w:r>
      <w:r>
        <w:rPr>
          <w:rFonts w:hint="eastAsia" w:ascii="宋体" w:hAnsi="宋体" w:eastAsia="宋体" w:cs="宋体"/>
          <w:b/>
          <w:color w:val="auto"/>
          <w:kern w:val="0"/>
          <w:sz w:val="28"/>
          <w:szCs w:val="28"/>
          <w:highlight w:val="none"/>
          <w:lang w:eastAsia="zh-CN"/>
        </w:rPr>
        <w:t>的格式：</w:t>
      </w:r>
    </w:p>
    <w:p w14:paraId="53B1E011">
      <w:pPr>
        <w:spacing w:line="600" w:lineRule="exact"/>
        <w:jc w:val="center"/>
        <w:rPr>
          <w:rFonts w:hint="eastAsia" w:ascii="方正小标宋简体" w:hAnsi="方正小标宋简体" w:eastAsia="方正小标宋简体" w:cs="方正小标宋简体"/>
          <w:color w:val="auto"/>
          <w:sz w:val="44"/>
          <w:szCs w:val="44"/>
          <w:highlight w:val="none"/>
        </w:rPr>
      </w:pPr>
    </w:p>
    <w:p w14:paraId="4CE3BEE9">
      <w:pPr>
        <w:spacing w:line="600" w:lineRule="exact"/>
        <w:jc w:val="cente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联合体竞标协议书</w:t>
      </w:r>
    </w:p>
    <w:p w14:paraId="6AD9EF4B">
      <w:pPr>
        <w:autoSpaceDE w:val="0"/>
        <w:autoSpaceDN w:val="0"/>
        <w:adjustRightInd w:val="0"/>
        <w:spacing w:line="360" w:lineRule="auto"/>
        <w:jc w:val="left"/>
        <w:rPr>
          <w:rFonts w:hAnsi="Calibri" w:cs="宋体"/>
          <w:color w:val="auto"/>
          <w:kern w:val="0"/>
          <w:szCs w:val="21"/>
          <w:highlight w:val="none"/>
          <w:u w:val="single"/>
        </w:rPr>
      </w:pPr>
    </w:p>
    <w:p w14:paraId="1205B354">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（所有成员单位名称）自愿组成联合体，共同参加</w:t>
      </w:r>
      <w:r>
        <w:rPr>
          <w:rFonts w:hint="eastAsia" w:ascii="宋体" w:hAnsi="宋体" w:eastAsia="宋体" w:cs="宋体"/>
          <w:color w:val="auto"/>
          <w:kern w:val="0"/>
          <w:sz w:val="24"/>
          <w:highlight w:val="none"/>
          <w:u w:val="single"/>
        </w:rPr>
        <w:t xml:space="preserve">     </w:t>
      </w:r>
      <w:r>
        <w:rPr>
          <w:rFonts w:hint="eastAsia" w:ascii="宋体" w:hAnsi="宋体" w:eastAsia="宋体" w:cs="宋体"/>
          <w:i/>
          <w:iCs/>
          <w:color w:val="auto"/>
          <w:kern w:val="0"/>
          <w:sz w:val="24"/>
          <w:highlight w:val="none"/>
          <w:u w:val="single"/>
        </w:rPr>
        <w:t>（采购代理机构名称）</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组织的</w:t>
      </w:r>
      <w:r>
        <w:rPr>
          <w:rFonts w:hint="eastAsia" w:ascii="宋体" w:hAnsi="宋体" w:eastAsia="宋体" w:cs="宋体"/>
          <w:color w:val="auto"/>
          <w:kern w:val="0"/>
          <w:sz w:val="24"/>
          <w:highlight w:val="none"/>
          <w:u w:val="single"/>
        </w:rPr>
        <w:t xml:space="preserve">        </w:t>
      </w:r>
      <w:r>
        <w:rPr>
          <w:rFonts w:hint="eastAsia" w:ascii="宋体" w:hAnsi="宋体" w:eastAsia="宋体" w:cs="宋体"/>
          <w:i/>
          <w:iCs/>
          <w:color w:val="auto"/>
          <w:kern w:val="0"/>
          <w:sz w:val="24"/>
          <w:highlight w:val="none"/>
          <w:u w:val="single"/>
        </w:rPr>
        <w:t xml:space="preserve"> （项目名称）</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（项目编号：</w:t>
      </w:r>
      <w:r>
        <w:rPr>
          <w:rFonts w:hint="eastAsia" w:ascii="宋体" w:hAnsi="宋体" w:eastAsia="宋体" w:cs="宋体"/>
          <w:i/>
          <w:iCs/>
          <w:color w:val="auto"/>
          <w:kern w:val="0"/>
          <w:sz w:val="24"/>
          <w:highlight w:val="none"/>
          <w:u w:val="single"/>
          <w:lang w:eastAsia="zh-CN"/>
        </w:rPr>
        <w:t>（项目编号）</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）竞争性磋商采购。现就联合体竞标事宜订立如下协议：</w:t>
      </w:r>
    </w:p>
    <w:p w14:paraId="4A483AA3">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1、</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（某成员单位名称）为联合体名称牵头人。</w:t>
      </w:r>
    </w:p>
    <w:p w14:paraId="14ABF0CA">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2、联合体牵头人合法代表联合体各成员负责本磋商项目响应文件编制和合同谈判活动，并代表联合体提交和接收相关的资料、信息及指示，并处理与之有关的一切事务，负责合同实施阶段的主办、组织和协调工作。</w:t>
      </w:r>
    </w:p>
    <w:p w14:paraId="17B44832">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3、联合体牵头人在本项目中签署和盖章的一切文件和处理的一切事宜，联合体各成员均予以承认。 联合体各成员将严格按照磋商文件、响应文件和合同的要求全面履行义务，并向采购人承担连带责任。</w:t>
      </w:r>
    </w:p>
    <w:p w14:paraId="6C6E4223">
      <w:pPr>
        <w:autoSpaceDE w:val="0"/>
        <w:autoSpaceDN w:val="0"/>
        <w:adjustRightInd w:val="0"/>
        <w:spacing w:line="360" w:lineRule="exact"/>
        <w:ind w:left="479" w:leftChars="228" w:firstLine="0" w:firstLineChars="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4、联合体各成员单位内部的职责分工如下</w:t>
      </w:r>
      <w:r>
        <w:rPr>
          <w:rFonts w:hint="eastAsia" w:ascii="宋体" w:hAnsi="宋体" w:eastAsia="宋体" w:cs="宋体"/>
          <w:color w:val="auto"/>
          <w:kern w:val="0"/>
          <w:sz w:val="24"/>
          <w:highlight w:val="none"/>
          <w:u w:val="none"/>
        </w:rPr>
        <w:t>：</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w:t>
      </w:r>
    </w:p>
    <w:p w14:paraId="3E141BE4">
      <w:pPr>
        <w:spacing w:line="360" w:lineRule="exact"/>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5、本联合体中</w:t>
      </w:r>
      <w:r>
        <w:rPr>
          <w:rFonts w:hint="eastAsia" w:ascii="宋体" w:hAnsi="宋体" w:eastAsia="宋体" w:cs="宋体"/>
          <w:color w:val="auto"/>
          <w:kern w:val="0"/>
          <w:sz w:val="24"/>
          <w:highlight w:val="none"/>
          <w:u w:val="none"/>
        </w:rPr>
        <w:t>，</w:t>
      </w:r>
      <w:r>
        <w:rPr>
          <w:rFonts w:hint="eastAsia" w:ascii="宋体" w:hAnsi="宋体" w:eastAsia="宋体" w:cs="宋体"/>
          <w:color w:val="auto"/>
          <w:kern w:val="0"/>
          <w:sz w:val="24"/>
          <w:highlight w:val="none"/>
          <w:u w:val="single"/>
        </w:rPr>
        <w:t xml:space="preserve">                         （某成员单位名称）为       </w:t>
      </w:r>
      <w:r>
        <w:rPr>
          <w:rFonts w:hint="eastAsia" w:ascii="宋体" w:hAnsi="宋体" w:eastAsia="宋体" w:cs="宋体"/>
          <w:color w:val="auto"/>
          <w:kern w:val="0"/>
          <w:sz w:val="24"/>
          <w:highlight w:val="none"/>
        </w:rPr>
        <w:t>（请填写：中型、小型、微型）企业，其协议合同金额占联合体协议合同总金额的</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%。【如联合体成员中有小型、微型企业的，请填写此条，否则无需填写；如联合体成员中有多个小型、微型企业的，请逐一列出。】</w:t>
      </w:r>
    </w:p>
    <w:p w14:paraId="35818516">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6、本协议书自签署之日起生效，合同履行完毕后自动失效。</w:t>
      </w:r>
    </w:p>
    <w:p w14:paraId="2A543162">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7、本协议书一式</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份，联合体成员和采购代理机构各执一份。</w:t>
      </w:r>
    </w:p>
    <w:p w14:paraId="1BE86BC8">
      <w:pPr>
        <w:autoSpaceDE w:val="0"/>
        <w:autoSpaceDN w:val="0"/>
        <w:adjustRightInd w:val="0"/>
        <w:spacing w:line="360" w:lineRule="exact"/>
        <w:ind w:firstLine="420"/>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注：本协议书由法定代表人签字的，应附法定代表人身份证明；本协议书由委托代理人签字的，应附法定代表人授权委托书。</w:t>
      </w:r>
    </w:p>
    <w:p w14:paraId="5B83FC73">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牵头人名称：</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（盖公章）</w:t>
      </w:r>
    </w:p>
    <w:p w14:paraId="0713D7ED">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法定代表人或其委托代理人：</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（签字）</w:t>
      </w:r>
    </w:p>
    <w:p w14:paraId="37709238">
      <w:pPr>
        <w:autoSpaceDE w:val="0"/>
        <w:autoSpaceDN w:val="0"/>
        <w:adjustRightInd w:val="0"/>
        <w:spacing w:line="360" w:lineRule="exact"/>
        <w:jc w:val="left"/>
        <w:rPr>
          <w:rFonts w:hint="eastAsia" w:ascii="宋体" w:hAnsi="宋体" w:eastAsia="宋体" w:cs="宋体"/>
          <w:color w:val="auto"/>
          <w:kern w:val="0"/>
          <w:sz w:val="24"/>
          <w:highlight w:val="none"/>
        </w:rPr>
      </w:pPr>
    </w:p>
    <w:p w14:paraId="7264A408">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成员一名称：</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（盖公章）</w:t>
      </w:r>
    </w:p>
    <w:p w14:paraId="37AF7246">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法定代表人或其委托代理人：</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（签字）</w:t>
      </w:r>
    </w:p>
    <w:p w14:paraId="3B585C50">
      <w:pPr>
        <w:autoSpaceDE w:val="0"/>
        <w:autoSpaceDN w:val="0"/>
        <w:adjustRightInd w:val="0"/>
        <w:spacing w:line="360" w:lineRule="exact"/>
        <w:jc w:val="left"/>
        <w:rPr>
          <w:rFonts w:hint="eastAsia" w:ascii="宋体" w:hAnsi="宋体" w:eastAsia="宋体" w:cs="宋体"/>
          <w:color w:val="auto"/>
          <w:kern w:val="0"/>
          <w:szCs w:val="21"/>
          <w:highlight w:val="none"/>
        </w:rPr>
      </w:pPr>
    </w:p>
    <w:p w14:paraId="07CC4DCB">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成员二名称：</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（盖公章）</w:t>
      </w:r>
    </w:p>
    <w:p w14:paraId="14272810">
      <w:pPr>
        <w:autoSpaceDE w:val="0"/>
        <w:autoSpaceDN w:val="0"/>
        <w:adjustRightInd w:val="0"/>
        <w:spacing w:line="360" w:lineRule="exact"/>
        <w:jc w:val="left"/>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法定代表人或其委托代理人：                         （签字）</w:t>
      </w:r>
    </w:p>
    <w:p w14:paraId="059813DE">
      <w:pPr>
        <w:autoSpaceDE w:val="0"/>
        <w:autoSpaceDN w:val="0"/>
        <w:adjustRightInd w:val="0"/>
        <w:spacing w:line="360" w:lineRule="exact"/>
        <w:jc w:val="left"/>
        <w:rPr>
          <w:rFonts w:hint="eastAsia" w:ascii="宋体" w:hAnsi="宋体" w:eastAsia="宋体" w:cs="宋体"/>
          <w:color w:val="auto"/>
          <w:kern w:val="0"/>
          <w:sz w:val="24"/>
          <w:highlight w:val="none"/>
        </w:rPr>
      </w:pPr>
    </w:p>
    <w:p w14:paraId="5BF32120">
      <w:pPr>
        <w:autoSpaceDE w:val="0"/>
        <w:autoSpaceDN w:val="0"/>
        <w:adjustRightInd w:val="0"/>
        <w:spacing w:line="360" w:lineRule="exact"/>
        <w:jc w:val="left"/>
        <w:rPr>
          <w:rFonts w:hint="default"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w:t>
      </w:r>
    </w:p>
    <w:p w14:paraId="7B1C277B">
      <w:pPr>
        <w:autoSpaceDE w:val="0"/>
        <w:autoSpaceDN w:val="0"/>
        <w:spacing w:line="360" w:lineRule="exact"/>
        <w:ind w:left="4365" w:leftChars="1850" w:hanging="480" w:hangingChars="200"/>
        <w:rPr>
          <w:rFonts w:hint="eastAsia" w:ascii="宋体" w:hAnsi="宋体" w:eastAsia="宋体" w:cs="宋体"/>
          <w:color w:val="auto"/>
          <w:kern w:val="0"/>
          <w:sz w:val="24"/>
          <w:highlight w:val="none"/>
        </w:rPr>
      </w:pPr>
    </w:p>
    <w:p w14:paraId="4EFE9411">
      <w:pPr>
        <w:autoSpaceDE w:val="0"/>
        <w:autoSpaceDN w:val="0"/>
        <w:spacing w:line="360" w:lineRule="exact"/>
        <w:ind w:firstLine="6120" w:firstLineChars="255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日期：  年  月   日</w:t>
      </w:r>
    </w:p>
    <w:p w14:paraId="0DB671CA">
      <w:pPr>
        <w:autoSpaceDE w:val="0"/>
        <w:autoSpaceDN w:val="0"/>
        <w:spacing w:line="360" w:lineRule="auto"/>
        <w:ind w:firstLine="6120" w:firstLineChars="2550"/>
        <w:rPr>
          <w:rFonts w:hint="eastAsia" w:ascii="仿宋_GB2312" w:hAnsi="仿宋" w:eastAsia="仿宋_GB2312" w:cs="仿宋_GB2312"/>
          <w:color w:val="auto"/>
          <w:kern w:val="0"/>
          <w:sz w:val="24"/>
          <w:highlight w:val="none"/>
          <w:lang w:val="zh-CN"/>
        </w:rPr>
      </w:pPr>
    </w:p>
    <w:p w14:paraId="100ECAA4">
      <w:pPr>
        <w:autoSpaceDE w:val="0"/>
        <w:autoSpaceDN w:val="0"/>
        <w:spacing w:line="360" w:lineRule="auto"/>
        <w:ind w:firstLine="6120" w:firstLineChars="2550"/>
        <w:rPr>
          <w:rFonts w:hint="eastAsia" w:ascii="仿宋_GB2312" w:hAnsi="仿宋" w:eastAsia="仿宋_GB2312" w:cs="仿宋_GB2312"/>
          <w:color w:val="auto"/>
          <w:kern w:val="0"/>
          <w:sz w:val="24"/>
          <w:highlight w:val="none"/>
          <w:lang w:val="zh-CN"/>
        </w:rPr>
      </w:pPr>
    </w:p>
    <w:p w14:paraId="0FD2D2CA">
      <w:pPr>
        <w:pStyle w:val="4"/>
        <w:jc w:val="center"/>
        <w:rPr>
          <w:rFonts w:hint="eastAsia" w:ascii="宋体" w:hAnsi="宋体"/>
          <w:b w:val="0"/>
          <w:color w:val="auto"/>
          <w:highlight w:val="none"/>
        </w:rPr>
      </w:pPr>
      <w:bookmarkStart w:id="128" w:name="_Toc80205940"/>
      <w:bookmarkStart w:id="129" w:name="_Toc15951"/>
      <w:bookmarkStart w:id="130" w:name="_Toc20562"/>
      <w:bookmarkStart w:id="131" w:name="_Toc80886944"/>
      <w:r>
        <w:rPr>
          <w:rFonts w:hint="eastAsia" w:ascii="宋体" w:hAnsi="宋体"/>
          <w:b w:val="0"/>
          <w:bCs w:val="0"/>
          <w:color w:val="auto"/>
          <w:highlight w:val="none"/>
        </w:rPr>
        <w:t>第</w:t>
      </w:r>
      <w:r>
        <w:rPr>
          <w:rFonts w:hint="eastAsia" w:ascii="宋体" w:hAnsi="宋体"/>
          <w:b w:val="0"/>
          <w:bCs w:val="0"/>
          <w:color w:val="auto"/>
          <w:highlight w:val="none"/>
          <w:lang w:eastAsia="zh-CN"/>
        </w:rPr>
        <w:t>二</w:t>
      </w:r>
      <w:r>
        <w:rPr>
          <w:rFonts w:hint="eastAsia" w:ascii="宋体" w:hAnsi="宋体"/>
          <w:b w:val="0"/>
          <w:bCs w:val="0"/>
          <w:color w:val="auto"/>
          <w:highlight w:val="none"/>
        </w:rPr>
        <w:t xml:space="preserve">节 </w:t>
      </w:r>
      <w:r>
        <w:rPr>
          <w:rFonts w:hint="eastAsia" w:ascii="宋体" w:hAnsi="宋体"/>
          <w:b w:val="0"/>
          <w:color w:val="auto"/>
          <w:highlight w:val="none"/>
        </w:rPr>
        <w:t>商务技术文件格式</w:t>
      </w:r>
      <w:bookmarkEnd w:id="128"/>
      <w:bookmarkEnd w:id="129"/>
      <w:bookmarkEnd w:id="130"/>
      <w:bookmarkEnd w:id="131"/>
    </w:p>
    <w:p w14:paraId="381BB3A2">
      <w:pPr>
        <w:snapToGrid w:val="0"/>
        <w:spacing w:before="156" w:beforeLines="50" w:after="50" w:line="360" w:lineRule="auto"/>
        <w:jc w:val="left"/>
        <w:rPr>
          <w:rFonts w:hint="eastAsia" w:ascii="宋体" w:hAnsi="宋体" w:eastAsia="宋体"/>
          <w:b/>
          <w:color w:val="auto"/>
          <w:sz w:val="32"/>
          <w:szCs w:val="32"/>
          <w:highlight w:val="none"/>
          <w:lang w:eastAsia="zh-CN"/>
        </w:rPr>
      </w:pPr>
      <w:r>
        <w:rPr>
          <w:rFonts w:hint="eastAsia" w:ascii="宋体" w:hAnsi="宋体"/>
          <w:b/>
          <w:color w:val="auto"/>
          <w:sz w:val="28"/>
          <w:szCs w:val="28"/>
          <w:highlight w:val="none"/>
        </w:rPr>
        <w:t>1.商务技术文件封面</w:t>
      </w:r>
      <w:r>
        <w:rPr>
          <w:rFonts w:hint="eastAsia" w:ascii="宋体" w:hAnsi="宋体"/>
          <w:b/>
          <w:color w:val="auto"/>
          <w:sz w:val="28"/>
          <w:szCs w:val="28"/>
          <w:highlight w:val="none"/>
          <w:lang w:eastAsia="zh-CN"/>
        </w:rPr>
        <w:t>的</w:t>
      </w:r>
      <w:r>
        <w:rPr>
          <w:rFonts w:hint="eastAsia" w:ascii="宋体" w:hAnsi="宋体"/>
          <w:b/>
          <w:color w:val="auto"/>
          <w:sz w:val="28"/>
          <w:szCs w:val="28"/>
          <w:highlight w:val="none"/>
        </w:rPr>
        <w:t>格式</w:t>
      </w:r>
      <w:r>
        <w:rPr>
          <w:rFonts w:hint="eastAsia" w:ascii="宋体" w:hAnsi="宋体" w:eastAsia="宋体" w:cs="宋体"/>
          <w:b/>
          <w:color w:val="auto"/>
          <w:sz w:val="28"/>
          <w:szCs w:val="28"/>
          <w:highlight w:val="none"/>
        </w:rPr>
        <w:t>（参照此格式自拟）</w:t>
      </w:r>
      <w:r>
        <w:rPr>
          <w:rFonts w:hint="eastAsia" w:ascii="宋体" w:hAnsi="宋体"/>
          <w:b/>
          <w:color w:val="auto"/>
          <w:sz w:val="28"/>
          <w:szCs w:val="28"/>
          <w:highlight w:val="none"/>
          <w:lang w:eastAsia="zh-CN"/>
        </w:rPr>
        <w:t>：</w:t>
      </w:r>
    </w:p>
    <w:p w14:paraId="17D3BF54">
      <w:pPr>
        <w:snapToGrid w:val="0"/>
        <w:spacing w:before="120" w:beforeLines="50" w:after="50"/>
        <w:rPr>
          <w:rFonts w:hint="eastAsia"/>
          <w:color w:val="auto"/>
          <w:sz w:val="24"/>
          <w:highlight w:val="none"/>
        </w:rPr>
      </w:pPr>
      <w:r>
        <w:rPr>
          <w:rFonts w:hint="eastAsia"/>
          <w:color w:val="auto"/>
          <w:sz w:val="24"/>
          <w:highlight w:val="none"/>
        </w:rPr>
        <w:t xml:space="preserve">                                             </w:t>
      </w:r>
    </w:p>
    <w:p w14:paraId="689A1404">
      <w:pPr>
        <w:snapToGrid w:val="0"/>
        <w:spacing w:before="120" w:beforeLines="50" w:after="50"/>
        <w:ind w:firstLine="6720" w:firstLineChars="3200"/>
        <w:rPr>
          <w:rFonts w:hint="eastAsia"/>
          <w:bCs/>
          <w:color w:val="auto"/>
          <w:sz w:val="32"/>
          <w:szCs w:val="20"/>
          <w:highlight w:val="none"/>
        </w:rPr>
      </w:pPr>
      <w:r>
        <w:rPr>
          <w:rFonts w:hint="eastAsia"/>
          <w:bCs/>
          <w:color w:val="auto"/>
          <w:highlight w:val="none"/>
        </w:rPr>
        <w:t>全流程电子文件</w:t>
      </w:r>
    </w:p>
    <w:p w14:paraId="52AFA5E5">
      <w:pPr>
        <w:snapToGrid w:val="0"/>
        <w:spacing w:before="120" w:beforeLines="50" w:after="50"/>
        <w:rPr>
          <w:rFonts w:hint="eastAsia"/>
          <w:color w:val="auto"/>
          <w:sz w:val="24"/>
          <w:szCs w:val="20"/>
          <w:highlight w:val="none"/>
        </w:rPr>
      </w:pPr>
    </w:p>
    <w:p w14:paraId="470467CA">
      <w:pPr>
        <w:snapToGrid w:val="0"/>
        <w:spacing w:before="120" w:beforeLines="50" w:after="50"/>
        <w:rPr>
          <w:rFonts w:hint="eastAsia"/>
          <w:color w:val="auto"/>
          <w:sz w:val="24"/>
          <w:szCs w:val="20"/>
          <w:highlight w:val="none"/>
        </w:rPr>
      </w:pPr>
    </w:p>
    <w:p w14:paraId="4AD880E4">
      <w:pPr>
        <w:snapToGrid w:val="0"/>
        <w:spacing w:before="120" w:beforeLines="50" w:after="50"/>
        <w:rPr>
          <w:rFonts w:hint="eastAsia"/>
          <w:color w:val="auto"/>
          <w:sz w:val="24"/>
          <w:szCs w:val="20"/>
          <w:highlight w:val="none"/>
        </w:rPr>
      </w:pPr>
    </w:p>
    <w:p w14:paraId="3EA1511C">
      <w:pPr>
        <w:snapToGrid w:val="0"/>
        <w:spacing w:before="120" w:beforeLines="50" w:after="50"/>
        <w:jc w:val="center"/>
        <w:rPr>
          <w:rFonts w:hint="eastAsia" w:ascii="方正小标宋简体" w:hAnsi="方正小标宋简体" w:eastAsia="方正小标宋简体" w:cs="方正小标宋简体"/>
          <w:bCs/>
          <w:color w:val="auto"/>
          <w:sz w:val="44"/>
          <w:szCs w:val="44"/>
          <w:highlight w:val="none"/>
        </w:rPr>
      </w:pPr>
      <w:r>
        <w:rPr>
          <w:rFonts w:hint="eastAsia" w:ascii="方正小标宋简体" w:hAnsi="方正小标宋简体" w:eastAsia="方正小标宋简体" w:cs="方正小标宋简体"/>
          <w:bCs/>
          <w:color w:val="auto"/>
          <w:sz w:val="44"/>
          <w:szCs w:val="44"/>
          <w:highlight w:val="none"/>
        </w:rPr>
        <w:t>商  务  技  术  文  件</w:t>
      </w:r>
    </w:p>
    <w:p w14:paraId="71F74242">
      <w:pPr>
        <w:snapToGrid w:val="0"/>
        <w:spacing w:before="120" w:beforeLines="50" w:after="50"/>
        <w:rPr>
          <w:rFonts w:hint="eastAsia"/>
          <w:bCs/>
          <w:color w:val="auto"/>
          <w:sz w:val="24"/>
          <w:szCs w:val="20"/>
          <w:highlight w:val="none"/>
        </w:rPr>
      </w:pPr>
    </w:p>
    <w:p w14:paraId="5F8460F6">
      <w:pPr>
        <w:snapToGrid w:val="0"/>
        <w:spacing w:before="120" w:beforeLines="50" w:after="50"/>
        <w:rPr>
          <w:rFonts w:hint="eastAsia"/>
          <w:bCs/>
          <w:color w:val="auto"/>
          <w:sz w:val="24"/>
          <w:szCs w:val="20"/>
          <w:highlight w:val="none"/>
        </w:rPr>
      </w:pPr>
    </w:p>
    <w:p w14:paraId="566734CC">
      <w:pPr>
        <w:snapToGrid w:val="0"/>
        <w:spacing w:before="120" w:beforeLines="50" w:after="50"/>
        <w:rPr>
          <w:rFonts w:hint="eastAsia"/>
          <w:bCs/>
          <w:color w:val="auto"/>
          <w:sz w:val="24"/>
          <w:szCs w:val="20"/>
          <w:highlight w:val="none"/>
        </w:rPr>
      </w:pPr>
    </w:p>
    <w:p w14:paraId="2D056AA5">
      <w:pPr>
        <w:snapToGrid w:val="0"/>
        <w:spacing w:before="120" w:beforeLines="50" w:after="50"/>
        <w:rPr>
          <w:rFonts w:hint="eastAsia"/>
          <w:bCs/>
          <w:color w:val="auto"/>
          <w:sz w:val="24"/>
          <w:szCs w:val="20"/>
          <w:highlight w:val="none"/>
        </w:rPr>
      </w:pPr>
    </w:p>
    <w:p w14:paraId="7929795A">
      <w:pPr>
        <w:snapToGrid w:val="0"/>
        <w:spacing w:before="120" w:beforeLines="50" w:after="50"/>
        <w:rPr>
          <w:rFonts w:hint="eastAsia"/>
          <w:bCs/>
          <w:color w:val="auto"/>
          <w:sz w:val="24"/>
          <w:szCs w:val="20"/>
          <w:highlight w:val="none"/>
        </w:rPr>
      </w:pPr>
    </w:p>
    <w:p w14:paraId="77F64350">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项目名称：</w:t>
      </w:r>
    </w:p>
    <w:p w14:paraId="45380F99">
      <w:pPr>
        <w:snapToGrid w:val="0"/>
        <w:spacing w:before="120" w:beforeLines="50" w:after="50"/>
        <w:ind w:firstLine="720" w:firstLineChars="225"/>
        <w:rPr>
          <w:rFonts w:hint="eastAsia" w:cs="仿宋_GB2312"/>
          <w:bCs/>
          <w:color w:val="auto"/>
          <w:sz w:val="32"/>
          <w:szCs w:val="32"/>
          <w:highlight w:val="none"/>
        </w:rPr>
      </w:pPr>
    </w:p>
    <w:p w14:paraId="5F6BCBC3">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项目编号：</w:t>
      </w:r>
    </w:p>
    <w:p w14:paraId="07CB12D4">
      <w:pPr>
        <w:snapToGrid w:val="0"/>
        <w:spacing w:before="120" w:beforeLines="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 xml:space="preserve"> </w:t>
      </w:r>
    </w:p>
    <w:p w14:paraId="1B0AAA40">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所竞分标（如有则填写，无分标时填写“无”或者留空）：</w:t>
      </w:r>
    </w:p>
    <w:p w14:paraId="527E4D86">
      <w:pPr>
        <w:snapToGrid w:val="0"/>
        <w:spacing w:before="120" w:beforeLines="50" w:after="50"/>
        <w:ind w:firstLine="720" w:firstLineChars="225"/>
        <w:rPr>
          <w:rFonts w:hint="eastAsia" w:cs="仿宋_GB2312"/>
          <w:bCs/>
          <w:color w:val="auto"/>
          <w:sz w:val="32"/>
          <w:szCs w:val="32"/>
          <w:highlight w:val="none"/>
        </w:rPr>
      </w:pPr>
    </w:p>
    <w:p w14:paraId="0A4BF096">
      <w:pPr>
        <w:pStyle w:val="7"/>
        <w:snapToGrid w:val="0"/>
        <w:spacing w:before="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供应商名称：</w:t>
      </w:r>
    </w:p>
    <w:p w14:paraId="58CE4D58">
      <w:pPr>
        <w:pStyle w:val="7"/>
        <w:snapToGrid w:val="0"/>
        <w:spacing w:before="50" w:after="50"/>
        <w:ind w:firstLine="720" w:firstLineChars="225"/>
        <w:rPr>
          <w:rFonts w:hint="eastAsia" w:cs="仿宋_GB2312"/>
          <w:bCs/>
          <w:color w:val="auto"/>
          <w:sz w:val="32"/>
          <w:szCs w:val="32"/>
          <w:highlight w:val="none"/>
        </w:rPr>
      </w:pPr>
    </w:p>
    <w:p w14:paraId="7F2B49DD">
      <w:pPr>
        <w:pStyle w:val="7"/>
        <w:snapToGrid w:val="0"/>
        <w:spacing w:before="50" w:after="50"/>
        <w:ind w:firstLine="720" w:firstLineChars="225"/>
        <w:rPr>
          <w:rFonts w:hint="eastAsia" w:cs="仿宋_GB2312"/>
          <w:bCs/>
          <w:color w:val="auto"/>
          <w:sz w:val="32"/>
          <w:szCs w:val="32"/>
          <w:highlight w:val="none"/>
        </w:rPr>
      </w:pPr>
    </w:p>
    <w:p w14:paraId="71E6C386">
      <w:pPr>
        <w:pStyle w:val="7"/>
        <w:snapToGrid w:val="0"/>
        <w:spacing w:before="50" w:after="50"/>
        <w:ind w:firstLine="1280" w:firstLineChars="400"/>
        <w:rPr>
          <w:rFonts w:hint="eastAsia" w:cs="仿宋_GB2312"/>
          <w:bCs/>
          <w:color w:val="auto"/>
          <w:sz w:val="32"/>
          <w:szCs w:val="32"/>
          <w:highlight w:val="none"/>
        </w:rPr>
      </w:pPr>
    </w:p>
    <w:p w14:paraId="4A5730E0">
      <w:pPr>
        <w:snapToGrid w:val="0"/>
        <w:spacing w:before="120" w:beforeLines="50" w:after="50"/>
        <w:jc w:val="center"/>
        <w:rPr>
          <w:rFonts w:hint="eastAsia" w:cs="仿宋_GB2312"/>
          <w:color w:val="auto"/>
          <w:sz w:val="32"/>
          <w:szCs w:val="32"/>
          <w:highlight w:val="none"/>
        </w:rPr>
      </w:pPr>
      <w:r>
        <w:rPr>
          <w:rFonts w:hint="eastAsia" w:cs="仿宋_GB2312"/>
          <w:color w:val="auto"/>
          <w:sz w:val="32"/>
          <w:szCs w:val="32"/>
          <w:highlight w:val="none"/>
        </w:rPr>
        <w:t>年    月    日</w:t>
      </w:r>
    </w:p>
    <w:p w14:paraId="19EA6700">
      <w:pPr>
        <w:snapToGrid w:val="0"/>
        <w:spacing w:before="120" w:beforeLines="50" w:after="50" w:line="360" w:lineRule="auto"/>
        <w:ind w:left="142" w:firstLine="643" w:firstLineChars="200"/>
        <w:jc w:val="left"/>
        <w:rPr>
          <w:b/>
          <w:bCs/>
          <w:color w:val="auto"/>
          <w:sz w:val="32"/>
          <w:szCs w:val="32"/>
          <w:highlight w:val="none"/>
        </w:rPr>
        <w:sectPr>
          <w:pgSz w:w="11911" w:h="16838"/>
          <w:pgMar w:top="1134" w:right="1134" w:bottom="1134" w:left="1134" w:header="720" w:footer="720" w:gutter="0"/>
          <w:pgNumType w:fmt="decimal"/>
          <w:cols w:space="720" w:num="1"/>
        </w:sectPr>
      </w:pPr>
    </w:p>
    <w:p w14:paraId="71A30B51">
      <w:pPr>
        <w:spacing w:line="360" w:lineRule="auto"/>
        <w:ind w:right="420"/>
        <w:rPr>
          <w:rFonts w:hint="eastAsia" w:ascii="宋体" w:hAnsi="宋体" w:cs="宋体"/>
          <w:color w:val="auto"/>
          <w:sz w:val="24"/>
          <w:szCs w:val="20"/>
          <w:highlight w:val="none"/>
        </w:rPr>
      </w:pPr>
      <w:r>
        <w:rPr>
          <w:rFonts w:hint="eastAsia" w:ascii="宋体" w:hAnsi="宋体" w:eastAsia="宋体" w:cs="宋体"/>
          <w:b/>
          <w:bCs/>
          <w:color w:val="auto"/>
          <w:sz w:val="28"/>
          <w:szCs w:val="28"/>
          <w:highlight w:val="none"/>
          <w:lang w:val="en-US"/>
        </w:rPr>
        <w:t>2</w:t>
      </w:r>
      <w:r>
        <w:rPr>
          <w:rFonts w:hint="eastAsia" w:ascii="宋体" w:hAnsi="宋体" w:eastAsia="宋体" w:cs="宋体"/>
          <w:b/>
          <w:bCs/>
          <w:color w:val="auto"/>
          <w:sz w:val="28"/>
          <w:szCs w:val="28"/>
          <w:highlight w:val="none"/>
        </w:rPr>
        <w:t>.商务</w:t>
      </w:r>
      <w:r>
        <w:rPr>
          <w:rFonts w:hint="eastAsia" w:ascii="宋体" w:hAnsi="宋体" w:eastAsia="宋体" w:cs="宋体"/>
          <w:b/>
          <w:bCs/>
          <w:color w:val="auto"/>
          <w:sz w:val="28"/>
          <w:szCs w:val="28"/>
          <w:highlight w:val="none"/>
          <w:lang w:eastAsia="zh-CN"/>
        </w:rPr>
        <w:t>技术</w:t>
      </w:r>
      <w:r>
        <w:rPr>
          <w:rFonts w:hint="eastAsia" w:ascii="宋体" w:hAnsi="宋体" w:eastAsia="宋体" w:cs="宋体"/>
          <w:b/>
          <w:bCs/>
          <w:color w:val="auto"/>
          <w:sz w:val="28"/>
          <w:szCs w:val="28"/>
          <w:highlight w:val="none"/>
        </w:rPr>
        <w:t>文件目录</w:t>
      </w:r>
    </w:p>
    <w:p w14:paraId="0A79CC45">
      <w:pPr>
        <w:spacing w:line="400" w:lineRule="exact"/>
        <w:rPr>
          <w:rFonts w:hint="eastAsia" w:ascii="仿宋_GB2312" w:hAnsi="仿宋_GB2312" w:eastAsia="仿宋_GB2312" w:cs="仿宋_GB2312"/>
          <w:color w:val="auto"/>
          <w:sz w:val="32"/>
          <w:szCs w:val="32"/>
          <w:highlight w:val="none"/>
        </w:rPr>
      </w:pPr>
      <w:r>
        <w:rPr>
          <w:rFonts w:hint="eastAsia" w:ascii="宋体" w:hAnsi="宋体" w:eastAsia="宋体" w:cs="宋体"/>
          <w:color w:val="auto"/>
          <w:kern w:val="0"/>
          <w:sz w:val="24"/>
          <w:szCs w:val="24"/>
          <w:highlight w:val="none"/>
          <w:lang w:val="en-US" w:eastAsia="zh-CN"/>
        </w:rPr>
        <w:t xml:space="preserve">  </w:t>
      </w:r>
      <w:r>
        <w:rPr>
          <w:rFonts w:hint="eastAsia" w:ascii="宋体" w:hAnsi="宋体" w:eastAsia="宋体" w:cs="宋体"/>
          <w:color w:val="auto"/>
          <w:kern w:val="0"/>
          <w:sz w:val="24"/>
          <w:szCs w:val="24"/>
          <w:highlight w:val="none"/>
        </w:rPr>
        <w:t>根据竞争性</w:t>
      </w:r>
      <w:r>
        <w:rPr>
          <w:rFonts w:hint="eastAsia" w:ascii="宋体" w:hAnsi="宋体" w:eastAsia="宋体" w:cs="宋体"/>
          <w:color w:val="auto"/>
          <w:kern w:val="0"/>
          <w:sz w:val="24"/>
          <w:szCs w:val="24"/>
          <w:highlight w:val="none"/>
          <w:lang w:eastAsia="zh-CN"/>
        </w:rPr>
        <w:t>磋商</w:t>
      </w:r>
      <w:r>
        <w:rPr>
          <w:rFonts w:hint="eastAsia" w:ascii="宋体" w:hAnsi="宋体" w:eastAsia="宋体" w:cs="宋体"/>
          <w:color w:val="auto"/>
          <w:kern w:val="0"/>
          <w:sz w:val="24"/>
          <w:szCs w:val="24"/>
          <w:highlight w:val="none"/>
        </w:rPr>
        <w:t>文件规定及</w:t>
      </w:r>
      <w:r>
        <w:rPr>
          <w:rFonts w:hint="eastAsia" w:ascii="宋体" w:hAnsi="宋体" w:eastAsia="宋体" w:cs="宋体"/>
          <w:color w:val="auto"/>
          <w:kern w:val="0"/>
          <w:sz w:val="24"/>
          <w:szCs w:val="24"/>
          <w:highlight w:val="none"/>
          <w:lang w:eastAsia="zh-CN"/>
        </w:rPr>
        <w:t>供应商</w:t>
      </w:r>
      <w:r>
        <w:rPr>
          <w:rFonts w:hint="eastAsia" w:ascii="宋体" w:hAnsi="宋体" w:eastAsia="宋体" w:cs="宋体"/>
          <w:color w:val="auto"/>
          <w:kern w:val="0"/>
          <w:sz w:val="24"/>
          <w:szCs w:val="24"/>
          <w:highlight w:val="none"/>
        </w:rPr>
        <w:t>提供的材料自行编写目录（部分格式后附）。</w:t>
      </w:r>
    </w:p>
    <w:p w14:paraId="16BD4778">
      <w:pPr>
        <w:spacing w:line="520" w:lineRule="exact"/>
        <w:ind w:firstLine="0" w:firstLineChars="0"/>
        <w:jc w:val="left"/>
        <w:rPr>
          <w:rFonts w:hint="eastAsia" w:ascii="宋体" w:hAnsi="宋体" w:eastAsia="宋体" w:cs="宋体"/>
          <w:color w:val="auto"/>
          <w:sz w:val="28"/>
          <w:szCs w:val="28"/>
          <w:highlight w:val="none"/>
          <w:lang w:eastAsia="zh-CN"/>
        </w:rPr>
      </w:pPr>
      <w:r>
        <w:rPr>
          <w:rFonts w:hint="eastAsia" w:ascii="方正小标宋简体" w:hAnsi="方正小标宋简体" w:eastAsia="方正小标宋简体" w:cs="方正小标宋简体"/>
          <w:color w:val="auto"/>
          <w:sz w:val="44"/>
          <w:szCs w:val="44"/>
          <w:highlight w:val="none"/>
        </w:rPr>
        <w:br w:type="page"/>
      </w:r>
      <w:r>
        <w:rPr>
          <w:rFonts w:hint="eastAsia" w:ascii="宋体" w:hAnsi="宋体" w:eastAsia="宋体" w:cs="宋体"/>
          <w:b/>
          <w:color w:val="auto"/>
          <w:sz w:val="28"/>
          <w:szCs w:val="28"/>
          <w:highlight w:val="none"/>
          <w:lang w:val="en-US" w:eastAsia="zh-CN"/>
        </w:rPr>
        <w:t>3.</w:t>
      </w:r>
      <w:r>
        <w:rPr>
          <w:rFonts w:hint="eastAsia" w:ascii="宋体" w:hAnsi="宋体" w:eastAsia="宋体" w:cs="宋体"/>
          <w:b/>
          <w:color w:val="auto"/>
          <w:sz w:val="28"/>
          <w:szCs w:val="28"/>
          <w:highlight w:val="none"/>
        </w:rPr>
        <w:t>无串</w:t>
      </w:r>
      <w:r>
        <w:rPr>
          <w:rFonts w:hint="eastAsia" w:ascii="宋体" w:hAnsi="宋体" w:eastAsia="宋体" w:cs="宋体"/>
          <w:b/>
          <w:color w:val="auto"/>
          <w:sz w:val="28"/>
          <w:szCs w:val="28"/>
          <w:highlight w:val="none"/>
          <w:lang w:eastAsia="zh-CN"/>
        </w:rPr>
        <w:t>通竞标</w:t>
      </w:r>
      <w:r>
        <w:rPr>
          <w:rFonts w:hint="eastAsia" w:ascii="宋体" w:hAnsi="宋体" w:eastAsia="宋体" w:cs="宋体"/>
          <w:b/>
          <w:color w:val="auto"/>
          <w:sz w:val="28"/>
          <w:szCs w:val="28"/>
          <w:highlight w:val="none"/>
        </w:rPr>
        <w:t>行为</w:t>
      </w:r>
      <w:r>
        <w:rPr>
          <w:rFonts w:hint="eastAsia" w:ascii="宋体" w:hAnsi="宋体" w:eastAsia="宋体" w:cs="宋体"/>
          <w:b/>
          <w:color w:val="auto"/>
          <w:sz w:val="28"/>
          <w:szCs w:val="28"/>
          <w:highlight w:val="none"/>
          <w:lang w:eastAsia="zh-CN"/>
        </w:rPr>
        <w:t>的</w:t>
      </w:r>
      <w:r>
        <w:rPr>
          <w:rFonts w:hint="eastAsia" w:ascii="宋体" w:hAnsi="宋体" w:eastAsia="宋体" w:cs="宋体"/>
          <w:b/>
          <w:color w:val="auto"/>
          <w:sz w:val="28"/>
          <w:szCs w:val="28"/>
          <w:highlight w:val="none"/>
        </w:rPr>
        <w:t>承诺函</w:t>
      </w:r>
      <w:r>
        <w:rPr>
          <w:rFonts w:hint="eastAsia" w:ascii="宋体" w:hAnsi="宋体" w:eastAsia="宋体" w:cs="宋体"/>
          <w:b/>
          <w:color w:val="auto"/>
          <w:sz w:val="28"/>
          <w:szCs w:val="28"/>
          <w:highlight w:val="none"/>
          <w:lang w:eastAsia="zh-CN"/>
        </w:rPr>
        <w:t>的格式：</w:t>
      </w:r>
    </w:p>
    <w:p w14:paraId="4F15BAE5">
      <w:pPr>
        <w:spacing w:line="520" w:lineRule="exact"/>
        <w:jc w:val="center"/>
        <w:rPr>
          <w:rFonts w:hint="eastAsia" w:ascii="方正小标宋简体" w:hAnsi="方正小标宋简体" w:eastAsia="方正小标宋简体" w:cs="方正小标宋简体"/>
          <w:color w:val="auto"/>
          <w:sz w:val="44"/>
          <w:szCs w:val="44"/>
          <w:highlight w:val="none"/>
        </w:rPr>
      </w:pPr>
    </w:p>
    <w:p w14:paraId="69F6F907">
      <w:pPr>
        <w:spacing w:line="520" w:lineRule="exact"/>
        <w:jc w:val="cente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无串通竞标行为的承诺函</w:t>
      </w:r>
    </w:p>
    <w:p w14:paraId="2F6927F7">
      <w:pPr>
        <w:spacing w:line="520" w:lineRule="exact"/>
        <w:ind w:firstLine="640" w:firstLineChars="200"/>
        <w:rPr>
          <w:rFonts w:hint="eastAsia" w:ascii="仿宋_GB2312" w:hAnsi="仿宋_GB2312" w:eastAsia="仿宋_GB2312" w:cs="仿宋_GB2312"/>
          <w:color w:val="auto"/>
          <w:sz w:val="32"/>
          <w:szCs w:val="32"/>
          <w:highlight w:val="none"/>
        </w:rPr>
      </w:pPr>
    </w:p>
    <w:p w14:paraId="5FA72953">
      <w:pPr>
        <w:spacing w:line="360" w:lineRule="auto"/>
        <w:ind w:firstLine="482" w:firstLineChars="200"/>
        <w:contextualSpacing/>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一、我方承诺无下列相互串通竞标的情形：</w:t>
      </w:r>
    </w:p>
    <w:p w14:paraId="60EC113A">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1.不同供应商的响应文件由同一单位或者个人编制；</w:t>
      </w:r>
      <w:r>
        <w:rPr>
          <w:rFonts w:hint="eastAsia" w:ascii="宋体" w:hAnsi="宋体" w:eastAsia="宋体" w:cs="宋体"/>
          <w:b/>
          <w:bCs/>
          <w:color w:val="auto"/>
          <w:szCs w:val="21"/>
          <w:highlight w:val="none"/>
        </w:rPr>
        <w:t>或不同</w:t>
      </w:r>
      <w:r>
        <w:rPr>
          <w:rFonts w:hint="eastAsia" w:ascii="宋体" w:hAnsi="宋体" w:eastAsia="宋体" w:cs="宋体"/>
          <w:b/>
          <w:bCs/>
          <w:color w:val="auto"/>
          <w:szCs w:val="21"/>
          <w:highlight w:val="none"/>
          <w:lang w:val="en-US" w:eastAsia="zh-CN"/>
        </w:rPr>
        <w:t>供应商</w:t>
      </w:r>
      <w:r>
        <w:rPr>
          <w:rFonts w:hint="eastAsia" w:ascii="宋体" w:hAnsi="宋体" w:eastAsia="宋体" w:cs="宋体"/>
          <w:b/>
          <w:bCs/>
          <w:color w:val="auto"/>
          <w:szCs w:val="21"/>
          <w:highlight w:val="none"/>
        </w:rPr>
        <w:t xml:space="preserve">报名的IP地址一致的； </w:t>
      </w:r>
      <w:r>
        <w:rPr>
          <w:rFonts w:hint="eastAsia" w:ascii="宋体" w:hAnsi="宋体" w:eastAsia="宋体" w:cs="宋体"/>
          <w:color w:val="auto"/>
          <w:sz w:val="24"/>
          <w:highlight w:val="none"/>
        </w:rPr>
        <w:t xml:space="preserve"> </w:t>
      </w:r>
    </w:p>
    <w:p w14:paraId="77431D44">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2.不同供应商委托同一单位或者个人办理竞标事宜；</w:t>
      </w:r>
    </w:p>
    <w:p w14:paraId="1DF43BBE">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3.不同供应商的响应文件载明的项目管理员为同一个人；</w:t>
      </w:r>
    </w:p>
    <w:p w14:paraId="64C0D07C">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4.不</w:t>
      </w:r>
      <w:r>
        <w:rPr>
          <w:rFonts w:hint="eastAsia" w:ascii="宋体" w:hAnsi="宋体" w:eastAsia="宋体" w:cs="宋体"/>
          <w:color w:val="auto"/>
          <w:spacing w:val="-6"/>
          <w:sz w:val="24"/>
          <w:highlight w:val="none"/>
        </w:rPr>
        <w:t>同供应商的响应文件异常一致或者响应报价呈规律性差异；</w:t>
      </w:r>
    </w:p>
    <w:p w14:paraId="4CEA392A">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5.不同供应商的响应文件相互混装；</w:t>
      </w:r>
    </w:p>
    <w:p w14:paraId="74AF3A4E">
      <w:pPr>
        <w:pStyle w:val="13"/>
        <w:ind w:firstLine="480" w:firstLineChars="200"/>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rPr>
        <w:t>6.不同供应商的磋商保证金从同一单位或者个人账户转出。</w:t>
      </w:r>
    </w:p>
    <w:p w14:paraId="2E367D6A">
      <w:pPr>
        <w:spacing w:line="360" w:lineRule="auto"/>
        <w:ind w:firstLine="482" w:firstLineChars="200"/>
        <w:contextualSpacing/>
        <w:rPr>
          <w:rFonts w:hint="eastAsia" w:ascii="宋体" w:hAnsi="宋体" w:eastAsia="宋体" w:cs="宋体"/>
          <w:b/>
          <w:bCs/>
          <w:color w:val="auto"/>
          <w:sz w:val="24"/>
          <w:highlight w:val="none"/>
        </w:rPr>
      </w:pPr>
      <w:r>
        <w:rPr>
          <w:rFonts w:hint="eastAsia" w:ascii="宋体" w:hAnsi="宋体" w:eastAsia="宋体" w:cs="宋体"/>
          <w:b/>
          <w:bCs/>
          <w:color w:val="auto"/>
          <w:sz w:val="24"/>
          <w:highlight w:val="none"/>
        </w:rPr>
        <w:t>二、我方承诺无下列恶意串通的情形：</w:t>
      </w:r>
    </w:p>
    <w:p w14:paraId="5E0BE6C7">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1.供应商直接或者间接从采购人或者采购代理机构处获得其他供应商的相关信息并修改其响应文件；</w:t>
      </w:r>
    </w:p>
    <w:p w14:paraId="2FCFBFA7">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2.供应商按照采购人或者采购代理机构的授意撤换、修改响应文件；</w:t>
      </w:r>
    </w:p>
    <w:p w14:paraId="6401C419">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3.供</w:t>
      </w:r>
      <w:r>
        <w:rPr>
          <w:rFonts w:hint="eastAsia" w:ascii="宋体" w:hAnsi="宋体" w:eastAsia="宋体" w:cs="宋体"/>
          <w:color w:val="auto"/>
          <w:spacing w:val="-6"/>
          <w:sz w:val="24"/>
          <w:highlight w:val="none"/>
        </w:rPr>
        <w:t>应商之间协商报价、技术方案等响应文件的实质性内容；</w:t>
      </w:r>
    </w:p>
    <w:p w14:paraId="5CDCF4E8">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4.属于同一集团、协会、商会等组织成员的供应商按照该组织要求协同参加政府采购活动；</w:t>
      </w:r>
    </w:p>
    <w:p w14:paraId="5F73571A">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5.供应商之间事先约定一致抬高或者压低响应报价，或者在竞争性磋商项目中事先约定轮流以高价位或者低价位成交，或者事先约定由某一特定供应商成交，然后再参加竞标；</w:t>
      </w:r>
    </w:p>
    <w:p w14:paraId="7B093F76">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6.供应商之间商定部分供应商放弃参加政府采购活动或者放弃成交；</w:t>
      </w:r>
    </w:p>
    <w:p w14:paraId="23F0BBD4">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7.供应商与采购人或者采购代理机构之间、供应商相互之间，为</w:t>
      </w:r>
      <w:r>
        <w:rPr>
          <w:rFonts w:hint="eastAsia" w:ascii="宋体" w:hAnsi="宋体" w:eastAsia="宋体" w:cs="宋体"/>
          <w:color w:val="auto"/>
          <w:spacing w:val="-6"/>
          <w:sz w:val="24"/>
          <w:highlight w:val="none"/>
        </w:rPr>
        <w:t>谋求特定供应商成交或者排斥其他供应商的其他串通行为。</w:t>
      </w:r>
    </w:p>
    <w:p w14:paraId="0F0419A8">
      <w:pPr>
        <w:spacing w:line="360" w:lineRule="auto"/>
        <w:ind w:firstLine="480" w:firstLineChars="200"/>
        <w:contextualSpacing/>
        <w:rPr>
          <w:rFonts w:hint="eastAsia" w:ascii="宋体" w:hAnsi="宋体" w:eastAsia="宋体" w:cs="宋体"/>
          <w:color w:val="auto"/>
          <w:sz w:val="24"/>
          <w:highlight w:val="none"/>
        </w:rPr>
      </w:pPr>
    </w:p>
    <w:p w14:paraId="5B3F4971">
      <w:pPr>
        <w:spacing w:line="360" w:lineRule="auto"/>
        <w:ind w:firstLine="482" w:firstLineChars="200"/>
        <w:contextualSpacing/>
        <w:rPr>
          <w:rFonts w:hint="eastAsia" w:ascii="宋体" w:hAnsi="宋体" w:eastAsia="宋体" w:cs="宋体"/>
          <w:b/>
          <w:bCs/>
          <w:color w:val="auto"/>
          <w:sz w:val="24"/>
          <w:highlight w:val="none"/>
        </w:rPr>
      </w:pPr>
      <w:r>
        <w:rPr>
          <w:rFonts w:hint="eastAsia" w:ascii="宋体" w:hAnsi="宋体" w:eastAsia="宋体" w:cs="宋体"/>
          <w:b/>
          <w:bCs/>
          <w:color w:val="auto"/>
          <w:sz w:val="24"/>
          <w:szCs w:val="24"/>
          <w:highlight w:val="none"/>
        </w:rPr>
        <w:t>以上情形一经核查属实，接受政府采购监管部门对我方认定存在围标串标行为，我方愿意承担一切后果，并不再寻求任何旨在减轻或者免除法律责任的辩解</w:t>
      </w:r>
      <w:r>
        <w:rPr>
          <w:rFonts w:hint="eastAsia" w:ascii="宋体" w:hAnsi="宋体" w:eastAsia="宋体" w:cs="宋体"/>
          <w:b/>
          <w:bCs/>
          <w:color w:val="auto"/>
          <w:sz w:val="24"/>
          <w:highlight w:val="none"/>
        </w:rPr>
        <w:t>。</w:t>
      </w:r>
    </w:p>
    <w:p w14:paraId="718C48DE">
      <w:pPr>
        <w:pStyle w:val="20"/>
        <w:rPr>
          <w:rFonts w:hint="eastAsia" w:ascii="宋体" w:hAnsi="宋体" w:eastAsia="宋体" w:cs="宋体"/>
          <w:b/>
          <w:bCs/>
          <w:color w:val="auto"/>
          <w:sz w:val="24"/>
          <w:highlight w:val="none"/>
        </w:rPr>
      </w:pPr>
    </w:p>
    <w:p w14:paraId="18156898">
      <w:pPr>
        <w:pStyle w:val="20"/>
        <w:rPr>
          <w:rFonts w:hint="eastAsia" w:ascii="宋体" w:hAnsi="宋体" w:eastAsia="宋体" w:cs="宋体"/>
          <w:b/>
          <w:bCs/>
          <w:color w:val="auto"/>
          <w:sz w:val="24"/>
          <w:highlight w:val="none"/>
        </w:rPr>
      </w:pPr>
    </w:p>
    <w:p w14:paraId="6A30D716">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1A2E4980">
      <w:pPr>
        <w:keepNext w:val="0"/>
        <w:keepLines w:val="0"/>
        <w:pageBreakBefore w:val="0"/>
        <w:widowControl w:val="0"/>
        <w:kinsoku/>
        <w:wordWrap/>
        <w:overflowPunct/>
        <w:topLinePunct w:val="0"/>
        <w:autoSpaceDE/>
        <w:autoSpaceDN/>
        <w:bidi w:val="0"/>
        <w:adjustRightInd/>
        <w:spacing w:line="480" w:lineRule="auto"/>
        <w:ind w:firstLine="5040" w:firstLineChars="2100"/>
        <w:jc w:val="left"/>
        <w:textAlignment w:val="auto"/>
        <w:rPr>
          <w:rFonts w:hint="eastAsia" w:ascii="宋体" w:hAnsi="宋体" w:eastAsia="宋体" w:cs="宋体"/>
          <w:b/>
          <w:bCs/>
          <w:color w:val="auto"/>
          <w:sz w:val="28"/>
          <w:szCs w:val="28"/>
          <w:highlight w:val="none"/>
          <w:lang w:eastAsia="zh-CN"/>
        </w:rPr>
      </w:pPr>
      <w:r>
        <w:rPr>
          <w:rFonts w:hint="eastAsia" w:ascii="宋体" w:hAnsi="宋体" w:eastAsia="宋体" w:cs="宋体"/>
          <w:color w:val="auto"/>
          <w:kern w:val="0"/>
          <w:sz w:val="24"/>
          <w:highlight w:val="none"/>
          <w:lang w:val="zh-CN"/>
        </w:rPr>
        <w:t xml:space="preserve">日期：  年  月   日   </w:t>
      </w:r>
      <w:r>
        <w:rPr>
          <w:b/>
          <w:bCs/>
          <w:color w:val="auto"/>
          <w:sz w:val="32"/>
          <w:szCs w:val="32"/>
          <w:highlight w:val="none"/>
        </w:rPr>
        <w:br w:type="page"/>
      </w:r>
      <w:r>
        <w:rPr>
          <w:rFonts w:hint="eastAsia" w:ascii="宋体" w:hAnsi="宋体" w:eastAsia="宋体" w:cs="宋体"/>
          <w:b/>
          <w:bCs/>
          <w:color w:val="auto"/>
          <w:sz w:val="28"/>
          <w:szCs w:val="28"/>
          <w:highlight w:val="none"/>
          <w:lang w:val="en-US" w:eastAsia="zh-CN"/>
        </w:rPr>
        <w:t>4.</w:t>
      </w:r>
      <w:r>
        <w:rPr>
          <w:rFonts w:hint="eastAsia" w:ascii="宋体" w:hAnsi="宋体" w:eastAsia="宋体" w:cs="宋体"/>
          <w:b/>
          <w:bCs/>
          <w:color w:val="auto"/>
          <w:sz w:val="28"/>
          <w:szCs w:val="28"/>
          <w:highlight w:val="none"/>
        </w:rPr>
        <w:t>法定代表人身份证明</w:t>
      </w:r>
      <w:r>
        <w:rPr>
          <w:rFonts w:hint="eastAsia" w:ascii="宋体" w:hAnsi="宋体" w:eastAsia="宋体" w:cs="宋体"/>
          <w:b/>
          <w:bCs/>
          <w:color w:val="auto"/>
          <w:sz w:val="28"/>
          <w:szCs w:val="28"/>
          <w:highlight w:val="none"/>
          <w:lang w:eastAsia="zh-CN"/>
        </w:rPr>
        <w:t>的格式：</w:t>
      </w:r>
    </w:p>
    <w:p w14:paraId="47F92E2C">
      <w:pPr>
        <w:spacing w:line="520" w:lineRule="exact"/>
        <w:jc w:val="center"/>
        <w:rPr>
          <w:rFonts w:hint="eastAsia" w:ascii="仿宋_GB2312" w:hAnsi="仿宋_GB2312" w:eastAsia="仿宋_GB2312" w:cs="仿宋_GB2312"/>
          <w:color w:val="auto"/>
          <w:sz w:val="32"/>
          <w:szCs w:val="32"/>
          <w:highlight w:val="none"/>
        </w:rPr>
      </w:pPr>
      <w:r>
        <w:rPr>
          <w:rFonts w:hint="eastAsia" w:ascii="宋体" w:hAnsi="宋体" w:eastAsia="宋体" w:cs="宋体"/>
          <w:bCs/>
          <w:color w:val="auto"/>
          <w:sz w:val="32"/>
          <w:szCs w:val="32"/>
          <w:highlight w:val="none"/>
        </w:rPr>
        <w:t>法定代表人</w:t>
      </w:r>
      <w:r>
        <w:rPr>
          <w:rFonts w:hint="eastAsia" w:ascii="宋体" w:hAnsi="宋体" w:eastAsia="宋体" w:cs="宋体"/>
          <w:bCs/>
          <w:color w:val="auto"/>
          <w:sz w:val="32"/>
          <w:szCs w:val="32"/>
          <w:highlight w:val="none"/>
          <w:lang w:eastAsia="zh-CN"/>
        </w:rPr>
        <w:t>身份</w:t>
      </w:r>
      <w:r>
        <w:rPr>
          <w:rFonts w:hint="eastAsia" w:ascii="宋体" w:hAnsi="宋体" w:eastAsia="宋体" w:cs="宋体"/>
          <w:bCs/>
          <w:color w:val="auto"/>
          <w:sz w:val="32"/>
          <w:szCs w:val="32"/>
          <w:highlight w:val="none"/>
        </w:rPr>
        <w:t>证明</w:t>
      </w:r>
    </w:p>
    <w:p w14:paraId="3D0DC471">
      <w:pPr>
        <w:spacing w:line="360" w:lineRule="auto"/>
        <w:ind w:left="540"/>
        <w:contextualSpacing/>
        <w:rPr>
          <w:rFonts w:hint="eastAsia" w:ascii="仿宋_GB2312" w:hAnsi="仿宋_GB2312" w:eastAsia="仿宋_GB2312" w:cs="仿宋_GB2312"/>
          <w:color w:val="auto"/>
          <w:sz w:val="32"/>
          <w:szCs w:val="32"/>
          <w:highlight w:val="none"/>
        </w:rPr>
      </w:pPr>
    </w:p>
    <w:p w14:paraId="795FC0C8">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u w:val="single"/>
        </w:rPr>
        <w:t xml:space="preserve">                                                        </w:t>
      </w:r>
    </w:p>
    <w:p w14:paraId="0C715B7C">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地    址：</w:t>
      </w:r>
      <w:r>
        <w:rPr>
          <w:rFonts w:hint="eastAsia" w:ascii="宋体" w:hAnsi="宋体" w:eastAsia="宋体" w:cs="宋体"/>
          <w:color w:val="auto"/>
          <w:sz w:val="24"/>
          <w:highlight w:val="none"/>
          <w:u w:val="single"/>
        </w:rPr>
        <w:t xml:space="preserve">                                                        </w:t>
      </w:r>
    </w:p>
    <w:p w14:paraId="31C3AFCB">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姓    名：</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性     别：</w:t>
      </w:r>
      <w:r>
        <w:rPr>
          <w:rFonts w:hint="eastAsia" w:ascii="宋体" w:hAnsi="宋体" w:eastAsia="宋体" w:cs="宋体"/>
          <w:color w:val="auto"/>
          <w:sz w:val="24"/>
          <w:highlight w:val="none"/>
          <w:u w:val="single"/>
        </w:rPr>
        <w:t xml:space="preserve">                </w:t>
      </w:r>
    </w:p>
    <w:p w14:paraId="2806AA5A">
      <w:pPr>
        <w:spacing w:line="360" w:lineRule="auto"/>
        <w:ind w:left="54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年    龄：</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职     务：</w:t>
      </w:r>
      <w:r>
        <w:rPr>
          <w:rFonts w:hint="eastAsia" w:ascii="宋体" w:hAnsi="宋体" w:eastAsia="宋体" w:cs="宋体"/>
          <w:color w:val="auto"/>
          <w:sz w:val="24"/>
          <w:highlight w:val="none"/>
          <w:u w:val="single"/>
        </w:rPr>
        <w:t xml:space="preserve">                </w:t>
      </w:r>
    </w:p>
    <w:p w14:paraId="58B62063">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身份证号码：</w:t>
      </w:r>
      <w:r>
        <w:rPr>
          <w:rFonts w:hint="eastAsia" w:ascii="宋体" w:hAnsi="宋体" w:eastAsia="宋体" w:cs="宋体"/>
          <w:color w:val="auto"/>
          <w:sz w:val="24"/>
          <w:highlight w:val="none"/>
          <w:u w:val="single"/>
        </w:rPr>
        <w:t xml:space="preserve">                                        </w:t>
      </w:r>
    </w:p>
    <w:p w14:paraId="081EA822">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系</w:t>
      </w:r>
      <w:r>
        <w:rPr>
          <w:rFonts w:hint="eastAsia" w:ascii="宋体" w:hAnsi="宋体" w:eastAsia="宋体" w:cs="宋体"/>
          <w:color w:val="auto"/>
          <w:sz w:val="24"/>
          <w:highlight w:val="none"/>
          <w:u w:val="single"/>
        </w:rPr>
        <w:t>（供应商名称）</w:t>
      </w:r>
      <w:r>
        <w:rPr>
          <w:rFonts w:hint="eastAsia" w:ascii="宋体" w:hAnsi="宋体" w:eastAsia="宋体" w:cs="宋体"/>
          <w:color w:val="auto"/>
          <w:sz w:val="24"/>
          <w:highlight w:val="none"/>
        </w:rPr>
        <w:t>的法定代表人。</w:t>
      </w:r>
    </w:p>
    <w:p w14:paraId="3FB30D1D">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特此证明。</w:t>
      </w:r>
    </w:p>
    <w:p w14:paraId="597DEFDC">
      <w:pPr>
        <w:spacing w:line="360" w:lineRule="auto"/>
        <w:ind w:left="540"/>
        <w:contextualSpacing/>
        <w:rPr>
          <w:rFonts w:hint="eastAsia" w:ascii="宋体" w:hAnsi="宋体" w:eastAsia="宋体" w:cs="宋体"/>
          <w:color w:val="auto"/>
          <w:sz w:val="24"/>
          <w:highlight w:val="none"/>
        </w:rPr>
      </w:pPr>
    </w:p>
    <w:p w14:paraId="009ECD3D">
      <w:pPr>
        <w:spacing w:line="360" w:lineRule="auto"/>
        <w:ind w:left="540"/>
        <w:contextualSpacing/>
        <w:rPr>
          <w:rFonts w:hint="eastAsia" w:ascii="宋体" w:hAnsi="宋体" w:eastAsia="宋体" w:cs="宋体"/>
          <w:color w:val="auto"/>
          <w:sz w:val="24"/>
          <w:highlight w:val="none"/>
        </w:rPr>
      </w:pPr>
    </w:p>
    <w:p w14:paraId="4727539D">
      <w:pPr>
        <w:spacing w:line="360" w:lineRule="auto"/>
        <w:ind w:left="540"/>
        <w:contextualSpacing/>
        <w:rPr>
          <w:rFonts w:hint="eastAsia" w:ascii="宋体" w:hAnsi="宋体" w:eastAsia="宋体" w:cs="宋体"/>
          <w:color w:val="auto"/>
          <w:sz w:val="24"/>
          <w:highlight w:val="none"/>
        </w:rPr>
      </w:pPr>
    </w:p>
    <w:p w14:paraId="0D125815">
      <w:pPr>
        <w:spacing w:line="360" w:lineRule="auto"/>
        <w:ind w:left="5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附件：法定代表人有效身份证正反面复印件</w:t>
      </w:r>
    </w:p>
    <w:p w14:paraId="55FB3E71">
      <w:pPr>
        <w:spacing w:line="360" w:lineRule="auto"/>
        <w:ind w:left="540"/>
        <w:contextualSpacing/>
        <w:rPr>
          <w:rFonts w:hint="eastAsia" w:ascii="宋体" w:hAnsi="宋体" w:eastAsia="宋体" w:cs="宋体"/>
          <w:color w:val="auto"/>
          <w:sz w:val="24"/>
          <w:highlight w:val="none"/>
        </w:rPr>
      </w:pPr>
    </w:p>
    <w:p w14:paraId="37C63167">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6E024F5A">
      <w:pPr>
        <w:spacing w:line="360" w:lineRule="auto"/>
        <w:contextualSpacing/>
        <w:jc w:val="center"/>
        <w:rPr>
          <w:rFonts w:hint="eastAsia" w:ascii="宋体" w:hAnsi="宋体" w:eastAsia="宋体" w:cs="宋体"/>
          <w:b/>
          <w:color w:val="auto"/>
          <w:sz w:val="24"/>
          <w:highlight w:val="none"/>
        </w:rPr>
      </w:pPr>
      <w:r>
        <w:rPr>
          <w:rFonts w:hint="eastAsia" w:ascii="宋体" w:hAnsi="宋体" w:eastAsia="宋体" w:cs="宋体"/>
          <w:color w:val="auto"/>
          <w:kern w:val="0"/>
          <w:sz w:val="24"/>
          <w:highlight w:val="none"/>
          <w:lang w:val="zh-CN"/>
        </w:rPr>
        <w:t xml:space="preserve">                                                   日期：  年  月   日</w:t>
      </w:r>
    </w:p>
    <w:p w14:paraId="22E6F34D">
      <w:pPr>
        <w:spacing w:line="360" w:lineRule="auto"/>
        <w:contextualSpacing/>
        <w:jc w:val="left"/>
        <w:rPr>
          <w:rFonts w:hint="eastAsia" w:ascii="宋体" w:hAnsi="宋体" w:eastAsia="宋体" w:cs="宋体"/>
          <w:color w:val="auto"/>
          <w:sz w:val="24"/>
          <w:highlight w:val="none"/>
        </w:rPr>
      </w:pPr>
    </w:p>
    <w:p w14:paraId="5BFA2EEB">
      <w:pPr>
        <w:spacing w:line="360" w:lineRule="auto"/>
        <w:contextualSpacing/>
        <w:jc w:val="left"/>
        <w:rPr>
          <w:rFonts w:hint="eastAsia" w:ascii="宋体" w:hAnsi="宋体" w:eastAsia="宋体" w:cs="宋体"/>
          <w:color w:val="auto"/>
          <w:sz w:val="24"/>
          <w:highlight w:val="none"/>
        </w:rPr>
      </w:pPr>
    </w:p>
    <w:p w14:paraId="672CC7AB">
      <w:pPr>
        <w:spacing w:line="360" w:lineRule="auto"/>
        <w:ind w:firstLine="420" w:firstLineChars="200"/>
        <w:contextualSpacing/>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p>
    <w:p w14:paraId="0D8292C5">
      <w:pPr>
        <w:spacing w:line="360" w:lineRule="auto"/>
        <w:ind w:firstLine="420" w:firstLineChars="200"/>
        <w:contextualSpacing/>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1.自然人竞标的无需提供，联合体竞标的只需牵头人出具。</w:t>
      </w:r>
    </w:p>
    <w:p w14:paraId="170FECEA">
      <w:pPr>
        <w:spacing w:line="360" w:lineRule="auto"/>
        <w:ind w:firstLine="420" w:firstLineChars="200"/>
        <w:contextualSpacing/>
        <w:jc w:val="left"/>
        <w:rPr>
          <w:rFonts w:hint="eastAsia" w:ascii="宋体" w:hAnsi="宋体" w:eastAsia="宋体" w:cs="宋体"/>
          <w:color w:val="auto"/>
          <w:sz w:val="21"/>
          <w:szCs w:val="21"/>
          <w:highlight w:val="none"/>
        </w:rPr>
        <w:sectPr>
          <w:pgSz w:w="11911" w:h="16838"/>
          <w:pgMar w:top="1134" w:right="1134" w:bottom="1134" w:left="1134" w:header="720" w:footer="720" w:gutter="0"/>
          <w:pgNumType w:fmt="decimal"/>
          <w:cols w:space="720" w:num="1"/>
        </w:sectPr>
      </w:pPr>
      <w:r>
        <w:rPr>
          <w:rFonts w:hint="eastAsia" w:ascii="宋体" w:hAnsi="宋体" w:eastAsia="宋体" w:cs="宋体"/>
          <w:color w:val="auto"/>
          <w:sz w:val="21"/>
          <w:szCs w:val="21"/>
          <w:highlight w:val="none"/>
        </w:rPr>
        <w:t>2.供应商为其他组织或者自然人时，本磋商文件规定的法定代表人指负责人或者自然人。本磋商文件所称负责人是指参加竞标的其他组织营业执照上的负责人，本磋商文件所称自然人指参与竞标的自然人本人。</w:t>
      </w:r>
    </w:p>
    <w:tbl>
      <w:tblPr>
        <w:tblStyle w:val="28"/>
        <w:tblpPr w:leftFromText="180" w:rightFromText="180" w:vertAnchor="text" w:horzAnchor="margin" w:tblpY="116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1"/>
      </w:tblGrid>
      <w:tr w14:paraId="7F4AD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705" w:hRule="atLeast"/>
        </w:trPr>
        <w:tc>
          <w:tcPr>
            <w:tcW w:w="8461" w:type="dxa"/>
            <w:noWrap w:val="0"/>
            <w:vAlign w:val="top"/>
          </w:tcPr>
          <w:p w14:paraId="728CB9ED">
            <w:pPr>
              <w:spacing w:line="360" w:lineRule="auto"/>
              <w:rPr>
                <w:rFonts w:hAnsi="Calibri"/>
                <w:b/>
                <w:color w:val="auto"/>
                <w:sz w:val="24"/>
                <w:highlight w:val="none"/>
              </w:rPr>
            </w:pPr>
          </w:p>
          <w:p w14:paraId="355C74EE">
            <w:pPr>
              <w:spacing w:line="360" w:lineRule="auto"/>
              <w:rPr>
                <w:rFonts w:hAnsi="Calibri"/>
                <w:b/>
                <w:color w:val="auto"/>
                <w:sz w:val="24"/>
                <w:highlight w:val="none"/>
              </w:rPr>
            </w:pPr>
            <w:r>
              <w:rPr>
                <w:rFonts w:hint="eastAsia" w:hAnsi="Calibri"/>
                <w:b/>
                <w:color w:val="auto"/>
                <w:sz w:val="24"/>
                <w:highlight w:val="none"/>
              </w:rPr>
              <w:t>法定代表</w:t>
            </w:r>
            <w:r>
              <w:rPr>
                <w:rFonts w:hint="eastAsia" w:hAnsi="Calibri"/>
                <w:b/>
                <w:color w:val="auto"/>
                <w:sz w:val="24"/>
                <w:highlight w:val="none"/>
                <w:lang w:eastAsia="zh-CN"/>
              </w:rPr>
              <w:t>人</w:t>
            </w:r>
            <w:r>
              <w:rPr>
                <w:rFonts w:hint="eastAsia" w:hAnsi="Calibri"/>
                <w:b/>
                <w:color w:val="auto"/>
                <w:sz w:val="24"/>
                <w:highlight w:val="none"/>
              </w:rPr>
              <w:t>身份证复印件粘</w:t>
            </w:r>
            <w:r>
              <w:rPr>
                <w:rFonts w:hint="eastAsia" w:hAnsi="Calibri"/>
                <w:b/>
                <w:color w:val="auto"/>
                <w:sz w:val="24"/>
                <w:highlight w:val="none"/>
                <w:lang w:eastAsia="zh-CN"/>
              </w:rPr>
              <w:t>贴</w:t>
            </w:r>
            <w:r>
              <w:rPr>
                <w:rFonts w:hint="eastAsia" w:hAnsi="Calibri"/>
                <w:b/>
                <w:color w:val="auto"/>
                <w:sz w:val="24"/>
                <w:highlight w:val="none"/>
              </w:rPr>
              <w:t>处（正、反面）</w:t>
            </w:r>
          </w:p>
        </w:tc>
      </w:tr>
    </w:tbl>
    <w:p w14:paraId="4E7E60B3">
      <w:pPr>
        <w:spacing w:line="360" w:lineRule="auto"/>
        <w:ind w:firstLine="482" w:firstLineChars="200"/>
        <w:contextualSpacing/>
        <w:jc w:val="left"/>
        <w:rPr>
          <w:rFonts w:hint="eastAsia" w:ascii="仿宋_GB2312" w:hAnsi="仿宋_GB2312" w:eastAsia="仿宋_GB2312" w:cs="仿宋_GB2312"/>
          <w:b/>
          <w:color w:val="auto"/>
          <w:sz w:val="32"/>
          <w:szCs w:val="32"/>
          <w:highlight w:val="none"/>
        </w:rPr>
      </w:pPr>
      <w:r>
        <w:rPr>
          <w:rFonts w:hint="eastAsia" w:ascii="Calibri"/>
          <w:b/>
          <w:color w:val="auto"/>
          <w:sz w:val="24"/>
          <w:highlight w:val="none"/>
        </w:rPr>
        <w:t>附件：</w:t>
      </w:r>
    </w:p>
    <w:p w14:paraId="7A93CD15">
      <w:pPr>
        <w:adjustRightInd w:val="0"/>
        <w:snapToGrid w:val="0"/>
        <w:spacing w:line="300" w:lineRule="auto"/>
        <w:jc w:val="left"/>
        <w:rPr>
          <w:rFonts w:hint="eastAsia"/>
          <w:b/>
          <w:color w:val="auto"/>
          <w:szCs w:val="21"/>
          <w:highlight w:val="none"/>
        </w:rPr>
      </w:pPr>
    </w:p>
    <w:p w14:paraId="2B520005">
      <w:pPr>
        <w:spacing w:line="520" w:lineRule="exact"/>
        <w:ind w:firstLine="880"/>
        <w:jc w:val="left"/>
        <w:rPr>
          <w:rFonts w:hint="eastAsia" w:ascii="宋体" w:hAnsi="宋体" w:cs="宋体"/>
          <w:color w:val="auto"/>
          <w:szCs w:val="21"/>
          <w:highlight w:val="none"/>
        </w:rPr>
      </w:pPr>
    </w:p>
    <w:p w14:paraId="4E913796">
      <w:pPr>
        <w:spacing w:line="520" w:lineRule="exact"/>
        <w:ind w:firstLine="880"/>
        <w:jc w:val="left"/>
        <w:rPr>
          <w:rFonts w:hint="eastAsia" w:ascii="宋体" w:hAnsi="宋体" w:cs="宋体"/>
          <w:color w:val="auto"/>
          <w:szCs w:val="21"/>
          <w:highlight w:val="none"/>
        </w:rPr>
      </w:pPr>
    </w:p>
    <w:p w14:paraId="4AF2075E">
      <w:pPr>
        <w:spacing w:line="520" w:lineRule="exact"/>
        <w:ind w:firstLine="880"/>
        <w:jc w:val="left"/>
        <w:rPr>
          <w:rFonts w:hint="eastAsia" w:ascii="宋体" w:hAnsi="宋体" w:cs="宋体"/>
          <w:color w:val="auto"/>
          <w:szCs w:val="21"/>
          <w:highlight w:val="none"/>
        </w:rPr>
      </w:pPr>
    </w:p>
    <w:p w14:paraId="04E5EACE">
      <w:pPr>
        <w:spacing w:line="520" w:lineRule="exact"/>
        <w:ind w:firstLine="880"/>
        <w:jc w:val="left"/>
        <w:rPr>
          <w:rFonts w:hint="eastAsia" w:ascii="宋体" w:hAnsi="宋体" w:cs="宋体"/>
          <w:color w:val="auto"/>
          <w:szCs w:val="21"/>
          <w:highlight w:val="none"/>
        </w:rPr>
      </w:pPr>
    </w:p>
    <w:p w14:paraId="4A2AB3DD">
      <w:pPr>
        <w:spacing w:line="520" w:lineRule="exact"/>
        <w:ind w:firstLine="880"/>
        <w:jc w:val="left"/>
        <w:rPr>
          <w:rFonts w:hint="eastAsia" w:ascii="宋体" w:hAnsi="宋体" w:cs="宋体"/>
          <w:color w:val="auto"/>
          <w:szCs w:val="21"/>
          <w:highlight w:val="none"/>
        </w:rPr>
      </w:pPr>
    </w:p>
    <w:p w14:paraId="31A8E8F8">
      <w:pPr>
        <w:spacing w:line="520" w:lineRule="exact"/>
        <w:ind w:firstLine="880"/>
        <w:jc w:val="left"/>
        <w:rPr>
          <w:rFonts w:hint="eastAsia" w:ascii="宋体" w:hAnsi="宋体" w:cs="宋体"/>
          <w:color w:val="auto"/>
          <w:szCs w:val="21"/>
          <w:highlight w:val="none"/>
        </w:rPr>
      </w:pPr>
    </w:p>
    <w:p w14:paraId="720E0387">
      <w:pPr>
        <w:spacing w:line="520" w:lineRule="exact"/>
        <w:ind w:firstLine="880"/>
        <w:jc w:val="left"/>
        <w:rPr>
          <w:rFonts w:hint="eastAsia" w:ascii="宋体" w:hAnsi="宋体" w:cs="宋体"/>
          <w:color w:val="auto"/>
          <w:szCs w:val="21"/>
          <w:highlight w:val="none"/>
        </w:rPr>
      </w:pPr>
    </w:p>
    <w:p w14:paraId="1F2C1BFD">
      <w:pPr>
        <w:spacing w:line="520" w:lineRule="exact"/>
        <w:ind w:firstLine="880"/>
        <w:jc w:val="left"/>
        <w:rPr>
          <w:rFonts w:hint="eastAsia" w:ascii="宋体" w:hAnsi="宋体" w:cs="宋体"/>
          <w:color w:val="auto"/>
          <w:szCs w:val="21"/>
          <w:highlight w:val="none"/>
        </w:rPr>
      </w:pPr>
    </w:p>
    <w:p w14:paraId="08F9898A">
      <w:pPr>
        <w:spacing w:line="520" w:lineRule="exact"/>
        <w:ind w:firstLine="880"/>
        <w:jc w:val="left"/>
        <w:rPr>
          <w:rFonts w:hint="eastAsia" w:ascii="宋体" w:hAnsi="宋体" w:cs="宋体"/>
          <w:color w:val="auto"/>
          <w:szCs w:val="21"/>
          <w:highlight w:val="none"/>
        </w:rPr>
      </w:pPr>
    </w:p>
    <w:p w14:paraId="022EA163">
      <w:pPr>
        <w:spacing w:line="520" w:lineRule="exact"/>
        <w:ind w:firstLine="880"/>
        <w:jc w:val="left"/>
        <w:rPr>
          <w:rFonts w:hint="eastAsia" w:ascii="宋体" w:hAnsi="宋体" w:cs="宋体"/>
          <w:color w:val="auto"/>
          <w:szCs w:val="21"/>
          <w:highlight w:val="none"/>
        </w:rPr>
      </w:pPr>
    </w:p>
    <w:p w14:paraId="2AE990F4">
      <w:pPr>
        <w:spacing w:line="520" w:lineRule="exact"/>
        <w:ind w:firstLine="880"/>
        <w:jc w:val="left"/>
        <w:rPr>
          <w:rFonts w:hint="eastAsia" w:ascii="宋体" w:hAnsi="宋体" w:cs="宋体"/>
          <w:color w:val="auto"/>
          <w:szCs w:val="21"/>
          <w:highlight w:val="none"/>
        </w:rPr>
      </w:pPr>
    </w:p>
    <w:p w14:paraId="0E6EB7F3">
      <w:pPr>
        <w:spacing w:line="520" w:lineRule="exact"/>
        <w:ind w:firstLine="880"/>
        <w:jc w:val="left"/>
        <w:rPr>
          <w:rFonts w:hint="eastAsia" w:ascii="宋体" w:hAnsi="宋体" w:cs="宋体"/>
          <w:color w:val="auto"/>
          <w:szCs w:val="21"/>
          <w:highlight w:val="none"/>
        </w:rPr>
      </w:pPr>
    </w:p>
    <w:p w14:paraId="28AB71C5">
      <w:pPr>
        <w:spacing w:line="520" w:lineRule="exact"/>
        <w:ind w:firstLine="880"/>
        <w:jc w:val="left"/>
        <w:rPr>
          <w:rFonts w:hint="eastAsia" w:ascii="宋体" w:hAnsi="宋体" w:cs="宋体"/>
          <w:color w:val="auto"/>
          <w:szCs w:val="21"/>
          <w:highlight w:val="none"/>
        </w:rPr>
      </w:pPr>
    </w:p>
    <w:p w14:paraId="40A4D422">
      <w:pPr>
        <w:spacing w:line="520" w:lineRule="exact"/>
        <w:ind w:firstLine="880"/>
        <w:jc w:val="left"/>
        <w:rPr>
          <w:rFonts w:hint="eastAsia" w:ascii="宋体" w:hAnsi="宋体" w:cs="宋体"/>
          <w:color w:val="auto"/>
          <w:szCs w:val="21"/>
          <w:highlight w:val="none"/>
        </w:rPr>
      </w:pPr>
    </w:p>
    <w:p w14:paraId="58713A3C">
      <w:pPr>
        <w:spacing w:line="520" w:lineRule="exact"/>
        <w:ind w:firstLine="880"/>
        <w:jc w:val="left"/>
        <w:rPr>
          <w:rFonts w:hint="eastAsia" w:ascii="宋体" w:hAnsi="宋体" w:cs="宋体"/>
          <w:color w:val="auto"/>
          <w:szCs w:val="21"/>
          <w:highlight w:val="none"/>
        </w:rPr>
      </w:pPr>
    </w:p>
    <w:p w14:paraId="60890F5D">
      <w:pPr>
        <w:spacing w:line="520" w:lineRule="exact"/>
        <w:ind w:firstLine="880"/>
        <w:jc w:val="left"/>
        <w:rPr>
          <w:rFonts w:hint="eastAsia" w:ascii="宋体" w:hAnsi="宋体" w:cs="宋体"/>
          <w:color w:val="auto"/>
          <w:szCs w:val="21"/>
          <w:highlight w:val="none"/>
        </w:rPr>
      </w:pPr>
    </w:p>
    <w:p w14:paraId="1AA4E25B">
      <w:pPr>
        <w:spacing w:line="520" w:lineRule="exact"/>
        <w:ind w:firstLine="880"/>
        <w:jc w:val="left"/>
        <w:rPr>
          <w:rFonts w:hint="eastAsia" w:ascii="宋体" w:hAnsi="宋体" w:cs="宋体"/>
          <w:color w:val="auto"/>
          <w:szCs w:val="21"/>
          <w:highlight w:val="none"/>
        </w:rPr>
      </w:pPr>
    </w:p>
    <w:p w14:paraId="2F34A669">
      <w:pPr>
        <w:spacing w:line="520" w:lineRule="exact"/>
        <w:ind w:firstLine="880"/>
        <w:jc w:val="left"/>
        <w:rPr>
          <w:rFonts w:hint="eastAsia" w:ascii="宋体" w:hAnsi="宋体" w:cs="宋体"/>
          <w:color w:val="auto"/>
          <w:szCs w:val="21"/>
          <w:highlight w:val="none"/>
        </w:rPr>
      </w:pPr>
    </w:p>
    <w:p w14:paraId="55737DDA">
      <w:pPr>
        <w:spacing w:line="520" w:lineRule="exact"/>
        <w:ind w:firstLine="0"/>
        <w:jc w:val="left"/>
        <w:rPr>
          <w:rFonts w:hint="eastAsia" w:ascii="方正小标宋简体" w:hAnsi="方正小标宋简体" w:eastAsia="仿宋" w:cs="方正小标宋简体"/>
          <w:bCs/>
          <w:color w:val="auto"/>
          <w:sz w:val="44"/>
          <w:szCs w:val="44"/>
          <w:highlight w:val="none"/>
          <w:lang w:eastAsia="zh-CN"/>
        </w:rPr>
      </w:pPr>
      <w:r>
        <w:rPr>
          <w:rFonts w:hint="eastAsia" w:ascii="方正小标宋简体" w:hAnsi="方正小标宋简体" w:eastAsia="方正小标宋简体" w:cs="方正小标宋简体"/>
          <w:color w:val="auto"/>
          <w:sz w:val="44"/>
          <w:szCs w:val="44"/>
          <w:highlight w:val="none"/>
        </w:rPr>
        <w:br w:type="page"/>
      </w:r>
      <w:r>
        <w:rPr>
          <w:rFonts w:hint="eastAsia" w:ascii="宋体" w:hAnsi="宋体" w:eastAsia="宋体" w:cs="宋体"/>
          <w:b/>
          <w:bCs/>
          <w:color w:val="auto"/>
          <w:sz w:val="28"/>
          <w:szCs w:val="28"/>
          <w:highlight w:val="none"/>
          <w:lang w:val="en-US" w:eastAsia="zh-CN"/>
        </w:rPr>
        <w:t>5.</w:t>
      </w:r>
      <w:r>
        <w:rPr>
          <w:rFonts w:hint="eastAsia" w:ascii="宋体" w:hAnsi="宋体" w:eastAsia="宋体" w:cs="宋体"/>
          <w:b/>
          <w:bCs/>
          <w:color w:val="auto"/>
          <w:sz w:val="28"/>
          <w:szCs w:val="28"/>
          <w:highlight w:val="none"/>
        </w:rPr>
        <w:t>法定代表人授权委托书</w:t>
      </w:r>
      <w:r>
        <w:rPr>
          <w:rFonts w:hint="eastAsia" w:ascii="宋体" w:hAnsi="宋体" w:eastAsia="宋体" w:cs="宋体"/>
          <w:b/>
          <w:bCs/>
          <w:color w:val="auto"/>
          <w:sz w:val="28"/>
          <w:szCs w:val="28"/>
          <w:highlight w:val="none"/>
          <w:lang w:eastAsia="zh-CN"/>
        </w:rPr>
        <w:t>的格式：</w:t>
      </w:r>
    </w:p>
    <w:p w14:paraId="0FF8B133">
      <w:pPr>
        <w:spacing w:line="500" w:lineRule="exact"/>
        <w:jc w:val="center"/>
        <w:rPr>
          <w:rFonts w:hint="eastAsia" w:ascii="方正小标宋简体" w:hAnsi="方正小标宋简体" w:eastAsia="方正小标宋简体" w:cs="方正小标宋简体"/>
          <w:color w:val="auto"/>
          <w:sz w:val="44"/>
          <w:szCs w:val="44"/>
          <w:highlight w:val="none"/>
        </w:rPr>
      </w:pPr>
    </w:p>
    <w:p w14:paraId="47DCE548">
      <w:pPr>
        <w:spacing w:line="520" w:lineRule="exact"/>
        <w:jc w:val="center"/>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授权委托书（非联合体竞标格式）</w:t>
      </w:r>
    </w:p>
    <w:p w14:paraId="494A2319">
      <w:pPr>
        <w:spacing w:line="520" w:lineRule="exact"/>
        <w:jc w:val="center"/>
        <w:rPr>
          <w:rFonts w:hint="eastAsia" w:ascii="宋体" w:hAnsi="宋体" w:eastAsia="宋体" w:cs="宋体"/>
          <w:color w:val="auto"/>
          <w:sz w:val="32"/>
          <w:szCs w:val="32"/>
          <w:highlight w:val="none"/>
        </w:rPr>
      </w:pPr>
      <w:r>
        <w:rPr>
          <w:rFonts w:hint="eastAsia" w:ascii="宋体" w:hAnsi="宋体" w:eastAsia="宋体" w:cs="宋体"/>
          <w:color w:val="auto"/>
          <w:sz w:val="32"/>
          <w:szCs w:val="32"/>
          <w:highlight w:val="none"/>
        </w:rPr>
        <w:t>（如有委托时）</w:t>
      </w:r>
    </w:p>
    <w:p w14:paraId="422630F7">
      <w:pPr>
        <w:spacing w:line="520" w:lineRule="exact"/>
        <w:rPr>
          <w:rFonts w:hint="eastAsia" w:ascii="仿宋_GB2312" w:hAnsi="仿宋_GB2312" w:eastAsia="仿宋_GB2312" w:cs="仿宋_GB2312"/>
          <w:color w:val="auto"/>
          <w:sz w:val="32"/>
          <w:szCs w:val="32"/>
          <w:highlight w:val="none"/>
        </w:rPr>
      </w:pPr>
    </w:p>
    <w:p w14:paraId="701CDA70">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致：</w:t>
      </w:r>
      <w:r>
        <w:rPr>
          <w:rFonts w:hint="eastAsia" w:ascii="宋体" w:hAnsi="宋体" w:eastAsia="宋体" w:cs="宋体"/>
          <w:color w:val="auto"/>
          <w:sz w:val="24"/>
          <w:highlight w:val="none"/>
          <w:u w:val="single"/>
        </w:rPr>
        <w:t>（采购人名称）</w:t>
      </w:r>
      <w:r>
        <w:rPr>
          <w:rFonts w:hint="eastAsia" w:ascii="宋体" w:hAnsi="宋体" w:eastAsia="宋体" w:cs="宋体"/>
          <w:color w:val="auto"/>
          <w:sz w:val="24"/>
          <w:highlight w:val="none"/>
        </w:rPr>
        <w:t>：</w:t>
      </w:r>
    </w:p>
    <w:p w14:paraId="35587968">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我</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highlight w:val="none"/>
          <w:u w:val="single"/>
        </w:rPr>
        <w:t>（姓名）</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系</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highlight w:val="none"/>
          <w:u w:val="single"/>
        </w:rPr>
        <w:t>（供应商名称）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的（</w:t>
      </w:r>
      <w:r>
        <w:rPr>
          <w:rFonts w:hint="eastAsia" w:ascii="宋体" w:hAnsi="宋体" w:eastAsia="宋体" w:cs="宋体"/>
          <w:color w:val="auto"/>
          <w:sz w:val="24"/>
          <w:highlight w:val="none"/>
          <w:u w:val="single"/>
        </w:rPr>
        <w:t>□法定代表人/□负责人/□自然人本人</w:t>
      </w:r>
      <w:r>
        <w:rPr>
          <w:rFonts w:hint="eastAsia" w:ascii="宋体" w:hAnsi="宋体" w:eastAsia="宋体" w:cs="宋体"/>
          <w:color w:val="auto"/>
          <w:sz w:val="24"/>
          <w:highlight w:val="none"/>
        </w:rPr>
        <w:t>），现授权</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highlight w:val="none"/>
          <w:u w:val="single"/>
        </w:rPr>
        <w:t>（姓名）</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以我方的名义参加</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szCs w:val="24"/>
          <w:highlight w:val="none"/>
          <w:u w:val="single"/>
          <w:lang w:eastAsia="zh-CN"/>
        </w:rPr>
        <w:t>（项目名称）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项目的竞标活动，并代表我方全权办理针对上述项目的所有采购程序和环节的具体事务和签署相关文件。</w:t>
      </w:r>
    </w:p>
    <w:p w14:paraId="2DB71955">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我方对委托代理人的签字事项负全部责任。</w:t>
      </w:r>
    </w:p>
    <w:p w14:paraId="51A8DBB6">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本授权书自签署之日起生效，在撤销授权的书面通知以前，本授权书一直有效。委托代理人在授权书有效期内签署的所有文件不因授权的撤销而失效。</w:t>
      </w:r>
    </w:p>
    <w:p w14:paraId="3A8DCF63">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委托代理人无转委托权，特此委托。</w:t>
      </w:r>
    </w:p>
    <w:p w14:paraId="52D1A3E2">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附：委托代理人有效身份证正反面复印件</w:t>
      </w:r>
    </w:p>
    <w:p w14:paraId="1C0C52BC">
      <w:pPr>
        <w:spacing w:line="360" w:lineRule="auto"/>
        <w:rPr>
          <w:rFonts w:hint="eastAsia" w:ascii="宋体" w:hAnsi="宋体" w:eastAsia="宋体" w:cs="宋体"/>
          <w:color w:val="auto"/>
          <w:sz w:val="24"/>
          <w:highlight w:val="none"/>
        </w:rPr>
      </w:pPr>
    </w:p>
    <w:p w14:paraId="3E4C76DB">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委托代理人（签字）：         法定代表人（签字）：                    </w:t>
      </w:r>
    </w:p>
    <w:p w14:paraId="3043F80D">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委托代理人身份证号码：                              </w:t>
      </w:r>
    </w:p>
    <w:p w14:paraId="19A22412">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14:paraId="339B03E6">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5AB5ED07">
      <w:pPr>
        <w:spacing w:line="360" w:lineRule="auto"/>
        <w:contextualSpacing/>
        <w:jc w:val="center"/>
        <w:rPr>
          <w:rFonts w:hint="eastAsia" w:ascii="宋体" w:hAnsi="宋体" w:eastAsia="宋体" w:cs="宋体"/>
          <w:b/>
          <w:color w:val="auto"/>
          <w:sz w:val="24"/>
          <w:highlight w:val="none"/>
        </w:rPr>
      </w:pPr>
      <w:r>
        <w:rPr>
          <w:rFonts w:hint="eastAsia" w:ascii="宋体" w:hAnsi="宋体" w:eastAsia="宋体" w:cs="宋体"/>
          <w:color w:val="auto"/>
          <w:kern w:val="0"/>
          <w:sz w:val="24"/>
          <w:highlight w:val="none"/>
          <w:lang w:val="zh-CN"/>
        </w:rPr>
        <w:t xml:space="preserve">                                                   日期：  年  月   日</w:t>
      </w:r>
    </w:p>
    <w:p w14:paraId="1EEE730B">
      <w:pPr>
        <w:spacing w:line="360" w:lineRule="auto"/>
        <w:rPr>
          <w:rFonts w:hint="eastAsia" w:ascii="宋体" w:hAnsi="宋体" w:eastAsia="宋体" w:cs="宋体"/>
          <w:color w:val="auto"/>
          <w:sz w:val="24"/>
          <w:highlight w:val="none"/>
        </w:rPr>
      </w:pPr>
    </w:p>
    <w:p w14:paraId="52C617AE">
      <w:pPr>
        <w:spacing w:line="360" w:lineRule="auto"/>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p>
    <w:p w14:paraId="201D46B0">
      <w:pPr>
        <w:spacing w:line="360" w:lineRule="auto"/>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 法定代表人</w:t>
      </w:r>
      <w:r>
        <w:rPr>
          <w:rFonts w:hint="eastAsia" w:ascii="宋体" w:hAnsi="宋体" w:eastAsia="宋体" w:cs="宋体"/>
          <w:color w:val="auto"/>
          <w:sz w:val="21"/>
          <w:szCs w:val="21"/>
          <w:highlight w:val="none"/>
          <w:lang w:val="en-US" w:eastAsia="zh-CN"/>
        </w:rPr>
        <w:t>和</w:t>
      </w:r>
      <w:r>
        <w:rPr>
          <w:rFonts w:hint="eastAsia" w:ascii="宋体" w:hAnsi="宋体" w:eastAsia="宋体" w:cs="宋体"/>
          <w:color w:val="auto"/>
          <w:sz w:val="21"/>
          <w:szCs w:val="21"/>
          <w:highlight w:val="none"/>
        </w:rPr>
        <w:t>委托代理人必须在授权委托书上签字，</w:t>
      </w:r>
      <w:r>
        <w:rPr>
          <w:rFonts w:hint="eastAsia" w:ascii="宋体" w:hAnsi="宋体" w:eastAsia="宋体" w:cs="宋体"/>
          <w:b/>
          <w:color w:val="auto"/>
          <w:sz w:val="21"/>
          <w:szCs w:val="21"/>
          <w:highlight w:val="none"/>
        </w:rPr>
        <w:t>否则其响应文件按无效响应处理。</w:t>
      </w:r>
    </w:p>
    <w:p w14:paraId="0A1E4588">
      <w:pPr>
        <w:spacing w:line="360" w:lineRule="auto"/>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2.供应商为其他组织或者自然人时，本磋商文件规定的法定代表人指负责人或者自然人。本磋商文件所称负责人是指参加竞标的其他组织营业执照上的负责人，本磋商文件所称自然人指参与竞标的自然人本人。</w:t>
      </w:r>
    </w:p>
    <w:p w14:paraId="201093E8">
      <w:pPr>
        <w:spacing w:line="360" w:lineRule="auto"/>
        <w:ind w:firstLine="420" w:firstLineChars="200"/>
        <w:jc w:val="left"/>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3. 法人、其他组织竞标时“我方”是指“我单位”，自然人竞标时“我方”是指“本人”。</w:t>
      </w:r>
    </w:p>
    <w:p w14:paraId="54EB74E5">
      <w:pPr>
        <w:spacing w:line="500" w:lineRule="exact"/>
        <w:jc w:val="center"/>
        <w:rPr>
          <w:rFonts w:hint="eastAsia" w:ascii="宋体" w:hAnsi="宋体" w:eastAsia="宋体" w:cs="宋体"/>
          <w:b/>
          <w:bCs/>
          <w:color w:val="auto"/>
          <w:sz w:val="32"/>
          <w:szCs w:val="32"/>
          <w:highlight w:val="none"/>
        </w:rPr>
      </w:pPr>
      <w:r>
        <w:rPr>
          <w:rFonts w:ascii="仿宋_GB2312" w:hAnsi="仿宋_GB2312" w:eastAsia="仿宋_GB2312" w:cs="仿宋_GB2312"/>
          <w:color w:val="auto"/>
          <w:szCs w:val="21"/>
          <w:highlight w:val="none"/>
        </w:rPr>
        <w:br w:type="page"/>
      </w:r>
      <w:r>
        <w:rPr>
          <w:rFonts w:hint="eastAsia" w:ascii="宋体" w:hAnsi="宋体" w:eastAsia="宋体" w:cs="宋体"/>
          <w:b/>
          <w:bCs/>
          <w:color w:val="auto"/>
          <w:sz w:val="32"/>
          <w:szCs w:val="32"/>
          <w:highlight w:val="none"/>
        </w:rPr>
        <w:t>授权委托书（联合体竞标格式）</w:t>
      </w:r>
    </w:p>
    <w:p w14:paraId="2E84BF42">
      <w:pPr>
        <w:spacing w:line="500" w:lineRule="exact"/>
        <w:jc w:val="cente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（如有委托时）</w:t>
      </w:r>
    </w:p>
    <w:p w14:paraId="7477DFB5">
      <w:pPr>
        <w:spacing w:line="500" w:lineRule="exact"/>
        <w:jc w:val="center"/>
        <w:rPr>
          <w:rFonts w:ascii="方正小标宋简体" w:hAnsi="方正小标宋简体" w:eastAsia="方正小标宋简体" w:cs="方正小标宋简体"/>
          <w:color w:val="auto"/>
          <w:sz w:val="44"/>
          <w:szCs w:val="44"/>
          <w:highlight w:val="none"/>
        </w:rPr>
      </w:pPr>
    </w:p>
    <w:p w14:paraId="27AD7589">
      <w:pPr>
        <w:spacing w:line="500" w:lineRule="exact"/>
        <w:jc w:val="center"/>
        <w:rPr>
          <w:rFonts w:hint="eastAsia" w:ascii="仿宋_GB2312" w:hAnsi="仿宋_GB2312" w:eastAsia="仿宋_GB2312" w:cs="仿宋_GB2312"/>
          <w:color w:val="auto"/>
          <w:sz w:val="32"/>
          <w:szCs w:val="32"/>
          <w:highlight w:val="none"/>
        </w:rPr>
      </w:pPr>
    </w:p>
    <w:p w14:paraId="2642ECB5">
      <w:pPr>
        <w:spacing w:line="360" w:lineRule="auto"/>
        <w:ind w:firstLine="480" w:firstLineChars="200"/>
        <w:jc w:val="left"/>
        <w:rPr>
          <w:rFonts w:hint="eastAsia" w:ascii="宋体" w:hAnsi="宋体" w:eastAsia="宋体" w:cs="宋体"/>
          <w:color w:val="auto"/>
          <w:sz w:val="24"/>
          <w:highlight w:val="none"/>
        </w:rPr>
      </w:pPr>
      <w:r>
        <w:rPr>
          <w:rFonts w:hint="eastAsia" w:ascii="宋体" w:hAnsi="宋体" w:eastAsia="宋体" w:cs="宋体"/>
          <w:color w:val="auto"/>
          <w:sz w:val="24"/>
          <w:highlight w:val="none"/>
        </w:rPr>
        <w:t>本授权委托书声明：根据</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（牵头人名称）与</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（联合体其他成员名称）签订的《联合体竞标协议书》的内容，</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（牵头人名称）的法定代表人</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highlight w:val="none"/>
          <w:u w:val="single"/>
        </w:rPr>
        <w:t>（姓名）</w:t>
      </w:r>
      <w:r>
        <w:rPr>
          <w:rFonts w:hint="eastAsia" w:ascii="宋体" w:hAnsi="宋体" w:eastAsia="宋体" w:cs="宋体"/>
          <w:color w:val="auto"/>
          <w:sz w:val="24"/>
          <w:highlight w:val="none"/>
        </w:rPr>
        <w:t>现授权</w:t>
      </w:r>
      <w:r>
        <w:rPr>
          <w:rFonts w:hint="eastAsia" w:ascii="宋体" w:hAnsi="宋体" w:eastAsia="宋体" w:cs="宋体"/>
          <w:color w:val="auto"/>
          <w:sz w:val="24"/>
          <w:highlight w:val="none"/>
          <w:u w:val="single"/>
        </w:rPr>
        <w:t xml:space="preserve">     </w:t>
      </w:r>
      <w:r>
        <w:rPr>
          <w:rFonts w:hint="eastAsia" w:ascii="宋体" w:hAnsi="宋体" w:eastAsia="宋体" w:cs="宋体"/>
          <w:i/>
          <w:iCs/>
          <w:color w:val="auto"/>
          <w:sz w:val="24"/>
          <w:highlight w:val="none"/>
          <w:u w:val="single"/>
        </w:rPr>
        <w:t xml:space="preserve"> （姓名）</w:t>
      </w:r>
      <w:r>
        <w:rPr>
          <w:rFonts w:hint="eastAsia" w:ascii="宋体" w:hAnsi="宋体" w:eastAsia="宋体" w:cs="宋体"/>
          <w:color w:val="auto"/>
          <w:sz w:val="24"/>
          <w:highlight w:val="none"/>
        </w:rPr>
        <w:t>为联合委托代理人，并代表我方全权办理针对上述项目的所有采购程序和环节的具体事务和签署相关文件。</w:t>
      </w:r>
    </w:p>
    <w:p w14:paraId="2E501D4A">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我方对委托代理人的签字事项负全部责任。</w:t>
      </w:r>
    </w:p>
    <w:p w14:paraId="7B1005CB">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本授权书自签署之日起生效，在撤销授权的书面通知以前，本授权书一直有效。委托代理人在授权书有效期内签署的所有文件不因授权的撤销而失效。</w:t>
      </w:r>
    </w:p>
    <w:p w14:paraId="07550B1E">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委托代理人无转委托权，特此委托。</w:t>
      </w:r>
    </w:p>
    <w:p w14:paraId="04B8316C">
      <w:pPr>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14:paraId="6AB0EF41">
      <w:pPr>
        <w:spacing w:line="360" w:lineRule="auto"/>
        <w:ind w:firstLine="1560" w:firstLineChars="650"/>
        <w:rPr>
          <w:rFonts w:hint="eastAsia" w:ascii="宋体" w:hAnsi="宋体" w:eastAsia="宋体" w:cs="宋体"/>
          <w:color w:val="auto"/>
          <w:sz w:val="24"/>
          <w:highlight w:val="none"/>
        </w:rPr>
      </w:pPr>
      <w:r>
        <w:rPr>
          <w:rFonts w:hint="eastAsia" w:ascii="宋体" w:hAnsi="宋体" w:eastAsia="宋体" w:cs="宋体"/>
          <w:color w:val="auto"/>
          <w:sz w:val="24"/>
          <w:highlight w:val="none"/>
        </w:rPr>
        <w:t>牵头人法定代表人（签字）：</w:t>
      </w:r>
    </w:p>
    <w:p w14:paraId="164C5659">
      <w:pPr>
        <w:spacing w:line="360" w:lineRule="auto"/>
        <w:ind w:firstLine="3120" w:firstLineChars="1300"/>
        <w:rPr>
          <w:rFonts w:hint="eastAsia" w:ascii="宋体" w:hAnsi="宋体" w:eastAsia="宋体" w:cs="宋体"/>
          <w:color w:val="auto"/>
          <w:sz w:val="24"/>
          <w:highlight w:val="none"/>
        </w:rPr>
      </w:pPr>
      <w:r>
        <w:rPr>
          <w:rFonts w:hint="eastAsia" w:ascii="宋体" w:hAnsi="宋体" w:eastAsia="宋体" w:cs="宋体"/>
          <w:color w:val="auto"/>
          <w:sz w:val="24"/>
          <w:highlight w:val="none"/>
        </w:rPr>
        <w:t>牵头人</w:t>
      </w:r>
      <w:r>
        <w:rPr>
          <w:rFonts w:hint="eastAsia" w:ascii="宋体" w:hAnsi="宋体" w:eastAsia="宋体" w:cs="宋体"/>
          <w:color w:val="auto"/>
          <w:sz w:val="24"/>
          <w:highlight w:val="none"/>
          <w:lang w:eastAsia="zh-CN"/>
        </w:rPr>
        <w:t>名称</w:t>
      </w:r>
      <w:r>
        <w:rPr>
          <w:rFonts w:hint="eastAsia" w:ascii="宋体" w:hAnsi="宋体" w:eastAsia="宋体" w:cs="宋体"/>
          <w:color w:val="auto"/>
          <w:sz w:val="24"/>
          <w:highlight w:val="none"/>
        </w:rPr>
        <w:t>（</w:t>
      </w:r>
      <w:r>
        <w:rPr>
          <w:rFonts w:hint="eastAsia" w:ascii="宋体" w:hAnsi="宋体" w:eastAsia="宋体" w:cs="宋体"/>
          <w:color w:val="auto"/>
          <w:sz w:val="24"/>
          <w:highlight w:val="none"/>
          <w:lang w:eastAsia="zh-CN"/>
        </w:rPr>
        <w:t>盖公章</w:t>
      </w:r>
      <w:r>
        <w:rPr>
          <w:rFonts w:hint="eastAsia" w:ascii="宋体" w:hAnsi="宋体" w:eastAsia="宋体" w:cs="宋体"/>
          <w:color w:val="auto"/>
          <w:sz w:val="24"/>
          <w:highlight w:val="none"/>
        </w:rPr>
        <w:t>）：</w:t>
      </w:r>
    </w:p>
    <w:p w14:paraId="4BCFF3C1">
      <w:pPr>
        <w:spacing w:line="360" w:lineRule="auto"/>
        <w:ind w:firstLine="3840" w:firstLineChars="1600"/>
        <w:rPr>
          <w:rFonts w:hint="eastAsia" w:ascii="宋体" w:hAnsi="宋体" w:eastAsia="宋体" w:cs="宋体"/>
          <w:color w:val="auto"/>
          <w:sz w:val="24"/>
          <w:highlight w:val="none"/>
        </w:rPr>
      </w:pPr>
      <w:r>
        <w:rPr>
          <w:rFonts w:hint="eastAsia" w:ascii="宋体" w:hAnsi="宋体" w:eastAsia="宋体" w:cs="宋体"/>
          <w:color w:val="auto"/>
          <w:sz w:val="24"/>
          <w:highlight w:val="none"/>
        </w:rPr>
        <w:t>日期：    年   月   日</w:t>
      </w:r>
    </w:p>
    <w:p w14:paraId="7F353D08">
      <w:pPr>
        <w:spacing w:line="360" w:lineRule="auto"/>
        <w:rPr>
          <w:rFonts w:hint="eastAsia" w:ascii="宋体" w:hAnsi="宋体" w:eastAsia="宋体" w:cs="宋体"/>
          <w:color w:val="auto"/>
          <w:sz w:val="24"/>
          <w:highlight w:val="none"/>
        </w:rPr>
      </w:pPr>
    </w:p>
    <w:p w14:paraId="392B4C9B">
      <w:pPr>
        <w:spacing w:line="360" w:lineRule="auto"/>
        <w:ind w:firstLine="3120" w:firstLineChars="1300"/>
        <w:rPr>
          <w:rFonts w:hint="eastAsia" w:ascii="宋体" w:hAnsi="宋体" w:eastAsia="宋体" w:cs="宋体"/>
          <w:color w:val="auto"/>
          <w:sz w:val="24"/>
          <w:highlight w:val="none"/>
        </w:rPr>
      </w:pPr>
      <w:r>
        <w:rPr>
          <w:rFonts w:hint="eastAsia" w:ascii="宋体" w:hAnsi="宋体" w:eastAsia="宋体" w:cs="宋体"/>
          <w:color w:val="auto"/>
          <w:sz w:val="24"/>
          <w:highlight w:val="none"/>
        </w:rPr>
        <w:t>委托代理人（签字）：</w:t>
      </w:r>
    </w:p>
    <w:p w14:paraId="7F98FA55">
      <w:pPr>
        <w:spacing w:line="360" w:lineRule="auto"/>
        <w:ind w:firstLine="3840" w:firstLineChars="1600"/>
        <w:rPr>
          <w:rFonts w:hint="eastAsia" w:ascii="宋体" w:hAnsi="宋体" w:eastAsia="宋体" w:cs="宋体"/>
          <w:color w:val="auto"/>
          <w:sz w:val="24"/>
          <w:highlight w:val="none"/>
        </w:rPr>
      </w:pPr>
      <w:r>
        <w:rPr>
          <w:rFonts w:hint="eastAsia" w:ascii="宋体" w:hAnsi="宋体" w:eastAsia="宋体" w:cs="宋体"/>
          <w:color w:val="auto"/>
          <w:sz w:val="24"/>
          <w:highlight w:val="none"/>
        </w:rPr>
        <w:t>日期：    年   月   日</w:t>
      </w:r>
    </w:p>
    <w:p w14:paraId="37DEFB94">
      <w:pPr>
        <w:spacing w:line="360" w:lineRule="auto"/>
        <w:rPr>
          <w:rFonts w:hint="eastAsia" w:ascii="宋体" w:hAnsi="宋体" w:eastAsia="宋体" w:cs="宋体"/>
          <w:color w:val="auto"/>
          <w:sz w:val="24"/>
          <w:highlight w:val="none"/>
        </w:rPr>
      </w:pPr>
    </w:p>
    <w:p w14:paraId="6CF28D79">
      <w:pPr>
        <w:spacing w:line="360" w:lineRule="auto"/>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w:t>
      </w:r>
    </w:p>
    <w:p w14:paraId="069F7C4B">
      <w:pPr>
        <w:spacing w:line="360" w:lineRule="auto"/>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 法定代表人</w:t>
      </w:r>
      <w:r>
        <w:rPr>
          <w:rFonts w:hint="eastAsia" w:ascii="宋体" w:hAnsi="宋体" w:eastAsia="宋体" w:cs="宋体"/>
          <w:color w:val="auto"/>
          <w:sz w:val="21"/>
          <w:szCs w:val="21"/>
          <w:highlight w:val="none"/>
          <w:lang w:eastAsia="zh-CN"/>
        </w:rPr>
        <w:t>和</w:t>
      </w:r>
      <w:r>
        <w:rPr>
          <w:rFonts w:hint="eastAsia" w:ascii="宋体" w:hAnsi="宋体" w:eastAsia="宋体" w:cs="宋体"/>
          <w:color w:val="auto"/>
          <w:sz w:val="21"/>
          <w:szCs w:val="21"/>
          <w:highlight w:val="none"/>
        </w:rPr>
        <w:t>委托代理人必须在授权委托书上签字，</w:t>
      </w:r>
      <w:r>
        <w:rPr>
          <w:rFonts w:hint="eastAsia" w:ascii="宋体" w:hAnsi="宋体" w:eastAsia="宋体" w:cs="宋体"/>
          <w:b/>
          <w:color w:val="auto"/>
          <w:sz w:val="21"/>
          <w:szCs w:val="21"/>
          <w:highlight w:val="none"/>
        </w:rPr>
        <w:t>否则其响应文件按无效响应处理。</w:t>
      </w:r>
    </w:p>
    <w:p w14:paraId="63BBF40D">
      <w:pPr>
        <w:spacing w:line="360" w:lineRule="auto"/>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2.本授权委托书应由联合体牵头人的法定代表人按上述规定签署。</w:t>
      </w:r>
    </w:p>
    <w:p w14:paraId="410380F5">
      <w:pPr>
        <w:spacing w:line="360" w:lineRule="auto"/>
        <w:ind w:firstLine="420" w:firstLineChars="200"/>
        <w:jc w:val="left"/>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3.供应商为其他组织或者自然人时，本磋商文件规定的法定代表人指负责人或者自然人。本磋商文件所称负责人是指参加竞标的其他组织营业执照上的负责人，本磋商文件所称自然人指参与竞标的自然人本人。</w:t>
      </w:r>
    </w:p>
    <w:p w14:paraId="3137DDB3">
      <w:pPr>
        <w:spacing w:line="360" w:lineRule="auto"/>
        <w:ind w:firstLine="420" w:firstLineChars="200"/>
        <w:jc w:val="left"/>
        <w:rPr>
          <w:rFonts w:hint="eastAsia" w:ascii="宋体" w:hAnsi="宋体" w:eastAsia="宋体" w:cs="宋体"/>
          <w:color w:val="auto"/>
          <w:sz w:val="24"/>
          <w:highlight w:val="none"/>
        </w:rPr>
      </w:pPr>
      <w:r>
        <w:rPr>
          <w:rFonts w:hint="eastAsia" w:ascii="宋体" w:hAnsi="宋体" w:eastAsia="宋体" w:cs="宋体"/>
          <w:color w:val="auto"/>
          <w:sz w:val="21"/>
          <w:szCs w:val="21"/>
          <w:highlight w:val="none"/>
        </w:rPr>
        <w:t>4.法人、其他组织竞标时“我方”是指“我单位”，自然人竞标时“我方”是指“本人”。</w:t>
      </w:r>
    </w:p>
    <w:p w14:paraId="66C2534C">
      <w:pPr>
        <w:spacing w:line="360" w:lineRule="auto"/>
        <w:ind w:firstLine="420" w:firstLineChars="200"/>
        <w:jc w:val="left"/>
        <w:rPr>
          <w:rFonts w:hint="eastAsia" w:ascii="仿宋_GB2312" w:hAnsi="仿宋_GB2312" w:eastAsia="仿宋_GB2312" w:cs="仿宋_GB2312"/>
          <w:color w:val="auto"/>
          <w:szCs w:val="21"/>
          <w:highlight w:val="none"/>
        </w:rPr>
      </w:pPr>
    </w:p>
    <w:p w14:paraId="604EBF8E">
      <w:pPr>
        <w:spacing w:line="520" w:lineRule="exact"/>
        <w:ind w:firstLine="0" w:firstLineChars="0"/>
        <w:jc w:val="left"/>
        <w:rPr>
          <w:rFonts w:hint="eastAsia" w:ascii="仿宋" w:hAnsi="仿宋" w:eastAsia="仿宋" w:cs="仿宋_GB2312"/>
          <w:b/>
          <w:color w:val="auto"/>
          <w:sz w:val="30"/>
          <w:szCs w:val="30"/>
          <w:highlight w:val="none"/>
          <w:lang w:eastAsia="zh-CN"/>
        </w:rPr>
      </w:pPr>
      <w:r>
        <w:rPr>
          <w:rFonts w:hint="eastAsia" w:ascii="仿宋_GB2312" w:hAnsi="仿宋_GB2312" w:eastAsia="仿宋_GB2312" w:cs="仿宋_GB2312"/>
          <w:color w:val="auto"/>
          <w:sz w:val="32"/>
          <w:szCs w:val="32"/>
          <w:highlight w:val="none"/>
        </w:rPr>
        <w:br w:type="page"/>
      </w:r>
      <w:r>
        <w:rPr>
          <w:rFonts w:hint="eastAsia" w:ascii="宋体" w:hAnsi="宋体" w:eastAsia="宋体" w:cs="宋体"/>
          <w:b/>
          <w:color w:val="auto"/>
          <w:sz w:val="28"/>
          <w:szCs w:val="28"/>
          <w:highlight w:val="none"/>
          <w:lang w:val="en-US" w:eastAsia="zh-CN"/>
        </w:rPr>
        <w:t>6.</w:t>
      </w:r>
      <w:r>
        <w:rPr>
          <w:rFonts w:hint="eastAsia" w:ascii="宋体" w:hAnsi="宋体" w:eastAsia="宋体" w:cs="宋体"/>
          <w:b/>
          <w:color w:val="auto"/>
          <w:sz w:val="28"/>
          <w:szCs w:val="28"/>
          <w:highlight w:val="none"/>
        </w:rPr>
        <w:t>商务条款偏离表</w:t>
      </w:r>
      <w:r>
        <w:rPr>
          <w:rFonts w:hint="eastAsia" w:ascii="宋体" w:hAnsi="宋体" w:eastAsia="宋体" w:cs="宋体"/>
          <w:b/>
          <w:color w:val="auto"/>
          <w:sz w:val="28"/>
          <w:szCs w:val="28"/>
          <w:highlight w:val="none"/>
          <w:lang w:eastAsia="zh-CN"/>
        </w:rPr>
        <w:t>的格式：</w:t>
      </w:r>
    </w:p>
    <w:p w14:paraId="4627076E">
      <w:pPr>
        <w:pStyle w:val="20"/>
        <w:rPr>
          <w:rFonts w:hint="eastAsia"/>
          <w:color w:val="auto"/>
          <w:highlight w:val="none"/>
          <w:lang w:eastAsia="zh-CN"/>
        </w:rPr>
      </w:pPr>
    </w:p>
    <w:p w14:paraId="6365248B">
      <w:pPr>
        <w:spacing w:line="500" w:lineRule="exact"/>
        <w:jc w:val="center"/>
        <w:rPr>
          <w:rFonts w:hint="eastAsia" w:ascii="宋体" w:hAnsi="宋体" w:eastAsia="宋体" w:cs="宋体"/>
          <w:bCs/>
          <w:color w:val="auto"/>
          <w:sz w:val="44"/>
          <w:szCs w:val="44"/>
          <w:highlight w:val="none"/>
        </w:rPr>
      </w:pPr>
      <w:r>
        <w:rPr>
          <w:rFonts w:hint="eastAsia" w:ascii="宋体" w:hAnsi="宋体" w:eastAsia="宋体" w:cs="宋体"/>
          <w:bCs/>
          <w:color w:val="auto"/>
          <w:sz w:val="44"/>
          <w:szCs w:val="44"/>
          <w:highlight w:val="none"/>
        </w:rPr>
        <w:t>商务条款偏离表</w:t>
      </w:r>
    </w:p>
    <w:p w14:paraId="71EB18A4">
      <w:pPr>
        <w:spacing w:line="520" w:lineRule="exact"/>
        <w:rPr>
          <w:rFonts w:hint="eastAsia" w:ascii="宋体" w:hAnsi="宋体" w:eastAsia="宋体" w:cs="宋体"/>
          <w:color w:val="auto"/>
          <w:sz w:val="32"/>
          <w:szCs w:val="32"/>
          <w:highlight w:val="none"/>
        </w:rPr>
      </w:pPr>
    </w:p>
    <w:p w14:paraId="50178105">
      <w:pPr>
        <w:spacing w:line="360" w:lineRule="auto"/>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w:t>
      </w:r>
      <w:r>
        <w:rPr>
          <w:rFonts w:hint="eastAsia" w:ascii="宋体" w:hAnsi="宋体" w:eastAsia="宋体" w:cs="宋体"/>
          <w:color w:val="auto"/>
          <w:sz w:val="24"/>
          <w:highlight w:val="none"/>
          <w:lang w:eastAsia="zh-CN"/>
        </w:rPr>
        <w:t>名称</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p>
    <w:p w14:paraId="7FA5F10E">
      <w:pPr>
        <w:spacing w:line="360" w:lineRule="auto"/>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项目</w:t>
      </w:r>
      <w:r>
        <w:rPr>
          <w:rFonts w:hint="eastAsia" w:ascii="宋体" w:hAnsi="宋体" w:eastAsia="宋体" w:cs="宋体"/>
          <w:color w:val="auto"/>
          <w:sz w:val="24"/>
          <w:highlight w:val="none"/>
          <w:lang w:eastAsia="zh-CN"/>
        </w:rPr>
        <w:t>编号</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p>
    <w:p w14:paraId="3B4AB842">
      <w:pPr>
        <w:spacing w:line="360" w:lineRule="auto"/>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tbl>
      <w:tblPr>
        <w:tblStyle w:val="28"/>
        <w:tblpPr w:leftFromText="180" w:rightFromText="180" w:vertAnchor="text" w:horzAnchor="margin" w:tblpXSpec="center" w:tblpY="9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1"/>
        <w:gridCol w:w="3926"/>
        <w:gridCol w:w="3589"/>
        <w:gridCol w:w="1274"/>
      </w:tblGrid>
      <w:tr w14:paraId="7D31D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91" w:type="dxa"/>
            <w:tcBorders>
              <w:top w:val="single" w:color="auto" w:sz="4" w:space="0"/>
              <w:left w:val="single" w:color="auto" w:sz="4" w:space="0"/>
              <w:bottom w:val="single" w:color="auto" w:sz="4" w:space="0"/>
              <w:right w:val="single" w:color="auto" w:sz="4" w:space="0"/>
            </w:tcBorders>
            <w:noWrap w:val="0"/>
            <w:vAlign w:val="center"/>
          </w:tcPr>
          <w:p w14:paraId="68797F9C">
            <w:pPr>
              <w:spacing w:line="34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项号</w:t>
            </w:r>
          </w:p>
        </w:tc>
        <w:tc>
          <w:tcPr>
            <w:tcW w:w="3926" w:type="dxa"/>
            <w:tcBorders>
              <w:top w:val="single" w:color="auto" w:sz="4" w:space="0"/>
              <w:left w:val="single" w:color="auto" w:sz="4" w:space="0"/>
              <w:bottom w:val="single" w:color="auto" w:sz="4" w:space="0"/>
              <w:right w:val="single" w:color="auto" w:sz="4" w:space="0"/>
            </w:tcBorders>
            <w:noWrap w:val="0"/>
            <w:vAlign w:val="center"/>
          </w:tcPr>
          <w:p w14:paraId="1D8637B2">
            <w:pPr>
              <w:spacing w:line="340" w:lineRule="exact"/>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rPr>
              <w:t>竞争性磋商文件的商务</w:t>
            </w:r>
            <w:r>
              <w:rPr>
                <w:rFonts w:hint="eastAsia" w:ascii="宋体" w:hAnsi="宋体" w:eastAsia="宋体" w:cs="宋体"/>
                <w:color w:val="auto"/>
                <w:szCs w:val="21"/>
                <w:highlight w:val="none"/>
                <w:lang w:val="en-US" w:eastAsia="zh-CN"/>
              </w:rPr>
              <w:t>条款</w:t>
            </w:r>
          </w:p>
        </w:tc>
        <w:tc>
          <w:tcPr>
            <w:tcW w:w="3589" w:type="dxa"/>
            <w:tcBorders>
              <w:top w:val="single" w:color="auto" w:sz="4" w:space="0"/>
              <w:left w:val="single" w:color="auto" w:sz="4" w:space="0"/>
              <w:bottom w:val="single" w:color="auto" w:sz="4" w:space="0"/>
              <w:right w:val="single" w:color="auto" w:sz="4" w:space="0"/>
            </w:tcBorders>
            <w:noWrap w:val="0"/>
            <w:vAlign w:val="center"/>
          </w:tcPr>
          <w:p w14:paraId="153DEDF0">
            <w:pPr>
              <w:spacing w:line="34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响应文件</w:t>
            </w:r>
            <w:r>
              <w:rPr>
                <w:rFonts w:hint="eastAsia" w:ascii="宋体" w:hAnsi="宋体" w:eastAsia="宋体" w:cs="宋体"/>
                <w:color w:val="auto"/>
                <w:szCs w:val="21"/>
                <w:highlight w:val="none"/>
                <w:lang w:val="en-US" w:eastAsia="zh-CN"/>
              </w:rPr>
              <w:t>响应</w:t>
            </w:r>
            <w:r>
              <w:rPr>
                <w:rFonts w:hint="eastAsia" w:ascii="宋体" w:hAnsi="宋体" w:eastAsia="宋体" w:cs="宋体"/>
                <w:color w:val="auto"/>
                <w:szCs w:val="21"/>
                <w:highlight w:val="none"/>
              </w:rPr>
              <w:t>的商务条款</w:t>
            </w:r>
          </w:p>
        </w:tc>
        <w:tc>
          <w:tcPr>
            <w:tcW w:w="1274" w:type="dxa"/>
            <w:tcBorders>
              <w:top w:val="single" w:color="auto" w:sz="4" w:space="0"/>
              <w:left w:val="single" w:color="auto" w:sz="4" w:space="0"/>
              <w:bottom w:val="single" w:color="auto" w:sz="4" w:space="0"/>
              <w:right w:val="single" w:color="auto" w:sz="4" w:space="0"/>
            </w:tcBorders>
            <w:noWrap w:val="0"/>
            <w:vAlign w:val="center"/>
          </w:tcPr>
          <w:p w14:paraId="3E2732BE">
            <w:pPr>
              <w:spacing w:line="34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偏离说明</w:t>
            </w:r>
          </w:p>
        </w:tc>
      </w:tr>
      <w:tr w14:paraId="2A42DF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noWrap w:val="0"/>
            <w:vAlign w:val="top"/>
          </w:tcPr>
          <w:p w14:paraId="5E8FA6C2">
            <w:pPr>
              <w:spacing w:line="340" w:lineRule="exact"/>
              <w:rPr>
                <w:rFonts w:hint="eastAsia" w:ascii="宋体" w:hAnsi="宋体" w:eastAsia="宋体" w:cs="宋体"/>
                <w:color w:val="auto"/>
                <w:szCs w:val="21"/>
                <w:highlight w:val="none"/>
              </w:rPr>
            </w:pPr>
            <w:r>
              <w:rPr>
                <w:rFonts w:hint="eastAsia" w:ascii="宋体" w:hAnsi="宋体" w:eastAsia="宋体" w:cs="宋体"/>
                <w:color w:val="auto"/>
                <w:szCs w:val="21"/>
                <w:highlight w:val="none"/>
              </w:rPr>
              <w:t>一</w:t>
            </w:r>
          </w:p>
        </w:tc>
        <w:tc>
          <w:tcPr>
            <w:tcW w:w="3926" w:type="dxa"/>
            <w:tcBorders>
              <w:top w:val="single" w:color="auto" w:sz="4" w:space="0"/>
              <w:left w:val="single" w:color="auto" w:sz="4" w:space="0"/>
              <w:bottom w:val="single" w:color="auto" w:sz="4" w:space="0"/>
              <w:right w:val="single" w:color="auto" w:sz="4" w:space="0"/>
            </w:tcBorders>
            <w:noWrap w:val="0"/>
            <w:vAlign w:val="top"/>
          </w:tcPr>
          <w:p w14:paraId="3767769D">
            <w:pPr>
              <w:spacing w:line="340" w:lineRule="exact"/>
              <w:rPr>
                <w:rFonts w:hint="eastAsia" w:ascii="宋体" w:hAnsi="宋体" w:eastAsia="宋体" w:cs="宋体"/>
                <w:color w:val="auto"/>
                <w:szCs w:val="21"/>
                <w:highlight w:val="none"/>
              </w:rPr>
            </w:pPr>
          </w:p>
        </w:tc>
        <w:tc>
          <w:tcPr>
            <w:tcW w:w="3589" w:type="dxa"/>
            <w:tcBorders>
              <w:top w:val="single" w:color="auto" w:sz="4" w:space="0"/>
              <w:left w:val="single" w:color="auto" w:sz="4" w:space="0"/>
              <w:bottom w:val="single" w:color="auto" w:sz="4" w:space="0"/>
              <w:right w:val="single" w:color="auto" w:sz="4" w:space="0"/>
            </w:tcBorders>
            <w:noWrap w:val="0"/>
            <w:vAlign w:val="top"/>
          </w:tcPr>
          <w:p w14:paraId="18F4BDB3">
            <w:pPr>
              <w:spacing w:line="340" w:lineRule="exact"/>
              <w:rPr>
                <w:rFonts w:hint="eastAsia" w:ascii="宋体" w:hAnsi="宋体" w:eastAsia="宋体" w:cs="宋体"/>
                <w:color w:val="auto"/>
                <w:szCs w:val="21"/>
                <w:highlight w:val="none"/>
              </w:rPr>
            </w:pPr>
          </w:p>
        </w:tc>
        <w:tc>
          <w:tcPr>
            <w:tcW w:w="1274" w:type="dxa"/>
            <w:tcBorders>
              <w:top w:val="single" w:color="auto" w:sz="4" w:space="0"/>
              <w:left w:val="single" w:color="auto" w:sz="4" w:space="0"/>
              <w:bottom w:val="single" w:color="auto" w:sz="4" w:space="0"/>
              <w:right w:val="single" w:color="auto" w:sz="4" w:space="0"/>
            </w:tcBorders>
            <w:noWrap w:val="0"/>
            <w:vAlign w:val="top"/>
          </w:tcPr>
          <w:p w14:paraId="6226896D">
            <w:pPr>
              <w:spacing w:line="300" w:lineRule="exact"/>
              <w:rPr>
                <w:rFonts w:hint="eastAsia" w:ascii="宋体" w:hAnsi="宋体" w:eastAsia="宋体" w:cs="宋体"/>
                <w:color w:val="auto"/>
                <w:szCs w:val="21"/>
                <w:highlight w:val="none"/>
              </w:rPr>
            </w:pPr>
          </w:p>
        </w:tc>
      </w:tr>
      <w:tr w14:paraId="1235A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0" w:hRule="atLeast"/>
        </w:trPr>
        <w:tc>
          <w:tcPr>
            <w:tcW w:w="691" w:type="dxa"/>
            <w:tcBorders>
              <w:top w:val="single" w:color="auto" w:sz="4" w:space="0"/>
              <w:left w:val="single" w:color="auto" w:sz="4" w:space="0"/>
              <w:bottom w:val="single" w:color="auto" w:sz="4" w:space="0"/>
              <w:right w:val="single" w:color="auto" w:sz="4" w:space="0"/>
            </w:tcBorders>
            <w:noWrap w:val="0"/>
            <w:vAlign w:val="top"/>
          </w:tcPr>
          <w:p w14:paraId="596475EE">
            <w:pPr>
              <w:spacing w:line="340" w:lineRule="exact"/>
              <w:rPr>
                <w:rFonts w:hint="eastAsia" w:ascii="宋体" w:hAnsi="宋体" w:eastAsia="宋体" w:cs="宋体"/>
                <w:color w:val="auto"/>
                <w:szCs w:val="21"/>
                <w:highlight w:val="none"/>
              </w:rPr>
            </w:pPr>
            <w:r>
              <w:rPr>
                <w:rFonts w:hint="eastAsia" w:ascii="宋体" w:hAnsi="宋体" w:eastAsia="宋体" w:cs="宋体"/>
                <w:color w:val="auto"/>
                <w:szCs w:val="21"/>
                <w:highlight w:val="none"/>
              </w:rPr>
              <w:t>二</w:t>
            </w:r>
          </w:p>
        </w:tc>
        <w:tc>
          <w:tcPr>
            <w:tcW w:w="3926" w:type="dxa"/>
            <w:tcBorders>
              <w:top w:val="single" w:color="auto" w:sz="4" w:space="0"/>
              <w:left w:val="single" w:color="auto" w:sz="4" w:space="0"/>
              <w:bottom w:val="single" w:color="auto" w:sz="4" w:space="0"/>
              <w:right w:val="single" w:color="auto" w:sz="4" w:space="0"/>
            </w:tcBorders>
            <w:noWrap w:val="0"/>
            <w:vAlign w:val="top"/>
          </w:tcPr>
          <w:p w14:paraId="4DA55CA4">
            <w:pPr>
              <w:spacing w:line="340" w:lineRule="exact"/>
              <w:rPr>
                <w:rFonts w:hint="eastAsia" w:ascii="宋体" w:hAnsi="宋体" w:eastAsia="宋体" w:cs="宋体"/>
                <w:color w:val="auto"/>
                <w:szCs w:val="21"/>
                <w:highlight w:val="none"/>
              </w:rPr>
            </w:pPr>
          </w:p>
        </w:tc>
        <w:tc>
          <w:tcPr>
            <w:tcW w:w="3589" w:type="dxa"/>
            <w:tcBorders>
              <w:top w:val="single" w:color="auto" w:sz="4" w:space="0"/>
              <w:left w:val="single" w:color="auto" w:sz="4" w:space="0"/>
              <w:bottom w:val="single" w:color="auto" w:sz="4" w:space="0"/>
              <w:right w:val="single" w:color="auto" w:sz="4" w:space="0"/>
            </w:tcBorders>
            <w:noWrap w:val="0"/>
            <w:vAlign w:val="top"/>
          </w:tcPr>
          <w:p w14:paraId="4DA5BCC9">
            <w:pPr>
              <w:spacing w:line="340" w:lineRule="exact"/>
              <w:rPr>
                <w:rFonts w:hint="eastAsia" w:ascii="宋体" w:hAnsi="宋体" w:eastAsia="宋体" w:cs="宋体"/>
                <w:color w:val="auto"/>
                <w:szCs w:val="21"/>
                <w:highlight w:val="none"/>
              </w:rPr>
            </w:pPr>
          </w:p>
        </w:tc>
        <w:tc>
          <w:tcPr>
            <w:tcW w:w="1274" w:type="dxa"/>
            <w:tcBorders>
              <w:top w:val="single" w:color="auto" w:sz="4" w:space="0"/>
              <w:left w:val="single" w:color="auto" w:sz="4" w:space="0"/>
              <w:bottom w:val="single" w:color="auto" w:sz="4" w:space="0"/>
              <w:right w:val="single" w:color="auto" w:sz="4" w:space="0"/>
            </w:tcBorders>
            <w:noWrap w:val="0"/>
            <w:vAlign w:val="top"/>
          </w:tcPr>
          <w:p w14:paraId="31946068">
            <w:pPr>
              <w:spacing w:line="300" w:lineRule="exact"/>
              <w:rPr>
                <w:rFonts w:hint="eastAsia" w:ascii="宋体" w:hAnsi="宋体" w:eastAsia="宋体" w:cs="宋体"/>
                <w:color w:val="auto"/>
                <w:szCs w:val="21"/>
                <w:highlight w:val="none"/>
              </w:rPr>
            </w:pPr>
          </w:p>
        </w:tc>
      </w:tr>
      <w:tr w14:paraId="425112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9" w:hRule="atLeast"/>
        </w:trPr>
        <w:tc>
          <w:tcPr>
            <w:tcW w:w="691" w:type="dxa"/>
            <w:tcBorders>
              <w:top w:val="single" w:color="auto" w:sz="4" w:space="0"/>
              <w:left w:val="single" w:color="auto" w:sz="4" w:space="0"/>
              <w:bottom w:val="single" w:color="auto" w:sz="4" w:space="0"/>
              <w:right w:val="single" w:color="auto" w:sz="4" w:space="0"/>
            </w:tcBorders>
            <w:noWrap w:val="0"/>
            <w:vAlign w:val="top"/>
          </w:tcPr>
          <w:p w14:paraId="6B67B12B">
            <w:pPr>
              <w:spacing w:line="340" w:lineRule="exact"/>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3926" w:type="dxa"/>
            <w:tcBorders>
              <w:top w:val="single" w:color="auto" w:sz="4" w:space="0"/>
              <w:left w:val="single" w:color="auto" w:sz="4" w:space="0"/>
              <w:bottom w:val="single" w:color="auto" w:sz="4" w:space="0"/>
              <w:right w:val="single" w:color="auto" w:sz="4" w:space="0"/>
            </w:tcBorders>
            <w:noWrap w:val="0"/>
            <w:vAlign w:val="top"/>
          </w:tcPr>
          <w:p w14:paraId="769FA8F8">
            <w:pPr>
              <w:spacing w:line="340" w:lineRule="exact"/>
              <w:rPr>
                <w:rFonts w:hint="eastAsia" w:ascii="宋体" w:hAnsi="宋体" w:eastAsia="宋体" w:cs="宋体"/>
                <w:color w:val="auto"/>
                <w:szCs w:val="21"/>
                <w:highlight w:val="none"/>
              </w:rPr>
            </w:pPr>
          </w:p>
        </w:tc>
        <w:tc>
          <w:tcPr>
            <w:tcW w:w="3589" w:type="dxa"/>
            <w:tcBorders>
              <w:top w:val="single" w:color="auto" w:sz="4" w:space="0"/>
              <w:left w:val="single" w:color="auto" w:sz="4" w:space="0"/>
              <w:bottom w:val="single" w:color="auto" w:sz="4" w:space="0"/>
              <w:right w:val="single" w:color="auto" w:sz="4" w:space="0"/>
            </w:tcBorders>
            <w:noWrap w:val="0"/>
            <w:vAlign w:val="top"/>
          </w:tcPr>
          <w:p w14:paraId="27C87F09">
            <w:pPr>
              <w:spacing w:line="340" w:lineRule="exact"/>
              <w:rPr>
                <w:rFonts w:hint="eastAsia" w:ascii="宋体" w:hAnsi="宋体" w:eastAsia="宋体" w:cs="宋体"/>
                <w:color w:val="auto"/>
                <w:szCs w:val="21"/>
                <w:highlight w:val="none"/>
              </w:rPr>
            </w:pPr>
          </w:p>
        </w:tc>
        <w:tc>
          <w:tcPr>
            <w:tcW w:w="1274" w:type="dxa"/>
            <w:tcBorders>
              <w:top w:val="single" w:color="auto" w:sz="4" w:space="0"/>
              <w:left w:val="single" w:color="auto" w:sz="4" w:space="0"/>
              <w:bottom w:val="single" w:color="auto" w:sz="4" w:space="0"/>
              <w:right w:val="single" w:color="auto" w:sz="4" w:space="0"/>
            </w:tcBorders>
            <w:noWrap w:val="0"/>
            <w:vAlign w:val="top"/>
          </w:tcPr>
          <w:p w14:paraId="14247CF9">
            <w:pPr>
              <w:spacing w:line="300" w:lineRule="exact"/>
              <w:rPr>
                <w:rFonts w:hint="eastAsia" w:ascii="宋体" w:hAnsi="宋体" w:eastAsia="宋体" w:cs="宋体"/>
                <w:color w:val="auto"/>
                <w:szCs w:val="21"/>
                <w:highlight w:val="none"/>
              </w:rPr>
            </w:pPr>
          </w:p>
        </w:tc>
      </w:tr>
    </w:tbl>
    <w:p w14:paraId="5233FC68">
      <w:pPr>
        <w:pStyle w:val="14"/>
        <w:spacing w:line="400" w:lineRule="exact"/>
        <w:ind w:firstLine="210" w:firstLineChars="100"/>
        <w:contextualSpacing/>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注：</w:t>
      </w:r>
    </w:p>
    <w:p w14:paraId="12FB274D">
      <w:pPr>
        <w:pStyle w:val="14"/>
        <w:spacing w:line="400" w:lineRule="exact"/>
        <w:ind w:firstLine="210" w:firstLineChars="100"/>
        <w:contextualSpacing/>
        <w:rPr>
          <w:rFonts w:hint="eastAsia" w:ascii="宋体" w:hAnsi="宋体" w:eastAsia="宋体" w:cs="宋体"/>
          <w:color w:val="auto"/>
          <w:kern w:val="0"/>
          <w:sz w:val="21"/>
          <w:szCs w:val="21"/>
          <w:highlight w:val="none"/>
          <w:lang w:val="en-US" w:eastAsia="zh-CN"/>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必须对</w:t>
      </w:r>
      <w:r>
        <w:rPr>
          <w:rFonts w:hint="eastAsia" w:ascii="宋体" w:hAnsi="宋体" w:eastAsia="宋体" w:cs="宋体"/>
          <w:color w:val="auto"/>
          <w:sz w:val="21"/>
          <w:szCs w:val="21"/>
          <w:highlight w:val="none"/>
        </w:rPr>
        <w:t>磋商文件“第二章 采购需求”中的商务条款</w:t>
      </w:r>
      <w:r>
        <w:rPr>
          <w:rFonts w:hint="eastAsia" w:ascii="宋体" w:hAnsi="宋体" w:eastAsia="宋体" w:cs="宋体"/>
          <w:color w:val="auto"/>
          <w:sz w:val="21"/>
          <w:szCs w:val="21"/>
          <w:highlight w:val="none"/>
          <w:lang w:val="en-US" w:eastAsia="zh-CN"/>
        </w:rPr>
        <w:t>的全部条款</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详细填写响应的具体内容，</w:t>
      </w:r>
      <w:r>
        <w:rPr>
          <w:rFonts w:hint="eastAsia" w:ascii="宋体" w:hAnsi="宋体" w:eastAsia="宋体" w:cs="宋体"/>
          <w:color w:val="auto"/>
          <w:sz w:val="21"/>
          <w:szCs w:val="21"/>
          <w:highlight w:val="none"/>
        </w:rPr>
        <w:t>并作出偏离说明。“偏离说明”一栏应当选择“正偏离”</w:t>
      </w:r>
      <w:r>
        <w:rPr>
          <w:rFonts w:hint="eastAsia" w:ascii="宋体" w:hAnsi="宋体" w:eastAsia="宋体" w:cs="宋体"/>
          <w:color w:val="auto"/>
          <w:sz w:val="21"/>
          <w:szCs w:val="21"/>
          <w:highlight w:val="none"/>
          <w:lang w:eastAsia="zh-CN"/>
        </w:rPr>
        <w:t>或</w:t>
      </w:r>
      <w:r>
        <w:rPr>
          <w:rFonts w:hint="eastAsia" w:ascii="宋体" w:hAnsi="宋体" w:eastAsia="宋体" w:cs="宋体"/>
          <w:color w:val="auto"/>
          <w:sz w:val="21"/>
          <w:szCs w:val="21"/>
          <w:highlight w:val="none"/>
        </w:rPr>
        <w:t>“负偏离”或“无偏离”进行填写。</w:t>
      </w:r>
    </w:p>
    <w:p w14:paraId="12EC27D9">
      <w:pPr>
        <w:pStyle w:val="14"/>
        <w:spacing w:line="400" w:lineRule="exact"/>
        <w:ind w:firstLine="420" w:firstLineChars="200"/>
        <w:contextualSpacing/>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w:t>
      </w:r>
      <w:r>
        <w:rPr>
          <w:rFonts w:hint="eastAsia" w:ascii="宋体" w:hAnsi="宋体" w:eastAsia="宋体" w:cs="宋体"/>
          <w:color w:val="auto"/>
          <w:kern w:val="0"/>
          <w:sz w:val="21"/>
          <w:szCs w:val="21"/>
          <w:highlight w:val="none"/>
        </w:rPr>
        <w:t>.表格内容均需按要求填写</w:t>
      </w:r>
      <w:r>
        <w:rPr>
          <w:rFonts w:hint="eastAsia" w:ascii="宋体" w:hAnsi="宋体" w:eastAsia="宋体" w:cs="宋体"/>
          <w:color w:val="auto"/>
          <w:sz w:val="21"/>
          <w:szCs w:val="21"/>
          <w:highlight w:val="none"/>
        </w:rPr>
        <w:t>并</w:t>
      </w:r>
      <w:r>
        <w:rPr>
          <w:rFonts w:hint="eastAsia" w:ascii="宋体" w:hAnsi="宋体" w:eastAsia="宋体" w:cs="宋体"/>
          <w:color w:val="auto"/>
          <w:sz w:val="21"/>
          <w:szCs w:val="21"/>
          <w:highlight w:val="none"/>
          <w:lang w:eastAsia="zh-CN"/>
        </w:rPr>
        <w:t>加</w:t>
      </w:r>
      <w:r>
        <w:rPr>
          <w:rFonts w:hint="eastAsia" w:ascii="宋体" w:hAnsi="宋体" w:eastAsia="宋体" w:cs="宋体"/>
          <w:color w:val="auto"/>
          <w:sz w:val="21"/>
          <w:szCs w:val="21"/>
          <w:highlight w:val="none"/>
        </w:rPr>
        <w:t>盖</w:t>
      </w:r>
      <w:r>
        <w:rPr>
          <w:rFonts w:hint="eastAsia" w:ascii="宋体" w:hAnsi="宋体" w:eastAsia="宋体" w:cs="宋体"/>
          <w:color w:val="auto"/>
          <w:sz w:val="21"/>
          <w:szCs w:val="21"/>
          <w:highlight w:val="none"/>
          <w:lang w:eastAsia="zh-CN"/>
        </w:rPr>
        <w:t>供应商公</w:t>
      </w:r>
      <w:r>
        <w:rPr>
          <w:rFonts w:hint="eastAsia" w:ascii="宋体" w:hAnsi="宋体" w:eastAsia="宋体" w:cs="宋体"/>
          <w:color w:val="auto"/>
          <w:sz w:val="21"/>
          <w:szCs w:val="21"/>
          <w:highlight w:val="none"/>
        </w:rPr>
        <w:t>章</w:t>
      </w:r>
      <w:r>
        <w:rPr>
          <w:rFonts w:hint="eastAsia" w:ascii="宋体" w:hAnsi="宋体" w:eastAsia="宋体" w:cs="宋体"/>
          <w:color w:val="auto"/>
          <w:kern w:val="0"/>
          <w:sz w:val="21"/>
          <w:szCs w:val="21"/>
          <w:highlight w:val="none"/>
        </w:rPr>
        <w:t>，不得留空，</w:t>
      </w:r>
      <w:r>
        <w:rPr>
          <w:rFonts w:hint="eastAsia" w:ascii="宋体" w:hAnsi="宋体" w:eastAsia="宋体" w:cs="宋体"/>
          <w:b w:val="0"/>
          <w:bCs w:val="0"/>
          <w:color w:val="auto"/>
          <w:kern w:val="0"/>
          <w:sz w:val="21"/>
          <w:szCs w:val="21"/>
          <w:highlight w:val="none"/>
        </w:rPr>
        <w:t>否则按</w:t>
      </w:r>
      <w:r>
        <w:rPr>
          <w:rFonts w:hint="eastAsia" w:ascii="宋体" w:hAnsi="宋体" w:eastAsia="宋体" w:cs="宋体"/>
          <w:b w:val="0"/>
          <w:bCs w:val="0"/>
          <w:color w:val="auto"/>
          <w:kern w:val="0"/>
          <w:sz w:val="21"/>
          <w:szCs w:val="21"/>
          <w:highlight w:val="none"/>
          <w:lang w:eastAsia="zh-CN"/>
        </w:rPr>
        <w:t>响应</w:t>
      </w:r>
      <w:r>
        <w:rPr>
          <w:rFonts w:hint="eastAsia" w:ascii="宋体" w:hAnsi="宋体" w:eastAsia="宋体" w:cs="宋体"/>
          <w:b w:val="0"/>
          <w:bCs w:val="0"/>
          <w:color w:val="auto"/>
          <w:kern w:val="0"/>
          <w:sz w:val="21"/>
          <w:szCs w:val="21"/>
          <w:highlight w:val="none"/>
        </w:rPr>
        <w:t>无效处理。</w:t>
      </w:r>
    </w:p>
    <w:p w14:paraId="4919EEB0">
      <w:pPr>
        <w:spacing w:line="400" w:lineRule="exact"/>
        <w:ind w:firstLine="420" w:firstLineChars="200"/>
        <w:rPr>
          <w:rFonts w:hint="eastAsia" w:ascii="宋体" w:hAnsi="宋体" w:eastAsia="宋体" w:cs="宋体"/>
          <w:color w:val="auto"/>
          <w:kern w:val="0"/>
          <w:sz w:val="21"/>
          <w:szCs w:val="21"/>
          <w:highlight w:val="none"/>
        </w:rPr>
      </w:pPr>
    </w:p>
    <w:p w14:paraId="16907D2F">
      <w:pPr>
        <w:spacing w:line="400" w:lineRule="exact"/>
        <w:ind w:firstLine="420" w:firstLineChars="200"/>
        <w:contextualSpacing/>
        <w:rPr>
          <w:rFonts w:hint="eastAsia" w:ascii="宋体" w:hAnsi="宋体" w:eastAsia="宋体" w:cs="宋体"/>
          <w:color w:val="auto"/>
          <w:kern w:val="0"/>
          <w:sz w:val="21"/>
          <w:szCs w:val="21"/>
          <w:highlight w:val="none"/>
        </w:rPr>
      </w:pPr>
    </w:p>
    <w:p w14:paraId="6ADFBC4F">
      <w:pPr>
        <w:spacing w:line="360" w:lineRule="auto"/>
        <w:ind w:firstLine="3360" w:firstLineChars="1600"/>
        <w:rPr>
          <w:rFonts w:hint="eastAsia" w:ascii="宋体" w:hAnsi="宋体" w:eastAsia="宋体" w:cs="宋体"/>
          <w:color w:val="auto"/>
          <w:sz w:val="21"/>
          <w:szCs w:val="21"/>
          <w:highlight w:val="none"/>
        </w:rPr>
      </w:pPr>
      <w:r>
        <w:rPr>
          <w:rFonts w:hint="eastAsia" w:ascii="宋体" w:hAnsi="宋体" w:eastAsia="宋体" w:cs="宋体"/>
          <w:color w:val="auto"/>
          <w:kern w:val="0"/>
          <w:sz w:val="21"/>
          <w:szCs w:val="21"/>
          <w:highlight w:val="none"/>
        </w:rPr>
        <w:t>供应商名称（</w:t>
      </w:r>
      <w:r>
        <w:rPr>
          <w:rFonts w:hint="eastAsia" w:ascii="宋体" w:hAnsi="宋体" w:eastAsia="宋体" w:cs="宋体"/>
          <w:color w:val="auto"/>
          <w:kern w:val="0"/>
          <w:sz w:val="21"/>
          <w:szCs w:val="21"/>
          <w:highlight w:val="none"/>
          <w:lang w:eastAsia="zh-CN"/>
        </w:rPr>
        <w:t>盖公章</w:t>
      </w:r>
      <w:r>
        <w:rPr>
          <w:rFonts w:hint="eastAsia" w:ascii="宋体" w:hAnsi="宋体" w:eastAsia="宋体" w:cs="宋体"/>
          <w:color w:val="auto"/>
          <w:kern w:val="0"/>
          <w:sz w:val="21"/>
          <w:szCs w:val="21"/>
          <w:highlight w:val="none"/>
        </w:rPr>
        <w:t>）：</w:t>
      </w:r>
    </w:p>
    <w:p w14:paraId="7051DC0A">
      <w:pPr>
        <w:spacing w:line="360" w:lineRule="auto"/>
        <w:contextualSpacing/>
        <w:jc w:val="center"/>
        <w:rPr>
          <w:rFonts w:hint="eastAsia" w:ascii="宋体" w:hAnsi="宋体" w:eastAsia="宋体" w:cs="宋体"/>
          <w:b/>
          <w:color w:val="auto"/>
          <w:sz w:val="21"/>
          <w:szCs w:val="21"/>
          <w:highlight w:val="none"/>
        </w:rPr>
      </w:pPr>
      <w:r>
        <w:rPr>
          <w:rFonts w:hint="eastAsia" w:ascii="宋体" w:hAnsi="宋体" w:eastAsia="宋体" w:cs="宋体"/>
          <w:color w:val="auto"/>
          <w:kern w:val="0"/>
          <w:sz w:val="21"/>
          <w:szCs w:val="21"/>
          <w:highlight w:val="none"/>
          <w:lang w:val="zh-CN"/>
        </w:rPr>
        <w:t xml:space="preserve">                                                   日期：  年  月   日</w:t>
      </w:r>
    </w:p>
    <w:p w14:paraId="5EECB615">
      <w:pPr>
        <w:pStyle w:val="20"/>
        <w:rPr>
          <w:color w:val="auto"/>
          <w:highlight w:val="none"/>
        </w:rPr>
        <w:sectPr>
          <w:pgSz w:w="11911" w:h="16838"/>
          <w:pgMar w:top="1134" w:right="1134" w:bottom="1134" w:left="1134" w:header="720" w:footer="720" w:gutter="0"/>
          <w:pgNumType w:fmt="decimal"/>
          <w:cols w:space="720" w:num="1"/>
        </w:sectPr>
      </w:pPr>
    </w:p>
    <w:p w14:paraId="02F3C860">
      <w:pPr>
        <w:pStyle w:val="23"/>
        <w:snapToGrid w:val="0"/>
        <w:ind w:left="0" w:firstLine="0" w:firstLineChars="0"/>
        <w:rPr>
          <w:rFonts w:hint="eastAsia" w:ascii="宋体" w:hAnsi="宋体" w:eastAsia="宋体" w:cs="宋体"/>
          <w:i/>
          <w:iCs/>
          <w:color w:val="auto"/>
          <w:sz w:val="24"/>
          <w:highlight w:val="none"/>
        </w:rPr>
      </w:pPr>
      <w:r>
        <w:rPr>
          <w:rFonts w:hint="eastAsia" w:ascii="宋体" w:hAnsi="宋体" w:eastAsia="宋体" w:cs="宋体"/>
          <w:b/>
          <w:color w:val="auto"/>
          <w:sz w:val="28"/>
          <w:szCs w:val="28"/>
          <w:highlight w:val="none"/>
          <w:lang w:val="en-US" w:eastAsia="zh-CN"/>
        </w:rPr>
        <w:t>7.</w:t>
      </w:r>
      <w:r>
        <w:rPr>
          <w:rFonts w:hint="eastAsia" w:ascii="宋体" w:hAnsi="宋体" w:eastAsia="宋体" w:cs="宋体"/>
          <w:b/>
          <w:color w:val="auto"/>
          <w:sz w:val="28"/>
          <w:szCs w:val="28"/>
          <w:highlight w:val="none"/>
        </w:rPr>
        <w:t>供应商类似的业绩证明文件</w:t>
      </w:r>
      <w:r>
        <w:rPr>
          <w:rFonts w:hint="eastAsia" w:ascii="宋体" w:hAnsi="宋体" w:eastAsia="宋体" w:cs="宋体"/>
          <w:b/>
          <w:bCs/>
          <w:color w:val="auto"/>
          <w:sz w:val="30"/>
          <w:szCs w:val="30"/>
          <w:highlight w:val="none"/>
        </w:rPr>
        <w:t>（如有要求）</w:t>
      </w:r>
      <w:r>
        <w:rPr>
          <w:rFonts w:hint="eastAsia" w:ascii="宋体" w:hAnsi="宋体" w:eastAsia="宋体" w:cs="宋体"/>
          <w:b/>
          <w:bCs/>
          <w:color w:val="auto"/>
          <w:sz w:val="30"/>
          <w:szCs w:val="30"/>
          <w:highlight w:val="none"/>
          <w:lang w:eastAsia="zh-CN"/>
        </w:rPr>
        <w:t>：</w:t>
      </w:r>
    </w:p>
    <w:p w14:paraId="17FD5C17">
      <w:pPr>
        <w:spacing w:line="360" w:lineRule="auto"/>
        <w:ind w:firstLine="2880" w:firstLineChars="900"/>
        <w:contextualSpacing/>
        <w:rPr>
          <w:rFonts w:hint="eastAsia" w:ascii="宋体" w:hAnsi="宋体" w:eastAsia="宋体" w:cs="宋体"/>
          <w:color w:val="auto"/>
          <w:sz w:val="32"/>
          <w:szCs w:val="32"/>
          <w:highlight w:val="none"/>
          <w:lang w:eastAsia="zh-CN"/>
        </w:rPr>
      </w:pPr>
    </w:p>
    <w:p w14:paraId="40FEE226">
      <w:pPr>
        <w:spacing w:line="360" w:lineRule="auto"/>
        <w:ind w:firstLine="2880" w:firstLineChars="900"/>
        <w:contextualSpacing/>
        <w:rPr>
          <w:rFonts w:hint="eastAsia" w:ascii="宋体" w:hAnsi="宋体" w:eastAsia="宋体" w:cs="宋体"/>
          <w:color w:val="auto"/>
          <w:sz w:val="32"/>
          <w:szCs w:val="32"/>
          <w:highlight w:val="none"/>
          <w:lang w:eastAsia="zh-CN"/>
        </w:rPr>
      </w:pPr>
      <w:r>
        <w:rPr>
          <w:rFonts w:hint="eastAsia" w:ascii="宋体" w:hAnsi="宋体" w:eastAsia="宋体" w:cs="宋体"/>
          <w:color w:val="auto"/>
          <w:sz w:val="32"/>
          <w:szCs w:val="32"/>
          <w:highlight w:val="none"/>
          <w:lang w:eastAsia="zh-CN"/>
        </w:rPr>
        <w:t>类似项目的业绩一览表</w:t>
      </w:r>
    </w:p>
    <w:p w14:paraId="5C49B1F4">
      <w:pPr>
        <w:spacing w:line="360" w:lineRule="auto"/>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tbl>
      <w:tblPr>
        <w:tblStyle w:val="28"/>
        <w:tblpPr w:leftFromText="180" w:rightFromText="180" w:vertAnchor="page" w:horzAnchor="page" w:tblpX="1255" w:tblpY="3641"/>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1063"/>
        <w:gridCol w:w="2164"/>
        <w:gridCol w:w="1134"/>
        <w:gridCol w:w="1134"/>
        <w:gridCol w:w="1701"/>
        <w:gridCol w:w="1276"/>
        <w:gridCol w:w="1842"/>
      </w:tblGrid>
      <w:tr w14:paraId="58086B7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487" w:hRule="atLeast"/>
        </w:trPr>
        <w:tc>
          <w:tcPr>
            <w:tcW w:w="1063" w:type="dxa"/>
            <w:vMerge w:val="restart"/>
            <w:tcBorders>
              <w:top w:val="single" w:color="auto" w:sz="4" w:space="0"/>
              <w:left w:val="single" w:color="auto" w:sz="4" w:space="0"/>
              <w:bottom w:val="single" w:color="auto" w:sz="4" w:space="0"/>
              <w:right w:val="single" w:color="auto" w:sz="4" w:space="0"/>
            </w:tcBorders>
            <w:noWrap w:val="0"/>
            <w:vAlign w:val="center"/>
          </w:tcPr>
          <w:p w14:paraId="2D45F549">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采购人名称</w:t>
            </w:r>
          </w:p>
        </w:tc>
        <w:tc>
          <w:tcPr>
            <w:tcW w:w="2164" w:type="dxa"/>
            <w:vMerge w:val="restart"/>
            <w:tcBorders>
              <w:top w:val="single" w:color="auto" w:sz="4" w:space="0"/>
              <w:left w:val="single" w:color="auto" w:sz="4" w:space="0"/>
              <w:bottom w:val="single" w:color="auto" w:sz="4" w:space="0"/>
              <w:right w:val="single" w:color="auto" w:sz="4" w:space="0"/>
            </w:tcBorders>
            <w:noWrap w:val="0"/>
            <w:vAlign w:val="center"/>
          </w:tcPr>
          <w:p w14:paraId="51429A6B">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项目名称</w:t>
            </w:r>
          </w:p>
        </w:tc>
        <w:tc>
          <w:tcPr>
            <w:tcW w:w="1134" w:type="dxa"/>
            <w:vMerge w:val="restart"/>
            <w:tcBorders>
              <w:top w:val="single" w:color="auto" w:sz="4" w:space="0"/>
              <w:left w:val="single" w:color="auto" w:sz="4" w:space="0"/>
              <w:bottom w:val="single" w:color="auto" w:sz="4" w:space="0"/>
              <w:right w:val="single" w:color="auto" w:sz="4" w:space="0"/>
            </w:tcBorders>
            <w:noWrap w:val="0"/>
            <w:vAlign w:val="center"/>
          </w:tcPr>
          <w:p w14:paraId="20F4AB91">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合同</w:t>
            </w:r>
          </w:p>
          <w:p w14:paraId="64A996F2">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金额</w:t>
            </w:r>
          </w:p>
          <w:p w14:paraId="4D7F364D">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（万元）</w:t>
            </w:r>
          </w:p>
        </w:tc>
        <w:tc>
          <w:tcPr>
            <w:tcW w:w="4111" w:type="dxa"/>
            <w:gridSpan w:val="3"/>
            <w:tcBorders>
              <w:top w:val="single" w:color="auto" w:sz="4" w:space="0"/>
              <w:left w:val="single" w:color="auto" w:sz="4" w:space="0"/>
              <w:bottom w:val="single" w:color="auto" w:sz="4" w:space="0"/>
              <w:right w:val="single" w:color="auto" w:sz="4" w:space="0"/>
            </w:tcBorders>
            <w:noWrap w:val="0"/>
            <w:vAlign w:val="center"/>
          </w:tcPr>
          <w:p w14:paraId="21FE44D8">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附件在响应文件中页码</w:t>
            </w:r>
          </w:p>
        </w:tc>
        <w:tc>
          <w:tcPr>
            <w:tcW w:w="1842" w:type="dxa"/>
            <w:vMerge w:val="restart"/>
            <w:tcBorders>
              <w:top w:val="single" w:color="auto" w:sz="4" w:space="0"/>
              <w:left w:val="single" w:color="auto" w:sz="4" w:space="0"/>
              <w:bottom w:val="single" w:color="auto" w:sz="4" w:space="0"/>
              <w:right w:val="single" w:color="auto" w:sz="4" w:space="0"/>
            </w:tcBorders>
            <w:noWrap w:val="0"/>
            <w:vAlign w:val="center"/>
          </w:tcPr>
          <w:p w14:paraId="5DBD3BA3">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采购人联系人及联系电话</w:t>
            </w:r>
          </w:p>
        </w:tc>
      </w:tr>
      <w:tr w14:paraId="6CDAA3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36" w:hRule="atLeast"/>
        </w:trPr>
        <w:tc>
          <w:tcPr>
            <w:tcW w:w="1063" w:type="dxa"/>
            <w:vMerge w:val="continue"/>
            <w:tcBorders>
              <w:top w:val="single" w:color="auto" w:sz="4" w:space="0"/>
              <w:left w:val="single" w:color="auto" w:sz="4" w:space="0"/>
              <w:bottom w:val="single" w:color="auto" w:sz="4" w:space="0"/>
              <w:right w:val="single" w:color="auto" w:sz="4" w:space="0"/>
            </w:tcBorders>
            <w:noWrap w:val="0"/>
            <w:vAlign w:val="center"/>
          </w:tcPr>
          <w:p w14:paraId="3A0CCD44">
            <w:pPr>
              <w:jc w:val="left"/>
              <w:rPr>
                <w:rFonts w:hint="eastAsia" w:ascii="宋体" w:hAnsi="宋体" w:eastAsia="宋体" w:cs="宋体"/>
                <w:color w:val="auto"/>
                <w:sz w:val="24"/>
                <w:highlight w:val="none"/>
              </w:rPr>
            </w:pPr>
          </w:p>
        </w:tc>
        <w:tc>
          <w:tcPr>
            <w:tcW w:w="2164" w:type="dxa"/>
            <w:vMerge w:val="continue"/>
            <w:tcBorders>
              <w:top w:val="single" w:color="auto" w:sz="4" w:space="0"/>
              <w:left w:val="single" w:color="auto" w:sz="4" w:space="0"/>
              <w:bottom w:val="single" w:color="auto" w:sz="4" w:space="0"/>
              <w:right w:val="single" w:color="auto" w:sz="4" w:space="0"/>
            </w:tcBorders>
            <w:noWrap w:val="0"/>
            <w:vAlign w:val="center"/>
          </w:tcPr>
          <w:p w14:paraId="180FE595">
            <w:pPr>
              <w:jc w:val="left"/>
              <w:rPr>
                <w:rFonts w:hint="eastAsia" w:ascii="宋体" w:hAnsi="宋体" w:eastAsia="宋体" w:cs="宋体"/>
                <w:color w:val="auto"/>
                <w:sz w:val="24"/>
                <w:highlight w:val="none"/>
              </w:rPr>
            </w:pPr>
          </w:p>
        </w:tc>
        <w:tc>
          <w:tcPr>
            <w:tcW w:w="1134" w:type="dxa"/>
            <w:vMerge w:val="continue"/>
            <w:tcBorders>
              <w:top w:val="single" w:color="auto" w:sz="4" w:space="0"/>
              <w:left w:val="single" w:color="auto" w:sz="4" w:space="0"/>
              <w:bottom w:val="single" w:color="auto" w:sz="4" w:space="0"/>
              <w:right w:val="single" w:color="auto" w:sz="4" w:space="0"/>
            </w:tcBorders>
            <w:noWrap w:val="0"/>
            <w:vAlign w:val="center"/>
          </w:tcPr>
          <w:p w14:paraId="23815E7F">
            <w:pPr>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center"/>
          </w:tcPr>
          <w:p w14:paraId="461A3557">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合同</w:t>
            </w:r>
          </w:p>
        </w:tc>
        <w:tc>
          <w:tcPr>
            <w:tcW w:w="1701" w:type="dxa"/>
            <w:tcBorders>
              <w:top w:val="single" w:color="auto" w:sz="4" w:space="0"/>
              <w:left w:val="single" w:color="auto" w:sz="4" w:space="0"/>
              <w:bottom w:val="single" w:color="auto" w:sz="4" w:space="0"/>
              <w:right w:val="single" w:color="auto" w:sz="4" w:space="0"/>
            </w:tcBorders>
            <w:noWrap w:val="0"/>
            <w:vAlign w:val="center"/>
          </w:tcPr>
          <w:p w14:paraId="6C13A4EB">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验收报告</w:t>
            </w:r>
          </w:p>
        </w:tc>
        <w:tc>
          <w:tcPr>
            <w:tcW w:w="1276" w:type="dxa"/>
            <w:tcBorders>
              <w:top w:val="single" w:color="auto" w:sz="4" w:space="0"/>
              <w:left w:val="single" w:color="auto" w:sz="4" w:space="0"/>
              <w:bottom w:val="single" w:color="auto" w:sz="4" w:space="0"/>
              <w:right w:val="single" w:color="auto" w:sz="4" w:space="0"/>
            </w:tcBorders>
            <w:noWrap w:val="0"/>
            <w:vAlign w:val="center"/>
          </w:tcPr>
          <w:p w14:paraId="0B465A51">
            <w:pPr>
              <w:snapToGrid w:val="0"/>
              <w:spacing w:line="24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用户评价</w:t>
            </w:r>
          </w:p>
        </w:tc>
        <w:tc>
          <w:tcPr>
            <w:tcW w:w="1842" w:type="dxa"/>
            <w:vMerge w:val="continue"/>
            <w:tcBorders>
              <w:top w:val="single" w:color="auto" w:sz="4" w:space="0"/>
              <w:left w:val="single" w:color="auto" w:sz="4" w:space="0"/>
              <w:bottom w:val="single" w:color="auto" w:sz="4" w:space="0"/>
              <w:right w:val="single" w:color="auto" w:sz="4" w:space="0"/>
            </w:tcBorders>
            <w:noWrap w:val="0"/>
            <w:vAlign w:val="center"/>
          </w:tcPr>
          <w:p w14:paraId="7B4FED0B">
            <w:pPr>
              <w:jc w:val="left"/>
              <w:rPr>
                <w:rFonts w:hint="eastAsia" w:ascii="宋体" w:hAnsi="宋体" w:eastAsia="宋体" w:cs="宋体"/>
                <w:color w:val="auto"/>
                <w:sz w:val="24"/>
                <w:highlight w:val="none"/>
              </w:rPr>
            </w:pPr>
          </w:p>
        </w:tc>
      </w:tr>
      <w:tr w14:paraId="4977D25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649" w:hRule="atLeast"/>
        </w:trPr>
        <w:tc>
          <w:tcPr>
            <w:tcW w:w="1063" w:type="dxa"/>
            <w:tcBorders>
              <w:top w:val="single" w:color="auto" w:sz="4" w:space="0"/>
              <w:left w:val="single" w:color="auto" w:sz="4" w:space="0"/>
              <w:bottom w:val="single" w:color="auto" w:sz="4" w:space="0"/>
              <w:right w:val="single" w:color="auto" w:sz="4" w:space="0"/>
            </w:tcBorders>
            <w:noWrap w:val="0"/>
            <w:vAlign w:val="top"/>
          </w:tcPr>
          <w:p w14:paraId="390740B1">
            <w:pPr>
              <w:snapToGrid w:val="0"/>
              <w:spacing w:line="240" w:lineRule="exact"/>
              <w:jc w:val="left"/>
              <w:rPr>
                <w:rFonts w:hint="eastAsia" w:ascii="宋体" w:hAnsi="宋体" w:eastAsia="宋体" w:cs="宋体"/>
                <w:color w:val="auto"/>
                <w:sz w:val="24"/>
                <w:highlight w:val="none"/>
              </w:rPr>
            </w:pPr>
          </w:p>
        </w:tc>
        <w:tc>
          <w:tcPr>
            <w:tcW w:w="2164" w:type="dxa"/>
            <w:tcBorders>
              <w:top w:val="single" w:color="auto" w:sz="4" w:space="0"/>
              <w:left w:val="single" w:color="auto" w:sz="4" w:space="0"/>
              <w:bottom w:val="single" w:color="auto" w:sz="4" w:space="0"/>
              <w:right w:val="single" w:color="auto" w:sz="4" w:space="0"/>
            </w:tcBorders>
            <w:noWrap w:val="0"/>
            <w:vAlign w:val="top"/>
          </w:tcPr>
          <w:p w14:paraId="744401D9">
            <w:pPr>
              <w:snapToGrid w:val="0"/>
              <w:spacing w:line="24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21766F59">
            <w:pPr>
              <w:snapToGrid w:val="0"/>
              <w:spacing w:line="24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5D2B493C">
            <w:pPr>
              <w:snapToGrid w:val="0"/>
              <w:spacing w:line="240" w:lineRule="exact"/>
              <w:jc w:val="left"/>
              <w:rPr>
                <w:rFonts w:hint="eastAsia" w:ascii="宋体" w:hAnsi="宋体" w:eastAsia="宋体" w:cs="宋体"/>
                <w:color w:val="auto"/>
                <w:sz w:val="24"/>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top"/>
          </w:tcPr>
          <w:p w14:paraId="7ADAD063">
            <w:pPr>
              <w:snapToGrid w:val="0"/>
              <w:spacing w:line="240" w:lineRule="exact"/>
              <w:jc w:val="left"/>
              <w:rPr>
                <w:rFonts w:hint="eastAsia" w:ascii="宋体" w:hAnsi="宋体" w:eastAsia="宋体" w:cs="宋体"/>
                <w:color w:val="auto"/>
                <w:sz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61A425C9">
            <w:pPr>
              <w:snapToGrid w:val="0"/>
              <w:spacing w:line="240" w:lineRule="exact"/>
              <w:jc w:val="left"/>
              <w:rPr>
                <w:rFonts w:hint="eastAsia" w:ascii="宋体" w:hAnsi="宋体" w:eastAsia="宋体" w:cs="宋体"/>
                <w:color w:val="auto"/>
                <w:sz w:val="24"/>
                <w:highlight w:val="none"/>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707F77A2">
            <w:pPr>
              <w:snapToGrid w:val="0"/>
              <w:spacing w:line="240" w:lineRule="exact"/>
              <w:jc w:val="left"/>
              <w:rPr>
                <w:rFonts w:hint="eastAsia" w:ascii="宋体" w:hAnsi="宋体" w:eastAsia="宋体" w:cs="宋体"/>
                <w:color w:val="auto"/>
                <w:sz w:val="24"/>
                <w:highlight w:val="none"/>
              </w:rPr>
            </w:pPr>
          </w:p>
        </w:tc>
      </w:tr>
      <w:tr w14:paraId="3838A25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3" w:type="dxa"/>
            <w:tcBorders>
              <w:top w:val="single" w:color="auto" w:sz="4" w:space="0"/>
              <w:left w:val="single" w:color="auto" w:sz="4" w:space="0"/>
              <w:bottom w:val="single" w:color="auto" w:sz="4" w:space="0"/>
              <w:right w:val="single" w:color="auto" w:sz="4" w:space="0"/>
            </w:tcBorders>
            <w:noWrap w:val="0"/>
            <w:vAlign w:val="top"/>
          </w:tcPr>
          <w:p w14:paraId="771C74B8">
            <w:pPr>
              <w:snapToGrid w:val="0"/>
              <w:spacing w:before="50" w:after="120" w:afterLines="50" w:line="400" w:lineRule="exact"/>
              <w:jc w:val="left"/>
              <w:rPr>
                <w:rFonts w:hint="eastAsia" w:ascii="宋体" w:hAnsi="宋体" w:eastAsia="宋体" w:cs="宋体"/>
                <w:color w:val="auto"/>
                <w:sz w:val="24"/>
                <w:highlight w:val="none"/>
              </w:rPr>
            </w:pPr>
          </w:p>
        </w:tc>
        <w:tc>
          <w:tcPr>
            <w:tcW w:w="2164" w:type="dxa"/>
            <w:tcBorders>
              <w:top w:val="single" w:color="auto" w:sz="4" w:space="0"/>
              <w:left w:val="single" w:color="auto" w:sz="4" w:space="0"/>
              <w:bottom w:val="single" w:color="auto" w:sz="4" w:space="0"/>
              <w:right w:val="single" w:color="auto" w:sz="4" w:space="0"/>
            </w:tcBorders>
            <w:noWrap w:val="0"/>
            <w:vAlign w:val="top"/>
          </w:tcPr>
          <w:p w14:paraId="0E1726D8">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14AC4AB5">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7FF7D1F4">
            <w:pPr>
              <w:snapToGrid w:val="0"/>
              <w:spacing w:before="50" w:after="120" w:afterLines="50" w:line="400" w:lineRule="exact"/>
              <w:jc w:val="left"/>
              <w:rPr>
                <w:rFonts w:hint="eastAsia" w:ascii="宋体" w:hAnsi="宋体" w:eastAsia="宋体" w:cs="宋体"/>
                <w:color w:val="auto"/>
                <w:sz w:val="24"/>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top"/>
          </w:tcPr>
          <w:p w14:paraId="58FA1F49">
            <w:pPr>
              <w:snapToGrid w:val="0"/>
              <w:spacing w:before="50" w:after="120" w:afterLines="50" w:line="400" w:lineRule="exact"/>
              <w:jc w:val="left"/>
              <w:rPr>
                <w:rFonts w:hint="eastAsia" w:ascii="宋体" w:hAnsi="宋体" w:eastAsia="宋体" w:cs="宋体"/>
                <w:color w:val="auto"/>
                <w:sz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767DD04D">
            <w:pPr>
              <w:snapToGrid w:val="0"/>
              <w:spacing w:before="50" w:after="120" w:afterLines="50" w:line="400" w:lineRule="exact"/>
              <w:jc w:val="left"/>
              <w:rPr>
                <w:rFonts w:hint="eastAsia" w:ascii="宋体" w:hAnsi="宋体" w:eastAsia="宋体" w:cs="宋体"/>
                <w:color w:val="auto"/>
                <w:sz w:val="24"/>
                <w:highlight w:val="none"/>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5D32BF57">
            <w:pPr>
              <w:snapToGrid w:val="0"/>
              <w:spacing w:before="50" w:after="120" w:afterLines="50" w:line="400" w:lineRule="exact"/>
              <w:jc w:val="left"/>
              <w:rPr>
                <w:rFonts w:hint="eastAsia" w:ascii="宋体" w:hAnsi="宋体" w:eastAsia="宋体" w:cs="宋体"/>
                <w:color w:val="auto"/>
                <w:sz w:val="24"/>
                <w:highlight w:val="none"/>
              </w:rPr>
            </w:pPr>
          </w:p>
        </w:tc>
      </w:tr>
      <w:tr w14:paraId="6F11EB0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710" w:hRule="atLeast"/>
        </w:trPr>
        <w:tc>
          <w:tcPr>
            <w:tcW w:w="1063" w:type="dxa"/>
            <w:tcBorders>
              <w:top w:val="single" w:color="auto" w:sz="4" w:space="0"/>
              <w:left w:val="single" w:color="auto" w:sz="4" w:space="0"/>
              <w:bottom w:val="single" w:color="auto" w:sz="4" w:space="0"/>
              <w:right w:val="single" w:color="auto" w:sz="4" w:space="0"/>
            </w:tcBorders>
            <w:noWrap w:val="0"/>
            <w:vAlign w:val="top"/>
          </w:tcPr>
          <w:p w14:paraId="3334ACB8">
            <w:pPr>
              <w:snapToGrid w:val="0"/>
              <w:spacing w:before="50" w:after="120" w:afterLines="50" w:line="400" w:lineRule="exact"/>
              <w:jc w:val="left"/>
              <w:rPr>
                <w:rFonts w:hint="eastAsia" w:ascii="宋体" w:hAnsi="宋体" w:eastAsia="宋体" w:cs="宋体"/>
                <w:color w:val="auto"/>
                <w:sz w:val="24"/>
                <w:highlight w:val="none"/>
              </w:rPr>
            </w:pPr>
          </w:p>
        </w:tc>
        <w:tc>
          <w:tcPr>
            <w:tcW w:w="2164" w:type="dxa"/>
            <w:tcBorders>
              <w:top w:val="single" w:color="auto" w:sz="4" w:space="0"/>
              <w:left w:val="single" w:color="auto" w:sz="4" w:space="0"/>
              <w:bottom w:val="single" w:color="auto" w:sz="4" w:space="0"/>
              <w:right w:val="single" w:color="auto" w:sz="4" w:space="0"/>
            </w:tcBorders>
            <w:noWrap w:val="0"/>
            <w:vAlign w:val="top"/>
          </w:tcPr>
          <w:p w14:paraId="5750D184">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6BB2AA88">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223FA1DD">
            <w:pPr>
              <w:snapToGrid w:val="0"/>
              <w:spacing w:before="50" w:after="120" w:afterLines="50" w:line="400" w:lineRule="exact"/>
              <w:jc w:val="left"/>
              <w:rPr>
                <w:rFonts w:hint="eastAsia" w:ascii="宋体" w:hAnsi="宋体" w:eastAsia="宋体" w:cs="宋体"/>
                <w:color w:val="auto"/>
                <w:sz w:val="24"/>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top"/>
          </w:tcPr>
          <w:p w14:paraId="5AD0BB1C">
            <w:pPr>
              <w:snapToGrid w:val="0"/>
              <w:spacing w:before="50" w:after="120" w:afterLines="50" w:line="400" w:lineRule="exact"/>
              <w:jc w:val="left"/>
              <w:rPr>
                <w:rFonts w:hint="eastAsia" w:ascii="宋体" w:hAnsi="宋体" w:eastAsia="宋体" w:cs="宋体"/>
                <w:color w:val="auto"/>
                <w:sz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0DC4AE07">
            <w:pPr>
              <w:snapToGrid w:val="0"/>
              <w:spacing w:before="50" w:after="120" w:afterLines="50" w:line="400" w:lineRule="exact"/>
              <w:jc w:val="left"/>
              <w:rPr>
                <w:rFonts w:hint="eastAsia" w:ascii="宋体" w:hAnsi="宋体" w:eastAsia="宋体" w:cs="宋体"/>
                <w:color w:val="auto"/>
                <w:sz w:val="24"/>
                <w:highlight w:val="none"/>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2229462F">
            <w:pPr>
              <w:snapToGrid w:val="0"/>
              <w:spacing w:before="50" w:after="120" w:afterLines="50" w:line="400" w:lineRule="exact"/>
              <w:jc w:val="left"/>
              <w:rPr>
                <w:rFonts w:hint="eastAsia" w:ascii="宋体" w:hAnsi="宋体" w:eastAsia="宋体" w:cs="宋体"/>
                <w:color w:val="auto"/>
                <w:sz w:val="24"/>
                <w:highlight w:val="none"/>
              </w:rPr>
            </w:pPr>
          </w:p>
        </w:tc>
      </w:tr>
      <w:tr w14:paraId="4448A6F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3" w:type="dxa"/>
            <w:tcBorders>
              <w:top w:val="single" w:color="auto" w:sz="4" w:space="0"/>
              <w:left w:val="single" w:color="auto" w:sz="4" w:space="0"/>
              <w:bottom w:val="single" w:color="auto" w:sz="4" w:space="0"/>
              <w:right w:val="single" w:color="auto" w:sz="4" w:space="0"/>
            </w:tcBorders>
            <w:noWrap w:val="0"/>
            <w:vAlign w:val="top"/>
          </w:tcPr>
          <w:p w14:paraId="1C355798">
            <w:pPr>
              <w:snapToGrid w:val="0"/>
              <w:spacing w:before="50" w:after="120" w:afterLines="50" w:line="400" w:lineRule="exact"/>
              <w:jc w:val="left"/>
              <w:rPr>
                <w:rFonts w:hint="eastAsia" w:ascii="宋体" w:hAnsi="宋体" w:eastAsia="宋体" w:cs="宋体"/>
                <w:color w:val="auto"/>
                <w:sz w:val="24"/>
                <w:highlight w:val="none"/>
              </w:rPr>
            </w:pPr>
          </w:p>
        </w:tc>
        <w:tc>
          <w:tcPr>
            <w:tcW w:w="2164" w:type="dxa"/>
            <w:tcBorders>
              <w:top w:val="single" w:color="auto" w:sz="4" w:space="0"/>
              <w:left w:val="single" w:color="auto" w:sz="4" w:space="0"/>
              <w:bottom w:val="single" w:color="auto" w:sz="4" w:space="0"/>
              <w:right w:val="single" w:color="auto" w:sz="4" w:space="0"/>
            </w:tcBorders>
            <w:noWrap w:val="0"/>
            <w:vAlign w:val="top"/>
          </w:tcPr>
          <w:p w14:paraId="1E571913">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6FC49B23">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00537BDE">
            <w:pPr>
              <w:snapToGrid w:val="0"/>
              <w:spacing w:before="50" w:after="120" w:afterLines="50" w:line="400" w:lineRule="exact"/>
              <w:jc w:val="left"/>
              <w:rPr>
                <w:rFonts w:hint="eastAsia" w:ascii="宋体" w:hAnsi="宋体" w:eastAsia="宋体" w:cs="宋体"/>
                <w:color w:val="auto"/>
                <w:sz w:val="24"/>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top"/>
          </w:tcPr>
          <w:p w14:paraId="266E2361">
            <w:pPr>
              <w:snapToGrid w:val="0"/>
              <w:spacing w:before="50" w:after="120" w:afterLines="50" w:line="400" w:lineRule="exact"/>
              <w:jc w:val="left"/>
              <w:rPr>
                <w:rFonts w:hint="eastAsia" w:ascii="宋体" w:hAnsi="宋体" w:eastAsia="宋体" w:cs="宋体"/>
                <w:color w:val="auto"/>
                <w:sz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53F4A4CC">
            <w:pPr>
              <w:snapToGrid w:val="0"/>
              <w:spacing w:before="50" w:after="120" w:afterLines="50" w:line="400" w:lineRule="exact"/>
              <w:jc w:val="left"/>
              <w:rPr>
                <w:rFonts w:hint="eastAsia" w:ascii="宋体" w:hAnsi="宋体" w:eastAsia="宋体" w:cs="宋体"/>
                <w:color w:val="auto"/>
                <w:sz w:val="24"/>
                <w:highlight w:val="none"/>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48E33085">
            <w:pPr>
              <w:snapToGrid w:val="0"/>
              <w:spacing w:before="50" w:after="120" w:afterLines="50" w:line="400" w:lineRule="exact"/>
              <w:jc w:val="left"/>
              <w:rPr>
                <w:rFonts w:hint="eastAsia" w:ascii="宋体" w:hAnsi="宋体" w:eastAsia="宋体" w:cs="宋体"/>
                <w:color w:val="auto"/>
                <w:sz w:val="24"/>
                <w:highlight w:val="none"/>
              </w:rPr>
            </w:pPr>
          </w:p>
        </w:tc>
      </w:tr>
      <w:tr w14:paraId="525B2E9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c>
          <w:tcPr>
            <w:tcW w:w="1063" w:type="dxa"/>
            <w:tcBorders>
              <w:top w:val="single" w:color="auto" w:sz="4" w:space="0"/>
              <w:left w:val="single" w:color="auto" w:sz="4" w:space="0"/>
              <w:bottom w:val="single" w:color="auto" w:sz="4" w:space="0"/>
              <w:right w:val="single" w:color="auto" w:sz="4" w:space="0"/>
            </w:tcBorders>
            <w:noWrap w:val="0"/>
            <w:vAlign w:val="top"/>
          </w:tcPr>
          <w:p w14:paraId="46C767E7">
            <w:pPr>
              <w:snapToGrid w:val="0"/>
              <w:spacing w:before="50" w:after="120" w:afterLines="50" w:line="400" w:lineRule="exact"/>
              <w:jc w:val="left"/>
              <w:rPr>
                <w:rFonts w:hint="eastAsia" w:ascii="宋体" w:hAnsi="宋体" w:eastAsia="宋体" w:cs="宋体"/>
                <w:color w:val="auto"/>
                <w:sz w:val="24"/>
                <w:highlight w:val="none"/>
              </w:rPr>
            </w:pPr>
          </w:p>
        </w:tc>
        <w:tc>
          <w:tcPr>
            <w:tcW w:w="2164" w:type="dxa"/>
            <w:tcBorders>
              <w:top w:val="single" w:color="auto" w:sz="4" w:space="0"/>
              <w:left w:val="single" w:color="auto" w:sz="4" w:space="0"/>
              <w:bottom w:val="single" w:color="auto" w:sz="4" w:space="0"/>
              <w:right w:val="single" w:color="auto" w:sz="4" w:space="0"/>
            </w:tcBorders>
            <w:noWrap w:val="0"/>
            <w:vAlign w:val="top"/>
          </w:tcPr>
          <w:p w14:paraId="0393643F">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089FBCAD">
            <w:pPr>
              <w:snapToGrid w:val="0"/>
              <w:spacing w:before="50" w:after="120" w:afterLines="50" w:line="400" w:lineRule="exact"/>
              <w:jc w:val="left"/>
              <w:rPr>
                <w:rFonts w:hint="eastAsia" w:ascii="宋体" w:hAnsi="宋体" w:eastAsia="宋体" w:cs="宋体"/>
                <w:color w:val="auto"/>
                <w:sz w:val="24"/>
                <w:highlight w:val="none"/>
              </w:rPr>
            </w:pPr>
          </w:p>
        </w:tc>
        <w:tc>
          <w:tcPr>
            <w:tcW w:w="1134" w:type="dxa"/>
            <w:tcBorders>
              <w:top w:val="single" w:color="auto" w:sz="4" w:space="0"/>
              <w:left w:val="single" w:color="auto" w:sz="4" w:space="0"/>
              <w:bottom w:val="single" w:color="auto" w:sz="4" w:space="0"/>
              <w:right w:val="single" w:color="auto" w:sz="4" w:space="0"/>
            </w:tcBorders>
            <w:noWrap w:val="0"/>
            <w:vAlign w:val="top"/>
          </w:tcPr>
          <w:p w14:paraId="28B301A5">
            <w:pPr>
              <w:snapToGrid w:val="0"/>
              <w:spacing w:before="50" w:after="120" w:afterLines="50" w:line="400" w:lineRule="exact"/>
              <w:jc w:val="left"/>
              <w:rPr>
                <w:rFonts w:hint="eastAsia" w:ascii="宋体" w:hAnsi="宋体" w:eastAsia="宋体" w:cs="宋体"/>
                <w:color w:val="auto"/>
                <w:sz w:val="24"/>
                <w:highlight w:val="none"/>
              </w:rPr>
            </w:pPr>
          </w:p>
        </w:tc>
        <w:tc>
          <w:tcPr>
            <w:tcW w:w="1701" w:type="dxa"/>
            <w:tcBorders>
              <w:top w:val="single" w:color="auto" w:sz="4" w:space="0"/>
              <w:left w:val="single" w:color="auto" w:sz="4" w:space="0"/>
              <w:bottom w:val="single" w:color="auto" w:sz="4" w:space="0"/>
              <w:right w:val="single" w:color="auto" w:sz="4" w:space="0"/>
            </w:tcBorders>
            <w:noWrap w:val="0"/>
            <w:vAlign w:val="top"/>
          </w:tcPr>
          <w:p w14:paraId="5A890144">
            <w:pPr>
              <w:snapToGrid w:val="0"/>
              <w:spacing w:before="50" w:after="120" w:afterLines="50" w:line="400" w:lineRule="exact"/>
              <w:jc w:val="left"/>
              <w:rPr>
                <w:rFonts w:hint="eastAsia" w:ascii="宋体" w:hAnsi="宋体" w:eastAsia="宋体" w:cs="宋体"/>
                <w:color w:val="auto"/>
                <w:sz w:val="24"/>
                <w:highlight w:val="none"/>
              </w:rPr>
            </w:pPr>
          </w:p>
        </w:tc>
        <w:tc>
          <w:tcPr>
            <w:tcW w:w="1276" w:type="dxa"/>
            <w:tcBorders>
              <w:top w:val="single" w:color="auto" w:sz="4" w:space="0"/>
              <w:left w:val="single" w:color="auto" w:sz="4" w:space="0"/>
              <w:bottom w:val="single" w:color="auto" w:sz="4" w:space="0"/>
              <w:right w:val="single" w:color="auto" w:sz="4" w:space="0"/>
            </w:tcBorders>
            <w:noWrap w:val="0"/>
            <w:vAlign w:val="top"/>
          </w:tcPr>
          <w:p w14:paraId="4BC373C3">
            <w:pPr>
              <w:snapToGrid w:val="0"/>
              <w:spacing w:before="50" w:after="120" w:afterLines="50" w:line="400" w:lineRule="exact"/>
              <w:jc w:val="left"/>
              <w:rPr>
                <w:rFonts w:hint="eastAsia" w:ascii="宋体" w:hAnsi="宋体" w:eastAsia="宋体" w:cs="宋体"/>
                <w:color w:val="auto"/>
                <w:sz w:val="24"/>
                <w:highlight w:val="none"/>
              </w:rPr>
            </w:pPr>
          </w:p>
        </w:tc>
        <w:tc>
          <w:tcPr>
            <w:tcW w:w="1842" w:type="dxa"/>
            <w:tcBorders>
              <w:top w:val="single" w:color="auto" w:sz="4" w:space="0"/>
              <w:left w:val="single" w:color="auto" w:sz="4" w:space="0"/>
              <w:bottom w:val="single" w:color="auto" w:sz="4" w:space="0"/>
              <w:right w:val="single" w:color="auto" w:sz="4" w:space="0"/>
            </w:tcBorders>
            <w:noWrap w:val="0"/>
            <w:vAlign w:val="top"/>
          </w:tcPr>
          <w:p w14:paraId="544021EB">
            <w:pPr>
              <w:snapToGrid w:val="0"/>
              <w:spacing w:before="50" w:after="120" w:afterLines="50" w:line="400" w:lineRule="exact"/>
              <w:jc w:val="left"/>
              <w:rPr>
                <w:rFonts w:hint="eastAsia" w:ascii="宋体" w:hAnsi="宋体" w:eastAsia="宋体" w:cs="宋体"/>
                <w:color w:val="auto"/>
                <w:sz w:val="24"/>
                <w:highlight w:val="none"/>
              </w:rPr>
            </w:pPr>
          </w:p>
        </w:tc>
      </w:tr>
    </w:tbl>
    <w:p w14:paraId="41E9E09E">
      <w:pPr>
        <w:snapToGrid w:val="0"/>
        <w:spacing w:line="360" w:lineRule="auto"/>
        <w:ind w:firstLine="4935" w:firstLineChars="2350"/>
        <w:rPr>
          <w:rFonts w:hint="eastAsia" w:ascii="宋体" w:hAnsi="宋体" w:eastAsia="宋体" w:cs="宋体"/>
          <w:color w:val="auto"/>
          <w:szCs w:val="21"/>
          <w:highlight w:val="none"/>
        </w:rPr>
      </w:pPr>
    </w:p>
    <w:p w14:paraId="717FC055">
      <w:pPr>
        <w:snapToGrid w:val="0"/>
        <w:spacing w:line="360" w:lineRule="auto"/>
        <w:ind w:firstLine="0" w:firstLineChars="0"/>
        <w:rPr>
          <w:rFonts w:hint="eastAsia" w:ascii="宋体" w:hAnsi="宋体" w:eastAsia="宋体" w:cs="宋体"/>
          <w:color w:val="auto"/>
          <w:szCs w:val="21"/>
          <w:highlight w:val="none"/>
          <w:lang w:eastAsia="zh-CN"/>
        </w:rPr>
      </w:pPr>
      <w:r>
        <w:rPr>
          <w:rFonts w:hint="eastAsia" w:ascii="宋体" w:hAnsi="宋体" w:eastAsia="宋体" w:cs="宋体"/>
          <w:color w:val="auto"/>
          <w:sz w:val="24"/>
          <w:szCs w:val="20"/>
          <w:highlight w:val="none"/>
        </w:rPr>
        <w:t>注：在填写时，如本表格不适合</w:t>
      </w:r>
      <w:r>
        <w:rPr>
          <w:rFonts w:hint="eastAsia" w:ascii="宋体" w:hAnsi="宋体" w:eastAsia="宋体" w:cs="宋体"/>
          <w:color w:val="auto"/>
          <w:sz w:val="24"/>
          <w:szCs w:val="20"/>
          <w:highlight w:val="none"/>
          <w:lang w:eastAsia="zh-CN"/>
        </w:rPr>
        <w:t>供应商</w:t>
      </w:r>
      <w:r>
        <w:rPr>
          <w:rFonts w:hint="eastAsia" w:ascii="宋体" w:hAnsi="宋体" w:eastAsia="宋体" w:cs="宋体"/>
          <w:color w:val="auto"/>
          <w:sz w:val="24"/>
          <w:szCs w:val="20"/>
          <w:highlight w:val="none"/>
        </w:rPr>
        <w:t>的实际情况，可</w:t>
      </w:r>
      <w:r>
        <w:rPr>
          <w:rFonts w:hint="eastAsia" w:ascii="宋体" w:hAnsi="宋体" w:eastAsia="宋体" w:cs="宋体"/>
          <w:color w:val="auto"/>
          <w:sz w:val="24"/>
          <w:szCs w:val="20"/>
          <w:highlight w:val="none"/>
          <w:lang w:eastAsia="zh-CN"/>
        </w:rPr>
        <w:t>参照</w:t>
      </w:r>
      <w:r>
        <w:rPr>
          <w:rFonts w:hint="eastAsia" w:ascii="宋体" w:hAnsi="宋体" w:eastAsia="宋体" w:cs="宋体"/>
          <w:color w:val="auto"/>
          <w:sz w:val="24"/>
          <w:szCs w:val="20"/>
          <w:highlight w:val="none"/>
        </w:rPr>
        <w:t>本表格式自行制表填写</w:t>
      </w:r>
      <w:r>
        <w:rPr>
          <w:rFonts w:hint="eastAsia" w:ascii="宋体" w:hAnsi="宋体" w:eastAsia="宋体" w:cs="宋体"/>
          <w:color w:val="auto"/>
          <w:sz w:val="24"/>
          <w:szCs w:val="20"/>
          <w:highlight w:val="none"/>
          <w:lang w:eastAsia="zh-CN"/>
        </w:rPr>
        <w:t>，并附上相关证明材料</w:t>
      </w:r>
      <w:r>
        <w:rPr>
          <w:rFonts w:hint="eastAsia"/>
          <w:color w:val="auto"/>
          <w:highlight w:val="none"/>
          <w:lang w:eastAsia="zh-CN"/>
        </w:rPr>
        <w:t>。</w:t>
      </w:r>
    </w:p>
    <w:p w14:paraId="73BE0406">
      <w:pPr>
        <w:snapToGrid w:val="0"/>
        <w:spacing w:line="360" w:lineRule="auto"/>
        <w:ind w:firstLine="0" w:firstLineChars="0"/>
        <w:rPr>
          <w:rFonts w:hint="eastAsia" w:ascii="宋体" w:hAnsi="宋体" w:eastAsia="宋体" w:cs="宋体"/>
          <w:color w:val="auto"/>
          <w:szCs w:val="21"/>
          <w:highlight w:val="none"/>
        </w:rPr>
      </w:pPr>
    </w:p>
    <w:p w14:paraId="3CAD6899">
      <w:pPr>
        <w:snapToGrid w:val="0"/>
        <w:spacing w:line="360" w:lineRule="auto"/>
        <w:ind w:firstLine="0" w:firstLineChars="0"/>
        <w:rPr>
          <w:rFonts w:hint="eastAsia" w:ascii="宋体" w:hAnsi="宋体" w:eastAsia="宋体" w:cs="宋体"/>
          <w:color w:val="auto"/>
          <w:szCs w:val="21"/>
          <w:highlight w:val="none"/>
        </w:rPr>
      </w:pPr>
    </w:p>
    <w:p w14:paraId="3FB75F30">
      <w:pPr>
        <w:snapToGrid w:val="0"/>
        <w:spacing w:line="360" w:lineRule="auto"/>
        <w:ind w:left="0" w:leftChars="0" w:firstLine="0" w:firstLineChars="0"/>
        <w:rPr>
          <w:rFonts w:hint="eastAsia" w:ascii="宋体" w:hAnsi="宋体" w:eastAsia="宋体" w:cs="宋体"/>
          <w:color w:val="auto"/>
          <w:kern w:val="0"/>
          <w:sz w:val="24"/>
          <w:highlight w:val="none"/>
        </w:rPr>
      </w:pPr>
      <w:r>
        <w:rPr>
          <w:rFonts w:hint="eastAsia" w:ascii="宋体" w:hAnsi="宋体" w:eastAsia="宋体" w:cs="宋体"/>
          <w:color w:val="auto"/>
          <w:szCs w:val="21"/>
          <w:highlight w:val="none"/>
        </w:rPr>
        <w:t xml:space="preserve"> </w:t>
      </w:r>
      <w:r>
        <w:rPr>
          <w:rFonts w:hint="eastAsia" w:ascii="宋体" w:hAnsi="宋体" w:eastAsia="宋体" w:cs="宋体"/>
          <w:color w:val="auto"/>
          <w:szCs w:val="21"/>
          <w:highlight w:val="none"/>
          <w:lang w:val="en-US" w:eastAsia="zh-CN"/>
        </w:rPr>
        <w:t xml:space="preserve">                                                                </w:t>
      </w:r>
      <w:r>
        <w:rPr>
          <w:rFonts w:hint="eastAsia" w:ascii="宋体" w:hAnsi="宋体" w:eastAsia="宋体" w:cs="宋体"/>
          <w:color w:val="auto"/>
          <w:kern w:val="0"/>
          <w:sz w:val="24"/>
          <w:highlight w:val="none"/>
          <w:lang w:val="zh-CN"/>
        </w:rPr>
        <w:t>供应商名称(盖公章)：</w:t>
      </w:r>
    </w:p>
    <w:p w14:paraId="76DDF480">
      <w:pPr>
        <w:spacing w:line="500" w:lineRule="exact"/>
        <w:jc w:val="center"/>
        <w:rPr>
          <w:rFonts w:hint="eastAsia" w:ascii="宋体" w:hAnsi="宋体" w:eastAsia="宋体" w:cs="宋体"/>
          <w:color w:val="auto"/>
          <w:sz w:val="32"/>
          <w:szCs w:val="32"/>
          <w:highlight w:val="none"/>
        </w:rPr>
        <w:sectPr>
          <w:pgSz w:w="11911" w:h="16838"/>
          <w:pgMar w:top="1134" w:right="1134" w:bottom="1134" w:left="1134" w:header="720" w:footer="720" w:gutter="0"/>
          <w:pgNumType w:fmt="decimal"/>
          <w:cols w:space="720" w:num="1"/>
        </w:sectPr>
      </w:pPr>
      <w:r>
        <w:rPr>
          <w:rFonts w:hint="eastAsia" w:ascii="宋体" w:hAnsi="宋体" w:eastAsia="宋体" w:cs="宋体"/>
          <w:color w:val="auto"/>
          <w:kern w:val="0"/>
          <w:sz w:val="24"/>
          <w:highlight w:val="none"/>
          <w:lang w:val="zh-CN"/>
        </w:rPr>
        <w:t xml:space="preserve">                                                     日期</w:t>
      </w:r>
      <w:r>
        <w:rPr>
          <w:rFonts w:hint="eastAsia" w:ascii="宋体" w:hAnsi="宋体" w:eastAsia="宋体" w:cs="宋体"/>
          <w:color w:val="auto"/>
          <w:kern w:val="0"/>
          <w:sz w:val="24"/>
          <w:highlight w:val="none"/>
        </w:rPr>
        <w:t xml:space="preserve">：  年  </w:t>
      </w:r>
      <w:r>
        <w:rPr>
          <w:rFonts w:hint="eastAsia" w:ascii="宋体" w:hAnsi="宋体" w:eastAsia="宋体" w:cs="宋体"/>
          <w:color w:val="auto"/>
          <w:kern w:val="0"/>
          <w:sz w:val="24"/>
          <w:highlight w:val="none"/>
          <w:lang w:val="zh-CN"/>
        </w:rPr>
        <w:t>月</w:t>
      </w:r>
      <w:r>
        <w:rPr>
          <w:rFonts w:hint="eastAsia" w:ascii="宋体" w:hAnsi="宋体" w:eastAsia="宋体" w:cs="宋体"/>
          <w:color w:val="auto"/>
          <w:kern w:val="0"/>
          <w:sz w:val="24"/>
          <w:highlight w:val="none"/>
        </w:rPr>
        <w:t xml:space="preserve">   </w:t>
      </w:r>
      <w:r>
        <w:rPr>
          <w:rFonts w:hint="eastAsia" w:ascii="宋体" w:hAnsi="宋体" w:eastAsia="宋体" w:cs="宋体"/>
          <w:color w:val="auto"/>
          <w:kern w:val="0"/>
          <w:sz w:val="24"/>
          <w:highlight w:val="none"/>
          <w:lang w:val="zh-CN"/>
        </w:rPr>
        <w:t>日</w:t>
      </w:r>
    </w:p>
    <w:p w14:paraId="1B85104F">
      <w:pPr>
        <w:snapToGrid w:val="0"/>
        <w:spacing w:line="360" w:lineRule="auto"/>
        <w:ind w:firstLine="0" w:firstLineChars="0"/>
        <w:rPr>
          <w:rFonts w:hint="eastAsia" w:ascii="宋体" w:hAnsi="宋体" w:eastAsia="宋体" w:cs="宋体"/>
          <w:color w:val="auto"/>
          <w:sz w:val="28"/>
          <w:szCs w:val="28"/>
          <w:highlight w:val="none"/>
          <w:lang w:eastAsia="zh-CN"/>
        </w:rPr>
      </w:pPr>
      <w:r>
        <w:rPr>
          <w:rFonts w:hint="eastAsia" w:ascii="宋体" w:hAnsi="宋体" w:eastAsia="宋体" w:cs="宋体"/>
          <w:b/>
          <w:color w:val="auto"/>
          <w:sz w:val="28"/>
          <w:szCs w:val="28"/>
          <w:highlight w:val="none"/>
          <w:lang w:val="en-US" w:eastAsia="zh-CN"/>
        </w:rPr>
        <w:t>8.</w:t>
      </w:r>
      <w:r>
        <w:rPr>
          <w:rFonts w:hint="eastAsia" w:ascii="宋体" w:hAnsi="宋体" w:eastAsia="宋体" w:cs="宋体"/>
          <w:b/>
          <w:color w:val="auto"/>
          <w:sz w:val="28"/>
          <w:szCs w:val="28"/>
          <w:highlight w:val="none"/>
        </w:rPr>
        <w:t>服务</w:t>
      </w:r>
      <w:r>
        <w:rPr>
          <w:rFonts w:hint="eastAsia" w:ascii="宋体" w:hAnsi="宋体" w:eastAsia="宋体" w:cs="宋体"/>
          <w:b/>
          <w:color w:val="auto"/>
          <w:sz w:val="28"/>
          <w:szCs w:val="28"/>
          <w:highlight w:val="none"/>
          <w:lang w:eastAsia="zh-CN"/>
        </w:rPr>
        <w:t>要求</w:t>
      </w:r>
      <w:r>
        <w:rPr>
          <w:rFonts w:hint="eastAsia" w:ascii="宋体" w:hAnsi="宋体" w:eastAsia="宋体" w:cs="宋体"/>
          <w:b/>
          <w:color w:val="auto"/>
          <w:sz w:val="28"/>
          <w:szCs w:val="28"/>
          <w:highlight w:val="none"/>
        </w:rPr>
        <w:t>偏离表</w:t>
      </w:r>
      <w:r>
        <w:rPr>
          <w:rFonts w:hint="eastAsia" w:ascii="宋体" w:hAnsi="宋体" w:eastAsia="宋体" w:cs="宋体"/>
          <w:b/>
          <w:color w:val="auto"/>
          <w:sz w:val="28"/>
          <w:szCs w:val="28"/>
          <w:highlight w:val="none"/>
          <w:lang w:eastAsia="zh-CN"/>
        </w:rPr>
        <w:t>的格式：</w:t>
      </w:r>
    </w:p>
    <w:p w14:paraId="74F24C3A">
      <w:pPr>
        <w:spacing w:line="500" w:lineRule="exact"/>
        <w:jc w:val="center"/>
        <w:rPr>
          <w:rFonts w:hint="eastAsia" w:ascii="宋体" w:hAnsi="宋体" w:eastAsia="宋体" w:cs="宋体"/>
          <w:bCs/>
          <w:color w:val="auto"/>
          <w:sz w:val="44"/>
          <w:szCs w:val="44"/>
          <w:highlight w:val="none"/>
        </w:rPr>
      </w:pPr>
      <w:r>
        <w:rPr>
          <w:rFonts w:hint="eastAsia" w:ascii="宋体" w:hAnsi="宋体" w:eastAsia="宋体" w:cs="宋体"/>
          <w:bCs/>
          <w:color w:val="auto"/>
          <w:sz w:val="44"/>
          <w:szCs w:val="44"/>
          <w:highlight w:val="none"/>
        </w:rPr>
        <w:t>服务</w:t>
      </w:r>
      <w:r>
        <w:rPr>
          <w:rFonts w:hint="eastAsia" w:ascii="宋体" w:hAnsi="宋体" w:eastAsia="宋体" w:cs="宋体"/>
          <w:bCs/>
          <w:color w:val="auto"/>
          <w:sz w:val="44"/>
          <w:szCs w:val="44"/>
          <w:highlight w:val="none"/>
          <w:lang w:eastAsia="zh-CN"/>
        </w:rPr>
        <w:t>要求</w:t>
      </w:r>
      <w:r>
        <w:rPr>
          <w:rFonts w:hint="eastAsia" w:ascii="宋体" w:hAnsi="宋体" w:eastAsia="宋体" w:cs="宋体"/>
          <w:bCs/>
          <w:color w:val="auto"/>
          <w:sz w:val="44"/>
          <w:szCs w:val="44"/>
          <w:highlight w:val="none"/>
        </w:rPr>
        <w:t>偏离表</w:t>
      </w:r>
    </w:p>
    <w:p w14:paraId="46B94283">
      <w:pPr>
        <w:spacing w:line="500" w:lineRule="exact"/>
        <w:jc w:val="center"/>
        <w:rPr>
          <w:rFonts w:hint="eastAsia" w:ascii="宋体" w:hAnsi="宋体" w:eastAsia="宋体" w:cs="宋体"/>
          <w:b/>
          <w:color w:val="auto"/>
          <w:sz w:val="21"/>
          <w:szCs w:val="21"/>
          <w:highlight w:val="none"/>
        </w:rPr>
      </w:pPr>
      <w:r>
        <w:rPr>
          <w:rFonts w:hint="eastAsia" w:ascii="宋体" w:hAnsi="宋体" w:eastAsia="宋体" w:cs="宋体"/>
          <w:bCs/>
          <w:color w:val="auto"/>
          <w:sz w:val="21"/>
          <w:szCs w:val="21"/>
          <w:highlight w:val="none"/>
        </w:rPr>
        <w:t>(注：按采购需求具体条款</w:t>
      </w:r>
      <w:r>
        <w:rPr>
          <w:rFonts w:hint="eastAsia" w:ascii="宋体" w:hAnsi="宋体" w:eastAsia="宋体" w:cs="宋体"/>
          <w:bCs/>
          <w:color w:val="auto"/>
          <w:sz w:val="21"/>
          <w:szCs w:val="21"/>
          <w:highlight w:val="none"/>
          <w:lang w:val="en-US" w:eastAsia="zh-CN"/>
        </w:rPr>
        <w:t>编制</w:t>
      </w:r>
      <w:r>
        <w:rPr>
          <w:rFonts w:hint="eastAsia" w:ascii="宋体" w:hAnsi="宋体" w:eastAsia="宋体" w:cs="宋体"/>
          <w:bCs/>
          <w:color w:val="auto"/>
          <w:sz w:val="21"/>
          <w:szCs w:val="21"/>
          <w:highlight w:val="none"/>
        </w:rPr>
        <w:t>)</w:t>
      </w:r>
    </w:p>
    <w:p w14:paraId="091AE96B">
      <w:pPr>
        <w:spacing w:line="360" w:lineRule="auto"/>
        <w:contextualSpacing/>
        <w:jc w:val="left"/>
        <w:rPr>
          <w:rFonts w:hint="eastAsia" w:ascii="宋体" w:hAnsi="宋体" w:eastAsia="宋体" w:cs="宋体"/>
          <w:color w:val="auto"/>
          <w:sz w:val="24"/>
          <w:highlight w:val="none"/>
        </w:rPr>
      </w:pPr>
    </w:p>
    <w:p w14:paraId="4805D2FD">
      <w:pPr>
        <w:spacing w:line="360" w:lineRule="auto"/>
        <w:ind w:firstLine="720" w:firstLineChars="30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项目</w:t>
      </w:r>
      <w:r>
        <w:rPr>
          <w:rFonts w:hint="eastAsia" w:ascii="宋体" w:hAnsi="宋体" w:eastAsia="宋体" w:cs="宋体"/>
          <w:color w:val="auto"/>
          <w:sz w:val="24"/>
          <w:highlight w:val="none"/>
          <w:lang w:eastAsia="zh-CN"/>
        </w:rPr>
        <w:t>名称</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p>
    <w:p w14:paraId="1F9C8533">
      <w:pPr>
        <w:spacing w:line="360" w:lineRule="auto"/>
        <w:ind w:firstLine="720" w:firstLineChars="3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项目</w:t>
      </w:r>
      <w:r>
        <w:rPr>
          <w:rFonts w:hint="eastAsia" w:ascii="宋体" w:hAnsi="宋体" w:eastAsia="宋体" w:cs="宋体"/>
          <w:color w:val="auto"/>
          <w:sz w:val="24"/>
          <w:highlight w:val="none"/>
          <w:lang w:eastAsia="zh-CN"/>
        </w:rPr>
        <w:t>编号</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single"/>
        </w:rPr>
        <w:t xml:space="preserve">                 </w:t>
      </w:r>
    </w:p>
    <w:p w14:paraId="11F5BA78">
      <w:pPr>
        <w:spacing w:line="360" w:lineRule="auto"/>
        <w:ind w:firstLine="720" w:firstLineChars="300"/>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54"/>
        <w:gridCol w:w="1175"/>
        <w:gridCol w:w="2118"/>
        <w:gridCol w:w="2944"/>
        <w:gridCol w:w="1095"/>
      </w:tblGrid>
      <w:tr w14:paraId="27D2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8" w:hRule="atLeast"/>
          <w:jc w:val="center"/>
        </w:trPr>
        <w:tc>
          <w:tcPr>
            <w:tcW w:w="754" w:type="dxa"/>
            <w:tcBorders>
              <w:top w:val="single" w:color="auto" w:sz="4" w:space="0"/>
              <w:left w:val="single" w:color="auto" w:sz="4" w:space="0"/>
              <w:bottom w:val="single" w:color="auto" w:sz="4" w:space="0"/>
              <w:right w:val="single" w:color="auto" w:sz="4" w:space="0"/>
            </w:tcBorders>
            <w:noWrap w:val="0"/>
            <w:vAlign w:val="center"/>
          </w:tcPr>
          <w:p w14:paraId="70743EEB">
            <w:pP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项号</w:t>
            </w:r>
          </w:p>
        </w:tc>
        <w:tc>
          <w:tcPr>
            <w:tcW w:w="1175" w:type="dxa"/>
            <w:tcBorders>
              <w:top w:val="single" w:color="auto" w:sz="4" w:space="0"/>
              <w:left w:val="single" w:color="auto" w:sz="4" w:space="0"/>
              <w:bottom w:val="single" w:color="auto" w:sz="4" w:space="0"/>
              <w:right w:val="single" w:color="auto" w:sz="4" w:space="0"/>
            </w:tcBorders>
            <w:noWrap w:val="0"/>
            <w:vAlign w:val="center"/>
          </w:tcPr>
          <w:p w14:paraId="51408959">
            <w:pPr>
              <w:jc w:val="center"/>
              <w:rPr>
                <w:rFonts w:hint="default"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标的名称</w:t>
            </w:r>
          </w:p>
        </w:tc>
        <w:tc>
          <w:tcPr>
            <w:tcW w:w="2118" w:type="dxa"/>
            <w:tcBorders>
              <w:top w:val="single" w:color="auto" w:sz="4" w:space="0"/>
              <w:left w:val="single" w:color="auto" w:sz="4" w:space="0"/>
              <w:bottom w:val="single" w:color="auto" w:sz="4" w:space="0"/>
              <w:right w:val="single" w:color="auto" w:sz="4" w:space="0"/>
            </w:tcBorders>
            <w:noWrap w:val="0"/>
            <w:vAlign w:val="center"/>
          </w:tcPr>
          <w:p w14:paraId="46728800">
            <w:pPr>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磋商文件</w:t>
            </w:r>
            <w:r>
              <w:rPr>
                <w:rFonts w:hint="eastAsia" w:ascii="宋体" w:hAnsi="宋体" w:cs="Times New Roman"/>
                <w:color w:val="auto"/>
                <w:szCs w:val="21"/>
                <w:highlight w:val="none"/>
                <w:lang w:eastAsia="zh-CN"/>
              </w:rPr>
              <w:t>采购需求</w:t>
            </w:r>
            <w:r>
              <w:rPr>
                <w:rFonts w:hint="eastAsia" w:ascii="宋体" w:hAnsi="宋体" w:cs="Times New Roman"/>
                <w:color w:val="auto"/>
                <w:szCs w:val="21"/>
                <w:highlight w:val="none"/>
                <w:lang w:val="en-US" w:eastAsia="zh-CN"/>
              </w:rPr>
              <w:t>中的</w:t>
            </w:r>
            <w:r>
              <w:rPr>
                <w:rFonts w:hint="eastAsia" w:ascii="宋体" w:hAnsi="宋体" w:eastAsia="宋体" w:cs="Times New Roman"/>
                <w:color w:val="auto"/>
                <w:szCs w:val="21"/>
                <w:highlight w:val="none"/>
                <w:lang w:eastAsia="zh-CN"/>
              </w:rPr>
              <w:t>服务要求</w:t>
            </w:r>
          </w:p>
        </w:tc>
        <w:tc>
          <w:tcPr>
            <w:tcW w:w="2944" w:type="dxa"/>
            <w:tcBorders>
              <w:top w:val="single" w:color="auto" w:sz="4" w:space="0"/>
              <w:left w:val="single" w:color="auto" w:sz="4" w:space="0"/>
              <w:bottom w:val="single" w:color="auto" w:sz="4" w:space="0"/>
              <w:right w:val="single" w:color="auto" w:sz="4" w:space="0"/>
            </w:tcBorders>
            <w:noWrap w:val="0"/>
            <w:vAlign w:val="center"/>
          </w:tcPr>
          <w:p w14:paraId="145F03D3">
            <w:pPr>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rPr>
              <w:t>响应文件</w:t>
            </w:r>
            <w:r>
              <w:rPr>
                <w:rFonts w:hint="eastAsia" w:ascii="宋体" w:hAnsi="宋体" w:eastAsia="宋体" w:cs="宋体"/>
                <w:color w:val="auto"/>
                <w:szCs w:val="21"/>
                <w:highlight w:val="none"/>
                <w:lang w:val="en-US" w:eastAsia="zh-CN"/>
              </w:rPr>
              <w:t>响应的</w:t>
            </w:r>
            <w:r>
              <w:rPr>
                <w:rFonts w:hint="eastAsia" w:ascii="宋体" w:hAnsi="宋体" w:eastAsia="宋体" w:cs="Times New Roman"/>
                <w:color w:val="auto"/>
                <w:szCs w:val="21"/>
                <w:highlight w:val="none"/>
                <w:lang w:eastAsia="zh-CN"/>
              </w:rPr>
              <w:t>服务内容</w:t>
            </w:r>
          </w:p>
        </w:tc>
        <w:tc>
          <w:tcPr>
            <w:tcW w:w="1095" w:type="dxa"/>
            <w:tcBorders>
              <w:top w:val="single" w:color="auto" w:sz="4" w:space="0"/>
              <w:left w:val="single" w:color="auto" w:sz="4" w:space="0"/>
              <w:bottom w:val="single" w:color="auto" w:sz="4" w:space="0"/>
              <w:right w:val="single" w:color="auto" w:sz="4" w:space="0"/>
            </w:tcBorders>
            <w:noWrap w:val="0"/>
            <w:vAlign w:val="center"/>
          </w:tcPr>
          <w:p w14:paraId="17331F0F">
            <w:pPr>
              <w:rPr>
                <w:rFonts w:hint="eastAsia" w:ascii="宋体" w:hAnsi="宋体" w:eastAsia="宋体" w:cs="宋体"/>
                <w:color w:val="auto"/>
                <w:szCs w:val="21"/>
                <w:highlight w:val="none"/>
              </w:rPr>
            </w:pPr>
            <w:r>
              <w:rPr>
                <w:rFonts w:hint="eastAsia" w:ascii="宋体" w:hAnsi="宋体" w:eastAsia="宋体" w:cs="宋体"/>
                <w:color w:val="auto"/>
                <w:szCs w:val="21"/>
                <w:highlight w:val="none"/>
              </w:rPr>
              <w:t>偏离说明</w:t>
            </w:r>
          </w:p>
        </w:tc>
      </w:tr>
      <w:tr w14:paraId="389048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754" w:type="dxa"/>
            <w:tcBorders>
              <w:top w:val="single" w:color="auto" w:sz="4" w:space="0"/>
              <w:left w:val="single" w:color="auto" w:sz="4" w:space="0"/>
              <w:bottom w:val="single" w:color="auto" w:sz="4" w:space="0"/>
              <w:right w:val="single" w:color="auto" w:sz="4" w:space="0"/>
            </w:tcBorders>
            <w:noWrap w:val="0"/>
            <w:vAlign w:val="center"/>
          </w:tcPr>
          <w:p w14:paraId="4D0F616B">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175" w:type="dxa"/>
            <w:tcBorders>
              <w:top w:val="single" w:color="auto" w:sz="4" w:space="0"/>
              <w:left w:val="single" w:color="auto" w:sz="4" w:space="0"/>
              <w:bottom w:val="single" w:color="auto" w:sz="4" w:space="0"/>
              <w:right w:val="single" w:color="auto" w:sz="4" w:space="0"/>
            </w:tcBorders>
            <w:noWrap w:val="0"/>
            <w:vAlign w:val="center"/>
          </w:tcPr>
          <w:p w14:paraId="569ADFBD">
            <w:pPr>
              <w:rPr>
                <w:rFonts w:hint="eastAsia" w:ascii="宋体" w:hAnsi="宋体" w:eastAsia="宋体" w:cs="宋体"/>
                <w:color w:val="auto"/>
                <w:szCs w:val="21"/>
                <w:highlight w:val="none"/>
              </w:rPr>
            </w:pPr>
          </w:p>
        </w:tc>
        <w:tc>
          <w:tcPr>
            <w:tcW w:w="2118" w:type="dxa"/>
            <w:tcBorders>
              <w:top w:val="single" w:color="auto" w:sz="4" w:space="0"/>
              <w:left w:val="single" w:color="auto" w:sz="4" w:space="0"/>
              <w:bottom w:val="single" w:color="auto" w:sz="4" w:space="0"/>
              <w:right w:val="single" w:color="auto" w:sz="4" w:space="0"/>
            </w:tcBorders>
            <w:noWrap w:val="0"/>
            <w:vAlign w:val="center"/>
          </w:tcPr>
          <w:p w14:paraId="574A63C2">
            <w:pPr>
              <w:rPr>
                <w:rFonts w:hint="eastAsia" w:ascii="宋体" w:hAnsi="宋体" w:eastAsia="宋体" w:cs="宋体"/>
                <w:color w:val="auto"/>
                <w:szCs w:val="21"/>
                <w:highlight w:val="none"/>
              </w:rPr>
            </w:pPr>
          </w:p>
        </w:tc>
        <w:tc>
          <w:tcPr>
            <w:tcW w:w="2944" w:type="dxa"/>
            <w:tcBorders>
              <w:top w:val="single" w:color="auto" w:sz="4" w:space="0"/>
              <w:left w:val="single" w:color="auto" w:sz="4" w:space="0"/>
              <w:bottom w:val="single" w:color="auto" w:sz="4" w:space="0"/>
              <w:right w:val="single" w:color="auto" w:sz="4" w:space="0"/>
            </w:tcBorders>
            <w:noWrap w:val="0"/>
            <w:vAlign w:val="center"/>
          </w:tcPr>
          <w:p w14:paraId="266C469F">
            <w:pPr>
              <w:rPr>
                <w:rFonts w:hint="eastAsia" w:ascii="宋体" w:hAnsi="宋体" w:eastAsia="宋体" w:cs="宋体"/>
                <w:color w:val="auto"/>
                <w:szCs w:val="21"/>
                <w:highlight w:val="none"/>
              </w:rPr>
            </w:pPr>
          </w:p>
        </w:tc>
        <w:tc>
          <w:tcPr>
            <w:tcW w:w="1095" w:type="dxa"/>
            <w:tcBorders>
              <w:top w:val="single" w:color="auto" w:sz="4" w:space="0"/>
              <w:left w:val="single" w:color="auto" w:sz="4" w:space="0"/>
              <w:bottom w:val="single" w:color="auto" w:sz="4" w:space="0"/>
              <w:right w:val="single" w:color="auto" w:sz="4" w:space="0"/>
            </w:tcBorders>
            <w:noWrap w:val="0"/>
            <w:vAlign w:val="center"/>
          </w:tcPr>
          <w:p w14:paraId="000FD923">
            <w:pPr>
              <w:rPr>
                <w:rFonts w:hint="eastAsia" w:ascii="宋体" w:hAnsi="宋体" w:eastAsia="宋体" w:cs="宋体"/>
                <w:color w:val="auto"/>
                <w:szCs w:val="21"/>
                <w:highlight w:val="none"/>
              </w:rPr>
            </w:pPr>
          </w:p>
        </w:tc>
      </w:tr>
      <w:tr w14:paraId="4F08F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754" w:type="dxa"/>
            <w:tcBorders>
              <w:top w:val="single" w:color="auto" w:sz="4" w:space="0"/>
              <w:left w:val="single" w:color="auto" w:sz="4" w:space="0"/>
              <w:bottom w:val="single" w:color="auto" w:sz="4" w:space="0"/>
              <w:right w:val="single" w:color="auto" w:sz="4" w:space="0"/>
            </w:tcBorders>
            <w:noWrap w:val="0"/>
            <w:vAlign w:val="center"/>
          </w:tcPr>
          <w:p w14:paraId="7C9C8B80">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1175" w:type="dxa"/>
            <w:tcBorders>
              <w:top w:val="single" w:color="auto" w:sz="4" w:space="0"/>
              <w:left w:val="single" w:color="auto" w:sz="4" w:space="0"/>
              <w:bottom w:val="single" w:color="auto" w:sz="4" w:space="0"/>
              <w:right w:val="single" w:color="auto" w:sz="4" w:space="0"/>
            </w:tcBorders>
            <w:noWrap w:val="0"/>
            <w:vAlign w:val="center"/>
          </w:tcPr>
          <w:p w14:paraId="1FD1888F">
            <w:pPr>
              <w:rPr>
                <w:rFonts w:hint="eastAsia" w:ascii="宋体" w:hAnsi="宋体" w:eastAsia="宋体" w:cs="宋体"/>
                <w:color w:val="auto"/>
                <w:szCs w:val="21"/>
                <w:highlight w:val="none"/>
              </w:rPr>
            </w:pPr>
          </w:p>
        </w:tc>
        <w:tc>
          <w:tcPr>
            <w:tcW w:w="2118" w:type="dxa"/>
            <w:tcBorders>
              <w:top w:val="single" w:color="auto" w:sz="4" w:space="0"/>
              <w:left w:val="single" w:color="auto" w:sz="4" w:space="0"/>
              <w:bottom w:val="single" w:color="auto" w:sz="4" w:space="0"/>
              <w:right w:val="single" w:color="auto" w:sz="4" w:space="0"/>
            </w:tcBorders>
            <w:noWrap w:val="0"/>
            <w:vAlign w:val="center"/>
          </w:tcPr>
          <w:p w14:paraId="4703D942">
            <w:pPr>
              <w:rPr>
                <w:rFonts w:hint="eastAsia" w:ascii="宋体" w:hAnsi="宋体" w:eastAsia="宋体" w:cs="宋体"/>
                <w:color w:val="auto"/>
                <w:szCs w:val="21"/>
                <w:highlight w:val="none"/>
              </w:rPr>
            </w:pPr>
          </w:p>
        </w:tc>
        <w:tc>
          <w:tcPr>
            <w:tcW w:w="2944" w:type="dxa"/>
            <w:tcBorders>
              <w:top w:val="single" w:color="auto" w:sz="4" w:space="0"/>
              <w:left w:val="single" w:color="auto" w:sz="4" w:space="0"/>
              <w:bottom w:val="single" w:color="auto" w:sz="4" w:space="0"/>
              <w:right w:val="single" w:color="auto" w:sz="4" w:space="0"/>
            </w:tcBorders>
            <w:noWrap w:val="0"/>
            <w:vAlign w:val="center"/>
          </w:tcPr>
          <w:p w14:paraId="1E17C924">
            <w:pPr>
              <w:rPr>
                <w:rFonts w:hint="eastAsia" w:ascii="宋体" w:hAnsi="宋体" w:eastAsia="宋体" w:cs="宋体"/>
                <w:color w:val="auto"/>
                <w:szCs w:val="21"/>
                <w:highlight w:val="none"/>
              </w:rPr>
            </w:pPr>
          </w:p>
        </w:tc>
        <w:tc>
          <w:tcPr>
            <w:tcW w:w="1095" w:type="dxa"/>
            <w:tcBorders>
              <w:top w:val="single" w:color="auto" w:sz="4" w:space="0"/>
              <w:left w:val="single" w:color="auto" w:sz="4" w:space="0"/>
              <w:bottom w:val="single" w:color="auto" w:sz="4" w:space="0"/>
              <w:right w:val="single" w:color="auto" w:sz="4" w:space="0"/>
            </w:tcBorders>
            <w:noWrap w:val="0"/>
            <w:vAlign w:val="center"/>
          </w:tcPr>
          <w:p w14:paraId="39AE2E4F">
            <w:pPr>
              <w:rPr>
                <w:rFonts w:hint="eastAsia" w:ascii="宋体" w:hAnsi="宋体" w:eastAsia="宋体" w:cs="宋体"/>
                <w:color w:val="auto"/>
                <w:szCs w:val="21"/>
                <w:highlight w:val="none"/>
              </w:rPr>
            </w:pPr>
          </w:p>
        </w:tc>
      </w:tr>
      <w:tr w14:paraId="316140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63" w:hRule="atLeast"/>
          <w:jc w:val="center"/>
        </w:trPr>
        <w:tc>
          <w:tcPr>
            <w:tcW w:w="754" w:type="dxa"/>
            <w:tcBorders>
              <w:top w:val="single" w:color="auto" w:sz="4" w:space="0"/>
              <w:left w:val="single" w:color="auto" w:sz="4" w:space="0"/>
              <w:bottom w:val="single" w:color="auto" w:sz="4" w:space="0"/>
              <w:right w:val="single" w:color="auto" w:sz="4" w:space="0"/>
            </w:tcBorders>
            <w:noWrap w:val="0"/>
            <w:vAlign w:val="center"/>
          </w:tcPr>
          <w:p w14:paraId="1FA68933">
            <w:pPr>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175" w:type="dxa"/>
            <w:tcBorders>
              <w:top w:val="single" w:color="auto" w:sz="4" w:space="0"/>
              <w:left w:val="single" w:color="auto" w:sz="4" w:space="0"/>
              <w:bottom w:val="single" w:color="auto" w:sz="4" w:space="0"/>
              <w:right w:val="single" w:color="auto" w:sz="4" w:space="0"/>
            </w:tcBorders>
            <w:noWrap w:val="0"/>
            <w:vAlign w:val="center"/>
          </w:tcPr>
          <w:p w14:paraId="24126BB2">
            <w:pPr>
              <w:rPr>
                <w:rFonts w:hint="eastAsia" w:ascii="宋体" w:hAnsi="宋体" w:eastAsia="宋体" w:cs="宋体"/>
                <w:color w:val="auto"/>
                <w:szCs w:val="21"/>
                <w:highlight w:val="none"/>
              </w:rPr>
            </w:pPr>
          </w:p>
        </w:tc>
        <w:tc>
          <w:tcPr>
            <w:tcW w:w="2118" w:type="dxa"/>
            <w:tcBorders>
              <w:top w:val="single" w:color="auto" w:sz="4" w:space="0"/>
              <w:left w:val="single" w:color="auto" w:sz="4" w:space="0"/>
              <w:bottom w:val="single" w:color="auto" w:sz="4" w:space="0"/>
              <w:right w:val="single" w:color="auto" w:sz="4" w:space="0"/>
            </w:tcBorders>
            <w:noWrap w:val="0"/>
            <w:vAlign w:val="center"/>
          </w:tcPr>
          <w:p w14:paraId="3AB9E22D">
            <w:pPr>
              <w:rPr>
                <w:rFonts w:hint="eastAsia" w:ascii="宋体" w:hAnsi="宋体" w:eastAsia="宋体" w:cs="宋体"/>
                <w:color w:val="auto"/>
                <w:szCs w:val="21"/>
                <w:highlight w:val="none"/>
              </w:rPr>
            </w:pPr>
          </w:p>
        </w:tc>
        <w:tc>
          <w:tcPr>
            <w:tcW w:w="2944" w:type="dxa"/>
            <w:tcBorders>
              <w:top w:val="single" w:color="auto" w:sz="4" w:space="0"/>
              <w:left w:val="single" w:color="auto" w:sz="4" w:space="0"/>
              <w:bottom w:val="single" w:color="auto" w:sz="4" w:space="0"/>
              <w:right w:val="single" w:color="auto" w:sz="4" w:space="0"/>
            </w:tcBorders>
            <w:noWrap w:val="0"/>
            <w:vAlign w:val="center"/>
          </w:tcPr>
          <w:p w14:paraId="699A9E14">
            <w:pPr>
              <w:rPr>
                <w:rFonts w:hint="eastAsia" w:ascii="宋体" w:hAnsi="宋体" w:eastAsia="宋体" w:cs="宋体"/>
                <w:color w:val="auto"/>
                <w:szCs w:val="21"/>
                <w:highlight w:val="none"/>
              </w:rPr>
            </w:pPr>
          </w:p>
        </w:tc>
        <w:tc>
          <w:tcPr>
            <w:tcW w:w="1095" w:type="dxa"/>
            <w:tcBorders>
              <w:top w:val="single" w:color="auto" w:sz="4" w:space="0"/>
              <w:left w:val="single" w:color="auto" w:sz="4" w:space="0"/>
              <w:bottom w:val="single" w:color="auto" w:sz="4" w:space="0"/>
              <w:right w:val="single" w:color="auto" w:sz="4" w:space="0"/>
            </w:tcBorders>
            <w:noWrap w:val="0"/>
            <w:vAlign w:val="center"/>
          </w:tcPr>
          <w:p w14:paraId="63F58B53">
            <w:pPr>
              <w:rPr>
                <w:rFonts w:hint="eastAsia" w:ascii="宋体" w:hAnsi="宋体" w:eastAsia="宋体" w:cs="宋体"/>
                <w:color w:val="auto"/>
                <w:szCs w:val="21"/>
                <w:highlight w:val="none"/>
              </w:rPr>
            </w:pPr>
          </w:p>
        </w:tc>
      </w:tr>
    </w:tbl>
    <w:p w14:paraId="6DA25168">
      <w:pPr>
        <w:pStyle w:val="12"/>
        <w:spacing w:after="0" w:line="360" w:lineRule="auto"/>
        <w:contextualSpacing/>
        <w:rPr>
          <w:rFonts w:hint="eastAsia" w:ascii="宋体" w:hAnsi="宋体" w:eastAsia="宋体" w:cs="宋体"/>
          <w:color w:val="auto"/>
          <w:kern w:val="0"/>
          <w:sz w:val="24"/>
          <w:szCs w:val="24"/>
          <w:highlight w:val="none"/>
        </w:rPr>
      </w:pPr>
    </w:p>
    <w:p w14:paraId="59D99CB2">
      <w:pPr>
        <w:pStyle w:val="12"/>
        <w:spacing w:after="0" w:line="480" w:lineRule="auto"/>
        <w:ind w:firstLine="420" w:firstLineChars="200"/>
        <w:contextualSpacing/>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rPr>
        <w:t>注：</w:t>
      </w:r>
    </w:p>
    <w:p w14:paraId="2437A8A1">
      <w:pPr>
        <w:pStyle w:val="14"/>
        <w:spacing w:line="360" w:lineRule="auto"/>
        <w:ind w:firstLine="420" w:firstLineChars="200"/>
        <w:contextualSpacing/>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▲1.</w:t>
      </w:r>
      <w:r>
        <w:rPr>
          <w:rFonts w:hint="eastAsia" w:ascii="宋体" w:hAnsi="宋体" w:eastAsia="宋体" w:cs="宋体"/>
          <w:color w:val="auto"/>
          <w:sz w:val="21"/>
          <w:szCs w:val="21"/>
          <w:highlight w:val="none"/>
          <w:lang w:eastAsia="zh-CN"/>
        </w:rPr>
        <w:t>必须对</w:t>
      </w:r>
      <w:r>
        <w:rPr>
          <w:rFonts w:hint="eastAsia" w:ascii="宋体" w:hAnsi="宋体" w:eastAsia="宋体" w:cs="宋体"/>
          <w:color w:val="auto"/>
          <w:sz w:val="21"/>
          <w:szCs w:val="21"/>
          <w:highlight w:val="none"/>
        </w:rPr>
        <w:t>磋商文件“第二章 采购需求”中</w:t>
      </w:r>
      <w:r>
        <w:rPr>
          <w:rFonts w:hint="eastAsia" w:ascii="宋体" w:hAnsi="宋体" w:eastAsia="宋体" w:cs="宋体"/>
          <w:color w:val="auto"/>
          <w:sz w:val="21"/>
          <w:szCs w:val="21"/>
          <w:highlight w:val="none"/>
          <w:lang w:eastAsia="zh-CN"/>
        </w:rPr>
        <w:t>“服务要求”的</w:t>
      </w:r>
      <w:r>
        <w:rPr>
          <w:rFonts w:hint="eastAsia" w:ascii="宋体" w:hAnsi="宋体" w:eastAsia="宋体" w:cs="宋体"/>
          <w:color w:val="auto"/>
          <w:sz w:val="21"/>
          <w:szCs w:val="21"/>
          <w:highlight w:val="none"/>
          <w:lang w:val="en-US" w:eastAsia="zh-CN"/>
        </w:rPr>
        <w:t>全部</w:t>
      </w:r>
      <w:r>
        <w:rPr>
          <w:rFonts w:hint="eastAsia" w:ascii="宋体" w:hAnsi="宋体" w:eastAsia="宋体" w:cs="宋体"/>
          <w:color w:val="auto"/>
          <w:kern w:val="0"/>
          <w:sz w:val="21"/>
          <w:szCs w:val="21"/>
          <w:highlight w:val="none"/>
          <w:lang w:eastAsia="zh-CN"/>
        </w:rPr>
        <w:t>条款</w:t>
      </w:r>
      <w:r>
        <w:rPr>
          <w:rFonts w:hint="eastAsia" w:ascii="宋体" w:hAnsi="宋体" w:eastAsia="宋体" w:cs="宋体"/>
          <w:color w:val="auto"/>
          <w:sz w:val="21"/>
          <w:szCs w:val="21"/>
          <w:highlight w:val="none"/>
        </w:rPr>
        <w:t>，</w:t>
      </w:r>
      <w:r>
        <w:rPr>
          <w:rFonts w:hint="eastAsia" w:ascii="宋体" w:hAnsi="宋体" w:eastAsia="宋体" w:cs="宋体"/>
          <w:color w:val="auto"/>
          <w:sz w:val="21"/>
          <w:szCs w:val="21"/>
          <w:highlight w:val="none"/>
          <w:lang w:val="en-US" w:eastAsia="zh-CN"/>
        </w:rPr>
        <w:t>详细填写响应的具体内容，</w:t>
      </w:r>
      <w:r>
        <w:rPr>
          <w:rFonts w:hint="eastAsia" w:ascii="宋体" w:hAnsi="宋体" w:eastAsia="宋体" w:cs="宋体"/>
          <w:color w:val="auto"/>
          <w:sz w:val="21"/>
          <w:szCs w:val="21"/>
          <w:highlight w:val="none"/>
        </w:rPr>
        <w:t>并作出偏离说明。“偏离说明”一栏应当选择“正偏离”</w:t>
      </w:r>
      <w:r>
        <w:rPr>
          <w:rFonts w:hint="eastAsia" w:ascii="宋体" w:hAnsi="宋体" w:eastAsia="宋体" w:cs="宋体"/>
          <w:color w:val="auto"/>
          <w:sz w:val="21"/>
          <w:szCs w:val="21"/>
          <w:highlight w:val="none"/>
          <w:lang w:eastAsia="zh-CN"/>
        </w:rPr>
        <w:t>或</w:t>
      </w:r>
      <w:r>
        <w:rPr>
          <w:rFonts w:hint="eastAsia" w:ascii="宋体" w:hAnsi="宋体" w:eastAsia="宋体" w:cs="宋体"/>
          <w:color w:val="auto"/>
          <w:sz w:val="21"/>
          <w:szCs w:val="21"/>
          <w:highlight w:val="none"/>
        </w:rPr>
        <w:t>“负偏离”或“无偏离”进行填写。</w:t>
      </w:r>
    </w:p>
    <w:p w14:paraId="31F2FEC5">
      <w:pPr>
        <w:spacing w:line="360" w:lineRule="auto"/>
        <w:ind w:firstLine="420" w:firstLineChars="200"/>
        <w:rPr>
          <w:rFonts w:hint="eastAsia" w:ascii="宋体" w:hAnsi="宋体" w:eastAsia="宋体" w:cs="宋体"/>
          <w:color w:val="auto"/>
          <w:kern w:val="0"/>
          <w:sz w:val="21"/>
          <w:szCs w:val="21"/>
          <w:highlight w:val="none"/>
        </w:rPr>
      </w:pPr>
      <w:r>
        <w:rPr>
          <w:rFonts w:hint="eastAsia" w:ascii="宋体" w:hAnsi="宋体" w:eastAsia="宋体" w:cs="宋体"/>
          <w:color w:val="auto"/>
          <w:kern w:val="0"/>
          <w:sz w:val="21"/>
          <w:szCs w:val="21"/>
          <w:highlight w:val="none"/>
          <w:lang w:val="en-US" w:eastAsia="zh-CN"/>
        </w:rPr>
        <w:t>2</w:t>
      </w:r>
      <w:r>
        <w:rPr>
          <w:rFonts w:hint="eastAsia" w:ascii="宋体" w:hAnsi="宋体" w:eastAsia="宋体" w:cs="宋体"/>
          <w:color w:val="auto"/>
          <w:kern w:val="0"/>
          <w:sz w:val="21"/>
          <w:szCs w:val="21"/>
          <w:highlight w:val="none"/>
        </w:rPr>
        <w:t>.表格内容均需按要求填写</w:t>
      </w:r>
      <w:r>
        <w:rPr>
          <w:rFonts w:hint="eastAsia" w:ascii="宋体" w:hAnsi="宋体" w:eastAsia="宋体" w:cs="宋体"/>
          <w:color w:val="auto"/>
          <w:sz w:val="21"/>
          <w:szCs w:val="21"/>
          <w:highlight w:val="none"/>
        </w:rPr>
        <w:t>并</w:t>
      </w:r>
      <w:r>
        <w:rPr>
          <w:rFonts w:hint="eastAsia" w:ascii="宋体" w:hAnsi="宋体" w:eastAsia="宋体" w:cs="宋体"/>
          <w:color w:val="auto"/>
          <w:sz w:val="21"/>
          <w:szCs w:val="21"/>
          <w:highlight w:val="none"/>
          <w:lang w:eastAsia="zh-CN"/>
        </w:rPr>
        <w:t>加</w:t>
      </w:r>
      <w:r>
        <w:rPr>
          <w:rFonts w:hint="eastAsia" w:ascii="宋体" w:hAnsi="宋体" w:eastAsia="宋体" w:cs="宋体"/>
          <w:color w:val="auto"/>
          <w:sz w:val="21"/>
          <w:szCs w:val="21"/>
          <w:highlight w:val="none"/>
        </w:rPr>
        <w:t>盖</w:t>
      </w:r>
      <w:r>
        <w:rPr>
          <w:rFonts w:hint="eastAsia" w:ascii="宋体" w:hAnsi="宋体" w:eastAsia="宋体" w:cs="宋体"/>
          <w:color w:val="auto"/>
          <w:sz w:val="21"/>
          <w:szCs w:val="21"/>
          <w:highlight w:val="none"/>
          <w:lang w:eastAsia="zh-CN"/>
        </w:rPr>
        <w:t>供应商公</w:t>
      </w:r>
      <w:r>
        <w:rPr>
          <w:rFonts w:hint="eastAsia" w:ascii="宋体" w:hAnsi="宋体" w:eastAsia="宋体" w:cs="宋体"/>
          <w:color w:val="auto"/>
          <w:sz w:val="21"/>
          <w:szCs w:val="21"/>
          <w:highlight w:val="none"/>
        </w:rPr>
        <w:t>章</w:t>
      </w:r>
      <w:r>
        <w:rPr>
          <w:rFonts w:hint="eastAsia" w:ascii="宋体" w:hAnsi="宋体" w:eastAsia="宋体" w:cs="宋体"/>
          <w:color w:val="auto"/>
          <w:kern w:val="0"/>
          <w:sz w:val="21"/>
          <w:szCs w:val="21"/>
          <w:highlight w:val="none"/>
        </w:rPr>
        <w:t>，不得留空，</w:t>
      </w:r>
      <w:r>
        <w:rPr>
          <w:rFonts w:hint="eastAsia" w:ascii="宋体" w:hAnsi="宋体" w:eastAsia="宋体" w:cs="宋体"/>
          <w:b/>
          <w:bCs/>
          <w:color w:val="auto"/>
          <w:kern w:val="0"/>
          <w:sz w:val="21"/>
          <w:szCs w:val="21"/>
          <w:highlight w:val="none"/>
        </w:rPr>
        <w:t>否则按</w:t>
      </w:r>
      <w:r>
        <w:rPr>
          <w:rFonts w:hint="eastAsia" w:ascii="宋体" w:hAnsi="宋体" w:eastAsia="宋体" w:cs="宋体"/>
          <w:b/>
          <w:bCs/>
          <w:color w:val="auto"/>
          <w:kern w:val="0"/>
          <w:sz w:val="21"/>
          <w:szCs w:val="21"/>
          <w:highlight w:val="none"/>
          <w:lang w:eastAsia="zh-CN"/>
        </w:rPr>
        <w:t>响应</w:t>
      </w:r>
      <w:r>
        <w:rPr>
          <w:rFonts w:hint="eastAsia" w:ascii="宋体" w:hAnsi="宋体" w:eastAsia="宋体" w:cs="宋体"/>
          <w:b/>
          <w:bCs/>
          <w:color w:val="auto"/>
          <w:kern w:val="0"/>
          <w:sz w:val="21"/>
          <w:szCs w:val="21"/>
          <w:highlight w:val="none"/>
        </w:rPr>
        <w:t>无效处理。</w:t>
      </w:r>
    </w:p>
    <w:p w14:paraId="11A99751">
      <w:pPr>
        <w:pStyle w:val="12"/>
        <w:spacing w:after="0" w:line="480" w:lineRule="auto"/>
        <w:ind w:firstLine="420" w:firstLineChars="200"/>
        <w:contextualSpacing/>
        <w:rPr>
          <w:rFonts w:hint="eastAsia" w:ascii="宋体" w:hAnsi="宋体" w:eastAsia="宋体" w:cs="宋体"/>
          <w:color w:val="auto"/>
          <w:kern w:val="0"/>
          <w:sz w:val="21"/>
          <w:szCs w:val="21"/>
          <w:highlight w:val="none"/>
        </w:rPr>
      </w:pPr>
    </w:p>
    <w:p w14:paraId="235B0CA8">
      <w:pPr>
        <w:spacing w:line="480" w:lineRule="auto"/>
        <w:ind w:firstLine="420" w:firstLineChars="200"/>
        <w:rPr>
          <w:rFonts w:hint="eastAsia" w:ascii="宋体" w:hAnsi="宋体" w:eastAsia="宋体" w:cs="宋体"/>
          <w:color w:val="auto"/>
          <w:kern w:val="0"/>
          <w:szCs w:val="21"/>
          <w:highlight w:val="none"/>
        </w:rPr>
      </w:pPr>
    </w:p>
    <w:p w14:paraId="22C6237F">
      <w:pPr>
        <w:pStyle w:val="14"/>
        <w:spacing w:line="480" w:lineRule="auto"/>
        <w:ind w:firstLine="420" w:firstLineChars="200"/>
        <w:contextualSpacing/>
        <w:rPr>
          <w:rFonts w:hint="eastAsia" w:ascii="宋体" w:hAnsi="宋体" w:eastAsia="宋体" w:cs="宋体"/>
          <w:color w:val="auto"/>
          <w:sz w:val="21"/>
          <w:szCs w:val="21"/>
          <w:highlight w:val="none"/>
          <w:lang w:val="en-US" w:eastAsia="zh-CN"/>
        </w:rPr>
      </w:pPr>
    </w:p>
    <w:p w14:paraId="2E6B3808">
      <w:pPr>
        <w:snapToGrid w:val="0"/>
        <w:spacing w:line="360" w:lineRule="auto"/>
        <w:ind w:firstLine="0" w:firstLineChars="0"/>
        <w:rPr>
          <w:rFonts w:hint="eastAsia" w:ascii="宋体" w:hAnsi="宋体" w:eastAsia="宋体" w:cs="宋体"/>
          <w:b/>
          <w:color w:val="auto"/>
          <w:sz w:val="30"/>
          <w:szCs w:val="30"/>
          <w:highlight w:val="none"/>
        </w:rPr>
      </w:pPr>
    </w:p>
    <w:p w14:paraId="2BEF623F">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5252AFF9">
      <w:pPr>
        <w:autoSpaceDE w:val="0"/>
        <w:autoSpaceDN w:val="0"/>
        <w:spacing w:line="360" w:lineRule="auto"/>
        <w:ind w:firstLine="6480" w:firstLineChars="2700"/>
        <w:rPr>
          <w:rFonts w:hint="eastAsia" w:ascii="宋体" w:hAnsi="宋体" w:eastAsia="宋体" w:cs="宋体"/>
          <w:b/>
          <w:bCs/>
          <w:color w:val="auto"/>
          <w:sz w:val="24"/>
          <w:highlight w:val="none"/>
        </w:rPr>
      </w:pPr>
      <w:r>
        <w:rPr>
          <w:rFonts w:hint="eastAsia" w:ascii="宋体" w:hAnsi="宋体" w:eastAsia="宋体" w:cs="宋体"/>
          <w:color w:val="auto"/>
          <w:kern w:val="0"/>
          <w:sz w:val="24"/>
          <w:highlight w:val="none"/>
          <w:lang w:val="zh-CN"/>
        </w:rPr>
        <w:t>日期：  年  月   日</w:t>
      </w:r>
    </w:p>
    <w:p w14:paraId="366C8C65">
      <w:pPr>
        <w:adjustRightInd w:val="0"/>
        <w:snapToGrid w:val="0"/>
        <w:spacing w:line="520" w:lineRule="exact"/>
        <w:jc w:val="center"/>
        <w:rPr>
          <w:rFonts w:hint="eastAsia" w:ascii="方正小标宋简体" w:hAnsi="方正小标宋简体" w:eastAsia="方正小标宋简体" w:cs="方正小标宋简体"/>
          <w:bCs/>
          <w:color w:val="auto"/>
          <w:sz w:val="44"/>
          <w:szCs w:val="44"/>
          <w:highlight w:val="none"/>
        </w:rPr>
      </w:pPr>
    </w:p>
    <w:p w14:paraId="76391A0B">
      <w:pPr>
        <w:snapToGrid w:val="0"/>
        <w:spacing w:line="360" w:lineRule="auto"/>
        <w:ind w:firstLine="0" w:firstLineChars="0"/>
        <w:rPr>
          <w:rFonts w:hint="eastAsia" w:ascii="宋体" w:hAnsi="宋体" w:eastAsia="宋体" w:cs="宋体"/>
          <w:b/>
          <w:color w:val="auto"/>
          <w:sz w:val="28"/>
          <w:szCs w:val="28"/>
          <w:highlight w:val="none"/>
          <w:lang w:val="en-US" w:eastAsia="zh-CN"/>
        </w:rPr>
      </w:pPr>
    </w:p>
    <w:p w14:paraId="6A697E0D">
      <w:pPr>
        <w:snapToGrid w:val="0"/>
        <w:spacing w:line="360" w:lineRule="auto"/>
        <w:ind w:firstLine="0" w:firstLineChars="0"/>
        <w:rPr>
          <w:rFonts w:hint="eastAsia" w:ascii="宋体" w:hAnsi="宋体" w:eastAsia="宋体" w:cs="宋体"/>
          <w:b/>
          <w:color w:val="auto"/>
          <w:sz w:val="28"/>
          <w:szCs w:val="28"/>
          <w:highlight w:val="none"/>
          <w:lang w:val="en-US" w:eastAsia="zh-CN"/>
        </w:rPr>
      </w:pPr>
    </w:p>
    <w:p w14:paraId="6BAFACB7">
      <w:pPr>
        <w:snapToGrid w:val="0"/>
        <w:spacing w:line="360" w:lineRule="auto"/>
        <w:ind w:firstLine="0" w:firstLineChars="0"/>
        <w:rPr>
          <w:rFonts w:hint="eastAsia" w:ascii="宋体" w:hAnsi="宋体" w:eastAsia="宋体" w:cs="宋体"/>
          <w:b/>
          <w:color w:val="auto"/>
          <w:sz w:val="28"/>
          <w:szCs w:val="28"/>
          <w:highlight w:val="none"/>
          <w:lang w:val="en-US" w:eastAsia="zh-CN"/>
        </w:rPr>
      </w:pPr>
    </w:p>
    <w:p w14:paraId="56B73DD7">
      <w:pPr>
        <w:snapToGrid w:val="0"/>
        <w:spacing w:line="360" w:lineRule="auto"/>
        <w:ind w:firstLine="0" w:firstLineChars="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val="en-US" w:eastAsia="zh-CN"/>
        </w:rPr>
        <w:t>9.</w:t>
      </w:r>
      <w:r>
        <w:rPr>
          <w:rFonts w:hint="eastAsia" w:ascii="宋体" w:hAnsi="宋体" w:eastAsia="宋体" w:cs="宋体"/>
          <w:b/>
          <w:color w:val="auto"/>
          <w:sz w:val="28"/>
          <w:szCs w:val="28"/>
          <w:highlight w:val="none"/>
        </w:rPr>
        <w:t>服务方案</w:t>
      </w:r>
    </w:p>
    <w:p w14:paraId="7A36C22B">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（由供应商根据采购文件要求编制）</w:t>
      </w:r>
    </w:p>
    <w:p w14:paraId="528F1C5D">
      <w:pPr>
        <w:snapToGrid w:val="0"/>
        <w:spacing w:before="120" w:beforeLines="50" w:after="50"/>
        <w:ind w:left="143" w:leftChars="68"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其中要包含</w:t>
      </w:r>
      <w:r>
        <w:rPr>
          <w:rFonts w:hint="eastAsia" w:ascii="宋体" w:hAnsi="宋体" w:eastAsia="宋体" w:cs="宋体"/>
          <w:color w:val="auto"/>
          <w:sz w:val="24"/>
          <w:szCs w:val="24"/>
          <w:highlight w:val="none"/>
          <w:lang w:eastAsia="zh-CN"/>
        </w:rPr>
        <w:t>下列</w:t>
      </w:r>
      <w:r>
        <w:rPr>
          <w:rFonts w:hint="eastAsia" w:ascii="宋体" w:hAnsi="宋体" w:eastAsia="宋体" w:cs="宋体"/>
          <w:color w:val="auto"/>
          <w:sz w:val="24"/>
          <w:szCs w:val="24"/>
          <w:highlight w:val="none"/>
          <w:lang w:val="en-US" w:eastAsia="zh-CN"/>
        </w:rPr>
        <w:t>2个附表内容</w:t>
      </w:r>
      <w:r>
        <w:rPr>
          <w:rFonts w:hint="eastAsia" w:ascii="宋体" w:hAnsi="宋体" w:eastAsia="宋体" w:cs="宋体"/>
          <w:color w:val="auto"/>
          <w:sz w:val="24"/>
          <w:szCs w:val="24"/>
          <w:highlight w:val="none"/>
        </w:rPr>
        <w:t>。</w:t>
      </w:r>
    </w:p>
    <w:p w14:paraId="5D2A0022">
      <w:pPr>
        <w:autoSpaceDE w:val="0"/>
        <w:autoSpaceDN w:val="0"/>
        <w:spacing w:line="360" w:lineRule="auto"/>
        <w:rPr>
          <w:rFonts w:hint="eastAsia" w:ascii="宋体" w:hAnsi="宋体" w:eastAsia="宋体" w:cs="宋体"/>
          <w:b/>
          <w:color w:val="auto"/>
          <w:sz w:val="24"/>
          <w:szCs w:val="24"/>
          <w:highlight w:val="none"/>
        </w:rPr>
      </w:pPr>
    </w:p>
    <w:p w14:paraId="2065835D">
      <w:pPr>
        <w:autoSpaceDE w:val="0"/>
        <w:autoSpaceDN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附表A:服务机构情况表</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参照</w:t>
      </w:r>
      <w:r>
        <w:rPr>
          <w:rFonts w:hint="eastAsia" w:ascii="宋体" w:hAnsi="宋体" w:eastAsia="宋体" w:cs="宋体"/>
          <w:color w:val="auto"/>
          <w:sz w:val="24"/>
          <w:szCs w:val="24"/>
          <w:highlight w:val="none"/>
        </w:rPr>
        <w:t>此格式自制）</w:t>
      </w:r>
    </w:p>
    <w:tbl>
      <w:tblPr>
        <w:tblStyle w:val="28"/>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32"/>
        <w:gridCol w:w="2636"/>
        <w:gridCol w:w="1439"/>
        <w:gridCol w:w="1715"/>
        <w:gridCol w:w="1404"/>
        <w:gridCol w:w="1727"/>
      </w:tblGrid>
      <w:tr w14:paraId="475346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noWrap w:val="0"/>
            <w:vAlign w:val="center"/>
          </w:tcPr>
          <w:p w14:paraId="275F8367">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序号</w:t>
            </w:r>
          </w:p>
        </w:tc>
        <w:tc>
          <w:tcPr>
            <w:tcW w:w="1337" w:type="pct"/>
            <w:noWrap w:val="0"/>
            <w:vAlign w:val="center"/>
          </w:tcPr>
          <w:p w14:paraId="1D07F9E7">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机构名称</w:t>
            </w:r>
          </w:p>
        </w:tc>
        <w:tc>
          <w:tcPr>
            <w:tcW w:w="730" w:type="pct"/>
            <w:noWrap w:val="0"/>
            <w:vAlign w:val="center"/>
          </w:tcPr>
          <w:p w14:paraId="5E3131D5">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机构性质</w:t>
            </w:r>
          </w:p>
        </w:tc>
        <w:tc>
          <w:tcPr>
            <w:tcW w:w="870" w:type="pct"/>
            <w:noWrap w:val="0"/>
            <w:vAlign w:val="center"/>
          </w:tcPr>
          <w:p w14:paraId="2D5B4BD6">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注册地址</w:t>
            </w:r>
          </w:p>
        </w:tc>
        <w:tc>
          <w:tcPr>
            <w:tcW w:w="712" w:type="pct"/>
            <w:noWrap w:val="0"/>
            <w:vAlign w:val="center"/>
          </w:tcPr>
          <w:p w14:paraId="2C0949D4">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技术</w:t>
            </w:r>
            <w:r>
              <w:rPr>
                <w:rFonts w:hint="eastAsia" w:ascii="宋体" w:hAnsi="宋体" w:eastAsia="宋体" w:cs="宋体"/>
                <w:b/>
                <w:color w:val="auto"/>
                <w:sz w:val="24"/>
                <w:szCs w:val="24"/>
                <w:highlight w:val="none"/>
                <w:lang w:eastAsia="zh-CN"/>
              </w:rPr>
              <w:t>服务</w:t>
            </w:r>
            <w:r>
              <w:rPr>
                <w:rFonts w:hint="eastAsia" w:ascii="宋体" w:hAnsi="宋体" w:eastAsia="宋体" w:cs="宋体"/>
                <w:b/>
                <w:color w:val="auto"/>
                <w:sz w:val="24"/>
                <w:szCs w:val="24"/>
                <w:highlight w:val="none"/>
              </w:rPr>
              <w:t>人员数量</w:t>
            </w:r>
          </w:p>
        </w:tc>
        <w:tc>
          <w:tcPr>
            <w:tcW w:w="876" w:type="pct"/>
            <w:noWrap w:val="0"/>
            <w:vAlign w:val="center"/>
          </w:tcPr>
          <w:p w14:paraId="055BD23A">
            <w:pPr>
              <w:autoSpaceDE w:val="0"/>
              <w:autoSpaceDN w:val="0"/>
              <w:spacing w:line="360" w:lineRule="auto"/>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联系电话</w:t>
            </w:r>
          </w:p>
        </w:tc>
      </w:tr>
      <w:tr w14:paraId="12064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noWrap w:val="0"/>
            <w:vAlign w:val="top"/>
          </w:tcPr>
          <w:p w14:paraId="4692A1E6">
            <w:pPr>
              <w:autoSpaceDE w:val="0"/>
              <w:autoSpaceDN w:val="0"/>
              <w:spacing w:line="360" w:lineRule="auto"/>
              <w:jc w:val="center"/>
              <w:rPr>
                <w:rFonts w:hint="eastAsia" w:ascii="宋体" w:hAnsi="宋体" w:eastAsia="宋体" w:cs="宋体"/>
                <w:color w:val="auto"/>
                <w:sz w:val="24"/>
                <w:szCs w:val="24"/>
                <w:highlight w:val="none"/>
              </w:rPr>
            </w:pPr>
          </w:p>
        </w:tc>
        <w:tc>
          <w:tcPr>
            <w:tcW w:w="1337" w:type="pct"/>
            <w:noWrap w:val="0"/>
            <w:vAlign w:val="top"/>
          </w:tcPr>
          <w:p w14:paraId="58E59CA0">
            <w:pPr>
              <w:autoSpaceDE w:val="0"/>
              <w:autoSpaceDN w:val="0"/>
              <w:spacing w:line="360" w:lineRule="auto"/>
              <w:jc w:val="center"/>
              <w:rPr>
                <w:rFonts w:hint="eastAsia" w:ascii="宋体" w:hAnsi="宋体" w:eastAsia="宋体" w:cs="宋体"/>
                <w:color w:val="auto"/>
                <w:sz w:val="24"/>
                <w:szCs w:val="24"/>
                <w:highlight w:val="none"/>
              </w:rPr>
            </w:pPr>
          </w:p>
        </w:tc>
        <w:tc>
          <w:tcPr>
            <w:tcW w:w="730" w:type="pct"/>
            <w:noWrap w:val="0"/>
            <w:vAlign w:val="top"/>
          </w:tcPr>
          <w:p w14:paraId="38DEE2E0">
            <w:pPr>
              <w:autoSpaceDE w:val="0"/>
              <w:autoSpaceDN w:val="0"/>
              <w:spacing w:line="360" w:lineRule="auto"/>
              <w:jc w:val="center"/>
              <w:rPr>
                <w:rFonts w:hint="eastAsia" w:ascii="宋体" w:hAnsi="宋体" w:eastAsia="宋体" w:cs="宋体"/>
                <w:color w:val="auto"/>
                <w:sz w:val="24"/>
                <w:szCs w:val="24"/>
                <w:highlight w:val="none"/>
              </w:rPr>
            </w:pPr>
          </w:p>
        </w:tc>
        <w:tc>
          <w:tcPr>
            <w:tcW w:w="870" w:type="pct"/>
            <w:noWrap w:val="0"/>
            <w:vAlign w:val="top"/>
          </w:tcPr>
          <w:p w14:paraId="4B7B4804">
            <w:pPr>
              <w:autoSpaceDE w:val="0"/>
              <w:autoSpaceDN w:val="0"/>
              <w:spacing w:line="360" w:lineRule="auto"/>
              <w:jc w:val="center"/>
              <w:rPr>
                <w:rFonts w:hint="eastAsia" w:ascii="宋体" w:hAnsi="宋体" w:eastAsia="宋体" w:cs="宋体"/>
                <w:color w:val="auto"/>
                <w:sz w:val="24"/>
                <w:szCs w:val="24"/>
                <w:highlight w:val="none"/>
              </w:rPr>
            </w:pPr>
          </w:p>
        </w:tc>
        <w:tc>
          <w:tcPr>
            <w:tcW w:w="712" w:type="pct"/>
            <w:noWrap w:val="0"/>
            <w:vAlign w:val="top"/>
          </w:tcPr>
          <w:p w14:paraId="1021539C">
            <w:pPr>
              <w:autoSpaceDE w:val="0"/>
              <w:autoSpaceDN w:val="0"/>
              <w:spacing w:line="360" w:lineRule="auto"/>
              <w:jc w:val="center"/>
              <w:rPr>
                <w:rFonts w:hint="eastAsia" w:ascii="宋体" w:hAnsi="宋体" w:eastAsia="宋体" w:cs="宋体"/>
                <w:color w:val="auto"/>
                <w:sz w:val="24"/>
                <w:szCs w:val="24"/>
                <w:highlight w:val="none"/>
              </w:rPr>
            </w:pPr>
          </w:p>
        </w:tc>
        <w:tc>
          <w:tcPr>
            <w:tcW w:w="876" w:type="pct"/>
            <w:noWrap w:val="0"/>
            <w:vAlign w:val="top"/>
          </w:tcPr>
          <w:p w14:paraId="4D5BBD19">
            <w:pPr>
              <w:autoSpaceDE w:val="0"/>
              <w:autoSpaceDN w:val="0"/>
              <w:spacing w:line="360" w:lineRule="auto"/>
              <w:jc w:val="center"/>
              <w:rPr>
                <w:rFonts w:hint="eastAsia" w:ascii="宋体" w:hAnsi="宋体" w:eastAsia="宋体" w:cs="宋体"/>
                <w:color w:val="auto"/>
                <w:sz w:val="24"/>
                <w:szCs w:val="24"/>
                <w:highlight w:val="none"/>
              </w:rPr>
            </w:pPr>
          </w:p>
        </w:tc>
      </w:tr>
      <w:tr w14:paraId="372A99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noWrap w:val="0"/>
            <w:vAlign w:val="top"/>
          </w:tcPr>
          <w:p w14:paraId="6031C3F0">
            <w:pPr>
              <w:autoSpaceDE w:val="0"/>
              <w:autoSpaceDN w:val="0"/>
              <w:spacing w:line="360" w:lineRule="auto"/>
              <w:jc w:val="center"/>
              <w:rPr>
                <w:rFonts w:hint="eastAsia" w:ascii="宋体" w:hAnsi="宋体" w:eastAsia="宋体" w:cs="宋体"/>
                <w:color w:val="auto"/>
                <w:sz w:val="24"/>
                <w:szCs w:val="24"/>
                <w:highlight w:val="none"/>
              </w:rPr>
            </w:pPr>
          </w:p>
        </w:tc>
        <w:tc>
          <w:tcPr>
            <w:tcW w:w="1337" w:type="pct"/>
            <w:noWrap w:val="0"/>
            <w:vAlign w:val="top"/>
          </w:tcPr>
          <w:p w14:paraId="39839EDF">
            <w:pPr>
              <w:autoSpaceDE w:val="0"/>
              <w:autoSpaceDN w:val="0"/>
              <w:spacing w:line="360" w:lineRule="auto"/>
              <w:jc w:val="center"/>
              <w:rPr>
                <w:rFonts w:hint="eastAsia" w:ascii="宋体" w:hAnsi="宋体" w:eastAsia="宋体" w:cs="宋体"/>
                <w:color w:val="auto"/>
                <w:sz w:val="24"/>
                <w:szCs w:val="24"/>
                <w:highlight w:val="none"/>
              </w:rPr>
            </w:pPr>
          </w:p>
        </w:tc>
        <w:tc>
          <w:tcPr>
            <w:tcW w:w="730" w:type="pct"/>
            <w:noWrap w:val="0"/>
            <w:vAlign w:val="top"/>
          </w:tcPr>
          <w:p w14:paraId="023F01EE">
            <w:pPr>
              <w:autoSpaceDE w:val="0"/>
              <w:autoSpaceDN w:val="0"/>
              <w:spacing w:line="360" w:lineRule="auto"/>
              <w:jc w:val="center"/>
              <w:rPr>
                <w:rFonts w:hint="eastAsia" w:ascii="宋体" w:hAnsi="宋体" w:eastAsia="宋体" w:cs="宋体"/>
                <w:color w:val="auto"/>
                <w:sz w:val="24"/>
                <w:szCs w:val="24"/>
                <w:highlight w:val="none"/>
              </w:rPr>
            </w:pPr>
          </w:p>
        </w:tc>
        <w:tc>
          <w:tcPr>
            <w:tcW w:w="870" w:type="pct"/>
            <w:noWrap w:val="0"/>
            <w:vAlign w:val="top"/>
          </w:tcPr>
          <w:p w14:paraId="300AA5BD">
            <w:pPr>
              <w:autoSpaceDE w:val="0"/>
              <w:autoSpaceDN w:val="0"/>
              <w:spacing w:line="360" w:lineRule="auto"/>
              <w:jc w:val="center"/>
              <w:rPr>
                <w:rFonts w:hint="eastAsia" w:ascii="宋体" w:hAnsi="宋体" w:eastAsia="宋体" w:cs="宋体"/>
                <w:color w:val="auto"/>
                <w:sz w:val="24"/>
                <w:szCs w:val="24"/>
                <w:highlight w:val="none"/>
              </w:rPr>
            </w:pPr>
          </w:p>
        </w:tc>
        <w:tc>
          <w:tcPr>
            <w:tcW w:w="712" w:type="pct"/>
            <w:noWrap w:val="0"/>
            <w:vAlign w:val="top"/>
          </w:tcPr>
          <w:p w14:paraId="7320C5B5">
            <w:pPr>
              <w:autoSpaceDE w:val="0"/>
              <w:autoSpaceDN w:val="0"/>
              <w:spacing w:line="360" w:lineRule="auto"/>
              <w:jc w:val="center"/>
              <w:rPr>
                <w:rFonts w:hint="eastAsia" w:ascii="宋体" w:hAnsi="宋体" w:eastAsia="宋体" w:cs="宋体"/>
                <w:color w:val="auto"/>
                <w:sz w:val="24"/>
                <w:szCs w:val="24"/>
                <w:highlight w:val="none"/>
              </w:rPr>
            </w:pPr>
          </w:p>
        </w:tc>
        <w:tc>
          <w:tcPr>
            <w:tcW w:w="876" w:type="pct"/>
            <w:noWrap w:val="0"/>
            <w:vAlign w:val="top"/>
          </w:tcPr>
          <w:p w14:paraId="565E4694">
            <w:pPr>
              <w:autoSpaceDE w:val="0"/>
              <w:autoSpaceDN w:val="0"/>
              <w:spacing w:line="360" w:lineRule="auto"/>
              <w:jc w:val="center"/>
              <w:rPr>
                <w:rFonts w:hint="eastAsia" w:ascii="宋体" w:hAnsi="宋体" w:eastAsia="宋体" w:cs="宋体"/>
                <w:color w:val="auto"/>
                <w:sz w:val="24"/>
                <w:szCs w:val="24"/>
                <w:highlight w:val="none"/>
              </w:rPr>
            </w:pPr>
          </w:p>
        </w:tc>
      </w:tr>
      <w:tr w14:paraId="1833C6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3" w:type="pct"/>
            <w:noWrap w:val="0"/>
            <w:vAlign w:val="top"/>
          </w:tcPr>
          <w:p w14:paraId="395228AA">
            <w:pPr>
              <w:autoSpaceDE w:val="0"/>
              <w:autoSpaceDN w:val="0"/>
              <w:spacing w:line="360" w:lineRule="auto"/>
              <w:jc w:val="center"/>
              <w:rPr>
                <w:rFonts w:hint="eastAsia" w:ascii="宋体" w:hAnsi="宋体" w:eastAsia="宋体" w:cs="宋体"/>
                <w:color w:val="auto"/>
                <w:sz w:val="24"/>
                <w:szCs w:val="24"/>
                <w:highlight w:val="none"/>
              </w:rPr>
            </w:pPr>
          </w:p>
        </w:tc>
        <w:tc>
          <w:tcPr>
            <w:tcW w:w="1337" w:type="pct"/>
            <w:noWrap w:val="0"/>
            <w:vAlign w:val="top"/>
          </w:tcPr>
          <w:p w14:paraId="2A99914F">
            <w:pPr>
              <w:autoSpaceDE w:val="0"/>
              <w:autoSpaceDN w:val="0"/>
              <w:spacing w:line="360" w:lineRule="auto"/>
              <w:jc w:val="center"/>
              <w:rPr>
                <w:rFonts w:hint="eastAsia" w:ascii="宋体" w:hAnsi="宋体" w:eastAsia="宋体" w:cs="宋体"/>
                <w:color w:val="auto"/>
                <w:sz w:val="24"/>
                <w:szCs w:val="24"/>
                <w:highlight w:val="none"/>
              </w:rPr>
            </w:pPr>
          </w:p>
        </w:tc>
        <w:tc>
          <w:tcPr>
            <w:tcW w:w="730" w:type="pct"/>
            <w:noWrap w:val="0"/>
            <w:vAlign w:val="top"/>
          </w:tcPr>
          <w:p w14:paraId="45507A89">
            <w:pPr>
              <w:autoSpaceDE w:val="0"/>
              <w:autoSpaceDN w:val="0"/>
              <w:spacing w:line="360" w:lineRule="auto"/>
              <w:jc w:val="center"/>
              <w:rPr>
                <w:rFonts w:hint="eastAsia" w:ascii="宋体" w:hAnsi="宋体" w:eastAsia="宋体" w:cs="宋体"/>
                <w:color w:val="auto"/>
                <w:sz w:val="24"/>
                <w:szCs w:val="24"/>
                <w:highlight w:val="none"/>
              </w:rPr>
            </w:pPr>
          </w:p>
        </w:tc>
        <w:tc>
          <w:tcPr>
            <w:tcW w:w="870" w:type="pct"/>
            <w:noWrap w:val="0"/>
            <w:vAlign w:val="top"/>
          </w:tcPr>
          <w:p w14:paraId="7B631B5D">
            <w:pPr>
              <w:autoSpaceDE w:val="0"/>
              <w:autoSpaceDN w:val="0"/>
              <w:spacing w:line="360" w:lineRule="auto"/>
              <w:jc w:val="center"/>
              <w:rPr>
                <w:rFonts w:hint="eastAsia" w:ascii="宋体" w:hAnsi="宋体" w:eastAsia="宋体" w:cs="宋体"/>
                <w:color w:val="auto"/>
                <w:sz w:val="24"/>
                <w:szCs w:val="24"/>
                <w:highlight w:val="none"/>
              </w:rPr>
            </w:pPr>
          </w:p>
        </w:tc>
        <w:tc>
          <w:tcPr>
            <w:tcW w:w="712" w:type="pct"/>
            <w:noWrap w:val="0"/>
            <w:vAlign w:val="top"/>
          </w:tcPr>
          <w:p w14:paraId="534BAA22">
            <w:pPr>
              <w:autoSpaceDE w:val="0"/>
              <w:autoSpaceDN w:val="0"/>
              <w:spacing w:line="360" w:lineRule="auto"/>
              <w:jc w:val="center"/>
              <w:rPr>
                <w:rFonts w:hint="eastAsia" w:ascii="宋体" w:hAnsi="宋体" w:eastAsia="宋体" w:cs="宋体"/>
                <w:color w:val="auto"/>
                <w:sz w:val="24"/>
                <w:szCs w:val="24"/>
                <w:highlight w:val="none"/>
              </w:rPr>
            </w:pPr>
          </w:p>
        </w:tc>
        <w:tc>
          <w:tcPr>
            <w:tcW w:w="876" w:type="pct"/>
            <w:noWrap w:val="0"/>
            <w:vAlign w:val="top"/>
          </w:tcPr>
          <w:p w14:paraId="670A2E9C">
            <w:pPr>
              <w:autoSpaceDE w:val="0"/>
              <w:autoSpaceDN w:val="0"/>
              <w:spacing w:line="360" w:lineRule="auto"/>
              <w:jc w:val="center"/>
              <w:rPr>
                <w:rFonts w:hint="eastAsia" w:ascii="宋体" w:hAnsi="宋体" w:eastAsia="宋体" w:cs="宋体"/>
                <w:color w:val="auto"/>
                <w:sz w:val="24"/>
                <w:szCs w:val="24"/>
                <w:highlight w:val="none"/>
              </w:rPr>
            </w:pPr>
          </w:p>
        </w:tc>
      </w:tr>
    </w:tbl>
    <w:p w14:paraId="3F7E0B0E">
      <w:pPr>
        <w:autoSpaceDE w:val="0"/>
        <w:autoSpaceDN w:val="0"/>
        <w:spacing w:line="360" w:lineRule="auto"/>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注：关于项目涉及的所有服务机构均在本表注明，包括供应商本单位和符合条件的第三方</w:t>
      </w:r>
      <w:r>
        <w:rPr>
          <w:rFonts w:hint="eastAsia" w:ascii="宋体" w:hAnsi="宋体" w:eastAsia="宋体" w:cs="宋体"/>
          <w:b/>
          <w:color w:val="auto"/>
          <w:sz w:val="24"/>
          <w:szCs w:val="24"/>
          <w:highlight w:val="none"/>
          <w:lang w:val="en-US" w:eastAsia="zh-CN"/>
        </w:rPr>
        <w:t>服务</w:t>
      </w:r>
      <w:r>
        <w:rPr>
          <w:rFonts w:hint="eastAsia" w:ascii="宋体" w:hAnsi="宋体" w:eastAsia="宋体" w:cs="宋体"/>
          <w:b/>
          <w:color w:val="auto"/>
          <w:sz w:val="24"/>
          <w:szCs w:val="24"/>
          <w:highlight w:val="none"/>
        </w:rPr>
        <w:t>机构；</w:t>
      </w:r>
    </w:p>
    <w:p w14:paraId="09368992">
      <w:pPr>
        <w:autoSpaceDE w:val="0"/>
        <w:autoSpaceDN w:val="0"/>
        <w:spacing w:line="360" w:lineRule="auto"/>
        <w:rPr>
          <w:rFonts w:hint="eastAsia" w:ascii="宋体" w:hAnsi="宋体" w:eastAsia="宋体" w:cs="宋体"/>
          <w:color w:val="auto"/>
          <w:kern w:val="0"/>
          <w:sz w:val="24"/>
          <w:szCs w:val="24"/>
          <w:highlight w:val="none"/>
        </w:rPr>
      </w:pPr>
    </w:p>
    <w:p w14:paraId="1E7D77D9">
      <w:pPr>
        <w:autoSpaceDE w:val="0"/>
        <w:autoSpaceDN w:val="0"/>
        <w:spacing w:line="360" w:lineRule="auto"/>
        <w:rPr>
          <w:rFonts w:hint="eastAsia" w:ascii="宋体" w:hAnsi="宋体" w:eastAsia="宋体" w:cs="宋体"/>
          <w:color w:val="auto"/>
          <w:kern w:val="0"/>
          <w:sz w:val="24"/>
          <w:szCs w:val="24"/>
          <w:highlight w:val="none"/>
        </w:rPr>
      </w:pPr>
      <w:r>
        <w:rPr>
          <w:rFonts w:hint="eastAsia" w:ascii="宋体" w:hAnsi="宋体" w:eastAsia="宋体" w:cs="宋体"/>
          <w:b/>
          <w:color w:val="auto"/>
          <w:kern w:val="0"/>
          <w:sz w:val="24"/>
          <w:szCs w:val="24"/>
          <w:highlight w:val="none"/>
        </w:rPr>
        <w:t>附表B：</w:t>
      </w:r>
      <w:r>
        <w:rPr>
          <w:rFonts w:hint="eastAsia" w:ascii="宋体" w:hAnsi="宋体" w:eastAsia="宋体" w:cs="宋体"/>
          <w:b/>
          <w:color w:val="auto"/>
          <w:kern w:val="0"/>
          <w:sz w:val="24"/>
          <w:szCs w:val="24"/>
          <w:highlight w:val="none"/>
          <w:lang w:eastAsia="zh-CN"/>
        </w:rPr>
        <w:t>技术</w:t>
      </w:r>
      <w:r>
        <w:rPr>
          <w:rFonts w:hint="eastAsia" w:ascii="宋体" w:hAnsi="宋体" w:eastAsia="宋体" w:cs="宋体"/>
          <w:b/>
          <w:color w:val="auto"/>
          <w:kern w:val="0"/>
          <w:sz w:val="24"/>
          <w:szCs w:val="24"/>
          <w:highlight w:val="none"/>
        </w:rPr>
        <w:t>服务人员情况表</w:t>
      </w:r>
      <w:r>
        <w:rPr>
          <w:rFonts w:hint="eastAsia" w:ascii="宋体" w:hAnsi="宋体" w:eastAsia="宋体" w:cs="宋体"/>
          <w:color w:val="auto"/>
          <w:sz w:val="24"/>
          <w:szCs w:val="24"/>
          <w:highlight w:val="none"/>
        </w:rPr>
        <w:t>（</w:t>
      </w:r>
      <w:r>
        <w:rPr>
          <w:rFonts w:hint="eastAsia" w:ascii="宋体" w:hAnsi="宋体" w:eastAsia="宋体" w:cs="宋体"/>
          <w:color w:val="auto"/>
          <w:sz w:val="24"/>
          <w:szCs w:val="24"/>
          <w:highlight w:val="none"/>
          <w:lang w:eastAsia="zh-CN"/>
        </w:rPr>
        <w:t>参照</w:t>
      </w:r>
      <w:r>
        <w:rPr>
          <w:rFonts w:hint="eastAsia" w:ascii="宋体" w:hAnsi="宋体" w:eastAsia="宋体" w:cs="宋体"/>
          <w:color w:val="auto"/>
          <w:sz w:val="24"/>
          <w:szCs w:val="24"/>
          <w:highlight w:val="none"/>
        </w:rPr>
        <w:t>此格式自制）</w:t>
      </w:r>
    </w:p>
    <w:tbl>
      <w:tblPr>
        <w:tblStyle w:val="28"/>
        <w:tblW w:w="10002" w:type="dxa"/>
        <w:jc w:val="center"/>
        <w:tblLayout w:type="fixed"/>
        <w:tblCellMar>
          <w:top w:w="0" w:type="dxa"/>
          <w:left w:w="108" w:type="dxa"/>
          <w:bottom w:w="0" w:type="dxa"/>
          <w:right w:w="108" w:type="dxa"/>
        </w:tblCellMar>
      </w:tblPr>
      <w:tblGrid>
        <w:gridCol w:w="646"/>
        <w:gridCol w:w="746"/>
        <w:gridCol w:w="787"/>
        <w:gridCol w:w="412"/>
        <w:gridCol w:w="900"/>
        <w:gridCol w:w="1080"/>
        <w:gridCol w:w="1080"/>
        <w:gridCol w:w="1080"/>
        <w:gridCol w:w="1260"/>
        <w:gridCol w:w="900"/>
        <w:gridCol w:w="1111"/>
      </w:tblGrid>
      <w:tr w14:paraId="1E5F5F23">
        <w:tblPrEx>
          <w:tblCellMar>
            <w:top w:w="0" w:type="dxa"/>
            <w:left w:w="108" w:type="dxa"/>
            <w:bottom w:w="0" w:type="dxa"/>
            <w:right w:w="108" w:type="dxa"/>
          </w:tblCellMar>
        </w:tblPrEx>
        <w:trPr>
          <w:jc w:val="center"/>
        </w:trPr>
        <w:tc>
          <w:tcPr>
            <w:tcW w:w="646" w:type="dxa"/>
            <w:tcBorders>
              <w:top w:val="single" w:color="auto" w:sz="6" w:space="0"/>
              <w:left w:val="single" w:color="auto" w:sz="6" w:space="0"/>
              <w:bottom w:val="single" w:color="auto" w:sz="6" w:space="0"/>
              <w:right w:val="single" w:color="auto" w:sz="4" w:space="0"/>
            </w:tcBorders>
            <w:noWrap w:val="0"/>
            <w:vAlign w:val="center"/>
          </w:tcPr>
          <w:p w14:paraId="65E90D5A">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序号</w:t>
            </w:r>
          </w:p>
        </w:tc>
        <w:tc>
          <w:tcPr>
            <w:tcW w:w="746" w:type="dxa"/>
            <w:tcBorders>
              <w:top w:val="single" w:color="auto" w:sz="6" w:space="0"/>
              <w:left w:val="single" w:color="auto" w:sz="4" w:space="0"/>
              <w:bottom w:val="single" w:color="auto" w:sz="6" w:space="0"/>
              <w:right w:val="single" w:color="auto" w:sz="6" w:space="0"/>
            </w:tcBorders>
            <w:noWrap w:val="0"/>
            <w:vAlign w:val="center"/>
          </w:tcPr>
          <w:p w14:paraId="4D1B6514">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类别</w:t>
            </w:r>
          </w:p>
        </w:tc>
        <w:tc>
          <w:tcPr>
            <w:tcW w:w="787" w:type="dxa"/>
            <w:tcBorders>
              <w:top w:val="single" w:color="auto" w:sz="6" w:space="0"/>
              <w:left w:val="single" w:color="auto" w:sz="6" w:space="0"/>
              <w:bottom w:val="single" w:color="auto" w:sz="6" w:space="0"/>
              <w:right w:val="single" w:color="auto" w:sz="6" w:space="0"/>
            </w:tcBorders>
            <w:noWrap w:val="0"/>
            <w:vAlign w:val="center"/>
          </w:tcPr>
          <w:p w14:paraId="1E564E81">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姓名</w:t>
            </w:r>
          </w:p>
        </w:tc>
        <w:tc>
          <w:tcPr>
            <w:tcW w:w="412" w:type="dxa"/>
            <w:tcBorders>
              <w:top w:val="single" w:color="auto" w:sz="6" w:space="0"/>
              <w:left w:val="single" w:color="auto" w:sz="6" w:space="0"/>
              <w:bottom w:val="single" w:color="auto" w:sz="6" w:space="0"/>
              <w:right w:val="single" w:color="auto" w:sz="6" w:space="0"/>
            </w:tcBorders>
            <w:noWrap w:val="0"/>
            <w:vAlign w:val="center"/>
          </w:tcPr>
          <w:p w14:paraId="6D7151D6">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性别</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6F688743">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年龄</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5A759BEA">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学历</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0792A615">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专业</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7FEC2679">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职称</w:t>
            </w:r>
            <w:r>
              <w:rPr>
                <w:rFonts w:hint="eastAsia" w:ascii="宋体" w:hAnsi="宋体" w:eastAsia="宋体" w:cs="宋体"/>
                <w:color w:val="auto"/>
                <w:sz w:val="24"/>
                <w:szCs w:val="24"/>
                <w:highlight w:val="none"/>
                <w:lang w:val="en-US" w:eastAsia="zh-CN"/>
              </w:rPr>
              <w:t>/职业资格证书</w:t>
            </w:r>
          </w:p>
        </w:tc>
        <w:tc>
          <w:tcPr>
            <w:tcW w:w="1260" w:type="dxa"/>
            <w:tcBorders>
              <w:top w:val="single" w:color="auto" w:sz="6" w:space="0"/>
              <w:left w:val="single" w:color="auto" w:sz="6" w:space="0"/>
              <w:bottom w:val="single" w:color="auto" w:sz="6" w:space="0"/>
              <w:right w:val="single" w:color="auto" w:sz="6" w:space="0"/>
            </w:tcBorders>
            <w:noWrap w:val="0"/>
            <w:vAlign w:val="center"/>
          </w:tcPr>
          <w:p w14:paraId="5084E1C1">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本项目中的职责</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0FBECA37">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响应时间</w:t>
            </w:r>
          </w:p>
        </w:tc>
        <w:tc>
          <w:tcPr>
            <w:tcW w:w="1111" w:type="dxa"/>
            <w:tcBorders>
              <w:top w:val="single" w:color="auto" w:sz="6" w:space="0"/>
              <w:left w:val="single" w:color="auto" w:sz="6" w:space="0"/>
              <w:bottom w:val="single" w:color="auto" w:sz="6" w:space="0"/>
              <w:right w:val="single" w:color="auto" w:sz="6" w:space="0"/>
            </w:tcBorders>
            <w:noWrap w:val="0"/>
            <w:vAlign w:val="center"/>
          </w:tcPr>
          <w:p w14:paraId="6DC0F97A">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到达现场时间</w:t>
            </w:r>
          </w:p>
        </w:tc>
      </w:tr>
      <w:tr w14:paraId="4204DA23">
        <w:tblPrEx>
          <w:tblCellMar>
            <w:top w:w="0" w:type="dxa"/>
            <w:left w:w="108" w:type="dxa"/>
            <w:bottom w:w="0" w:type="dxa"/>
            <w:right w:w="108" w:type="dxa"/>
          </w:tblCellMar>
        </w:tblPrEx>
        <w:trPr>
          <w:trHeight w:val="607"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24FFD183">
            <w:pPr>
              <w:autoSpaceDE w:val="0"/>
              <w:autoSpaceDN w:val="0"/>
              <w:spacing w:line="360" w:lineRule="auto"/>
              <w:jc w:val="center"/>
              <w:rPr>
                <w:rFonts w:hint="eastAsia" w:ascii="宋体" w:hAnsi="宋体" w:eastAsia="宋体" w:cs="宋体"/>
                <w:color w:val="auto"/>
                <w:sz w:val="24"/>
                <w:szCs w:val="24"/>
                <w:highlight w:val="none"/>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37709C94">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总协调人</w:t>
            </w:r>
          </w:p>
        </w:tc>
        <w:tc>
          <w:tcPr>
            <w:tcW w:w="787" w:type="dxa"/>
            <w:tcBorders>
              <w:top w:val="single" w:color="auto" w:sz="6" w:space="0"/>
              <w:left w:val="single" w:color="auto" w:sz="6" w:space="0"/>
              <w:bottom w:val="single" w:color="auto" w:sz="6" w:space="0"/>
              <w:right w:val="single" w:color="auto" w:sz="6" w:space="0"/>
            </w:tcBorders>
            <w:noWrap w:val="0"/>
            <w:vAlign w:val="top"/>
          </w:tcPr>
          <w:p w14:paraId="6AC09916">
            <w:pPr>
              <w:autoSpaceDE w:val="0"/>
              <w:autoSpaceDN w:val="0"/>
              <w:spacing w:line="360" w:lineRule="auto"/>
              <w:rPr>
                <w:rFonts w:hint="eastAsia" w:ascii="宋体" w:hAnsi="宋体" w:eastAsia="宋体" w:cs="宋体"/>
                <w:color w:val="auto"/>
                <w:sz w:val="24"/>
                <w:szCs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00ACD6EB">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67130621">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1C9302D">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6E3CF644">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798B5DA7">
            <w:pPr>
              <w:autoSpaceDE w:val="0"/>
              <w:autoSpaceDN w:val="0"/>
              <w:spacing w:line="360" w:lineRule="auto"/>
              <w:rPr>
                <w:rFonts w:hint="eastAsia" w:ascii="宋体" w:hAnsi="宋体" w:eastAsia="宋体" w:cs="宋体"/>
                <w:color w:val="auto"/>
                <w:sz w:val="24"/>
                <w:szCs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5FC0900E">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69314AED">
            <w:pPr>
              <w:autoSpaceDE w:val="0"/>
              <w:autoSpaceDN w:val="0"/>
              <w:spacing w:line="360" w:lineRule="auto"/>
              <w:rPr>
                <w:rFonts w:hint="eastAsia" w:ascii="宋体" w:hAnsi="宋体" w:eastAsia="宋体" w:cs="宋体"/>
                <w:color w:val="auto"/>
                <w:sz w:val="24"/>
                <w:szCs w:val="24"/>
                <w:highlight w:val="none"/>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38F16979">
            <w:pPr>
              <w:autoSpaceDE w:val="0"/>
              <w:autoSpaceDN w:val="0"/>
              <w:spacing w:line="360" w:lineRule="auto"/>
              <w:rPr>
                <w:rFonts w:hint="eastAsia" w:ascii="宋体" w:hAnsi="宋体" w:eastAsia="宋体" w:cs="宋体"/>
                <w:color w:val="auto"/>
                <w:sz w:val="24"/>
                <w:szCs w:val="24"/>
                <w:highlight w:val="none"/>
              </w:rPr>
            </w:pPr>
          </w:p>
        </w:tc>
      </w:tr>
      <w:tr w14:paraId="0F39268E">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3023E356">
            <w:pPr>
              <w:autoSpaceDE w:val="0"/>
              <w:autoSpaceDN w:val="0"/>
              <w:spacing w:line="360" w:lineRule="auto"/>
              <w:jc w:val="center"/>
              <w:rPr>
                <w:rFonts w:hint="eastAsia" w:ascii="宋体" w:hAnsi="宋体" w:eastAsia="宋体" w:cs="宋体"/>
                <w:color w:val="auto"/>
                <w:sz w:val="24"/>
                <w:szCs w:val="24"/>
                <w:highlight w:val="none"/>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7DC82133">
            <w:pPr>
              <w:autoSpaceDE w:val="0"/>
              <w:autoSpaceDN w:val="0"/>
              <w:spacing w:line="360" w:lineRule="auto"/>
              <w:jc w:val="cente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lang w:eastAsia="zh-CN"/>
              </w:rPr>
              <w:t>技术服务</w:t>
            </w:r>
            <w:r>
              <w:rPr>
                <w:rFonts w:hint="eastAsia" w:ascii="宋体" w:hAnsi="宋体" w:eastAsia="宋体" w:cs="宋体"/>
                <w:color w:val="auto"/>
                <w:sz w:val="24"/>
                <w:szCs w:val="24"/>
                <w:highlight w:val="none"/>
              </w:rPr>
              <w:t>人员</w:t>
            </w:r>
          </w:p>
        </w:tc>
        <w:tc>
          <w:tcPr>
            <w:tcW w:w="787" w:type="dxa"/>
            <w:tcBorders>
              <w:top w:val="single" w:color="auto" w:sz="6" w:space="0"/>
              <w:left w:val="single" w:color="auto" w:sz="6" w:space="0"/>
              <w:bottom w:val="single" w:color="auto" w:sz="6" w:space="0"/>
              <w:right w:val="single" w:color="auto" w:sz="6" w:space="0"/>
            </w:tcBorders>
            <w:noWrap w:val="0"/>
            <w:vAlign w:val="top"/>
          </w:tcPr>
          <w:p w14:paraId="72881394">
            <w:pPr>
              <w:autoSpaceDE w:val="0"/>
              <w:autoSpaceDN w:val="0"/>
              <w:spacing w:line="360" w:lineRule="auto"/>
              <w:rPr>
                <w:rFonts w:hint="eastAsia" w:ascii="宋体" w:hAnsi="宋体" w:eastAsia="宋体" w:cs="宋体"/>
                <w:color w:val="auto"/>
                <w:sz w:val="24"/>
                <w:szCs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7EB7577F">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250C57C2">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3F13B89">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346E123">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2569303">
            <w:pPr>
              <w:autoSpaceDE w:val="0"/>
              <w:autoSpaceDN w:val="0"/>
              <w:spacing w:line="360" w:lineRule="auto"/>
              <w:rPr>
                <w:rFonts w:hint="eastAsia" w:ascii="宋体" w:hAnsi="宋体" w:eastAsia="宋体" w:cs="宋体"/>
                <w:color w:val="auto"/>
                <w:sz w:val="24"/>
                <w:szCs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79CABEA8">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0D623721">
            <w:pPr>
              <w:autoSpaceDE w:val="0"/>
              <w:autoSpaceDN w:val="0"/>
              <w:spacing w:line="360" w:lineRule="auto"/>
              <w:rPr>
                <w:rFonts w:hint="eastAsia" w:ascii="宋体" w:hAnsi="宋体" w:eastAsia="宋体" w:cs="宋体"/>
                <w:color w:val="auto"/>
                <w:sz w:val="24"/>
                <w:szCs w:val="24"/>
                <w:highlight w:val="none"/>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7E753649">
            <w:pPr>
              <w:autoSpaceDE w:val="0"/>
              <w:autoSpaceDN w:val="0"/>
              <w:spacing w:line="360" w:lineRule="auto"/>
              <w:rPr>
                <w:rFonts w:hint="eastAsia" w:ascii="宋体" w:hAnsi="宋体" w:eastAsia="宋体" w:cs="宋体"/>
                <w:color w:val="auto"/>
                <w:sz w:val="24"/>
                <w:szCs w:val="24"/>
                <w:highlight w:val="none"/>
              </w:rPr>
            </w:pPr>
          </w:p>
        </w:tc>
      </w:tr>
      <w:tr w14:paraId="689E5BCE">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53E6BB25">
            <w:pPr>
              <w:autoSpaceDE w:val="0"/>
              <w:autoSpaceDN w:val="0"/>
              <w:spacing w:line="360" w:lineRule="auto"/>
              <w:jc w:val="center"/>
              <w:rPr>
                <w:rFonts w:hint="eastAsia" w:ascii="宋体" w:hAnsi="宋体" w:eastAsia="宋体" w:cs="宋体"/>
                <w:color w:val="auto"/>
                <w:sz w:val="24"/>
                <w:szCs w:val="24"/>
                <w:highlight w:val="none"/>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771E499A">
            <w:pPr>
              <w:autoSpaceDE w:val="0"/>
              <w:autoSpaceDN w:val="0"/>
              <w:spacing w:line="360" w:lineRule="auto"/>
              <w:jc w:val="center"/>
              <w:rPr>
                <w:rFonts w:hint="eastAsia" w:ascii="宋体" w:hAnsi="宋体" w:eastAsia="宋体" w:cs="宋体"/>
                <w:color w:val="auto"/>
                <w:sz w:val="24"/>
                <w:szCs w:val="24"/>
                <w:highlight w:val="none"/>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511F4ECB">
            <w:pPr>
              <w:autoSpaceDE w:val="0"/>
              <w:autoSpaceDN w:val="0"/>
              <w:spacing w:line="360" w:lineRule="auto"/>
              <w:rPr>
                <w:rFonts w:hint="eastAsia" w:ascii="宋体" w:hAnsi="宋体" w:eastAsia="宋体" w:cs="宋体"/>
                <w:color w:val="auto"/>
                <w:sz w:val="24"/>
                <w:szCs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60BB9788">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0FBC79EB">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F1FE2BC">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8066F97">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7A5AB458">
            <w:pPr>
              <w:autoSpaceDE w:val="0"/>
              <w:autoSpaceDN w:val="0"/>
              <w:spacing w:line="360" w:lineRule="auto"/>
              <w:rPr>
                <w:rFonts w:hint="eastAsia" w:ascii="宋体" w:hAnsi="宋体" w:eastAsia="宋体" w:cs="宋体"/>
                <w:color w:val="auto"/>
                <w:sz w:val="24"/>
                <w:szCs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138EF713">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0245B7FD">
            <w:pPr>
              <w:autoSpaceDE w:val="0"/>
              <w:autoSpaceDN w:val="0"/>
              <w:spacing w:line="360" w:lineRule="auto"/>
              <w:rPr>
                <w:rFonts w:hint="eastAsia" w:ascii="宋体" w:hAnsi="宋体" w:eastAsia="宋体" w:cs="宋体"/>
                <w:color w:val="auto"/>
                <w:sz w:val="24"/>
                <w:szCs w:val="24"/>
                <w:highlight w:val="none"/>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48A7A4C2">
            <w:pPr>
              <w:autoSpaceDE w:val="0"/>
              <w:autoSpaceDN w:val="0"/>
              <w:spacing w:line="360" w:lineRule="auto"/>
              <w:rPr>
                <w:rFonts w:hint="eastAsia" w:ascii="宋体" w:hAnsi="宋体" w:eastAsia="宋体" w:cs="宋体"/>
                <w:color w:val="auto"/>
                <w:sz w:val="24"/>
                <w:szCs w:val="24"/>
                <w:highlight w:val="none"/>
              </w:rPr>
            </w:pPr>
          </w:p>
        </w:tc>
      </w:tr>
      <w:tr w14:paraId="5BE70503">
        <w:tblPrEx>
          <w:tblCellMar>
            <w:top w:w="0" w:type="dxa"/>
            <w:left w:w="108" w:type="dxa"/>
            <w:bottom w:w="0" w:type="dxa"/>
            <w:right w:w="108" w:type="dxa"/>
          </w:tblCellMar>
        </w:tblPrEx>
        <w:trPr>
          <w:trHeight w:val="595" w:hRule="atLeast"/>
          <w:jc w:val="center"/>
        </w:trPr>
        <w:tc>
          <w:tcPr>
            <w:tcW w:w="646" w:type="dxa"/>
            <w:tcBorders>
              <w:top w:val="single" w:color="auto" w:sz="6" w:space="0"/>
              <w:left w:val="single" w:color="auto" w:sz="6" w:space="0"/>
              <w:bottom w:val="single" w:color="auto" w:sz="6" w:space="0"/>
              <w:right w:val="single" w:color="auto" w:sz="4" w:space="0"/>
            </w:tcBorders>
            <w:noWrap w:val="0"/>
            <w:vAlign w:val="top"/>
          </w:tcPr>
          <w:p w14:paraId="5B45BC8F">
            <w:pPr>
              <w:autoSpaceDE w:val="0"/>
              <w:autoSpaceDN w:val="0"/>
              <w:spacing w:line="360" w:lineRule="auto"/>
              <w:jc w:val="center"/>
              <w:rPr>
                <w:rFonts w:hint="eastAsia" w:ascii="宋体" w:hAnsi="宋体" w:eastAsia="宋体" w:cs="宋体"/>
                <w:color w:val="auto"/>
                <w:sz w:val="24"/>
                <w:szCs w:val="24"/>
                <w:highlight w:val="none"/>
              </w:rPr>
            </w:pPr>
          </w:p>
        </w:tc>
        <w:tc>
          <w:tcPr>
            <w:tcW w:w="746" w:type="dxa"/>
            <w:tcBorders>
              <w:top w:val="single" w:color="auto" w:sz="6" w:space="0"/>
              <w:left w:val="single" w:color="auto" w:sz="4" w:space="0"/>
              <w:bottom w:val="single" w:color="auto" w:sz="6" w:space="0"/>
              <w:right w:val="single" w:color="auto" w:sz="6" w:space="0"/>
            </w:tcBorders>
            <w:noWrap w:val="0"/>
            <w:vAlign w:val="top"/>
          </w:tcPr>
          <w:p w14:paraId="03D1FC2F">
            <w:pPr>
              <w:autoSpaceDE w:val="0"/>
              <w:autoSpaceDN w:val="0"/>
              <w:spacing w:line="360" w:lineRule="auto"/>
              <w:jc w:val="center"/>
              <w:rPr>
                <w:rFonts w:hint="eastAsia" w:ascii="宋体" w:hAnsi="宋体" w:eastAsia="宋体" w:cs="宋体"/>
                <w:color w:val="auto"/>
                <w:sz w:val="24"/>
                <w:szCs w:val="24"/>
                <w:highlight w:val="none"/>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2E976CF4">
            <w:pPr>
              <w:autoSpaceDE w:val="0"/>
              <w:autoSpaceDN w:val="0"/>
              <w:spacing w:line="360" w:lineRule="auto"/>
              <w:rPr>
                <w:rFonts w:hint="eastAsia" w:ascii="宋体" w:hAnsi="宋体" w:eastAsia="宋体" w:cs="宋体"/>
                <w:color w:val="auto"/>
                <w:sz w:val="24"/>
                <w:szCs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642E5CDB">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2FF263DE">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1EE24DD">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7917093C">
            <w:pPr>
              <w:autoSpaceDE w:val="0"/>
              <w:autoSpaceDN w:val="0"/>
              <w:spacing w:line="360" w:lineRule="auto"/>
              <w:rPr>
                <w:rFonts w:hint="eastAsia" w:ascii="宋体" w:hAnsi="宋体" w:eastAsia="宋体" w:cs="宋体"/>
                <w:color w:val="auto"/>
                <w:sz w:val="24"/>
                <w:szCs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432DE204">
            <w:pPr>
              <w:autoSpaceDE w:val="0"/>
              <w:autoSpaceDN w:val="0"/>
              <w:spacing w:line="360" w:lineRule="auto"/>
              <w:rPr>
                <w:rFonts w:hint="eastAsia" w:ascii="宋体" w:hAnsi="宋体" w:eastAsia="宋体" w:cs="宋体"/>
                <w:color w:val="auto"/>
                <w:sz w:val="24"/>
                <w:szCs w:val="24"/>
                <w:highlight w:val="none"/>
              </w:rPr>
            </w:pPr>
          </w:p>
        </w:tc>
        <w:tc>
          <w:tcPr>
            <w:tcW w:w="1260" w:type="dxa"/>
            <w:tcBorders>
              <w:top w:val="single" w:color="auto" w:sz="6" w:space="0"/>
              <w:left w:val="single" w:color="auto" w:sz="6" w:space="0"/>
              <w:bottom w:val="single" w:color="auto" w:sz="6" w:space="0"/>
              <w:right w:val="single" w:color="auto" w:sz="6" w:space="0"/>
            </w:tcBorders>
            <w:noWrap w:val="0"/>
            <w:vAlign w:val="top"/>
          </w:tcPr>
          <w:p w14:paraId="51E77A48">
            <w:pPr>
              <w:autoSpaceDE w:val="0"/>
              <w:autoSpaceDN w:val="0"/>
              <w:spacing w:line="360" w:lineRule="auto"/>
              <w:rPr>
                <w:rFonts w:hint="eastAsia" w:ascii="宋体" w:hAnsi="宋体" w:eastAsia="宋体" w:cs="宋体"/>
                <w:color w:val="auto"/>
                <w:sz w:val="24"/>
                <w:szCs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6E33A7CB">
            <w:pPr>
              <w:autoSpaceDE w:val="0"/>
              <w:autoSpaceDN w:val="0"/>
              <w:spacing w:line="360" w:lineRule="auto"/>
              <w:rPr>
                <w:rFonts w:hint="eastAsia" w:ascii="宋体" w:hAnsi="宋体" w:eastAsia="宋体" w:cs="宋体"/>
                <w:color w:val="auto"/>
                <w:sz w:val="24"/>
                <w:szCs w:val="24"/>
                <w:highlight w:val="none"/>
              </w:rPr>
            </w:pPr>
          </w:p>
        </w:tc>
        <w:tc>
          <w:tcPr>
            <w:tcW w:w="1111" w:type="dxa"/>
            <w:tcBorders>
              <w:top w:val="single" w:color="auto" w:sz="6" w:space="0"/>
              <w:left w:val="single" w:color="auto" w:sz="6" w:space="0"/>
              <w:bottom w:val="single" w:color="auto" w:sz="6" w:space="0"/>
              <w:right w:val="single" w:color="auto" w:sz="6" w:space="0"/>
            </w:tcBorders>
            <w:noWrap w:val="0"/>
            <w:vAlign w:val="top"/>
          </w:tcPr>
          <w:p w14:paraId="03087D74">
            <w:pPr>
              <w:autoSpaceDE w:val="0"/>
              <w:autoSpaceDN w:val="0"/>
              <w:spacing w:line="360" w:lineRule="auto"/>
              <w:rPr>
                <w:rFonts w:hint="eastAsia" w:ascii="宋体" w:hAnsi="宋体" w:eastAsia="宋体" w:cs="宋体"/>
                <w:color w:val="auto"/>
                <w:sz w:val="24"/>
                <w:szCs w:val="24"/>
                <w:highlight w:val="none"/>
              </w:rPr>
            </w:pPr>
          </w:p>
        </w:tc>
      </w:tr>
    </w:tbl>
    <w:p w14:paraId="5D21C745">
      <w:pPr>
        <w:spacing w:line="440" w:lineRule="exact"/>
        <w:ind w:firstLine="396" w:firstLineChars="198"/>
        <w:rPr>
          <w:rFonts w:hint="eastAsia" w:ascii="宋体" w:hAnsi="宋体" w:eastAsia="宋体" w:cs="宋体"/>
          <w:color w:val="auto"/>
          <w:kern w:val="0"/>
          <w:sz w:val="20"/>
          <w:szCs w:val="21"/>
          <w:highlight w:val="none"/>
          <w:lang w:val="zh-CN" w:eastAsia="zh-CN"/>
        </w:rPr>
      </w:pPr>
    </w:p>
    <w:p w14:paraId="7482ED7E">
      <w:pPr>
        <w:spacing w:line="500" w:lineRule="exact"/>
        <w:rPr>
          <w:rFonts w:hint="eastAsia" w:ascii="宋体" w:hAnsi="宋体" w:eastAsia="宋体" w:cs="宋体"/>
          <w:color w:val="auto"/>
          <w:sz w:val="32"/>
          <w:szCs w:val="32"/>
          <w:highlight w:val="none"/>
        </w:rPr>
      </w:pPr>
    </w:p>
    <w:p w14:paraId="51BD2658">
      <w:pPr>
        <w:autoSpaceDE w:val="0"/>
        <w:autoSpaceDN w:val="0"/>
        <w:spacing w:line="360" w:lineRule="auto"/>
        <w:ind w:left="4335" w:leftChars="1950" w:hanging="240" w:hangingChars="100"/>
        <w:rPr>
          <w:rFonts w:hint="eastAsia" w:ascii="宋体" w:hAnsi="宋体" w:eastAsia="宋体" w:cs="宋体"/>
          <w:color w:val="auto"/>
          <w:kern w:val="0"/>
          <w:sz w:val="24"/>
          <w:szCs w:val="24"/>
          <w:highlight w:val="none"/>
        </w:rPr>
      </w:pPr>
      <w:r>
        <w:rPr>
          <w:rFonts w:hint="eastAsia" w:ascii="宋体" w:hAnsi="宋体" w:eastAsia="宋体" w:cs="宋体"/>
          <w:color w:val="auto"/>
          <w:kern w:val="0"/>
          <w:sz w:val="24"/>
          <w:szCs w:val="24"/>
          <w:highlight w:val="none"/>
        </w:rPr>
        <w:t>供应商名称（</w:t>
      </w:r>
      <w:r>
        <w:rPr>
          <w:rFonts w:hint="eastAsia" w:ascii="宋体" w:hAnsi="宋体" w:eastAsia="宋体" w:cs="宋体"/>
          <w:color w:val="auto"/>
          <w:kern w:val="0"/>
          <w:sz w:val="24"/>
          <w:szCs w:val="24"/>
          <w:highlight w:val="none"/>
          <w:lang w:eastAsia="zh-CN"/>
        </w:rPr>
        <w:t>盖公章</w:t>
      </w:r>
      <w:r>
        <w:rPr>
          <w:rFonts w:hint="eastAsia" w:ascii="宋体" w:hAnsi="宋体" w:eastAsia="宋体" w:cs="宋体"/>
          <w:color w:val="auto"/>
          <w:kern w:val="0"/>
          <w:sz w:val="24"/>
          <w:szCs w:val="24"/>
          <w:highlight w:val="none"/>
        </w:rPr>
        <w:t>）：</w:t>
      </w:r>
    </w:p>
    <w:p w14:paraId="365CEC9B">
      <w:pPr>
        <w:autoSpaceDE w:val="0"/>
        <w:autoSpaceDN w:val="0"/>
        <w:spacing w:line="360" w:lineRule="auto"/>
        <w:ind w:firstLine="6480" w:firstLineChars="2700"/>
        <w:rPr>
          <w:rFonts w:hint="eastAsia" w:ascii="宋体" w:hAnsi="宋体" w:eastAsia="宋体" w:cs="宋体"/>
          <w:color w:val="auto"/>
          <w:kern w:val="0"/>
          <w:sz w:val="24"/>
          <w:szCs w:val="24"/>
          <w:highlight w:val="none"/>
          <w:lang w:val="zh-CN"/>
        </w:rPr>
      </w:pPr>
      <w:r>
        <w:rPr>
          <w:rFonts w:hint="eastAsia" w:ascii="宋体" w:hAnsi="宋体" w:eastAsia="宋体" w:cs="宋体"/>
          <w:color w:val="auto"/>
          <w:kern w:val="0"/>
          <w:sz w:val="24"/>
          <w:szCs w:val="24"/>
          <w:highlight w:val="none"/>
          <w:lang w:val="zh-CN"/>
        </w:rPr>
        <w:t>日期：  年  月   日</w:t>
      </w:r>
    </w:p>
    <w:p w14:paraId="46F6DD43">
      <w:pPr>
        <w:snapToGrid w:val="0"/>
        <w:spacing w:line="360" w:lineRule="auto"/>
        <w:ind w:firstLine="0" w:firstLineChars="0"/>
        <w:rPr>
          <w:rFonts w:hint="eastAsia" w:ascii="宋体" w:hAnsi="宋体" w:eastAsia="宋体" w:cs="宋体"/>
          <w:b/>
          <w:color w:val="auto"/>
          <w:sz w:val="30"/>
          <w:szCs w:val="30"/>
          <w:highlight w:val="none"/>
        </w:rPr>
      </w:pPr>
    </w:p>
    <w:p w14:paraId="1F2F32F4">
      <w:pPr>
        <w:snapToGrid w:val="0"/>
        <w:spacing w:line="360" w:lineRule="auto"/>
        <w:ind w:firstLine="0" w:firstLineChars="0"/>
        <w:rPr>
          <w:rFonts w:hint="eastAsia" w:ascii="宋体" w:hAnsi="宋体" w:eastAsia="宋体" w:cs="宋体"/>
          <w:b/>
          <w:color w:val="auto"/>
          <w:sz w:val="28"/>
          <w:szCs w:val="28"/>
          <w:highlight w:val="none"/>
          <w:lang w:val="en-US" w:eastAsia="zh-CN"/>
        </w:rPr>
        <w:sectPr>
          <w:pgSz w:w="11911" w:h="16838"/>
          <w:pgMar w:top="1134" w:right="1134" w:bottom="1134" w:left="1134" w:header="720" w:footer="720" w:gutter="0"/>
          <w:pgNumType w:fmt="decimal"/>
          <w:cols w:space="720" w:num="1"/>
        </w:sectPr>
      </w:pPr>
    </w:p>
    <w:p w14:paraId="4758C0D0">
      <w:pPr>
        <w:snapToGrid w:val="0"/>
        <w:spacing w:line="360" w:lineRule="auto"/>
        <w:ind w:firstLine="0" w:firstLineChars="0"/>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lang w:val="en-US" w:eastAsia="zh-CN"/>
        </w:rPr>
        <w:t>10.</w:t>
      </w:r>
      <w:r>
        <w:rPr>
          <w:rFonts w:hint="eastAsia" w:ascii="宋体" w:hAnsi="宋体" w:eastAsia="宋体" w:cs="宋体"/>
          <w:b/>
          <w:color w:val="auto"/>
          <w:sz w:val="28"/>
          <w:szCs w:val="28"/>
          <w:highlight w:val="none"/>
        </w:rPr>
        <w:t>项目实施人员一览表（如有要求）</w:t>
      </w:r>
    </w:p>
    <w:p w14:paraId="3BAEEA1D">
      <w:pPr>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（由供应商根据采购文件要求编制）</w:t>
      </w:r>
    </w:p>
    <w:p w14:paraId="758943E6">
      <w:pPr>
        <w:pStyle w:val="20"/>
        <w:rPr>
          <w:rFonts w:hint="eastAsia"/>
          <w:color w:val="auto"/>
          <w:highlight w:val="none"/>
        </w:rPr>
      </w:pPr>
    </w:p>
    <w:p w14:paraId="3CE66E18">
      <w:pPr>
        <w:spacing w:line="360" w:lineRule="auto"/>
        <w:ind w:firstLine="0" w:firstLineChars="0"/>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p>
    <w:p w14:paraId="2027E590">
      <w:pPr>
        <w:keepNext/>
        <w:autoSpaceDE w:val="0"/>
        <w:autoSpaceDN w:val="0"/>
        <w:spacing w:line="360" w:lineRule="auto"/>
        <w:ind w:firstLine="0"/>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附表A:本项目的项目经理情况表</w:t>
      </w:r>
    </w:p>
    <w:tbl>
      <w:tblPr>
        <w:tblStyle w:val="28"/>
        <w:tblW w:w="9105" w:type="dxa"/>
        <w:tblInd w:w="0" w:type="dxa"/>
        <w:tblLayout w:type="fixed"/>
        <w:tblCellMar>
          <w:top w:w="0" w:type="dxa"/>
          <w:left w:w="108" w:type="dxa"/>
          <w:bottom w:w="0" w:type="dxa"/>
          <w:right w:w="108" w:type="dxa"/>
        </w:tblCellMar>
      </w:tblPr>
      <w:tblGrid>
        <w:gridCol w:w="2415"/>
        <w:gridCol w:w="930"/>
        <w:gridCol w:w="1065"/>
        <w:gridCol w:w="4695"/>
      </w:tblGrid>
      <w:tr w14:paraId="4D497499">
        <w:tblPrEx>
          <w:tblCellMar>
            <w:top w:w="0" w:type="dxa"/>
            <w:left w:w="108" w:type="dxa"/>
            <w:bottom w:w="0" w:type="dxa"/>
            <w:right w:w="108" w:type="dxa"/>
          </w:tblCellMar>
        </w:tblPrEx>
        <w:trPr>
          <w:trHeight w:val="604"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6B803BE2">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highlight w:val="none"/>
              </w:rPr>
              <w:t>姓名</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7AB736D5">
            <w:pPr>
              <w:autoSpaceDE w:val="0"/>
              <w:autoSpaceDN w:val="0"/>
              <w:spacing w:line="360" w:lineRule="auto"/>
              <w:jc w:val="center"/>
              <w:rPr>
                <w:rFonts w:hint="eastAsia" w:ascii="宋体" w:hAnsi="宋体" w:eastAsia="宋体" w:cs="宋体"/>
                <w:color w:val="auto"/>
                <w:sz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7C0254A9">
            <w:pPr>
              <w:autoSpaceDE w:val="0"/>
              <w:autoSpaceDN w:val="0"/>
              <w:spacing w:line="360" w:lineRule="auto"/>
              <w:jc w:val="center"/>
              <w:rPr>
                <w:rFonts w:hint="eastAsia"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页码</w:t>
            </w:r>
          </w:p>
        </w:tc>
        <w:tc>
          <w:tcPr>
            <w:tcW w:w="4695" w:type="dxa"/>
            <w:tcBorders>
              <w:top w:val="single" w:color="auto" w:sz="6" w:space="0"/>
              <w:left w:val="single" w:color="auto" w:sz="6" w:space="0"/>
              <w:bottom w:val="single" w:color="auto" w:sz="6" w:space="0"/>
              <w:right w:val="single" w:color="auto" w:sz="6" w:space="0"/>
            </w:tcBorders>
            <w:noWrap w:val="0"/>
            <w:vAlign w:val="center"/>
          </w:tcPr>
          <w:p w14:paraId="18A0CE13">
            <w:pPr>
              <w:autoSpaceDE w:val="0"/>
              <w:autoSpaceDN w:val="0"/>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rPr>
              <w:t>响应截止时间前三年业绩及承担的主要工作情况，曾担任项目经理的项目应列明细</w:t>
            </w:r>
            <w:r>
              <w:rPr>
                <w:rFonts w:hint="eastAsia" w:ascii="宋体" w:hAnsi="宋体" w:eastAsia="宋体" w:cs="宋体"/>
                <w:color w:val="auto"/>
                <w:sz w:val="24"/>
                <w:highlight w:val="none"/>
                <w:lang w:eastAsia="zh-CN"/>
              </w:rPr>
              <w:t>。</w:t>
            </w:r>
          </w:p>
        </w:tc>
      </w:tr>
      <w:tr w14:paraId="38051B72">
        <w:tblPrEx>
          <w:tblCellMar>
            <w:top w:w="0" w:type="dxa"/>
            <w:left w:w="108" w:type="dxa"/>
            <w:bottom w:w="0" w:type="dxa"/>
            <w:right w:w="108" w:type="dxa"/>
          </w:tblCellMar>
        </w:tblPrEx>
        <w:trPr>
          <w:cantSplit/>
          <w:trHeight w:val="345"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4BEE7864">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性别</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2BBB5E2C">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7A4EE62E">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restart"/>
            <w:tcBorders>
              <w:top w:val="single" w:color="auto" w:sz="6" w:space="0"/>
              <w:left w:val="single" w:color="auto" w:sz="6" w:space="0"/>
              <w:bottom w:val="single" w:color="auto" w:sz="6" w:space="0"/>
              <w:right w:val="single" w:color="auto" w:sz="6" w:space="0"/>
            </w:tcBorders>
            <w:noWrap w:val="0"/>
            <w:vAlign w:val="center"/>
          </w:tcPr>
          <w:p w14:paraId="2623A131">
            <w:pPr>
              <w:autoSpaceDE w:val="0"/>
              <w:autoSpaceDN w:val="0"/>
              <w:spacing w:line="360" w:lineRule="auto"/>
              <w:jc w:val="center"/>
              <w:rPr>
                <w:rFonts w:hint="eastAsia" w:ascii="宋体" w:hAnsi="宋体" w:eastAsia="宋体" w:cs="宋体"/>
                <w:color w:val="auto"/>
                <w:sz w:val="24"/>
                <w:highlight w:val="none"/>
              </w:rPr>
            </w:pPr>
          </w:p>
        </w:tc>
      </w:tr>
      <w:tr w14:paraId="21A7ADF2">
        <w:tblPrEx>
          <w:tblCellMar>
            <w:top w:w="0" w:type="dxa"/>
            <w:left w:w="108" w:type="dxa"/>
            <w:bottom w:w="0" w:type="dxa"/>
            <w:right w:w="108" w:type="dxa"/>
          </w:tblCellMar>
        </w:tblPrEx>
        <w:trPr>
          <w:cantSplit/>
          <w:trHeight w:val="337"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5C8731C1">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年龄</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0630A705">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0ABF074C">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0F4E349A">
            <w:pPr>
              <w:autoSpaceDE w:val="0"/>
              <w:autoSpaceDN w:val="0"/>
              <w:spacing w:line="360" w:lineRule="auto"/>
              <w:jc w:val="center"/>
              <w:rPr>
                <w:rFonts w:hint="eastAsia" w:ascii="宋体" w:hAnsi="宋体" w:eastAsia="宋体" w:cs="宋体"/>
                <w:color w:val="auto"/>
                <w:sz w:val="24"/>
                <w:highlight w:val="none"/>
              </w:rPr>
            </w:pPr>
          </w:p>
        </w:tc>
      </w:tr>
      <w:tr w14:paraId="3A018246">
        <w:tblPrEx>
          <w:tblCellMar>
            <w:top w:w="0" w:type="dxa"/>
            <w:left w:w="108" w:type="dxa"/>
            <w:bottom w:w="0" w:type="dxa"/>
            <w:right w:w="108" w:type="dxa"/>
          </w:tblCellMar>
        </w:tblPrEx>
        <w:trPr>
          <w:cantSplit/>
          <w:trHeight w:val="345"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5F6AC96A">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职称</w:t>
            </w:r>
            <w:r>
              <w:rPr>
                <w:rFonts w:hint="eastAsia" w:ascii="宋体" w:hAnsi="宋体" w:eastAsia="宋体" w:cs="宋体"/>
                <w:color w:val="auto"/>
                <w:sz w:val="24"/>
                <w:szCs w:val="24"/>
                <w:highlight w:val="none"/>
                <w:lang w:eastAsia="zh-CN"/>
              </w:rPr>
              <w:t>或职业资格证</w:t>
            </w:r>
            <w:r>
              <w:rPr>
                <w:rFonts w:hint="eastAsia" w:ascii="宋体" w:hAnsi="宋体" w:eastAsia="宋体" w:cs="宋体"/>
                <w:color w:val="auto"/>
                <w:sz w:val="24"/>
                <w:szCs w:val="24"/>
                <w:highlight w:val="none"/>
                <w:lang w:val="en-US" w:eastAsia="zh-CN"/>
              </w:rPr>
              <w:t>书</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1C3295C5">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2669EAE9">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08356A7B">
            <w:pPr>
              <w:autoSpaceDE w:val="0"/>
              <w:autoSpaceDN w:val="0"/>
              <w:spacing w:line="360" w:lineRule="auto"/>
              <w:jc w:val="center"/>
              <w:rPr>
                <w:rFonts w:hint="eastAsia" w:ascii="宋体" w:hAnsi="宋体" w:eastAsia="宋体" w:cs="宋体"/>
                <w:color w:val="auto"/>
                <w:sz w:val="24"/>
                <w:highlight w:val="none"/>
              </w:rPr>
            </w:pPr>
          </w:p>
        </w:tc>
      </w:tr>
      <w:tr w14:paraId="06D07C2F">
        <w:tblPrEx>
          <w:tblCellMar>
            <w:top w:w="0" w:type="dxa"/>
            <w:left w:w="108" w:type="dxa"/>
            <w:bottom w:w="0" w:type="dxa"/>
            <w:right w:w="108" w:type="dxa"/>
          </w:tblCellMar>
        </w:tblPrEx>
        <w:trPr>
          <w:cantSplit/>
          <w:trHeight w:val="345"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69117D2E">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lang w:val="en-US" w:eastAsia="zh-CN"/>
              </w:rPr>
              <w:t>学历</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05761BC8">
            <w:pPr>
              <w:autoSpaceDE w:val="0"/>
              <w:autoSpaceDN w:val="0"/>
              <w:spacing w:line="360" w:lineRule="auto"/>
              <w:jc w:val="center"/>
              <w:rPr>
                <w:rFonts w:hint="eastAsia" w:ascii="宋体" w:hAnsi="宋体" w:eastAsia="宋体" w:cs="宋体"/>
                <w:color w:val="auto"/>
                <w:sz w:val="24"/>
                <w:szCs w:val="24"/>
                <w:highlight w:val="none"/>
                <w:lang w:val="en-US" w:eastAsia="zh-CN"/>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3F98C94F">
            <w:pPr>
              <w:autoSpaceDE w:val="0"/>
              <w:autoSpaceDN w:val="0"/>
              <w:spacing w:line="360" w:lineRule="auto"/>
              <w:jc w:val="center"/>
              <w:rPr>
                <w:rFonts w:hint="eastAsia" w:ascii="宋体" w:hAnsi="宋体" w:eastAsia="宋体" w:cs="宋体"/>
                <w:color w:val="auto"/>
                <w:sz w:val="24"/>
                <w:szCs w:val="24"/>
                <w:highlight w:val="none"/>
                <w:lang w:val="en-US" w:eastAsia="zh-CN"/>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1259A01F">
            <w:pPr>
              <w:autoSpaceDE w:val="0"/>
              <w:autoSpaceDN w:val="0"/>
              <w:spacing w:line="360" w:lineRule="auto"/>
              <w:jc w:val="center"/>
              <w:rPr>
                <w:rFonts w:hint="eastAsia" w:ascii="宋体" w:hAnsi="宋体" w:eastAsia="宋体" w:cs="宋体"/>
                <w:color w:val="auto"/>
                <w:sz w:val="24"/>
                <w:highlight w:val="none"/>
              </w:rPr>
            </w:pPr>
          </w:p>
        </w:tc>
      </w:tr>
      <w:tr w14:paraId="6D7EA4FB">
        <w:tblPrEx>
          <w:tblCellMar>
            <w:top w:w="0" w:type="dxa"/>
            <w:left w:w="108" w:type="dxa"/>
            <w:bottom w:w="0" w:type="dxa"/>
            <w:right w:w="108" w:type="dxa"/>
          </w:tblCellMar>
        </w:tblPrEx>
        <w:trPr>
          <w:cantSplit/>
          <w:trHeight w:val="422"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16F6E9D3">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专业</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19D6EDFB">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1F508D25">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018945D9">
            <w:pPr>
              <w:autoSpaceDE w:val="0"/>
              <w:autoSpaceDN w:val="0"/>
              <w:spacing w:line="360" w:lineRule="auto"/>
              <w:jc w:val="center"/>
              <w:rPr>
                <w:rFonts w:hint="eastAsia" w:ascii="宋体" w:hAnsi="宋体" w:eastAsia="宋体" w:cs="宋体"/>
                <w:color w:val="auto"/>
                <w:sz w:val="24"/>
                <w:highlight w:val="none"/>
              </w:rPr>
            </w:pPr>
          </w:p>
        </w:tc>
      </w:tr>
      <w:tr w14:paraId="3B4BEB47">
        <w:tblPrEx>
          <w:tblCellMar>
            <w:top w:w="0" w:type="dxa"/>
            <w:left w:w="108" w:type="dxa"/>
            <w:bottom w:w="0" w:type="dxa"/>
            <w:right w:w="108" w:type="dxa"/>
          </w:tblCellMar>
        </w:tblPrEx>
        <w:trPr>
          <w:cantSplit/>
          <w:trHeight w:val="416"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28B4FBA9">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1"/>
                <w:szCs w:val="21"/>
                <w:highlight w:val="none"/>
              </w:rPr>
              <w:t>职称</w:t>
            </w:r>
            <w:r>
              <w:rPr>
                <w:rFonts w:hint="eastAsia" w:ascii="宋体" w:hAnsi="宋体" w:eastAsia="宋体" w:cs="宋体"/>
                <w:color w:val="auto"/>
                <w:sz w:val="21"/>
                <w:szCs w:val="21"/>
                <w:highlight w:val="none"/>
                <w:lang w:eastAsia="zh-CN"/>
              </w:rPr>
              <w:t>或资格</w:t>
            </w:r>
            <w:r>
              <w:rPr>
                <w:rFonts w:hint="eastAsia" w:ascii="宋体" w:hAnsi="宋体" w:eastAsia="宋体" w:cs="宋体"/>
                <w:color w:val="auto"/>
                <w:sz w:val="21"/>
                <w:szCs w:val="21"/>
                <w:highlight w:val="none"/>
              </w:rPr>
              <w:t>证书编号</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5EC0AEE3">
            <w:pPr>
              <w:autoSpaceDE w:val="0"/>
              <w:autoSpaceDN w:val="0"/>
              <w:spacing w:line="360" w:lineRule="auto"/>
              <w:jc w:val="center"/>
              <w:rPr>
                <w:rFonts w:hint="eastAsia" w:ascii="宋体" w:hAnsi="宋体" w:eastAsia="宋体" w:cs="宋体"/>
                <w:color w:val="auto"/>
                <w:sz w:val="24"/>
                <w:szCs w:val="24"/>
                <w:highlight w:val="none"/>
                <w:lang w:eastAsia="zh-CN"/>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3D8AB5CE">
            <w:pPr>
              <w:autoSpaceDE w:val="0"/>
              <w:autoSpaceDN w:val="0"/>
              <w:spacing w:line="360" w:lineRule="auto"/>
              <w:jc w:val="center"/>
              <w:rPr>
                <w:rFonts w:hint="eastAsia" w:ascii="宋体" w:hAnsi="宋体" w:eastAsia="宋体" w:cs="宋体"/>
                <w:color w:val="auto"/>
                <w:sz w:val="24"/>
                <w:szCs w:val="24"/>
                <w:highlight w:val="none"/>
                <w:lang w:eastAsia="zh-CN"/>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268C937C">
            <w:pPr>
              <w:autoSpaceDE w:val="0"/>
              <w:autoSpaceDN w:val="0"/>
              <w:spacing w:line="360" w:lineRule="auto"/>
              <w:jc w:val="center"/>
              <w:rPr>
                <w:rFonts w:hint="eastAsia" w:ascii="宋体" w:hAnsi="宋体" w:eastAsia="宋体" w:cs="宋体"/>
                <w:color w:val="auto"/>
                <w:sz w:val="24"/>
                <w:highlight w:val="none"/>
              </w:rPr>
            </w:pPr>
          </w:p>
        </w:tc>
      </w:tr>
      <w:tr w14:paraId="7627324D">
        <w:tblPrEx>
          <w:tblCellMar>
            <w:top w:w="0" w:type="dxa"/>
            <w:left w:w="108" w:type="dxa"/>
            <w:bottom w:w="0" w:type="dxa"/>
            <w:right w:w="108" w:type="dxa"/>
          </w:tblCellMar>
        </w:tblPrEx>
        <w:trPr>
          <w:cantSplit/>
          <w:trHeight w:val="356"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336A6A44">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其他</w:t>
            </w:r>
            <w:r>
              <w:rPr>
                <w:rFonts w:hint="eastAsia" w:ascii="宋体" w:hAnsi="宋体" w:eastAsia="宋体" w:cs="宋体"/>
                <w:color w:val="auto"/>
                <w:sz w:val="24"/>
                <w:szCs w:val="24"/>
                <w:highlight w:val="none"/>
                <w:lang w:eastAsia="zh-CN"/>
              </w:rPr>
              <w:t>证书</w:t>
            </w:r>
            <w:r>
              <w:rPr>
                <w:rFonts w:hint="eastAsia" w:ascii="宋体" w:hAnsi="宋体" w:eastAsia="宋体" w:cs="宋体"/>
                <w:color w:val="auto"/>
                <w:sz w:val="24"/>
                <w:szCs w:val="24"/>
                <w:highlight w:val="none"/>
              </w:rPr>
              <w:t>情况</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244691D5">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044394A7">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7D3B8214">
            <w:pPr>
              <w:autoSpaceDE w:val="0"/>
              <w:autoSpaceDN w:val="0"/>
              <w:spacing w:line="360" w:lineRule="auto"/>
              <w:jc w:val="center"/>
              <w:rPr>
                <w:rFonts w:hint="eastAsia" w:ascii="宋体" w:hAnsi="宋体" w:eastAsia="宋体" w:cs="宋体"/>
                <w:color w:val="auto"/>
                <w:sz w:val="24"/>
                <w:highlight w:val="none"/>
              </w:rPr>
            </w:pPr>
          </w:p>
        </w:tc>
      </w:tr>
      <w:tr w14:paraId="665DF210">
        <w:tblPrEx>
          <w:tblCellMar>
            <w:top w:w="0" w:type="dxa"/>
            <w:left w:w="108" w:type="dxa"/>
            <w:bottom w:w="0" w:type="dxa"/>
            <w:right w:w="108" w:type="dxa"/>
          </w:tblCellMar>
        </w:tblPrEx>
        <w:trPr>
          <w:cantSplit/>
          <w:trHeight w:val="177"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65ECE846">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联系电话</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48517A15">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0D80E044">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22163A37">
            <w:pPr>
              <w:autoSpaceDE w:val="0"/>
              <w:autoSpaceDN w:val="0"/>
              <w:spacing w:line="360" w:lineRule="auto"/>
              <w:jc w:val="center"/>
              <w:rPr>
                <w:rFonts w:hint="eastAsia" w:ascii="宋体" w:hAnsi="宋体" w:eastAsia="宋体" w:cs="宋体"/>
                <w:color w:val="auto"/>
                <w:sz w:val="24"/>
                <w:highlight w:val="none"/>
              </w:rPr>
            </w:pPr>
          </w:p>
        </w:tc>
      </w:tr>
      <w:tr w14:paraId="02D7203D">
        <w:tblPrEx>
          <w:tblCellMar>
            <w:top w:w="0" w:type="dxa"/>
            <w:left w:w="108" w:type="dxa"/>
            <w:bottom w:w="0" w:type="dxa"/>
            <w:right w:w="108" w:type="dxa"/>
          </w:tblCellMar>
        </w:tblPrEx>
        <w:trPr>
          <w:cantSplit/>
          <w:trHeight w:val="169" w:hRule="atLeast"/>
        </w:trPr>
        <w:tc>
          <w:tcPr>
            <w:tcW w:w="2415" w:type="dxa"/>
            <w:tcBorders>
              <w:top w:val="single" w:color="auto" w:sz="6" w:space="0"/>
              <w:left w:val="single" w:color="auto" w:sz="6" w:space="0"/>
              <w:bottom w:val="single" w:color="auto" w:sz="6" w:space="0"/>
              <w:right w:val="single" w:color="auto" w:sz="6" w:space="0"/>
            </w:tcBorders>
            <w:noWrap w:val="0"/>
            <w:vAlign w:val="center"/>
          </w:tcPr>
          <w:p w14:paraId="23C58671">
            <w:pPr>
              <w:autoSpaceDE w:val="0"/>
              <w:autoSpaceDN w:val="0"/>
              <w:spacing w:line="360" w:lineRule="auto"/>
              <w:jc w:val="center"/>
              <w:rPr>
                <w:rFonts w:hint="eastAsia" w:ascii="宋体" w:hAnsi="宋体" w:eastAsia="宋体" w:cs="宋体"/>
                <w:color w:val="auto"/>
                <w:kern w:val="2"/>
                <w:sz w:val="24"/>
                <w:szCs w:val="24"/>
                <w:highlight w:val="none"/>
                <w:lang w:val="en-US" w:eastAsia="zh-CN" w:bidi="ar-SA"/>
              </w:rPr>
            </w:pPr>
            <w:r>
              <w:rPr>
                <w:rFonts w:hint="eastAsia" w:ascii="宋体" w:hAnsi="宋体" w:eastAsia="宋体" w:cs="宋体"/>
                <w:color w:val="auto"/>
                <w:sz w:val="24"/>
                <w:szCs w:val="24"/>
                <w:highlight w:val="none"/>
              </w:rPr>
              <w:t>性别</w:t>
            </w:r>
          </w:p>
        </w:tc>
        <w:tc>
          <w:tcPr>
            <w:tcW w:w="930" w:type="dxa"/>
            <w:tcBorders>
              <w:top w:val="single" w:color="auto" w:sz="6" w:space="0"/>
              <w:left w:val="single" w:color="auto" w:sz="6" w:space="0"/>
              <w:bottom w:val="single" w:color="auto" w:sz="6" w:space="0"/>
              <w:right w:val="single" w:color="auto" w:sz="6" w:space="0"/>
            </w:tcBorders>
            <w:noWrap w:val="0"/>
            <w:vAlign w:val="center"/>
          </w:tcPr>
          <w:p w14:paraId="39F8D0E1">
            <w:pPr>
              <w:autoSpaceDE w:val="0"/>
              <w:autoSpaceDN w:val="0"/>
              <w:spacing w:line="360" w:lineRule="auto"/>
              <w:jc w:val="center"/>
              <w:rPr>
                <w:rFonts w:hint="eastAsia" w:ascii="宋体" w:hAnsi="宋体" w:eastAsia="宋体" w:cs="宋体"/>
                <w:color w:val="auto"/>
                <w:sz w:val="24"/>
                <w:szCs w:val="24"/>
                <w:highlight w:val="none"/>
              </w:rPr>
            </w:pPr>
          </w:p>
        </w:tc>
        <w:tc>
          <w:tcPr>
            <w:tcW w:w="1065" w:type="dxa"/>
            <w:tcBorders>
              <w:top w:val="single" w:color="auto" w:sz="6" w:space="0"/>
              <w:left w:val="single" w:color="auto" w:sz="6" w:space="0"/>
              <w:bottom w:val="single" w:color="auto" w:sz="6" w:space="0"/>
              <w:right w:val="single" w:color="auto" w:sz="6" w:space="0"/>
            </w:tcBorders>
            <w:noWrap w:val="0"/>
            <w:vAlign w:val="center"/>
          </w:tcPr>
          <w:p w14:paraId="464FD894">
            <w:pPr>
              <w:autoSpaceDE w:val="0"/>
              <w:autoSpaceDN w:val="0"/>
              <w:spacing w:line="360" w:lineRule="auto"/>
              <w:jc w:val="center"/>
              <w:rPr>
                <w:rFonts w:hint="eastAsia" w:ascii="宋体" w:hAnsi="宋体" w:eastAsia="宋体" w:cs="宋体"/>
                <w:color w:val="auto"/>
                <w:sz w:val="24"/>
                <w:szCs w:val="24"/>
                <w:highlight w:val="none"/>
              </w:rPr>
            </w:pPr>
          </w:p>
        </w:tc>
        <w:tc>
          <w:tcPr>
            <w:tcW w:w="4695" w:type="dxa"/>
            <w:vMerge w:val="continue"/>
            <w:tcBorders>
              <w:top w:val="single" w:color="auto" w:sz="6" w:space="0"/>
              <w:left w:val="single" w:color="auto" w:sz="6" w:space="0"/>
              <w:bottom w:val="single" w:color="auto" w:sz="6" w:space="0"/>
              <w:right w:val="single" w:color="auto" w:sz="6" w:space="0"/>
            </w:tcBorders>
            <w:noWrap w:val="0"/>
            <w:vAlign w:val="center"/>
          </w:tcPr>
          <w:p w14:paraId="697A5492">
            <w:pPr>
              <w:autoSpaceDE w:val="0"/>
              <w:autoSpaceDN w:val="0"/>
              <w:spacing w:line="360" w:lineRule="auto"/>
              <w:jc w:val="center"/>
              <w:rPr>
                <w:rFonts w:hint="eastAsia" w:ascii="宋体" w:hAnsi="宋体" w:eastAsia="宋体" w:cs="宋体"/>
                <w:color w:val="auto"/>
                <w:sz w:val="24"/>
                <w:highlight w:val="none"/>
              </w:rPr>
            </w:pPr>
          </w:p>
        </w:tc>
      </w:tr>
    </w:tbl>
    <w:p w14:paraId="3C2C52FF">
      <w:pPr>
        <w:autoSpaceDE w:val="0"/>
        <w:autoSpaceDN w:val="0"/>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注：供应商可</w:t>
      </w:r>
      <w:r>
        <w:rPr>
          <w:rFonts w:hint="eastAsia" w:ascii="宋体" w:hAnsi="宋体" w:eastAsia="宋体" w:cs="宋体"/>
          <w:b/>
          <w:color w:val="auto"/>
          <w:sz w:val="24"/>
          <w:highlight w:val="none"/>
          <w:lang w:eastAsia="zh-CN"/>
        </w:rPr>
        <w:t>参照</w:t>
      </w:r>
      <w:r>
        <w:rPr>
          <w:rFonts w:hint="eastAsia" w:ascii="宋体" w:hAnsi="宋体" w:eastAsia="宋体" w:cs="宋体"/>
          <w:b/>
          <w:color w:val="auto"/>
          <w:sz w:val="24"/>
          <w:highlight w:val="none"/>
        </w:rPr>
        <w:t>上述的格式自行编制，并注明所在</w:t>
      </w:r>
      <w:r>
        <w:rPr>
          <w:rFonts w:hint="eastAsia" w:ascii="宋体" w:hAnsi="宋体" w:eastAsia="宋体" w:cs="宋体"/>
          <w:b/>
          <w:color w:val="auto"/>
          <w:sz w:val="24"/>
          <w:highlight w:val="none"/>
          <w:lang w:eastAsia="zh-CN"/>
        </w:rPr>
        <w:t>商务</w:t>
      </w:r>
      <w:r>
        <w:rPr>
          <w:rFonts w:hint="eastAsia" w:ascii="宋体" w:hAnsi="宋体" w:eastAsia="宋体" w:cs="宋体"/>
          <w:b/>
          <w:color w:val="auto"/>
          <w:sz w:val="24"/>
          <w:highlight w:val="none"/>
        </w:rPr>
        <w:t>技术文件页码。</w:t>
      </w:r>
    </w:p>
    <w:p w14:paraId="5CC4A2CF">
      <w:pPr>
        <w:autoSpaceDE w:val="0"/>
        <w:autoSpaceDN w:val="0"/>
        <w:spacing w:line="360" w:lineRule="auto"/>
        <w:rPr>
          <w:rFonts w:hint="eastAsia" w:ascii="宋体" w:hAnsi="宋体" w:eastAsia="宋体" w:cs="宋体"/>
          <w:b/>
          <w:color w:val="auto"/>
          <w:sz w:val="24"/>
          <w:highlight w:val="none"/>
        </w:rPr>
      </w:pPr>
    </w:p>
    <w:p w14:paraId="50F3C306">
      <w:pPr>
        <w:autoSpaceDE w:val="0"/>
        <w:autoSpaceDN w:val="0"/>
        <w:spacing w:line="360" w:lineRule="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附表B:本项目的项目小组人员情况表</w:t>
      </w:r>
    </w:p>
    <w:tbl>
      <w:tblPr>
        <w:tblStyle w:val="28"/>
        <w:tblW w:w="0" w:type="auto"/>
        <w:tblInd w:w="108" w:type="dxa"/>
        <w:tblLayout w:type="fixed"/>
        <w:tblCellMar>
          <w:top w:w="0" w:type="dxa"/>
          <w:left w:w="108" w:type="dxa"/>
          <w:bottom w:w="0" w:type="dxa"/>
          <w:right w:w="108" w:type="dxa"/>
        </w:tblCellMar>
      </w:tblPr>
      <w:tblGrid>
        <w:gridCol w:w="420"/>
        <w:gridCol w:w="787"/>
        <w:gridCol w:w="412"/>
        <w:gridCol w:w="586"/>
        <w:gridCol w:w="1035"/>
        <w:gridCol w:w="1080"/>
        <w:gridCol w:w="1392"/>
        <w:gridCol w:w="948"/>
        <w:gridCol w:w="900"/>
        <w:gridCol w:w="1470"/>
      </w:tblGrid>
      <w:tr w14:paraId="2874391B">
        <w:tblPrEx>
          <w:tblCellMar>
            <w:top w:w="0" w:type="dxa"/>
            <w:left w:w="108" w:type="dxa"/>
            <w:bottom w:w="0" w:type="dxa"/>
            <w:right w:w="108" w:type="dxa"/>
          </w:tblCellMar>
        </w:tblPrEx>
        <w:tc>
          <w:tcPr>
            <w:tcW w:w="420" w:type="dxa"/>
            <w:tcBorders>
              <w:top w:val="single" w:color="auto" w:sz="6" w:space="0"/>
              <w:left w:val="single" w:color="auto" w:sz="6" w:space="0"/>
              <w:bottom w:val="single" w:color="auto" w:sz="6" w:space="0"/>
              <w:right w:val="single" w:color="auto" w:sz="6" w:space="0"/>
            </w:tcBorders>
            <w:noWrap w:val="0"/>
            <w:vAlign w:val="center"/>
          </w:tcPr>
          <w:p w14:paraId="28F4A40B">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序号</w:t>
            </w:r>
          </w:p>
        </w:tc>
        <w:tc>
          <w:tcPr>
            <w:tcW w:w="787" w:type="dxa"/>
            <w:tcBorders>
              <w:top w:val="single" w:color="auto" w:sz="6" w:space="0"/>
              <w:left w:val="single" w:color="auto" w:sz="6" w:space="0"/>
              <w:bottom w:val="single" w:color="auto" w:sz="6" w:space="0"/>
              <w:right w:val="single" w:color="auto" w:sz="6" w:space="0"/>
            </w:tcBorders>
            <w:noWrap w:val="0"/>
            <w:vAlign w:val="center"/>
          </w:tcPr>
          <w:p w14:paraId="3FCEC861">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姓名</w:t>
            </w:r>
          </w:p>
        </w:tc>
        <w:tc>
          <w:tcPr>
            <w:tcW w:w="412" w:type="dxa"/>
            <w:tcBorders>
              <w:top w:val="single" w:color="auto" w:sz="6" w:space="0"/>
              <w:left w:val="single" w:color="auto" w:sz="6" w:space="0"/>
              <w:bottom w:val="single" w:color="auto" w:sz="6" w:space="0"/>
              <w:right w:val="single" w:color="auto" w:sz="6" w:space="0"/>
            </w:tcBorders>
            <w:noWrap w:val="0"/>
            <w:vAlign w:val="center"/>
          </w:tcPr>
          <w:p w14:paraId="569F2B09">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性别</w:t>
            </w:r>
          </w:p>
        </w:tc>
        <w:tc>
          <w:tcPr>
            <w:tcW w:w="586" w:type="dxa"/>
            <w:tcBorders>
              <w:top w:val="single" w:color="auto" w:sz="6" w:space="0"/>
              <w:left w:val="single" w:color="auto" w:sz="6" w:space="0"/>
              <w:bottom w:val="single" w:color="auto" w:sz="6" w:space="0"/>
              <w:right w:val="single" w:color="auto" w:sz="6" w:space="0"/>
            </w:tcBorders>
            <w:noWrap w:val="0"/>
            <w:vAlign w:val="center"/>
          </w:tcPr>
          <w:p w14:paraId="713664C0">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年龄</w:t>
            </w:r>
          </w:p>
        </w:tc>
        <w:tc>
          <w:tcPr>
            <w:tcW w:w="1035" w:type="dxa"/>
            <w:tcBorders>
              <w:top w:val="single" w:color="auto" w:sz="6" w:space="0"/>
              <w:left w:val="single" w:color="auto" w:sz="6" w:space="0"/>
              <w:bottom w:val="single" w:color="auto" w:sz="6" w:space="0"/>
              <w:right w:val="single" w:color="auto" w:sz="6" w:space="0"/>
            </w:tcBorders>
            <w:noWrap w:val="0"/>
            <w:vAlign w:val="center"/>
          </w:tcPr>
          <w:p w14:paraId="36FA4F92">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学历</w:t>
            </w:r>
          </w:p>
          <w:p w14:paraId="10403C90">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(页码)</w:t>
            </w:r>
          </w:p>
        </w:tc>
        <w:tc>
          <w:tcPr>
            <w:tcW w:w="1080" w:type="dxa"/>
            <w:tcBorders>
              <w:top w:val="single" w:color="auto" w:sz="6" w:space="0"/>
              <w:left w:val="single" w:color="auto" w:sz="6" w:space="0"/>
              <w:bottom w:val="single" w:color="auto" w:sz="6" w:space="0"/>
              <w:right w:val="single" w:color="auto" w:sz="6" w:space="0"/>
            </w:tcBorders>
            <w:noWrap w:val="0"/>
            <w:vAlign w:val="center"/>
          </w:tcPr>
          <w:p w14:paraId="42677B16">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专业</w:t>
            </w:r>
          </w:p>
          <w:p w14:paraId="0B84E324">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(页码)</w:t>
            </w:r>
          </w:p>
        </w:tc>
        <w:tc>
          <w:tcPr>
            <w:tcW w:w="1392" w:type="dxa"/>
            <w:tcBorders>
              <w:top w:val="single" w:color="auto" w:sz="6" w:space="0"/>
              <w:left w:val="single" w:color="auto" w:sz="6" w:space="0"/>
              <w:bottom w:val="single" w:color="auto" w:sz="6" w:space="0"/>
              <w:right w:val="single" w:color="auto" w:sz="6" w:space="0"/>
            </w:tcBorders>
            <w:noWrap w:val="0"/>
            <w:vAlign w:val="center"/>
          </w:tcPr>
          <w:p w14:paraId="6394919A">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rPr>
              <w:t>职称</w:t>
            </w:r>
            <w:r>
              <w:rPr>
                <w:rFonts w:hint="eastAsia" w:ascii="宋体" w:hAnsi="宋体" w:eastAsia="宋体" w:cs="宋体"/>
                <w:color w:val="auto"/>
                <w:sz w:val="24"/>
                <w:szCs w:val="24"/>
                <w:highlight w:val="none"/>
                <w:lang w:eastAsia="zh-CN"/>
              </w:rPr>
              <w:t>或职业资格证书</w:t>
            </w:r>
            <w:r>
              <w:rPr>
                <w:rFonts w:hint="eastAsia" w:ascii="宋体" w:hAnsi="宋体" w:eastAsia="宋体" w:cs="宋体"/>
                <w:color w:val="auto"/>
                <w:sz w:val="24"/>
                <w:highlight w:val="none"/>
              </w:rPr>
              <w:t>(页码)</w:t>
            </w:r>
          </w:p>
        </w:tc>
        <w:tc>
          <w:tcPr>
            <w:tcW w:w="948" w:type="dxa"/>
            <w:tcBorders>
              <w:top w:val="single" w:color="auto" w:sz="6" w:space="0"/>
              <w:left w:val="single" w:color="auto" w:sz="6" w:space="0"/>
              <w:bottom w:val="single" w:color="auto" w:sz="6" w:space="0"/>
              <w:right w:val="single" w:color="auto" w:sz="6" w:space="0"/>
            </w:tcBorders>
            <w:noWrap w:val="0"/>
            <w:vAlign w:val="center"/>
          </w:tcPr>
          <w:p w14:paraId="59CE396D">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本项目中的职责</w:t>
            </w:r>
          </w:p>
        </w:tc>
        <w:tc>
          <w:tcPr>
            <w:tcW w:w="900" w:type="dxa"/>
            <w:tcBorders>
              <w:top w:val="single" w:color="auto" w:sz="6" w:space="0"/>
              <w:left w:val="single" w:color="auto" w:sz="6" w:space="0"/>
              <w:bottom w:val="single" w:color="auto" w:sz="6" w:space="0"/>
              <w:right w:val="single" w:color="auto" w:sz="6" w:space="0"/>
            </w:tcBorders>
            <w:noWrap w:val="0"/>
            <w:vAlign w:val="center"/>
          </w:tcPr>
          <w:p w14:paraId="7AF06E72">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项目经历</w:t>
            </w:r>
          </w:p>
        </w:tc>
        <w:tc>
          <w:tcPr>
            <w:tcW w:w="1470" w:type="dxa"/>
            <w:tcBorders>
              <w:top w:val="single" w:color="auto" w:sz="6" w:space="0"/>
              <w:left w:val="single" w:color="auto" w:sz="6" w:space="0"/>
              <w:bottom w:val="single" w:color="auto" w:sz="6" w:space="0"/>
              <w:right w:val="single" w:color="auto" w:sz="6" w:space="0"/>
            </w:tcBorders>
            <w:noWrap w:val="0"/>
            <w:vAlign w:val="center"/>
          </w:tcPr>
          <w:p w14:paraId="56A76975">
            <w:pPr>
              <w:autoSpaceDE w:val="0"/>
              <w:autoSpaceDN w:val="0"/>
              <w:spacing w:line="360" w:lineRule="auto"/>
              <w:jc w:val="center"/>
              <w:rPr>
                <w:rFonts w:hint="eastAsia" w:ascii="宋体" w:hAnsi="宋体" w:eastAsia="宋体" w:cs="宋体"/>
                <w:color w:val="auto"/>
                <w:sz w:val="24"/>
                <w:highlight w:val="none"/>
              </w:rPr>
            </w:pPr>
            <w:r>
              <w:rPr>
                <w:rFonts w:hint="eastAsia" w:ascii="宋体" w:hAnsi="宋体" w:eastAsia="宋体" w:cs="宋体"/>
                <w:color w:val="auto"/>
                <w:sz w:val="24"/>
                <w:highlight w:val="none"/>
              </w:rPr>
              <w:t>参与本项目的到位情况</w:t>
            </w:r>
          </w:p>
        </w:tc>
      </w:tr>
      <w:tr w14:paraId="51A28F22">
        <w:tblPrEx>
          <w:tblCellMar>
            <w:top w:w="0" w:type="dxa"/>
            <w:left w:w="108" w:type="dxa"/>
            <w:bottom w:w="0" w:type="dxa"/>
            <w:right w:w="108" w:type="dxa"/>
          </w:tblCellMar>
        </w:tblPrEx>
        <w:trPr>
          <w:trHeight w:val="479" w:hRule="atLeast"/>
        </w:trPr>
        <w:tc>
          <w:tcPr>
            <w:tcW w:w="420" w:type="dxa"/>
            <w:tcBorders>
              <w:top w:val="single" w:color="auto" w:sz="6" w:space="0"/>
              <w:left w:val="single" w:color="auto" w:sz="6" w:space="0"/>
              <w:bottom w:val="single" w:color="auto" w:sz="6" w:space="0"/>
              <w:right w:val="single" w:color="auto" w:sz="6" w:space="0"/>
            </w:tcBorders>
            <w:noWrap w:val="0"/>
            <w:vAlign w:val="top"/>
          </w:tcPr>
          <w:p w14:paraId="316CAE95">
            <w:pPr>
              <w:autoSpaceDE w:val="0"/>
              <w:autoSpaceDN w:val="0"/>
              <w:spacing w:line="360" w:lineRule="auto"/>
              <w:jc w:val="center"/>
              <w:rPr>
                <w:rFonts w:hint="eastAsia" w:ascii="宋体" w:hAnsi="宋体" w:eastAsia="宋体" w:cs="宋体"/>
                <w:color w:val="auto"/>
                <w:sz w:val="24"/>
                <w:highlight w:val="none"/>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050FC700">
            <w:pPr>
              <w:autoSpaceDE w:val="0"/>
              <w:autoSpaceDN w:val="0"/>
              <w:spacing w:line="360" w:lineRule="auto"/>
              <w:rPr>
                <w:rFonts w:hint="eastAsia" w:ascii="宋体" w:hAnsi="宋体" w:eastAsia="宋体" w:cs="宋体"/>
                <w:color w:val="auto"/>
                <w:sz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774487F3">
            <w:pPr>
              <w:autoSpaceDE w:val="0"/>
              <w:autoSpaceDN w:val="0"/>
              <w:spacing w:line="360" w:lineRule="auto"/>
              <w:rPr>
                <w:rFonts w:hint="eastAsia" w:ascii="宋体" w:hAnsi="宋体" w:eastAsia="宋体" w:cs="宋体"/>
                <w:color w:val="auto"/>
                <w:sz w:val="24"/>
                <w:highlight w:val="none"/>
              </w:rPr>
            </w:pPr>
          </w:p>
        </w:tc>
        <w:tc>
          <w:tcPr>
            <w:tcW w:w="586" w:type="dxa"/>
            <w:tcBorders>
              <w:top w:val="single" w:color="auto" w:sz="6" w:space="0"/>
              <w:left w:val="single" w:color="auto" w:sz="6" w:space="0"/>
              <w:bottom w:val="single" w:color="auto" w:sz="6" w:space="0"/>
              <w:right w:val="single" w:color="auto" w:sz="6" w:space="0"/>
            </w:tcBorders>
            <w:noWrap w:val="0"/>
            <w:vAlign w:val="top"/>
          </w:tcPr>
          <w:p w14:paraId="1F00F08F">
            <w:pPr>
              <w:autoSpaceDE w:val="0"/>
              <w:autoSpaceDN w:val="0"/>
              <w:spacing w:line="360" w:lineRule="auto"/>
              <w:rPr>
                <w:rFonts w:hint="eastAsia" w:ascii="宋体" w:hAnsi="宋体" w:eastAsia="宋体" w:cs="宋体"/>
                <w:color w:val="auto"/>
                <w:sz w:val="24"/>
                <w:highlight w:val="none"/>
              </w:rPr>
            </w:pPr>
          </w:p>
        </w:tc>
        <w:tc>
          <w:tcPr>
            <w:tcW w:w="1035" w:type="dxa"/>
            <w:tcBorders>
              <w:top w:val="single" w:color="auto" w:sz="6" w:space="0"/>
              <w:left w:val="single" w:color="auto" w:sz="6" w:space="0"/>
              <w:bottom w:val="single" w:color="auto" w:sz="6" w:space="0"/>
              <w:right w:val="single" w:color="auto" w:sz="6" w:space="0"/>
            </w:tcBorders>
            <w:noWrap w:val="0"/>
            <w:vAlign w:val="top"/>
          </w:tcPr>
          <w:p w14:paraId="5BDA99C3">
            <w:pPr>
              <w:autoSpaceDE w:val="0"/>
              <w:autoSpaceDN w:val="0"/>
              <w:spacing w:line="360" w:lineRule="auto"/>
              <w:rPr>
                <w:rFonts w:hint="eastAsia" w:ascii="宋体" w:hAnsi="宋体" w:eastAsia="宋体" w:cs="宋体"/>
                <w:color w:val="auto"/>
                <w:sz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0F2CA2C7">
            <w:pPr>
              <w:autoSpaceDE w:val="0"/>
              <w:autoSpaceDN w:val="0"/>
              <w:spacing w:line="360" w:lineRule="auto"/>
              <w:rPr>
                <w:rFonts w:hint="eastAsia" w:ascii="宋体" w:hAnsi="宋体" w:eastAsia="宋体" w:cs="宋体"/>
                <w:color w:val="auto"/>
                <w:sz w:val="24"/>
                <w:highlight w:val="none"/>
              </w:rPr>
            </w:pPr>
          </w:p>
        </w:tc>
        <w:tc>
          <w:tcPr>
            <w:tcW w:w="1392" w:type="dxa"/>
            <w:tcBorders>
              <w:top w:val="single" w:color="auto" w:sz="6" w:space="0"/>
              <w:left w:val="single" w:color="auto" w:sz="6" w:space="0"/>
              <w:bottom w:val="single" w:color="auto" w:sz="6" w:space="0"/>
              <w:right w:val="single" w:color="auto" w:sz="6" w:space="0"/>
            </w:tcBorders>
            <w:noWrap w:val="0"/>
            <w:vAlign w:val="top"/>
          </w:tcPr>
          <w:p w14:paraId="4D8E54F5">
            <w:pPr>
              <w:autoSpaceDE w:val="0"/>
              <w:autoSpaceDN w:val="0"/>
              <w:spacing w:line="360" w:lineRule="auto"/>
              <w:rPr>
                <w:rFonts w:hint="eastAsia" w:ascii="宋体" w:hAnsi="宋体" w:eastAsia="宋体" w:cs="宋体"/>
                <w:color w:val="auto"/>
                <w:sz w:val="24"/>
                <w:highlight w:val="none"/>
              </w:rPr>
            </w:pPr>
          </w:p>
        </w:tc>
        <w:tc>
          <w:tcPr>
            <w:tcW w:w="948" w:type="dxa"/>
            <w:tcBorders>
              <w:top w:val="single" w:color="auto" w:sz="6" w:space="0"/>
              <w:left w:val="single" w:color="auto" w:sz="6" w:space="0"/>
              <w:bottom w:val="single" w:color="auto" w:sz="6" w:space="0"/>
              <w:right w:val="single" w:color="auto" w:sz="6" w:space="0"/>
            </w:tcBorders>
            <w:noWrap w:val="0"/>
            <w:vAlign w:val="top"/>
          </w:tcPr>
          <w:p w14:paraId="03D96931">
            <w:pPr>
              <w:autoSpaceDE w:val="0"/>
              <w:autoSpaceDN w:val="0"/>
              <w:spacing w:line="360" w:lineRule="auto"/>
              <w:rPr>
                <w:rFonts w:hint="eastAsia" w:ascii="宋体" w:hAnsi="宋体" w:eastAsia="宋体" w:cs="宋体"/>
                <w:color w:val="auto"/>
                <w:sz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034B5C7D">
            <w:pPr>
              <w:autoSpaceDE w:val="0"/>
              <w:autoSpaceDN w:val="0"/>
              <w:spacing w:line="360" w:lineRule="auto"/>
              <w:rPr>
                <w:rFonts w:hint="eastAsia" w:ascii="宋体" w:hAnsi="宋体" w:eastAsia="宋体" w:cs="宋体"/>
                <w:color w:val="auto"/>
                <w:sz w:val="24"/>
                <w:highlight w:val="none"/>
              </w:rPr>
            </w:pPr>
          </w:p>
        </w:tc>
        <w:tc>
          <w:tcPr>
            <w:tcW w:w="1470" w:type="dxa"/>
            <w:tcBorders>
              <w:top w:val="single" w:color="auto" w:sz="6" w:space="0"/>
              <w:left w:val="single" w:color="auto" w:sz="6" w:space="0"/>
              <w:bottom w:val="single" w:color="auto" w:sz="6" w:space="0"/>
              <w:right w:val="single" w:color="auto" w:sz="6" w:space="0"/>
            </w:tcBorders>
            <w:noWrap w:val="0"/>
            <w:vAlign w:val="top"/>
          </w:tcPr>
          <w:p w14:paraId="4B0B1B11">
            <w:pPr>
              <w:autoSpaceDE w:val="0"/>
              <w:autoSpaceDN w:val="0"/>
              <w:spacing w:line="360" w:lineRule="auto"/>
              <w:rPr>
                <w:rFonts w:hint="eastAsia" w:ascii="宋体" w:hAnsi="宋体" w:eastAsia="宋体" w:cs="宋体"/>
                <w:color w:val="auto"/>
                <w:sz w:val="24"/>
                <w:highlight w:val="none"/>
              </w:rPr>
            </w:pPr>
          </w:p>
        </w:tc>
      </w:tr>
      <w:tr w14:paraId="11D3C55B">
        <w:tblPrEx>
          <w:tblCellMar>
            <w:top w:w="0" w:type="dxa"/>
            <w:left w:w="108" w:type="dxa"/>
            <w:bottom w:w="0" w:type="dxa"/>
            <w:right w:w="108" w:type="dxa"/>
          </w:tblCellMar>
        </w:tblPrEx>
        <w:trPr>
          <w:trHeight w:val="473" w:hRule="atLeast"/>
        </w:trPr>
        <w:tc>
          <w:tcPr>
            <w:tcW w:w="420" w:type="dxa"/>
            <w:tcBorders>
              <w:top w:val="single" w:color="auto" w:sz="6" w:space="0"/>
              <w:left w:val="single" w:color="auto" w:sz="6" w:space="0"/>
              <w:bottom w:val="single" w:color="auto" w:sz="6" w:space="0"/>
              <w:right w:val="single" w:color="auto" w:sz="6" w:space="0"/>
            </w:tcBorders>
            <w:noWrap w:val="0"/>
            <w:vAlign w:val="top"/>
          </w:tcPr>
          <w:p w14:paraId="49479ABC">
            <w:pPr>
              <w:autoSpaceDE w:val="0"/>
              <w:autoSpaceDN w:val="0"/>
              <w:spacing w:line="360" w:lineRule="auto"/>
              <w:jc w:val="center"/>
              <w:rPr>
                <w:rFonts w:hint="eastAsia" w:ascii="宋体" w:hAnsi="宋体" w:eastAsia="宋体" w:cs="宋体"/>
                <w:color w:val="auto"/>
                <w:sz w:val="24"/>
                <w:highlight w:val="none"/>
              </w:rPr>
            </w:pPr>
          </w:p>
        </w:tc>
        <w:tc>
          <w:tcPr>
            <w:tcW w:w="787" w:type="dxa"/>
            <w:tcBorders>
              <w:top w:val="single" w:color="auto" w:sz="6" w:space="0"/>
              <w:left w:val="single" w:color="auto" w:sz="6" w:space="0"/>
              <w:bottom w:val="single" w:color="auto" w:sz="6" w:space="0"/>
              <w:right w:val="single" w:color="auto" w:sz="6" w:space="0"/>
            </w:tcBorders>
            <w:noWrap w:val="0"/>
            <w:vAlign w:val="top"/>
          </w:tcPr>
          <w:p w14:paraId="69E67B62">
            <w:pPr>
              <w:autoSpaceDE w:val="0"/>
              <w:autoSpaceDN w:val="0"/>
              <w:spacing w:line="360" w:lineRule="auto"/>
              <w:rPr>
                <w:rFonts w:hint="eastAsia" w:ascii="宋体" w:hAnsi="宋体" w:eastAsia="宋体" w:cs="宋体"/>
                <w:color w:val="auto"/>
                <w:sz w:val="24"/>
                <w:highlight w:val="none"/>
              </w:rPr>
            </w:pPr>
          </w:p>
        </w:tc>
        <w:tc>
          <w:tcPr>
            <w:tcW w:w="412" w:type="dxa"/>
            <w:tcBorders>
              <w:top w:val="single" w:color="auto" w:sz="6" w:space="0"/>
              <w:left w:val="single" w:color="auto" w:sz="6" w:space="0"/>
              <w:bottom w:val="single" w:color="auto" w:sz="6" w:space="0"/>
              <w:right w:val="single" w:color="auto" w:sz="6" w:space="0"/>
            </w:tcBorders>
            <w:noWrap w:val="0"/>
            <w:vAlign w:val="top"/>
          </w:tcPr>
          <w:p w14:paraId="18301B0A">
            <w:pPr>
              <w:autoSpaceDE w:val="0"/>
              <w:autoSpaceDN w:val="0"/>
              <w:spacing w:line="360" w:lineRule="auto"/>
              <w:rPr>
                <w:rFonts w:hint="eastAsia" w:ascii="宋体" w:hAnsi="宋体" w:eastAsia="宋体" w:cs="宋体"/>
                <w:color w:val="auto"/>
                <w:sz w:val="24"/>
                <w:highlight w:val="none"/>
              </w:rPr>
            </w:pPr>
          </w:p>
        </w:tc>
        <w:tc>
          <w:tcPr>
            <w:tcW w:w="586" w:type="dxa"/>
            <w:tcBorders>
              <w:top w:val="single" w:color="auto" w:sz="6" w:space="0"/>
              <w:left w:val="single" w:color="auto" w:sz="6" w:space="0"/>
              <w:bottom w:val="single" w:color="auto" w:sz="6" w:space="0"/>
              <w:right w:val="single" w:color="auto" w:sz="6" w:space="0"/>
            </w:tcBorders>
            <w:noWrap w:val="0"/>
            <w:vAlign w:val="top"/>
          </w:tcPr>
          <w:p w14:paraId="6205E47A">
            <w:pPr>
              <w:autoSpaceDE w:val="0"/>
              <w:autoSpaceDN w:val="0"/>
              <w:spacing w:line="360" w:lineRule="auto"/>
              <w:rPr>
                <w:rFonts w:hint="eastAsia" w:ascii="宋体" w:hAnsi="宋体" w:eastAsia="宋体" w:cs="宋体"/>
                <w:color w:val="auto"/>
                <w:sz w:val="24"/>
                <w:highlight w:val="none"/>
              </w:rPr>
            </w:pPr>
          </w:p>
        </w:tc>
        <w:tc>
          <w:tcPr>
            <w:tcW w:w="1035" w:type="dxa"/>
            <w:tcBorders>
              <w:top w:val="single" w:color="auto" w:sz="6" w:space="0"/>
              <w:left w:val="single" w:color="auto" w:sz="6" w:space="0"/>
              <w:bottom w:val="single" w:color="auto" w:sz="6" w:space="0"/>
              <w:right w:val="single" w:color="auto" w:sz="6" w:space="0"/>
            </w:tcBorders>
            <w:noWrap w:val="0"/>
            <w:vAlign w:val="top"/>
          </w:tcPr>
          <w:p w14:paraId="5150C663">
            <w:pPr>
              <w:autoSpaceDE w:val="0"/>
              <w:autoSpaceDN w:val="0"/>
              <w:spacing w:line="360" w:lineRule="auto"/>
              <w:rPr>
                <w:rFonts w:hint="eastAsia" w:ascii="宋体" w:hAnsi="宋体" w:eastAsia="宋体" w:cs="宋体"/>
                <w:color w:val="auto"/>
                <w:sz w:val="24"/>
                <w:highlight w:val="none"/>
              </w:rPr>
            </w:pPr>
          </w:p>
        </w:tc>
        <w:tc>
          <w:tcPr>
            <w:tcW w:w="1080" w:type="dxa"/>
            <w:tcBorders>
              <w:top w:val="single" w:color="auto" w:sz="6" w:space="0"/>
              <w:left w:val="single" w:color="auto" w:sz="6" w:space="0"/>
              <w:bottom w:val="single" w:color="auto" w:sz="6" w:space="0"/>
              <w:right w:val="single" w:color="auto" w:sz="6" w:space="0"/>
            </w:tcBorders>
            <w:noWrap w:val="0"/>
            <w:vAlign w:val="top"/>
          </w:tcPr>
          <w:p w14:paraId="29A66D14">
            <w:pPr>
              <w:autoSpaceDE w:val="0"/>
              <w:autoSpaceDN w:val="0"/>
              <w:spacing w:line="360" w:lineRule="auto"/>
              <w:rPr>
                <w:rFonts w:hint="eastAsia" w:ascii="宋体" w:hAnsi="宋体" w:eastAsia="宋体" w:cs="宋体"/>
                <w:color w:val="auto"/>
                <w:sz w:val="24"/>
                <w:highlight w:val="none"/>
              </w:rPr>
            </w:pPr>
          </w:p>
        </w:tc>
        <w:tc>
          <w:tcPr>
            <w:tcW w:w="1392" w:type="dxa"/>
            <w:tcBorders>
              <w:top w:val="single" w:color="auto" w:sz="6" w:space="0"/>
              <w:left w:val="single" w:color="auto" w:sz="6" w:space="0"/>
              <w:bottom w:val="single" w:color="auto" w:sz="6" w:space="0"/>
              <w:right w:val="single" w:color="auto" w:sz="6" w:space="0"/>
            </w:tcBorders>
            <w:noWrap w:val="0"/>
            <w:vAlign w:val="top"/>
          </w:tcPr>
          <w:p w14:paraId="416CD784">
            <w:pPr>
              <w:autoSpaceDE w:val="0"/>
              <w:autoSpaceDN w:val="0"/>
              <w:spacing w:line="360" w:lineRule="auto"/>
              <w:rPr>
                <w:rFonts w:hint="eastAsia" w:ascii="宋体" w:hAnsi="宋体" w:eastAsia="宋体" w:cs="宋体"/>
                <w:color w:val="auto"/>
                <w:sz w:val="24"/>
                <w:highlight w:val="none"/>
              </w:rPr>
            </w:pPr>
          </w:p>
        </w:tc>
        <w:tc>
          <w:tcPr>
            <w:tcW w:w="948" w:type="dxa"/>
            <w:tcBorders>
              <w:top w:val="single" w:color="auto" w:sz="6" w:space="0"/>
              <w:left w:val="single" w:color="auto" w:sz="6" w:space="0"/>
              <w:bottom w:val="single" w:color="auto" w:sz="6" w:space="0"/>
              <w:right w:val="single" w:color="auto" w:sz="6" w:space="0"/>
            </w:tcBorders>
            <w:noWrap w:val="0"/>
            <w:vAlign w:val="top"/>
          </w:tcPr>
          <w:p w14:paraId="74B7E2AE">
            <w:pPr>
              <w:autoSpaceDE w:val="0"/>
              <w:autoSpaceDN w:val="0"/>
              <w:spacing w:line="360" w:lineRule="auto"/>
              <w:rPr>
                <w:rFonts w:hint="eastAsia" w:ascii="宋体" w:hAnsi="宋体" w:eastAsia="宋体" w:cs="宋体"/>
                <w:color w:val="auto"/>
                <w:sz w:val="24"/>
                <w:highlight w:val="none"/>
              </w:rPr>
            </w:pPr>
          </w:p>
        </w:tc>
        <w:tc>
          <w:tcPr>
            <w:tcW w:w="900" w:type="dxa"/>
            <w:tcBorders>
              <w:top w:val="single" w:color="auto" w:sz="6" w:space="0"/>
              <w:left w:val="single" w:color="auto" w:sz="6" w:space="0"/>
              <w:bottom w:val="single" w:color="auto" w:sz="6" w:space="0"/>
              <w:right w:val="single" w:color="auto" w:sz="6" w:space="0"/>
            </w:tcBorders>
            <w:noWrap w:val="0"/>
            <w:vAlign w:val="top"/>
          </w:tcPr>
          <w:p w14:paraId="7C9D18C4">
            <w:pPr>
              <w:autoSpaceDE w:val="0"/>
              <w:autoSpaceDN w:val="0"/>
              <w:spacing w:line="360" w:lineRule="auto"/>
              <w:rPr>
                <w:rFonts w:hint="eastAsia" w:ascii="宋体" w:hAnsi="宋体" w:eastAsia="宋体" w:cs="宋体"/>
                <w:color w:val="auto"/>
                <w:sz w:val="24"/>
                <w:highlight w:val="none"/>
              </w:rPr>
            </w:pPr>
          </w:p>
        </w:tc>
        <w:tc>
          <w:tcPr>
            <w:tcW w:w="1470" w:type="dxa"/>
            <w:tcBorders>
              <w:top w:val="single" w:color="auto" w:sz="6" w:space="0"/>
              <w:left w:val="single" w:color="auto" w:sz="6" w:space="0"/>
              <w:bottom w:val="single" w:color="auto" w:sz="6" w:space="0"/>
              <w:right w:val="single" w:color="auto" w:sz="6" w:space="0"/>
            </w:tcBorders>
            <w:noWrap w:val="0"/>
            <w:vAlign w:val="top"/>
          </w:tcPr>
          <w:p w14:paraId="4A794B6A">
            <w:pPr>
              <w:autoSpaceDE w:val="0"/>
              <w:autoSpaceDN w:val="0"/>
              <w:spacing w:line="360" w:lineRule="auto"/>
              <w:rPr>
                <w:rFonts w:hint="eastAsia" w:ascii="宋体" w:hAnsi="宋体" w:eastAsia="宋体" w:cs="宋体"/>
                <w:color w:val="auto"/>
                <w:sz w:val="24"/>
                <w:highlight w:val="none"/>
              </w:rPr>
            </w:pPr>
          </w:p>
        </w:tc>
      </w:tr>
    </w:tbl>
    <w:p w14:paraId="5634BB7F">
      <w:pPr>
        <w:spacing w:line="360" w:lineRule="auto"/>
        <w:rPr>
          <w:rFonts w:hint="eastAsia" w:ascii="宋体" w:hAnsi="宋体" w:eastAsia="宋体" w:cs="宋体"/>
          <w:b/>
          <w:bCs/>
          <w:color w:val="auto"/>
          <w:sz w:val="24"/>
          <w:highlight w:val="none"/>
        </w:rPr>
      </w:pPr>
      <w:r>
        <w:rPr>
          <w:rFonts w:hint="eastAsia" w:ascii="宋体" w:hAnsi="宋体" w:eastAsia="宋体" w:cs="宋体"/>
          <w:b/>
          <w:color w:val="auto"/>
          <w:sz w:val="24"/>
          <w:highlight w:val="none"/>
        </w:rPr>
        <w:t>注：供应商可</w:t>
      </w:r>
      <w:r>
        <w:rPr>
          <w:rFonts w:hint="eastAsia" w:ascii="宋体" w:hAnsi="宋体" w:eastAsia="宋体" w:cs="宋体"/>
          <w:b/>
          <w:color w:val="auto"/>
          <w:sz w:val="24"/>
          <w:highlight w:val="none"/>
          <w:lang w:eastAsia="zh-CN"/>
        </w:rPr>
        <w:t>参照</w:t>
      </w:r>
      <w:r>
        <w:rPr>
          <w:rFonts w:hint="eastAsia" w:ascii="宋体" w:hAnsi="宋体" w:eastAsia="宋体" w:cs="宋体"/>
          <w:b/>
          <w:color w:val="auto"/>
          <w:sz w:val="24"/>
          <w:highlight w:val="none"/>
        </w:rPr>
        <w:t>上述的格式自行编制，并注明所在</w:t>
      </w:r>
      <w:r>
        <w:rPr>
          <w:rFonts w:hint="eastAsia" w:ascii="宋体" w:hAnsi="宋体" w:eastAsia="宋体" w:cs="宋体"/>
          <w:b/>
          <w:color w:val="auto"/>
          <w:sz w:val="24"/>
          <w:highlight w:val="none"/>
          <w:lang w:eastAsia="zh-CN"/>
        </w:rPr>
        <w:t>商务</w:t>
      </w:r>
      <w:r>
        <w:rPr>
          <w:rFonts w:hint="eastAsia" w:ascii="宋体" w:hAnsi="宋体" w:eastAsia="宋体" w:cs="宋体"/>
          <w:b/>
          <w:color w:val="auto"/>
          <w:sz w:val="24"/>
          <w:highlight w:val="none"/>
        </w:rPr>
        <w:t>技术文件页码。</w:t>
      </w:r>
    </w:p>
    <w:p w14:paraId="0B9F8E16">
      <w:pPr>
        <w:snapToGrid w:val="0"/>
        <w:spacing w:line="360" w:lineRule="auto"/>
        <w:ind w:firstLine="602" w:firstLineChars="200"/>
        <w:rPr>
          <w:rFonts w:hint="eastAsia" w:ascii="宋体" w:hAnsi="宋体" w:eastAsia="宋体" w:cs="宋体"/>
          <w:b/>
          <w:color w:val="auto"/>
          <w:sz w:val="30"/>
          <w:szCs w:val="30"/>
          <w:highlight w:val="none"/>
        </w:rPr>
      </w:pPr>
    </w:p>
    <w:p w14:paraId="4011610B">
      <w:pPr>
        <w:autoSpaceDE w:val="0"/>
        <w:autoSpaceDN w:val="0"/>
        <w:spacing w:line="360" w:lineRule="auto"/>
        <w:ind w:firstLine="6505" w:firstLineChars="2700"/>
        <w:rPr>
          <w:rFonts w:hint="eastAsia" w:ascii="宋体" w:hAnsi="宋体" w:eastAsia="宋体" w:cs="宋体"/>
          <w:b/>
          <w:bCs/>
          <w:color w:val="auto"/>
          <w:sz w:val="24"/>
          <w:highlight w:val="none"/>
        </w:rPr>
      </w:pPr>
    </w:p>
    <w:p w14:paraId="1F75073C">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56C80BCE">
      <w:pPr>
        <w:autoSpaceDE w:val="0"/>
        <w:autoSpaceDN w:val="0"/>
        <w:spacing w:line="360" w:lineRule="auto"/>
        <w:ind w:firstLine="6480" w:firstLineChars="27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日期：  年  月   日</w:t>
      </w:r>
    </w:p>
    <w:p w14:paraId="7EFE0D0E">
      <w:pPr>
        <w:autoSpaceDE w:val="0"/>
        <w:autoSpaceDN w:val="0"/>
        <w:spacing w:line="360" w:lineRule="auto"/>
        <w:ind w:firstLine="6505" w:firstLineChars="2700"/>
        <w:rPr>
          <w:rFonts w:ascii="仿宋_GB2312" w:hAnsi="仿宋" w:eastAsia="仿宋_GB2312" w:cs="仿宋_GB2312"/>
          <w:b/>
          <w:bCs/>
          <w:color w:val="auto"/>
          <w:sz w:val="24"/>
          <w:highlight w:val="none"/>
        </w:rPr>
      </w:pPr>
    </w:p>
    <w:p w14:paraId="5F684955">
      <w:pPr>
        <w:pStyle w:val="4"/>
        <w:jc w:val="center"/>
        <w:rPr>
          <w:rFonts w:hint="eastAsia" w:ascii="宋体" w:hAnsi="宋体"/>
          <w:color w:val="auto"/>
          <w:highlight w:val="none"/>
        </w:rPr>
      </w:pPr>
      <w:bookmarkStart w:id="132" w:name="_Toc80205941"/>
      <w:bookmarkStart w:id="133" w:name="_Toc80886945"/>
      <w:bookmarkStart w:id="134" w:name="_Toc12611"/>
      <w:bookmarkStart w:id="135" w:name="_Toc31035"/>
      <w:r>
        <w:rPr>
          <w:rFonts w:hint="eastAsia" w:ascii="宋体" w:hAnsi="宋体"/>
          <w:color w:val="auto"/>
          <w:highlight w:val="none"/>
        </w:rPr>
        <w:t>第</w:t>
      </w:r>
      <w:r>
        <w:rPr>
          <w:rFonts w:hint="eastAsia" w:ascii="宋体" w:hAnsi="宋体"/>
          <w:color w:val="auto"/>
          <w:highlight w:val="none"/>
          <w:lang w:eastAsia="zh-CN"/>
        </w:rPr>
        <w:t>三</w:t>
      </w:r>
      <w:r>
        <w:rPr>
          <w:rFonts w:hint="eastAsia" w:ascii="宋体" w:hAnsi="宋体"/>
          <w:color w:val="auto"/>
          <w:highlight w:val="none"/>
        </w:rPr>
        <w:t>节 报价文件格式</w:t>
      </w:r>
      <w:bookmarkEnd w:id="132"/>
      <w:bookmarkEnd w:id="133"/>
      <w:bookmarkEnd w:id="134"/>
      <w:bookmarkEnd w:id="135"/>
    </w:p>
    <w:p w14:paraId="03A03164">
      <w:pPr>
        <w:pStyle w:val="20"/>
        <w:rPr>
          <w:rFonts w:hint="eastAsia"/>
          <w:color w:val="auto"/>
          <w:highlight w:val="none"/>
          <w:lang w:val="zh-CN" w:eastAsia="zh-CN"/>
        </w:rPr>
      </w:pPr>
      <w:r>
        <w:rPr>
          <w:rFonts w:hint="eastAsia"/>
          <w:color w:val="auto"/>
          <w:sz w:val="24"/>
          <w:highlight w:val="none"/>
        </w:rPr>
        <w:t xml:space="preserve">  </w:t>
      </w:r>
      <w:r>
        <w:rPr>
          <w:rFonts w:hint="eastAsia" w:ascii="宋体" w:hAnsi="宋体" w:cs="宋体"/>
          <w:b/>
          <w:bCs/>
          <w:color w:val="auto"/>
          <w:sz w:val="28"/>
          <w:szCs w:val="28"/>
          <w:highlight w:val="none"/>
          <w:lang w:val="en-US" w:eastAsia="zh-CN"/>
        </w:rPr>
        <w:t>1.</w:t>
      </w:r>
      <w:r>
        <w:rPr>
          <w:rFonts w:hint="eastAsia" w:ascii="宋体" w:hAnsi="宋体" w:cs="宋体"/>
          <w:b/>
          <w:bCs/>
          <w:color w:val="auto"/>
          <w:sz w:val="28"/>
          <w:szCs w:val="28"/>
          <w:highlight w:val="none"/>
        </w:rPr>
        <w:t>报价文件</w:t>
      </w:r>
      <w:r>
        <w:rPr>
          <w:rFonts w:hint="eastAsia" w:ascii="宋体" w:hAnsi="宋体" w:cs="宋体"/>
          <w:b/>
          <w:bCs/>
          <w:color w:val="auto"/>
          <w:sz w:val="28"/>
          <w:szCs w:val="28"/>
          <w:highlight w:val="none"/>
          <w:lang w:eastAsia="zh-CN"/>
        </w:rPr>
        <w:t>封面的格式</w:t>
      </w:r>
      <w:r>
        <w:rPr>
          <w:rFonts w:hint="eastAsia" w:ascii="宋体" w:hAnsi="宋体" w:eastAsia="宋体" w:cs="宋体"/>
          <w:b/>
          <w:color w:val="auto"/>
          <w:sz w:val="28"/>
          <w:szCs w:val="28"/>
          <w:highlight w:val="none"/>
        </w:rPr>
        <w:t>（参照此格式自拟）</w:t>
      </w:r>
      <w:r>
        <w:rPr>
          <w:rFonts w:hint="eastAsia" w:ascii="宋体" w:hAnsi="宋体" w:cs="宋体"/>
          <w:b/>
          <w:bCs/>
          <w:color w:val="auto"/>
          <w:sz w:val="28"/>
          <w:szCs w:val="28"/>
          <w:highlight w:val="none"/>
          <w:lang w:eastAsia="zh-CN"/>
        </w:rPr>
        <w:t>：</w:t>
      </w:r>
    </w:p>
    <w:p w14:paraId="6C94582C">
      <w:pPr>
        <w:snapToGrid w:val="0"/>
        <w:spacing w:before="120" w:beforeLines="50" w:after="50"/>
        <w:rPr>
          <w:rFonts w:hint="eastAsia"/>
          <w:color w:val="auto"/>
          <w:sz w:val="24"/>
          <w:highlight w:val="none"/>
        </w:rPr>
      </w:pPr>
      <w:r>
        <w:rPr>
          <w:rFonts w:hint="eastAsia"/>
          <w:color w:val="auto"/>
          <w:sz w:val="24"/>
          <w:highlight w:val="none"/>
        </w:rPr>
        <w:t xml:space="preserve">                                             </w:t>
      </w:r>
    </w:p>
    <w:p w14:paraId="3D661CC1">
      <w:pPr>
        <w:snapToGrid w:val="0"/>
        <w:spacing w:before="120" w:beforeLines="50" w:after="50"/>
        <w:ind w:firstLine="6720" w:firstLineChars="3200"/>
        <w:rPr>
          <w:rFonts w:hint="eastAsia"/>
          <w:bCs/>
          <w:color w:val="auto"/>
          <w:sz w:val="32"/>
          <w:szCs w:val="20"/>
          <w:highlight w:val="none"/>
        </w:rPr>
      </w:pPr>
      <w:r>
        <w:rPr>
          <w:rFonts w:hint="eastAsia"/>
          <w:bCs/>
          <w:color w:val="auto"/>
          <w:highlight w:val="none"/>
        </w:rPr>
        <w:t>全流程电子文件</w:t>
      </w:r>
    </w:p>
    <w:p w14:paraId="3FC6FCD7">
      <w:pPr>
        <w:snapToGrid w:val="0"/>
        <w:spacing w:before="120" w:beforeLines="50" w:after="50"/>
        <w:rPr>
          <w:rFonts w:hint="eastAsia"/>
          <w:color w:val="auto"/>
          <w:sz w:val="24"/>
          <w:szCs w:val="20"/>
          <w:highlight w:val="none"/>
        </w:rPr>
      </w:pPr>
    </w:p>
    <w:p w14:paraId="4A6D2276">
      <w:pPr>
        <w:snapToGrid w:val="0"/>
        <w:spacing w:before="120" w:beforeLines="50" w:after="50"/>
        <w:rPr>
          <w:rFonts w:hint="eastAsia"/>
          <w:color w:val="auto"/>
          <w:sz w:val="24"/>
          <w:szCs w:val="20"/>
          <w:highlight w:val="none"/>
        </w:rPr>
      </w:pPr>
    </w:p>
    <w:p w14:paraId="52CC2D86">
      <w:pPr>
        <w:snapToGrid w:val="0"/>
        <w:spacing w:before="120" w:beforeLines="50" w:after="50"/>
        <w:rPr>
          <w:rFonts w:hint="eastAsia"/>
          <w:color w:val="auto"/>
          <w:sz w:val="24"/>
          <w:szCs w:val="20"/>
          <w:highlight w:val="none"/>
        </w:rPr>
      </w:pPr>
    </w:p>
    <w:p w14:paraId="024ABD18">
      <w:pPr>
        <w:snapToGrid w:val="0"/>
        <w:spacing w:before="120" w:beforeLines="50" w:after="50"/>
        <w:jc w:val="center"/>
        <w:rPr>
          <w:rFonts w:hint="eastAsia" w:ascii="方正小标宋简体" w:hAnsi="方正小标宋简体" w:eastAsia="方正小标宋简体" w:cs="方正小标宋简体"/>
          <w:bCs/>
          <w:color w:val="auto"/>
          <w:sz w:val="44"/>
          <w:szCs w:val="44"/>
          <w:highlight w:val="none"/>
        </w:rPr>
      </w:pPr>
      <w:r>
        <w:rPr>
          <w:rFonts w:hint="eastAsia" w:ascii="方正小标宋简体" w:hAnsi="方正小标宋简体" w:eastAsia="方正小标宋简体" w:cs="方正小标宋简体"/>
          <w:bCs/>
          <w:color w:val="auto"/>
          <w:sz w:val="44"/>
          <w:szCs w:val="44"/>
          <w:highlight w:val="none"/>
        </w:rPr>
        <w:t xml:space="preserve">报 </w:t>
      </w:r>
      <w:r>
        <w:rPr>
          <w:rFonts w:ascii="方正小标宋简体" w:hAnsi="方正小标宋简体" w:eastAsia="方正小标宋简体" w:cs="方正小标宋简体"/>
          <w:bCs/>
          <w:color w:val="auto"/>
          <w:sz w:val="44"/>
          <w:szCs w:val="44"/>
          <w:highlight w:val="none"/>
        </w:rPr>
        <w:t xml:space="preserve"> </w:t>
      </w:r>
      <w:r>
        <w:rPr>
          <w:rFonts w:hint="eastAsia" w:ascii="方正小标宋简体" w:hAnsi="方正小标宋简体" w:eastAsia="方正小标宋简体" w:cs="方正小标宋简体"/>
          <w:bCs/>
          <w:color w:val="auto"/>
          <w:sz w:val="44"/>
          <w:szCs w:val="44"/>
          <w:highlight w:val="none"/>
        </w:rPr>
        <w:t>价  文  件</w:t>
      </w:r>
    </w:p>
    <w:p w14:paraId="51C3C43B">
      <w:pPr>
        <w:snapToGrid w:val="0"/>
        <w:spacing w:before="120" w:beforeLines="50" w:after="50"/>
        <w:rPr>
          <w:rFonts w:hint="eastAsia"/>
          <w:bCs/>
          <w:color w:val="auto"/>
          <w:sz w:val="24"/>
          <w:szCs w:val="20"/>
          <w:highlight w:val="none"/>
        </w:rPr>
      </w:pPr>
    </w:p>
    <w:p w14:paraId="0F1B6BA9">
      <w:pPr>
        <w:snapToGrid w:val="0"/>
        <w:spacing w:before="120" w:beforeLines="50" w:after="50"/>
        <w:rPr>
          <w:rFonts w:hint="eastAsia"/>
          <w:bCs/>
          <w:color w:val="auto"/>
          <w:sz w:val="24"/>
          <w:szCs w:val="20"/>
          <w:highlight w:val="none"/>
        </w:rPr>
      </w:pPr>
    </w:p>
    <w:p w14:paraId="68EB919B">
      <w:pPr>
        <w:snapToGrid w:val="0"/>
        <w:spacing w:before="120" w:beforeLines="50" w:after="50"/>
        <w:rPr>
          <w:rFonts w:hint="eastAsia"/>
          <w:bCs/>
          <w:color w:val="auto"/>
          <w:sz w:val="24"/>
          <w:szCs w:val="20"/>
          <w:highlight w:val="none"/>
        </w:rPr>
      </w:pPr>
    </w:p>
    <w:p w14:paraId="4A731DC5">
      <w:pPr>
        <w:snapToGrid w:val="0"/>
        <w:spacing w:before="120" w:beforeLines="50" w:after="50"/>
        <w:rPr>
          <w:rFonts w:hint="eastAsia"/>
          <w:bCs/>
          <w:color w:val="auto"/>
          <w:sz w:val="24"/>
          <w:szCs w:val="20"/>
          <w:highlight w:val="none"/>
        </w:rPr>
      </w:pPr>
    </w:p>
    <w:p w14:paraId="32F892C6">
      <w:pPr>
        <w:snapToGrid w:val="0"/>
        <w:spacing w:before="120" w:beforeLines="50" w:after="50"/>
        <w:rPr>
          <w:rFonts w:hint="eastAsia"/>
          <w:bCs/>
          <w:color w:val="auto"/>
          <w:sz w:val="24"/>
          <w:szCs w:val="20"/>
          <w:highlight w:val="none"/>
        </w:rPr>
      </w:pPr>
    </w:p>
    <w:p w14:paraId="6D388561">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项目名称：</w:t>
      </w:r>
    </w:p>
    <w:p w14:paraId="4D4DA743">
      <w:pPr>
        <w:snapToGrid w:val="0"/>
        <w:spacing w:before="120" w:beforeLines="50" w:after="50"/>
        <w:ind w:firstLine="720" w:firstLineChars="225"/>
        <w:rPr>
          <w:rFonts w:hint="eastAsia" w:cs="仿宋_GB2312"/>
          <w:bCs/>
          <w:color w:val="auto"/>
          <w:sz w:val="32"/>
          <w:szCs w:val="32"/>
          <w:highlight w:val="none"/>
        </w:rPr>
      </w:pPr>
    </w:p>
    <w:p w14:paraId="0E306E77">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项目编号：</w:t>
      </w:r>
    </w:p>
    <w:p w14:paraId="2951191F">
      <w:pPr>
        <w:snapToGrid w:val="0"/>
        <w:spacing w:before="120" w:beforeLines="50" w:after="50"/>
        <w:ind w:firstLine="720" w:firstLineChars="225"/>
        <w:rPr>
          <w:rFonts w:hint="eastAsia" w:cs="仿宋_GB2312"/>
          <w:bCs/>
          <w:color w:val="auto"/>
          <w:sz w:val="32"/>
          <w:szCs w:val="32"/>
          <w:highlight w:val="none"/>
        </w:rPr>
      </w:pPr>
      <w:r>
        <w:rPr>
          <w:rFonts w:hint="eastAsia" w:cs="仿宋_GB2312"/>
          <w:bCs/>
          <w:color w:val="auto"/>
          <w:sz w:val="32"/>
          <w:szCs w:val="32"/>
          <w:highlight w:val="none"/>
        </w:rPr>
        <w:t xml:space="preserve"> </w:t>
      </w:r>
    </w:p>
    <w:p w14:paraId="279BB1A6">
      <w:pPr>
        <w:snapToGrid w:val="0"/>
        <w:spacing w:before="120" w:beforeLines="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所竞分标（如有则填写，无分标时填写“无”或者留空）：</w:t>
      </w:r>
    </w:p>
    <w:p w14:paraId="418CC9B3">
      <w:pPr>
        <w:snapToGrid w:val="0"/>
        <w:spacing w:before="120" w:beforeLines="50" w:after="50"/>
        <w:ind w:firstLine="720" w:firstLineChars="225"/>
        <w:rPr>
          <w:rFonts w:hint="eastAsia" w:cs="仿宋_GB2312"/>
          <w:bCs/>
          <w:color w:val="auto"/>
          <w:sz w:val="32"/>
          <w:szCs w:val="32"/>
          <w:highlight w:val="none"/>
        </w:rPr>
      </w:pPr>
    </w:p>
    <w:p w14:paraId="62822CC0">
      <w:pPr>
        <w:pStyle w:val="7"/>
        <w:snapToGrid w:val="0"/>
        <w:spacing w:before="50" w:after="50"/>
        <w:ind w:firstLine="640" w:firstLineChars="200"/>
        <w:rPr>
          <w:rFonts w:hint="eastAsia" w:cs="仿宋_GB2312"/>
          <w:bCs/>
          <w:color w:val="auto"/>
          <w:sz w:val="32"/>
          <w:szCs w:val="32"/>
          <w:highlight w:val="none"/>
        </w:rPr>
      </w:pPr>
      <w:r>
        <w:rPr>
          <w:rFonts w:hint="eastAsia" w:cs="仿宋_GB2312"/>
          <w:bCs/>
          <w:color w:val="auto"/>
          <w:sz w:val="32"/>
          <w:szCs w:val="32"/>
          <w:highlight w:val="none"/>
        </w:rPr>
        <w:t>供应商名称：</w:t>
      </w:r>
    </w:p>
    <w:p w14:paraId="77B1A21F">
      <w:pPr>
        <w:pStyle w:val="7"/>
        <w:snapToGrid w:val="0"/>
        <w:spacing w:before="50" w:after="50"/>
        <w:ind w:firstLine="720" w:firstLineChars="225"/>
        <w:rPr>
          <w:rFonts w:hint="eastAsia" w:cs="仿宋_GB2312"/>
          <w:bCs/>
          <w:color w:val="auto"/>
          <w:sz w:val="32"/>
          <w:szCs w:val="32"/>
          <w:highlight w:val="none"/>
        </w:rPr>
      </w:pPr>
    </w:p>
    <w:p w14:paraId="68181522">
      <w:pPr>
        <w:pStyle w:val="7"/>
        <w:snapToGrid w:val="0"/>
        <w:spacing w:before="50" w:after="50"/>
        <w:ind w:firstLine="720" w:firstLineChars="225"/>
        <w:rPr>
          <w:rFonts w:hint="eastAsia" w:cs="仿宋_GB2312"/>
          <w:bCs/>
          <w:color w:val="auto"/>
          <w:sz w:val="32"/>
          <w:szCs w:val="32"/>
          <w:highlight w:val="none"/>
        </w:rPr>
      </w:pPr>
    </w:p>
    <w:p w14:paraId="1E71A5F8">
      <w:pPr>
        <w:pStyle w:val="7"/>
        <w:snapToGrid w:val="0"/>
        <w:spacing w:before="50" w:after="50"/>
        <w:ind w:firstLine="1280" w:firstLineChars="400"/>
        <w:rPr>
          <w:rFonts w:hint="eastAsia" w:cs="仿宋_GB2312"/>
          <w:bCs/>
          <w:color w:val="auto"/>
          <w:sz w:val="32"/>
          <w:szCs w:val="32"/>
          <w:highlight w:val="none"/>
        </w:rPr>
      </w:pPr>
    </w:p>
    <w:p w14:paraId="65380901">
      <w:pPr>
        <w:snapToGrid w:val="0"/>
        <w:spacing w:before="120" w:beforeLines="50" w:after="50"/>
        <w:jc w:val="center"/>
        <w:rPr>
          <w:rFonts w:hint="eastAsia" w:cs="仿宋_GB2312"/>
          <w:color w:val="auto"/>
          <w:sz w:val="32"/>
          <w:szCs w:val="32"/>
          <w:highlight w:val="none"/>
        </w:rPr>
      </w:pPr>
      <w:r>
        <w:rPr>
          <w:rFonts w:hint="eastAsia" w:cs="仿宋_GB2312"/>
          <w:color w:val="auto"/>
          <w:sz w:val="32"/>
          <w:szCs w:val="32"/>
          <w:highlight w:val="none"/>
        </w:rPr>
        <w:t>年    月    日</w:t>
      </w:r>
    </w:p>
    <w:p w14:paraId="419FD5AD">
      <w:pPr>
        <w:snapToGrid w:val="0"/>
        <w:spacing w:before="120" w:beforeLines="50" w:after="50" w:line="360" w:lineRule="auto"/>
        <w:jc w:val="left"/>
        <w:rPr>
          <w:rFonts w:hint="eastAsia" w:ascii="宋体" w:hAnsi="宋体" w:eastAsia="宋体" w:cs="宋体"/>
          <w:color w:val="auto"/>
          <w:sz w:val="28"/>
          <w:szCs w:val="28"/>
          <w:highlight w:val="none"/>
        </w:rPr>
      </w:pPr>
      <w:r>
        <w:rPr>
          <w:color w:val="auto"/>
          <w:sz w:val="24"/>
          <w:highlight w:val="none"/>
        </w:rPr>
        <w:br w:type="page"/>
      </w:r>
      <w:r>
        <w:rPr>
          <w:rFonts w:hint="eastAsia" w:ascii="宋体" w:hAnsi="宋体" w:eastAsia="宋体" w:cs="宋体"/>
          <w:b/>
          <w:color w:val="auto"/>
          <w:sz w:val="28"/>
          <w:szCs w:val="28"/>
          <w:highlight w:val="none"/>
          <w:lang w:val="en-US"/>
        </w:rPr>
        <w:t>2</w:t>
      </w:r>
      <w:r>
        <w:rPr>
          <w:rFonts w:hint="eastAsia" w:ascii="宋体" w:hAnsi="宋体" w:eastAsia="宋体" w:cs="宋体"/>
          <w:b/>
          <w:color w:val="auto"/>
          <w:sz w:val="28"/>
          <w:szCs w:val="28"/>
          <w:highlight w:val="none"/>
        </w:rPr>
        <w:t>.</w:t>
      </w:r>
      <w:r>
        <w:rPr>
          <w:rFonts w:hint="eastAsia" w:ascii="宋体" w:hAnsi="宋体" w:eastAsia="宋体" w:cs="宋体"/>
          <w:b/>
          <w:bCs/>
          <w:color w:val="auto"/>
          <w:sz w:val="28"/>
          <w:szCs w:val="28"/>
          <w:highlight w:val="none"/>
        </w:rPr>
        <w:t>报价文件目录</w:t>
      </w:r>
    </w:p>
    <w:p w14:paraId="26E5495D">
      <w:pPr>
        <w:snapToGrid w:val="0"/>
        <w:spacing w:before="50" w:after="120" w:afterLines="50" w:line="360" w:lineRule="auto"/>
        <w:jc w:val="left"/>
        <w:rPr>
          <w:rFonts w:hint="eastAsia" w:ascii="宋体" w:hAnsi="宋体" w:eastAsia="宋体" w:cs="宋体"/>
          <w:b/>
          <w:color w:val="auto"/>
          <w:sz w:val="28"/>
          <w:szCs w:val="28"/>
          <w:highlight w:val="none"/>
        </w:rPr>
      </w:pPr>
      <w:r>
        <w:rPr>
          <w:rFonts w:hint="eastAsia" w:ascii="宋体" w:hAnsi="宋体" w:eastAsia="宋体" w:cs="宋体"/>
          <w:color w:val="auto"/>
          <w:sz w:val="28"/>
          <w:szCs w:val="28"/>
          <w:highlight w:val="none"/>
        </w:rPr>
        <w:t>根据</w:t>
      </w:r>
      <w:r>
        <w:rPr>
          <w:rFonts w:hint="eastAsia" w:ascii="宋体" w:hAnsi="宋体" w:eastAsia="宋体" w:cs="宋体"/>
          <w:color w:val="auto"/>
          <w:sz w:val="28"/>
          <w:szCs w:val="28"/>
          <w:highlight w:val="none"/>
          <w:lang w:eastAsia="zh-CN"/>
        </w:rPr>
        <w:t>竞争性磋商</w:t>
      </w:r>
      <w:r>
        <w:rPr>
          <w:rFonts w:hint="eastAsia" w:ascii="宋体" w:hAnsi="宋体" w:eastAsia="宋体" w:cs="宋体"/>
          <w:color w:val="auto"/>
          <w:sz w:val="28"/>
          <w:szCs w:val="28"/>
          <w:highlight w:val="none"/>
        </w:rPr>
        <w:t>文件规定及</w:t>
      </w:r>
      <w:r>
        <w:rPr>
          <w:rFonts w:hint="eastAsia" w:ascii="宋体" w:hAnsi="宋体" w:eastAsia="宋体" w:cs="宋体"/>
          <w:color w:val="auto"/>
          <w:sz w:val="28"/>
          <w:szCs w:val="28"/>
          <w:highlight w:val="none"/>
          <w:lang w:eastAsia="zh-CN"/>
        </w:rPr>
        <w:t>供应商</w:t>
      </w:r>
      <w:r>
        <w:rPr>
          <w:rFonts w:hint="eastAsia" w:ascii="宋体" w:hAnsi="宋体" w:eastAsia="宋体" w:cs="宋体"/>
          <w:color w:val="auto"/>
          <w:sz w:val="28"/>
          <w:szCs w:val="28"/>
          <w:highlight w:val="none"/>
        </w:rPr>
        <w:t>提供的材料自行编写目录</w:t>
      </w:r>
      <w:r>
        <w:rPr>
          <w:rFonts w:hint="eastAsia" w:ascii="宋体" w:hAnsi="宋体" w:eastAsia="宋体" w:cs="宋体"/>
          <w:color w:val="auto"/>
          <w:kern w:val="0"/>
          <w:sz w:val="28"/>
          <w:szCs w:val="28"/>
          <w:highlight w:val="none"/>
        </w:rPr>
        <w:t>（部分格式后附）</w:t>
      </w:r>
      <w:r>
        <w:rPr>
          <w:rFonts w:hint="eastAsia" w:ascii="宋体" w:hAnsi="宋体" w:eastAsia="宋体" w:cs="宋体"/>
          <w:color w:val="auto"/>
          <w:sz w:val="28"/>
          <w:szCs w:val="28"/>
          <w:highlight w:val="none"/>
        </w:rPr>
        <w:t>。</w:t>
      </w:r>
    </w:p>
    <w:p w14:paraId="75DD65F6">
      <w:pPr>
        <w:spacing w:line="360" w:lineRule="auto"/>
        <w:rPr>
          <w:rFonts w:hint="eastAsia" w:ascii="仿宋_GB2312" w:hAnsi="仿宋" w:eastAsia="仿宋_GB2312" w:cs="仿宋_GB2312"/>
          <w:color w:val="auto"/>
          <w:sz w:val="24"/>
          <w:highlight w:val="none"/>
        </w:rPr>
      </w:pPr>
    </w:p>
    <w:p w14:paraId="74A36DFF">
      <w:pPr>
        <w:snapToGrid w:val="0"/>
        <w:spacing w:before="120" w:beforeLines="50" w:after="50" w:line="360" w:lineRule="auto"/>
        <w:ind w:left="142" w:firstLine="640" w:firstLineChars="200"/>
        <w:jc w:val="left"/>
        <w:rPr>
          <w:rFonts w:hint="eastAsia" w:ascii="仿宋_GB2312" w:hAnsi="仿宋_GB2312" w:eastAsia="仿宋_GB2312" w:cs="仿宋_GB2312"/>
          <w:color w:val="auto"/>
          <w:sz w:val="32"/>
          <w:szCs w:val="32"/>
          <w:highlight w:val="none"/>
        </w:rPr>
      </w:pPr>
    </w:p>
    <w:p w14:paraId="0DD376E1">
      <w:pPr>
        <w:snapToGrid w:val="0"/>
        <w:spacing w:before="120" w:beforeLines="50" w:after="50" w:line="360" w:lineRule="auto"/>
        <w:ind w:left="0" w:firstLine="0" w:firstLineChars="0"/>
        <w:jc w:val="left"/>
        <w:rPr>
          <w:rFonts w:ascii="Calibri" w:cs="仿宋_GB2312"/>
          <w:color w:val="auto"/>
          <w:sz w:val="24"/>
          <w:highlight w:val="none"/>
        </w:rPr>
      </w:pPr>
      <w:r>
        <w:rPr>
          <w:rFonts w:ascii="Calibri" w:cs="仿宋_GB2312"/>
          <w:color w:val="auto"/>
          <w:sz w:val="24"/>
          <w:highlight w:val="none"/>
        </w:rPr>
        <w:br w:type="page"/>
      </w:r>
      <w:r>
        <w:rPr>
          <w:rFonts w:hint="eastAsia" w:ascii="宋体" w:hAnsi="宋体" w:eastAsia="宋体" w:cs="宋体"/>
          <w:b/>
          <w:color w:val="auto"/>
          <w:sz w:val="28"/>
          <w:szCs w:val="28"/>
          <w:highlight w:val="none"/>
          <w:lang w:val="en-US" w:eastAsia="zh-CN"/>
        </w:rPr>
        <w:t>3.</w:t>
      </w:r>
      <w:r>
        <w:rPr>
          <w:rFonts w:hint="eastAsia" w:ascii="宋体" w:hAnsi="宋体" w:eastAsia="宋体" w:cs="宋体"/>
          <w:b/>
          <w:color w:val="auto"/>
          <w:sz w:val="28"/>
          <w:szCs w:val="28"/>
          <w:highlight w:val="none"/>
          <w:lang w:val="zh-CN" w:eastAsia="zh-CN"/>
        </w:rPr>
        <w:t>响应函的格式：</w:t>
      </w:r>
    </w:p>
    <w:p w14:paraId="3C57106C">
      <w:pPr>
        <w:spacing w:line="500" w:lineRule="exact"/>
        <w:jc w:val="center"/>
        <w:rPr>
          <w:rFonts w:ascii="Times New Roman" w:hAnsi="Times New Roman"/>
          <w:b/>
          <w:bCs/>
          <w:color w:val="auto"/>
          <w:kern w:val="0"/>
          <w:sz w:val="30"/>
          <w:szCs w:val="30"/>
          <w:highlight w:val="none"/>
        </w:rPr>
      </w:pPr>
      <w:r>
        <w:rPr>
          <w:rFonts w:hint="eastAsia" w:ascii="Times New Roman" w:hAnsi="Times New Roman"/>
          <w:b/>
          <w:bCs/>
          <w:color w:val="auto"/>
          <w:kern w:val="0"/>
          <w:sz w:val="30"/>
          <w:szCs w:val="30"/>
          <w:highlight w:val="none"/>
        </w:rPr>
        <w:t>响应函</w:t>
      </w:r>
    </w:p>
    <w:p w14:paraId="655ACD31">
      <w:pPr>
        <w:spacing w:line="500" w:lineRule="exact"/>
        <w:rPr>
          <w:rFonts w:ascii="Times New Roman" w:hAnsi="Times New Roman"/>
          <w:color w:val="auto"/>
          <w:kern w:val="0"/>
          <w:sz w:val="32"/>
          <w:szCs w:val="21"/>
          <w:highlight w:val="none"/>
        </w:rPr>
      </w:pPr>
    </w:p>
    <w:p w14:paraId="5BEC68C1">
      <w:pPr>
        <w:spacing w:line="440" w:lineRule="exact"/>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致：</w:t>
      </w:r>
      <w:r>
        <w:rPr>
          <w:rFonts w:hint="eastAsia" w:ascii="宋体" w:hAnsi="宋体" w:eastAsia="宋体" w:cs="宋体"/>
          <w:color w:val="auto"/>
          <w:kern w:val="0"/>
          <w:sz w:val="20"/>
          <w:szCs w:val="21"/>
          <w:highlight w:val="none"/>
          <w:u w:val="single"/>
        </w:rPr>
        <w:t xml:space="preserve">                      </w:t>
      </w:r>
      <w:r>
        <w:rPr>
          <w:rFonts w:hint="eastAsia" w:ascii="宋体" w:hAnsi="宋体" w:eastAsia="宋体" w:cs="宋体"/>
          <w:color w:val="auto"/>
          <w:kern w:val="0"/>
          <w:sz w:val="20"/>
          <w:szCs w:val="21"/>
          <w:highlight w:val="none"/>
        </w:rPr>
        <w:t>（采购代理机构名称）</w:t>
      </w:r>
    </w:p>
    <w:p w14:paraId="1299D16B">
      <w:pPr>
        <w:spacing w:line="440" w:lineRule="exact"/>
        <w:ind w:firstLine="400" w:firstLineChars="200"/>
        <w:rPr>
          <w:rFonts w:hint="eastAsia" w:ascii="宋体" w:hAnsi="宋体" w:eastAsia="宋体" w:cs="宋体"/>
          <w:color w:val="auto"/>
          <w:kern w:val="0"/>
          <w:sz w:val="20"/>
          <w:szCs w:val="21"/>
          <w:highlight w:val="none"/>
        </w:rPr>
      </w:pPr>
    </w:p>
    <w:p w14:paraId="034A7F28">
      <w:pPr>
        <w:spacing w:line="440" w:lineRule="exact"/>
        <w:ind w:firstLine="400" w:firstLineChars="20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我方已仔细阅读了贵方组织的</w:t>
      </w:r>
      <w:r>
        <w:rPr>
          <w:rFonts w:hint="eastAsia" w:ascii="宋体" w:hAnsi="宋体" w:eastAsia="宋体" w:cs="宋体"/>
          <w:color w:val="auto"/>
          <w:kern w:val="0"/>
          <w:sz w:val="20"/>
          <w:szCs w:val="21"/>
          <w:highlight w:val="none"/>
          <w:u w:val="single"/>
        </w:rPr>
        <w:t xml:space="preserve">                </w:t>
      </w:r>
      <w:r>
        <w:rPr>
          <w:rFonts w:hint="eastAsia" w:ascii="宋体" w:hAnsi="宋体" w:eastAsia="宋体" w:cs="宋体"/>
          <w:color w:val="auto"/>
          <w:kern w:val="0"/>
          <w:sz w:val="20"/>
          <w:szCs w:val="21"/>
          <w:highlight w:val="none"/>
        </w:rPr>
        <w:t>项目（项目编号：</w:t>
      </w:r>
      <w:r>
        <w:rPr>
          <w:rFonts w:hint="eastAsia" w:ascii="宋体" w:hAnsi="宋体" w:eastAsia="宋体" w:cs="宋体"/>
          <w:color w:val="auto"/>
          <w:kern w:val="0"/>
          <w:sz w:val="20"/>
          <w:szCs w:val="21"/>
          <w:highlight w:val="none"/>
          <w:u w:val="single"/>
        </w:rPr>
        <w:t xml:space="preserve">             </w:t>
      </w:r>
      <w:r>
        <w:rPr>
          <w:rFonts w:hint="eastAsia" w:ascii="宋体" w:hAnsi="宋体" w:eastAsia="宋体" w:cs="宋体"/>
          <w:color w:val="auto"/>
          <w:kern w:val="0"/>
          <w:sz w:val="20"/>
          <w:szCs w:val="21"/>
          <w:highlight w:val="none"/>
        </w:rPr>
        <w:t>）的竞争性磋商文件的全部内容，现正式</w:t>
      </w:r>
      <w:r>
        <w:rPr>
          <w:rFonts w:hint="eastAsia" w:ascii="宋体" w:hAnsi="宋体" w:eastAsia="宋体" w:cs="宋体"/>
          <w:color w:val="auto"/>
          <w:kern w:val="0"/>
          <w:sz w:val="20"/>
          <w:szCs w:val="21"/>
          <w:highlight w:val="none"/>
          <w:lang w:eastAsia="zh-CN"/>
        </w:rPr>
        <w:t>提交</w:t>
      </w:r>
      <w:r>
        <w:rPr>
          <w:rFonts w:hint="eastAsia" w:ascii="宋体" w:hAnsi="宋体" w:eastAsia="宋体" w:cs="宋体"/>
          <w:color w:val="auto"/>
          <w:kern w:val="0"/>
          <w:sz w:val="20"/>
          <w:szCs w:val="21"/>
          <w:highlight w:val="none"/>
        </w:rPr>
        <w:t xml:space="preserve">下述文件参加贵方组织的本次政府采购活动： </w:t>
      </w:r>
    </w:p>
    <w:p w14:paraId="61C45A99">
      <w:pPr>
        <w:spacing w:line="440" w:lineRule="exact"/>
        <w:ind w:firstLine="400" w:firstLineChars="20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一、首次报价文件电子版（包含按“第三章 供应商须知”提交的全部文件）；</w:t>
      </w:r>
    </w:p>
    <w:p w14:paraId="30C60CFB">
      <w:pPr>
        <w:spacing w:line="440" w:lineRule="exact"/>
        <w:ind w:firstLine="400" w:firstLineChars="20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二、</w:t>
      </w:r>
      <w:r>
        <w:rPr>
          <w:rFonts w:hint="eastAsia" w:ascii="宋体" w:hAnsi="宋体" w:eastAsia="宋体" w:cs="宋体"/>
          <w:color w:val="auto"/>
          <w:kern w:val="0"/>
          <w:sz w:val="20"/>
          <w:szCs w:val="21"/>
          <w:highlight w:val="none"/>
          <w:lang w:val="zh-CN" w:eastAsia="zh-CN"/>
        </w:rPr>
        <w:t>商务技术文件</w:t>
      </w:r>
      <w:r>
        <w:rPr>
          <w:rFonts w:hint="eastAsia" w:ascii="宋体" w:hAnsi="宋体" w:eastAsia="宋体" w:cs="宋体"/>
          <w:color w:val="auto"/>
          <w:kern w:val="0"/>
          <w:sz w:val="20"/>
          <w:szCs w:val="21"/>
          <w:highlight w:val="none"/>
          <w:lang w:val="zh-CN"/>
        </w:rPr>
        <w:t>电子版</w:t>
      </w:r>
      <w:r>
        <w:rPr>
          <w:rFonts w:hint="eastAsia" w:ascii="宋体" w:hAnsi="宋体" w:eastAsia="宋体" w:cs="宋体"/>
          <w:color w:val="auto"/>
          <w:kern w:val="0"/>
          <w:sz w:val="20"/>
          <w:szCs w:val="21"/>
          <w:highlight w:val="none"/>
          <w:lang w:val="zh-CN" w:eastAsia="zh-CN"/>
        </w:rPr>
        <w:t>（包含按</w:t>
      </w:r>
      <w:r>
        <w:rPr>
          <w:rFonts w:hint="eastAsia" w:ascii="宋体" w:hAnsi="宋体" w:eastAsia="宋体" w:cs="宋体"/>
          <w:color w:val="auto"/>
          <w:kern w:val="0"/>
          <w:sz w:val="20"/>
          <w:szCs w:val="21"/>
          <w:highlight w:val="none"/>
          <w:lang w:val="zh-CN"/>
        </w:rPr>
        <w:t>“第三章 供应商须知”</w:t>
      </w:r>
      <w:r>
        <w:rPr>
          <w:rFonts w:hint="eastAsia" w:ascii="宋体" w:hAnsi="宋体" w:eastAsia="宋体" w:cs="宋体"/>
          <w:color w:val="auto"/>
          <w:kern w:val="0"/>
          <w:sz w:val="20"/>
          <w:szCs w:val="21"/>
          <w:highlight w:val="none"/>
          <w:lang w:val="zh-CN" w:eastAsia="zh-CN"/>
        </w:rPr>
        <w:t>提交的全部文件）</w:t>
      </w:r>
      <w:r>
        <w:rPr>
          <w:rFonts w:hint="eastAsia" w:ascii="宋体" w:hAnsi="宋体" w:eastAsia="宋体" w:cs="宋体"/>
          <w:color w:val="auto"/>
          <w:kern w:val="0"/>
          <w:sz w:val="20"/>
          <w:szCs w:val="21"/>
          <w:highlight w:val="none"/>
        </w:rPr>
        <w:t>；</w:t>
      </w:r>
    </w:p>
    <w:p w14:paraId="0BAC75B0">
      <w:pPr>
        <w:spacing w:line="440" w:lineRule="exact"/>
        <w:ind w:firstLine="400" w:firstLineChars="200"/>
        <w:rPr>
          <w:rFonts w:hint="eastAsia" w:ascii="宋体" w:hAnsi="宋体" w:eastAsia="宋体" w:cs="宋体"/>
          <w:color w:val="auto"/>
          <w:kern w:val="0"/>
          <w:sz w:val="20"/>
          <w:szCs w:val="21"/>
          <w:highlight w:val="none"/>
          <w:lang w:eastAsia="zh-CN"/>
        </w:rPr>
      </w:pPr>
      <w:r>
        <w:rPr>
          <w:rFonts w:hint="eastAsia" w:ascii="宋体" w:hAnsi="宋体" w:eastAsia="宋体" w:cs="宋体"/>
          <w:color w:val="auto"/>
          <w:kern w:val="0"/>
          <w:sz w:val="20"/>
          <w:szCs w:val="21"/>
          <w:highlight w:val="none"/>
        </w:rPr>
        <w:t>三、资格文件电子版（包含按“第三章供应商须知”提交的全部文件）</w:t>
      </w:r>
      <w:r>
        <w:rPr>
          <w:rFonts w:hint="eastAsia" w:ascii="宋体" w:hAnsi="宋体" w:eastAsia="宋体" w:cs="宋体"/>
          <w:color w:val="auto"/>
          <w:kern w:val="0"/>
          <w:sz w:val="20"/>
          <w:szCs w:val="21"/>
          <w:highlight w:val="none"/>
          <w:lang w:eastAsia="zh-CN"/>
        </w:rPr>
        <w:t>。</w:t>
      </w:r>
    </w:p>
    <w:p w14:paraId="2B0CE744">
      <w:pPr>
        <w:spacing w:line="440" w:lineRule="exact"/>
        <w:ind w:firstLine="400" w:firstLineChars="20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据此函，</w:t>
      </w:r>
      <w:r>
        <w:rPr>
          <w:rFonts w:hint="eastAsia" w:ascii="宋体" w:hAnsi="宋体" w:eastAsia="宋体" w:cs="宋体"/>
          <w:color w:val="auto"/>
          <w:kern w:val="0"/>
          <w:sz w:val="20"/>
          <w:szCs w:val="21"/>
          <w:highlight w:val="none"/>
          <w:lang w:val="en-US" w:eastAsia="zh-CN"/>
        </w:rPr>
        <w:t>我方</w:t>
      </w:r>
      <w:r>
        <w:rPr>
          <w:rFonts w:hint="eastAsia" w:ascii="宋体" w:hAnsi="宋体" w:eastAsia="宋体" w:cs="宋体"/>
          <w:color w:val="auto"/>
          <w:kern w:val="0"/>
          <w:sz w:val="20"/>
          <w:szCs w:val="21"/>
          <w:highlight w:val="none"/>
        </w:rPr>
        <w:t>兹宣布：</w:t>
      </w:r>
    </w:p>
    <w:p w14:paraId="3CAF5610">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1、我方愿意以</w:t>
      </w:r>
      <w:r>
        <w:rPr>
          <w:rFonts w:hint="eastAsia" w:hAnsi="宋体" w:cs="宋体"/>
          <w:color w:val="auto"/>
          <w:sz w:val="20"/>
          <w:szCs w:val="20"/>
          <w:highlight w:val="none"/>
          <w:lang w:eastAsia="zh-CN"/>
        </w:rPr>
        <w:t>最后报价表中的（报价）折扣率，</w:t>
      </w:r>
      <w:r>
        <w:rPr>
          <w:rFonts w:hint="eastAsia" w:ascii="宋体" w:hAnsi="宋体" w:eastAsia="宋体" w:cs="宋体"/>
          <w:color w:val="auto"/>
          <w:kern w:val="0"/>
          <w:sz w:val="20"/>
          <w:szCs w:val="21"/>
          <w:highlight w:val="none"/>
        </w:rPr>
        <w:t>提供本项目竞争性磋商文件第二章“</w:t>
      </w:r>
      <w:r>
        <w:rPr>
          <w:rFonts w:hint="eastAsia" w:ascii="宋体" w:hAnsi="宋体" w:eastAsia="宋体" w:cs="宋体"/>
          <w:color w:val="auto"/>
          <w:kern w:val="0"/>
          <w:sz w:val="20"/>
          <w:szCs w:val="21"/>
          <w:highlight w:val="none"/>
          <w:lang w:eastAsia="zh-CN"/>
        </w:rPr>
        <w:t>采购需求</w:t>
      </w:r>
      <w:r>
        <w:rPr>
          <w:rFonts w:hint="eastAsia" w:ascii="宋体" w:hAnsi="宋体" w:eastAsia="宋体" w:cs="宋体"/>
          <w:color w:val="auto"/>
          <w:kern w:val="0"/>
          <w:sz w:val="20"/>
          <w:szCs w:val="21"/>
          <w:highlight w:val="none"/>
        </w:rPr>
        <w:t>”中相应的采购内容</w:t>
      </w:r>
      <w:r>
        <w:rPr>
          <w:rFonts w:hint="eastAsia" w:ascii="宋体" w:hAnsi="宋体" w:eastAsia="宋体" w:cs="宋体"/>
          <w:color w:val="auto"/>
          <w:kern w:val="0"/>
          <w:sz w:val="20"/>
          <w:szCs w:val="21"/>
          <w:highlight w:val="none"/>
          <w:lang w:eastAsia="zh-CN"/>
        </w:rPr>
        <w:t>，具体详见最后报价表</w:t>
      </w:r>
      <w:r>
        <w:rPr>
          <w:rFonts w:hint="eastAsia" w:ascii="宋体" w:hAnsi="宋体" w:eastAsia="宋体" w:cs="宋体"/>
          <w:color w:val="auto"/>
          <w:kern w:val="0"/>
          <w:sz w:val="20"/>
          <w:szCs w:val="21"/>
          <w:highlight w:val="none"/>
        </w:rPr>
        <w:t>。</w:t>
      </w:r>
    </w:p>
    <w:p w14:paraId="6FF77352">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2、我方同意自本项目竞争性磋商文件采购公告规定的</w:t>
      </w:r>
      <w:r>
        <w:rPr>
          <w:rFonts w:hint="eastAsia" w:ascii="宋体" w:hAnsi="宋体" w:eastAsia="宋体" w:cs="宋体"/>
          <w:color w:val="auto"/>
          <w:kern w:val="0"/>
          <w:sz w:val="20"/>
          <w:szCs w:val="21"/>
          <w:highlight w:val="none"/>
          <w:lang w:eastAsia="zh-CN"/>
        </w:rPr>
        <w:t>提</w:t>
      </w:r>
      <w:r>
        <w:rPr>
          <w:rFonts w:hint="eastAsia" w:ascii="宋体" w:hAnsi="宋体" w:eastAsia="宋体" w:cs="宋体"/>
          <w:color w:val="auto"/>
          <w:kern w:val="0"/>
          <w:sz w:val="20"/>
          <w:szCs w:val="21"/>
          <w:highlight w:val="none"/>
        </w:rPr>
        <w:t>交响应文件截止时间起遵循本响应函，并承诺在“第三章 供应商须知”规定的</w:t>
      </w:r>
      <w:r>
        <w:rPr>
          <w:rFonts w:hint="eastAsia" w:ascii="宋体" w:hAnsi="宋体" w:eastAsia="宋体" w:cs="宋体"/>
          <w:color w:val="auto"/>
          <w:kern w:val="0"/>
          <w:sz w:val="20"/>
          <w:szCs w:val="21"/>
          <w:highlight w:val="none"/>
          <w:lang w:val="en-US" w:eastAsia="zh-CN"/>
        </w:rPr>
        <w:t>竞标</w:t>
      </w:r>
      <w:r>
        <w:rPr>
          <w:rFonts w:hint="eastAsia" w:ascii="宋体" w:hAnsi="宋体" w:eastAsia="宋体" w:cs="宋体"/>
          <w:color w:val="auto"/>
          <w:kern w:val="0"/>
          <w:sz w:val="20"/>
          <w:szCs w:val="21"/>
          <w:highlight w:val="none"/>
        </w:rPr>
        <w:t>有效期内不修改、撤销响应文件。</w:t>
      </w:r>
    </w:p>
    <w:p w14:paraId="48D1F562">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3、我方在此声明，所</w:t>
      </w:r>
      <w:r>
        <w:rPr>
          <w:rFonts w:hint="eastAsia" w:ascii="宋体" w:hAnsi="宋体" w:eastAsia="宋体" w:cs="宋体"/>
          <w:color w:val="auto"/>
          <w:kern w:val="0"/>
          <w:sz w:val="20"/>
          <w:szCs w:val="21"/>
          <w:highlight w:val="none"/>
          <w:lang w:eastAsia="zh-CN"/>
        </w:rPr>
        <w:t>提交</w:t>
      </w:r>
      <w:r>
        <w:rPr>
          <w:rFonts w:hint="eastAsia" w:ascii="宋体" w:hAnsi="宋体" w:eastAsia="宋体" w:cs="宋体"/>
          <w:color w:val="auto"/>
          <w:kern w:val="0"/>
          <w:sz w:val="20"/>
          <w:szCs w:val="21"/>
          <w:highlight w:val="none"/>
        </w:rPr>
        <w:t>的响应文件及有关资料内容完整、真实和准确。</w:t>
      </w:r>
    </w:p>
    <w:p w14:paraId="6645FD0A">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4、如本项目采购内容涉及须符合国家强制规定的，我方承诺我方本次竞标均符合国家有关强制规定。</w:t>
      </w:r>
    </w:p>
    <w:p w14:paraId="645EB663">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5、如我方成交，我方承诺在收到成交通知书后，在成交通知书规定的期限内，根据竞争性磋商文件、我方的响应文件及有关澄清承诺书的要求按第六章“合同文本”与采购人订立书面合同，并按照合同约定承担完成合同的责任和义务。</w:t>
      </w:r>
    </w:p>
    <w:p w14:paraId="06EDCC9E">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lang w:val="en-US" w:eastAsia="zh-CN"/>
        </w:rPr>
        <w:t>6</w:t>
      </w:r>
      <w:r>
        <w:rPr>
          <w:rFonts w:hint="eastAsia" w:ascii="宋体" w:hAnsi="宋体" w:eastAsia="宋体" w:cs="宋体"/>
          <w:color w:val="auto"/>
          <w:kern w:val="0"/>
          <w:sz w:val="20"/>
          <w:szCs w:val="21"/>
          <w:highlight w:val="none"/>
        </w:rPr>
        <w:t>、我方已详细审核竞争性磋商文件，我方知道必须放弃提出含糊不清或误解问题的权利。</w:t>
      </w:r>
    </w:p>
    <w:p w14:paraId="32A0CF30">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lang w:val="en-US" w:eastAsia="zh-CN"/>
        </w:rPr>
        <w:t>7</w:t>
      </w:r>
      <w:r>
        <w:rPr>
          <w:rFonts w:hint="eastAsia" w:ascii="宋体" w:hAnsi="宋体" w:eastAsia="宋体" w:cs="宋体"/>
          <w:color w:val="auto"/>
          <w:kern w:val="0"/>
          <w:sz w:val="20"/>
          <w:szCs w:val="21"/>
          <w:highlight w:val="none"/>
        </w:rPr>
        <w:t>、我方承诺满足竞争性磋商文件第六章“合同文本”的条款，承担完成合同的责任和义务。</w:t>
      </w:r>
    </w:p>
    <w:p w14:paraId="490B0972">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lang w:val="en-US" w:eastAsia="zh-CN"/>
        </w:rPr>
        <w:t>8</w:t>
      </w:r>
      <w:r>
        <w:rPr>
          <w:rFonts w:hint="eastAsia" w:ascii="宋体" w:hAnsi="宋体" w:eastAsia="宋体" w:cs="宋体"/>
          <w:color w:val="auto"/>
          <w:kern w:val="0"/>
          <w:sz w:val="20"/>
          <w:szCs w:val="21"/>
          <w:highlight w:val="none"/>
        </w:rPr>
        <w:t>、我方同意应贵方要求提供与本竞标有关的任何数据或资料。若贵方需要，我方愿意提供我方作出的一切承诺的证明材料。</w:t>
      </w:r>
    </w:p>
    <w:p w14:paraId="38442507">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lang w:val="en-US" w:eastAsia="zh-CN"/>
        </w:rPr>
        <w:t>9</w:t>
      </w:r>
      <w:r>
        <w:rPr>
          <w:rFonts w:hint="eastAsia" w:ascii="宋体" w:hAnsi="宋体" w:eastAsia="宋体" w:cs="宋体"/>
          <w:color w:val="auto"/>
          <w:kern w:val="0"/>
          <w:sz w:val="20"/>
          <w:szCs w:val="21"/>
          <w:highlight w:val="none"/>
        </w:rPr>
        <w:t>、我方完全理解贵方不一定接受响应报价最低的</w:t>
      </w:r>
      <w:r>
        <w:rPr>
          <w:rFonts w:hint="eastAsia" w:ascii="宋体" w:hAnsi="宋体" w:eastAsia="宋体" w:cs="宋体"/>
          <w:color w:val="auto"/>
          <w:kern w:val="0"/>
          <w:sz w:val="20"/>
          <w:szCs w:val="21"/>
          <w:highlight w:val="none"/>
          <w:lang w:eastAsia="zh-CN"/>
        </w:rPr>
        <w:t>供应商</w:t>
      </w:r>
      <w:r>
        <w:rPr>
          <w:rFonts w:hint="eastAsia" w:ascii="宋体" w:hAnsi="宋体" w:eastAsia="宋体" w:cs="宋体"/>
          <w:color w:val="auto"/>
          <w:kern w:val="0"/>
          <w:sz w:val="20"/>
          <w:szCs w:val="21"/>
          <w:highlight w:val="none"/>
        </w:rPr>
        <w:t>为成交供应商的行为。</w:t>
      </w:r>
    </w:p>
    <w:p w14:paraId="15CB7C93">
      <w:pPr>
        <w:spacing w:line="440" w:lineRule="exact"/>
        <w:ind w:firstLine="482"/>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1</w:t>
      </w:r>
      <w:r>
        <w:rPr>
          <w:rFonts w:hint="eastAsia" w:ascii="宋体" w:hAnsi="宋体" w:eastAsia="宋体" w:cs="宋体"/>
          <w:color w:val="auto"/>
          <w:kern w:val="0"/>
          <w:sz w:val="20"/>
          <w:szCs w:val="21"/>
          <w:highlight w:val="none"/>
          <w:lang w:val="en-US" w:eastAsia="zh-CN"/>
        </w:rPr>
        <w:t>0</w:t>
      </w:r>
      <w:r>
        <w:rPr>
          <w:rFonts w:hint="eastAsia" w:ascii="宋体" w:hAnsi="宋体" w:eastAsia="宋体" w:cs="宋体"/>
          <w:color w:val="auto"/>
          <w:kern w:val="0"/>
          <w:sz w:val="20"/>
          <w:szCs w:val="21"/>
          <w:highlight w:val="none"/>
        </w:rPr>
        <w:t>、我方将严格遵守《中华人民共和国政府采购法》第七十七条的规定，即供应商有下列情形之一的，处以采购金额千分之五以上千分之十以下的罚款，列入不良行为记录名单，在一至三年内禁止参加政府采购活动，有违法所得的，并处没收违法所得，情节严重的，由工商行政管理机关吊销营业执照；构成犯罪的，依法追究刑事责任：</w:t>
      </w:r>
    </w:p>
    <w:p w14:paraId="7074C0FB">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提供虚假材料谋取中标、成交的；</w:t>
      </w:r>
    </w:p>
    <w:p w14:paraId="614B14DC">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采取不正当手段诋毁、排挤其他供应商的；</w:t>
      </w:r>
    </w:p>
    <w:p w14:paraId="30DA201B">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与采购人、其他供应商或者采购代理机构恶意串通的；</w:t>
      </w:r>
    </w:p>
    <w:p w14:paraId="2CE2C185">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向采购人、采购代理机构行贿或者提供其他不正当利益的；</w:t>
      </w:r>
    </w:p>
    <w:p w14:paraId="3C98DC8F">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在采购过程中与采购人进行协商</w:t>
      </w:r>
      <w:r>
        <w:rPr>
          <w:rFonts w:hint="eastAsia" w:ascii="宋体" w:hAnsi="宋体" w:eastAsia="宋体" w:cs="宋体"/>
          <w:color w:val="auto"/>
          <w:kern w:val="0"/>
          <w:sz w:val="20"/>
          <w:szCs w:val="21"/>
          <w:highlight w:val="none"/>
          <w:lang w:eastAsia="zh-CN"/>
        </w:rPr>
        <w:t>磋商</w:t>
      </w:r>
      <w:r>
        <w:rPr>
          <w:rFonts w:hint="eastAsia" w:ascii="宋体" w:hAnsi="宋体" w:eastAsia="宋体" w:cs="宋体"/>
          <w:color w:val="auto"/>
          <w:kern w:val="0"/>
          <w:sz w:val="20"/>
          <w:szCs w:val="21"/>
          <w:highlight w:val="none"/>
        </w:rPr>
        <w:t>的；</w:t>
      </w:r>
    </w:p>
    <w:p w14:paraId="08A7FD77">
      <w:pPr>
        <w:numPr>
          <w:ilvl w:val="0"/>
          <w:numId w:val="1"/>
        </w:numPr>
        <w:tabs>
          <w:tab w:val="left" w:pos="945"/>
        </w:tabs>
        <w:spacing w:line="480" w:lineRule="auto"/>
        <w:ind w:left="114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拒绝有关部门监督检查或提供虚假情况的。</w:t>
      </w:r>
    </w:p>
    <w:p w14:paraId="15D1375B">
      <w:pPr>
        <w:spacing w:line="480" w:lineRule="auto"/>
        <w:ind w:firstLine="420"/>
        <w:rPr>
          <w:rFonts w:hint="eastAsia" w:ascii="宋体" w:hAnsi="宋体" w:eastAsia="宋体" w:cs="宋体"/>
          <w:b/>
          <w:bCs/>
          <w:color w:val="auto"/>
          <w:kern w:val="0"/>
          <w:szCs w:val="21"/>
          <w:highlight w:val="none"/>
        </w:rPr>
      </w:pPr>
      <w:r>
        <w:rPr>
          <w:rFonts w:hint="eastAsia" w:ascii="宋体" w:hAnsi="宋体" w:eastAsia="宋体" w:cs="宋体"/>
          <w:color w:val="auto"/>
          <w:kern w:val="0"/>
          <w:sz w:val="20"/>
          <w:szCs w:val="20"/>
          <w:highlight w:val="none"/>
          <w:lang w:val="en-US" w:eastAsia="zh-CN"/>
        </w:rPr>
        <w:t>11、</w:t>
      </w:r>
      <w:r>
        <w:rPr>
          <w:rFonts w:hint="eastAsia" w:eastAsia="宋体" w:cs="Times New Roman"/>
          <w:color w:val="auto"/>
          <w:highlight w:val="none"/>
        </w:rPr>
        <w:t>以上事项如有虚假或</w:t>
      </w:r>
      <w:r>
        <w:rPr>
          <w:rFonts w:hint="eastAsia" w:cs="Times New Roman"/>
          <w:color w:val="auto"/>
          <w:highlight w:val="none"/>
          <w:lang w:val="en-US" w:eastAsia="zh-CN"/>
        </w:rPr>
        <w:t>者</w:t>
      </w:r>
      <w:r>
        <w:rPr>
          <w:rFonts w:hint="eastAsia" w:eastAsia="宋体" w:cs="Times New Roman"/>
          <w:color w:val="auto"/>
          <w:highlight w:val="none"/>
        </w:rPr>
        <w:t>隐瞒，我方愿意承担一切后果，并不再寻求任何旨在减轻或</w:t>
      </w:r>
      <w:r>
        <w:rPr>
          <w:rFonts w:hint="eastAsia" w:cs="Times New Roman"/>
          <w:color w:val="auto"/>
          <w:highlight w:val="none"/>
          <w:lang w:val="en-US" w:eastAsia="zh-CN"/>
        </w:rPr>
        <w:t>者</w:t>
      </w:r>
      <w:r>
        <w:rPr>
          <w:rFonts w:hint="eastAsia" w:eastAsia="宋体" w:cs="Times New Roman"/>
          <w:color w:val="auto"/>
          <w:highlight w:val="none"/>
        </w:rPr>
        <w:t>免除法律责任的辩解</w:t>
      </w:r>
      <w:r>
        <w:rPr>
          <w:rFonts w:hint="eastAsia" w:eastAsia="宋体" w:cs="Times New Roman"/>
          <w:color w:val="auto"/>
          <w:highlight w:val="none"/>
          <w:lang w:eastAsia="zh-CN"/>
        </w:rPr>
        <w:t>。</w:t>
      </w:r>
    </w:p>
    <w:p w14:paraId="68D4E222">
      <w:pPr>
        <w:spacing w:line="480" w:lineRule="auto"/>
        <w:ind w:firstLine="420"/>
        <w:rPr>
          <w:rFonts w:hint="eastAsia" w:ascii="宋体" w:hAnsi="宋体" w:eastAsia="宋体" w:cs="宋体"/>
          <w:b/>
          <w:bCs/>
          <w:color w:val="auto"/>
          <w:kern w:val="0"/>
          <w:sz w:val="21"/>
          <w:szCs w:val="21"/>
          <w:highlight w:val="none"/>
        </w:rPr>
      </w:pPr>
      <w:r>
        <w:rPr>
          <w:rFonts w:hint="eastAsia" w:ascii="宋体" w:hAnsi="宋体" w:eastAsia="宋体" w:cs="宋体"/>
          <w:b/>
          <w:bCs/>
          <w:color w:val="auto"/>
          <w:kern w:val="0"/>
          <w:szCs w:val="21"/>
          <w:highlight w:val="none"/>
        </w:rPr>
        <w:t>1</w:t>
      </w:r>
      <w:r>
        <w:rPr>
          <w:rFonts w:hint="default" w:ascii="宋体" w:hAnsi="宋体" w:eastAsia="宋体" w:cs="宋体"/>
          <w:b/>
          <w:bCs/>
          <w:color w:val="auto"/>
          <w:kern w:val="0"/>
          <w:szCs w:val="21"/>
          <w:highlight w:val="none"/>
          <w:lang w:val="en-US"/>
        </w:rPr>
        <w:t>2</w:t>
      </w:r>
      <w:r>
        <w:rPr>
          <w:rFonts w:hint="eastAsia" w:ascii="宋体" w:hAnsi="宋体" w:eastAsia="宋体" w:cs="宋体"/>
          <w:b/>
          <w:bCs/>
          <w:color w:val="auto"/>
          <w:kern w:val="0"/>
          <w:szCs w:val="21"/>
          <w:highlight w:val="none"/>
          <w:lang w:val="en-US" w:eastAsia="zh-CN"/>
        </w:rPr>
        <w:t>、</w:t>
      </w:r>
      <w:r>
        <w:rPr>
          <w:rFonts w:hint="eastAsia" w:ascii="宋体" w:hAnsi="宋体" w:eastAsia="宋体" w:cs="宋体"/>
          <w:b/>
          <w:bCs/>
          <w:color w:val="auto"/>
          <w:kern w:val="0"/>
          <w:szCs w:val="21"/>
          <w:highlight w:val="none"/>
        </w:rPr>
        <w:t>与本磋商有关的一切正式往来信函请寄</w:t>
      </w:r>
      <w:r>
        <w:rPr>
          <w:rFonts w:hint="eastAsia" w:ascii="宋体" w:hAnsi="宋体" w:eastAsia="宋体" w:cs="宋体"/>
          <w:b/>
          <w:bCs/>
          <w:color w:val="auto"/>
          <w:kern w:val="0"/>
          <w:sz w:val="21"/>
          <w:szCs w:val="21"/>
          <w:highlight w:val="none"/>
        </w:rPr>
        <w:t>：</w:t>
      </w:r>
      <w:r>
        <w:rPr>
          <w:rFonts w:hint="eastAsia" w:ascii="宋体" w:hAnsi="宋体" w:eastAsia="宋体" w:cs="宋体"/>
          <w:b/>
          <w:bCs/>
          <w:color w:val="auto"/>
          <w:kern w:val="0"/>
          <w:sz w:val="21"/>
          <w:szCs w:val="21"/>
          <w:highlight w:val="none"/>
          <w:u w:val="none"/>
        </w:rPr>
        <w:t xml:space="preserve"> </w:t>
      </w:r>
    </w:p>
    <w:p w14:paraId="41C33C34">
      <w:pPr>
        <w:spacing w:line="480" w:lineRule="auto"/>
        <w:ind w:firstLine="420"/>
        <w:rPr>
          <w:rFonts w:hint="eastAsia" w:ascii="宋体" w:hAnsi="宋体" w:eastAsia="宋体" w:cs="宋体"/>
          <w:color w:val="auto"/>
          <w:kern w:val="0"/>
          <w:sz w:val="20"/>
          <w:szCs w:val="21"/>
          <w:highlight w:val="none"/>
        </w:rPr>
      </w:pPr>
      <w:r>
        <w:rPr>
          <w:rFonts w:hint="eastAsia" w:ascii="宋体" w:hAnsi="宋体" w:eastAsia="宋体" w:cs="宋体"/>
          <w:color w:val="auto"/>
          <w:kern w:val="0"/>
          <w:sz w:val="20"/>
          <w:szCs w:val="21"/>
          <w:highlight w:val="none"/>
        </w:rPr>
        <w:t>地址：</w:t>
      </w:r>
      <w:r>
        <w:rPr>
          <w:rFonts w:hint="eastAsia" w:ascii="宋体" w:hAnsi="宋体" w:eastAsia="宋体" w:cs="宋体"/>
          <w:color w:val="auto"/>
          <w:kern w:val="0"/>
          <w:sz w:val="20"/>
          <w:szCs w:val="21"/>
          <w:highlight w:val="none"/>
          <w:u w:val="single"/>
        </w:rPr>
        <w:t xml:space="preserve">                                                        </w:t>
      </w:r>
      <w:r>
        <w:rPr>
          <w:rFonts w:hint="eastAsia" w:ascii="宋体" w:hAnsi="宋体" w:eastAsia="宋体" w:cs="宋体"/>
          <w:color w:val="auto"/>
          <w:kern w:val="0"/>
          <w:sz w:val="20"/>
          <w:szCs w:val="21"/>
          <w:highlight w:val="none"/>
        </w:rPr>
        <w:t xml:space="preserve"> </w:t>
      </w:r>
    </w:p>
    <w:p w14:paraId="00D6075A">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电话：</w:t>
      </w:r>
      <w:r>
        <w:rPr>
          <w:rFonts w:hint="eastAsia" w:ascii="宋体" w:hAnsi="宋体" w:eastAsia="宋体" w:cs="宋体"/>
          <w:color w:val="auto"/>
          <w:kern w:val="0"/>
          <w:sz w:val="20"/>
          <w:szCs w:val="21"/>
          <w:highlight w:val="none"/>
          <w:u w:val="single"/>
        </w:rPr>
        <w:t xml:space="preserve">                                      　　　　　　　　　</w:t>
      </w:r>
    </w:p>
    <w:p w14:paraId="6BF60BB4">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传真：</w:t>
      </w:r>
      <w:r>
        <w:rPr>
          <w:rFonts w:hint="eastAsia" w:ascii="宋体" w:hAnsi="宋体" w:eastAsia="宋体" w:cs="宋体"/>
          <w:color w:val="auto"/>
          <w:kern w:val="0"/>
          <w:sz w:val="20"/>
          <w:szCs w:val="21"/>
          <w:highlight w:val="none"/>
          <w:u w:val="single"/>
        </w:rPr>
        <w:t>　　　　　　　　　　　　　　　　　　　　　　　　　　　　</w:t>
      </w:r>
    </w:p>
    <w:p w14:paraId="6BA5E365">
      <w:pPr>
        <w:spacing w:line="480" w:lineRule="auto"/>
        <w:ind w:firstLine="420"/>
        <w:rPr>
          <w:rFonts w:hint="eastAsia" w:ascii="宋体" w:hAnsi="宋体" w:eastAsia="宋体" w:cs="宋体"/>
          <w:color w:val="auto"/>
          <w:highlight w:val="none"/>
          <w:lang w:val="en-US" w:eastAsia="zh-CN"/>
        </w:rPr>
      </w:pPr>
      <w:r>
        <w:rPr>
          <w:rFonts w:hint="eastAsia" w:ascii="宋体" w:hAnsi="宋体" w:eastAsia="宋体" w:cs="宋体"/>
          <w:color w:val="auto"/>
          <w:kern w:val="0"/>
          <w:sz w:val="20"/>
          <w:szCs w:val="21"/>
          <w:highlight w:val="none"/>
          <w:u w:val="none"/>
          <w:lang w:val="en-US" w:eastAsia="zh-CN"/>
        </w:rPr>
        <w:t>电子邮箱：</w:t>
      </w:r>
      <w:r>
        <w:rPr>
          <w:rFonts w:hint="eastAsia" w:ascii="宋体" w:hAnsi="宋体" w:eastAsia="宋体" w:cs="宋体"/>
          <w:color w:val="auto"/>
          <w:kern w:val="0"/>
          <w:sz w:val="20"/>
          <w:szCs w:val="21"/>
          <w:highlight w:val="none"/>
          <w:u w:val="single"/>
        </w:rPr>
        <w:t>　　　　　　　　　　　　　　　　　　　　　　　　　　</w:t>
      </w:r>
    </w:p>
    <w:p w14:paraId="4F4F0B3C">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邮政编码：</w:t>
      </w:r>
      <w:r>
        <w:rPr>
          <w:rFonts w:hint="eastAsia" w:ascii="宋体" w:hAnsi="宋体" w:eastAsia="宋体" w:cs="宋体"/>
          <w:color w:val="auto"/>
          <w:kern w:val="0"/>
          <w:sz w:val="20"/>
          <w:szCs w:val="21"/>
          <w:highlight w:val="none"/>
          <w:u w:val="single"/>
        </w:rPr>
        <w:t xml:space="preserve">                                                    </w:t>
      </w:r>
    </w:p>
    <w:p w14:paraId="294CBBCF">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开户名称：</w:t>
      </w:r>
      <w:r>
        <w:rPr>
          <w:rFonts w:hint="eastAsia" w:ascii="宋体" w:hAnsi="宋体" w:eastAsia="宋体" w:cs="宋体"/>
          <w:color w:val="auto"/>
          <w:kern w:val="0"/>
          <w:sz w:val="20"/>
          <w:szCs w:val="21"/>
          <w:highlight w:val="none"/>
          <w:u w:val="single"/>
        </w:rPr>
        <w:t xml:space="preserve">                                                    </w:t>
      </w:r>
    </w:p>
    <w:p w14:paraId="180E645B">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开户银行：</w:t>
      </w:r>
      <w:r>
        <w:rPr>
          <w:rFonts w:hint="eastAsia" w:ascii="宋体" w:hAnsi="宋体" w:eastAsia="宋体" w:cs="宋体"/>
          <w:color w:val="auto"/>
          <w:kern w:val="0"/>
          <w:sz w:val="20"/>
          <w:szCs w:val="21"/>
          <w:highlight w:val="none"/>
          <w:u w:val="single"/>
        </w:rPr>
        <w:t xml:space="preserve">                                                    </w:t>
      </w:r>
    </w:p>
    <w:p w14:paraId="017A5E3C">
      <w:pPr>
        <w:spacing w:line="480" w:lineRule="auto"/>
        <w:ind w:firstLine="420"/>
        <w:rPr>
          <w:rFonts w:hint="eastAsia" w:ascii="宋体" w:hAnsi="宋体" w:eastAsia="宋体" w:cs="宋体"/>
          <w:color w:val="auto"/>
          <w:kern w:val="0"/>
          <w:sz w:val="20"/>
          <w:szCs w:val="21"/>
          <w:highlight w:val="none"/>
          <w:u w:val="single"/>
        </w:rPr>
      </w:pPr>
      <w:r>
        <w:rPr>
          <w:rFonts w:hint="eastAsia" w:ascii="宋体" w:hAnsi="宋体" w:eastAsia="宋体" w:cs="宋体"/>
          <w:color w:val="auto"/>
          <w:kern w:val="0"/>
          <w:sz w:val="20"/>
          <w:szCs w:val="21"/>
          <w:highlight w:val="none"/>
        </w:rPr>
        <w:t>银行账号：</w:t>
      </w:r>
      <w:r>
        <w:rPr>
          <w:rFonts w:hint="eastAsia" w:ascii="宋体" w:hAnsi="宋体" w:eastAsia="宋体" w:cs="宋体"/>
          <w:color w:val="auto"/>
          <w:kern w:val="0"/>
          <w:sz w:val="20"/>
          <w:szCs w:val="21"/>
          <w:highlight w:val="none"/>
          <w:u w:val="single"/>
        </w:rPr>
        <w:t xml:space="preserve">                                                    </w:t>
      </w:r>
    </w:p>
    <w:p w14:paraId="77B1E3FA">
      <w:pPr>
        <w:pStyle w:val="15"/>
        <w:tabs>
          <w:tab w:val="left" w:pos="939"/>
        </w:tabs>
        <w:spacing w:line="480" w:lineRule="auto"/>
        <w:ind w:left="141" w:leftChars="67" w:firstLine="315" w:firstLineChars="150"/>
        <w:rPr>
          <w:rFonts w:hint="eastAsia" w:ascii="宋体" w:hAnsi="宋体" w:eastAsia="宋体" w:cs="宋体"/>
          <w:color w:val="auto"/>
          <w:szCs w:val="21"/>
          <w:highlight w:val="none"/>
        </w:rPr>
      </w:pPr>
      <w:r>
        <w:rPr>
          <w:rFonts w:hint="eastAsia" w:ascii="宋体" w:hAnsi="宋体" w:eastAsia="宋体" w:cs="宋体"/>
          <w:color w:val="auto"/>
          <w:szCs w:val="21"/>
          <w:highlight w:val="none"/>
        </w:rPr>
        <w:t>特此承诺。</w:t>
      </w:r>
    </w:p>
    <w:p w14:paraId="6B17647C">
      <w:pPr>
        <w:spacing w:line="360" w:lineRule="auto"/>
        <w:contextualSpacing/>
        <w:jc w:val="left"/>
        <w:rPr>
          <w:rFonts w:hint="eastAsia" w:ascii="宋体" w:hAnsi="宋体" w:eastAsia="宋体" w:cs="宋体"/>
          <w:color w:val="auto"/>
          <w:szCs w:val="21"/>
          <w:highlight w:val="none"/>
        </w:rPr>
      </w:pPr>
    </w:p>
    <w:p w14:paraId="53F73A4C">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4DA0F9C2">
      <w:pPr>
        <w:autoSpaceDE w:val="0"/>
        <w:autoSpaceDN w:val="0"/>
        <w:spacing w:line="360" w:lineRule="auto"/>
        <w:ind w:firstLine="6480" w:firstLineChars="27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日期：  年  月   日</w:t>
      </w:r>
    </w:p>
    <w:p w14:paraId="3D5754B7">
      <w:pPr>
        <w:spacing w:line="500" w:lineRule="exact"/>
        <w:ind w:firstLine="0" w:firstLineChars="0"/>
        <w:rPr>
          <w:rFonts w:hint="eastAsia" w:ascii="宋体" w:hAnsi="宋体" w:eastAsia="宋体" w:cs="宋体"/>
          <w:b/>
          <w:color w:val="auto"/>
          <w:sz w:val="28"/>
          <w:szCs w:val="28"/>
          <w:highlight w:val="none"/>
          <w:lang w:val="en-US" w:eastAsia="zh-CN"/>
        </w:rPr>
      </w:pPr>
    </w:p>
    <w:p w14:paraId="09940189">
      <w:pPr>
        <w:spacing w:line="500" w:lineRule="exact"/>
        <w:ind w:firstLine="0" w:firstLineChars="0"/>
        <w:rPr>
          <w:rFonts w:hint="eastAsia" w:ascii="仿宋" w:hAnsi="仿宋" w:eastAsia="仿宋" w:cs="仿宋_GB2312"/>
          <w:b/>
          <w:color w:val="auto"/>
          <w:sz w:val="30"/>
          <w:szCs w:val="30"/>
          <w:highlight w:val="none"/>
          <w:lang w:val="zh-CN" w:eastAsia="zh-CN"/>
        </w:rPr>
      </w:pPr>
      <w:r>
        <w:rPr>
          <w:rFonts w:hint="eastAsia" w:ascii="宋体" w:hAnsi="宋体" w:eastAsia="宋体" w:cs="宋体"/>
          <w:b/>
          <w:color w:val="auto"/>
          <w:sz w:val="28"/>
          <w:szCs w:val="28"/>
          <w:highlight w:val="none"/>
          <w:lang w:val="en-US" w:eastAsia="zh-CN"/>
        </w:rPr>
        <w:br w:type="page"/>
      </w:r>
      <w:r>
        <w:rPr>
          <w:rFonts w:hint="eastAsia" w:ascii="宋体" w:hAnsi="宋体" w:eastAsia="宋体" w:cs="宋体"/>
          <w:b/>
          <w:color w:val="auto"/>
          <w:sz w:val="28"/>
          <w:szCs w:val="28"/>
          <w:highlight w:val="none"/>
          <w:lang w:val="en-US" w:eastAsia="zh-CN"/>
        </w:rPr>
        <w:t>4</w:t>
      </w:r>
      <w:r>
        <w:rPr>
          <w:rFonts w:hint="eastAsia" w:ascii="宋体" w:hAnsi="宋体" w:eastAsia="宋体" w:cs="宋体"/>
          <w:b/>
          <w:color w:val="auto"/>
          <w:sz w:val="28"/>
          <w:szCs w:val="28"/>
          <w:highlight w:val="none"/>
          <w:lang w:val="zh-CN" w:eastAsia="zh-CN"/>
        </w:rPr>
        <w:t>.响应报价表的格式：</w:t>
      </w:r>
      <w:r>
        <w:rPr>
          <w:rFonts w:hint="eastAsia" w:ascii="仿宋" w:hAnsi="仿宋" w:eastAsia="仿宋" w:cs="仿宋_GB2312"/>
          <w:b/>
          <w:color w:val="auto"/>
          <w:sz w:val="30"/>
          <w:szCs w:val="30"/>
          <w:highlight w:val="none"/>
          <w:lang w:val="zh-CN" w:eastAsia="zh-CN"/>
        </w:rPr>
        <w:t xml:space="preserve"> </w:t>
      </w:r>
    </w:p>
    <w:p w14:paraId="61A498DF">
      <w:pPr>
        <w:spacing w:line="520" w:lineRule="exact"/>
        <w:ind w:firstLine="420" w:firstLineChars="200"/>
        <w:rPr>
          <w:rFonts w:hint="eastAsia" w:ascii="Calibri" w:hAnsi="Calibri"/>
          <w:color w:val="auto"/>
          <w:highlight w:val="none"/>
        </w:rPr>
      </w:pPr>
    </w:p>
    <w:p w14:paraId="11B5EF28">
      <w:pPr>
        <w:spacing w:line="520" w:lineRule="exact"/>
        <w:ind w:firstLine="0" w:firstLineChars="0"/>
        <w:jc w:val="center"/>
        <w:rPr>
          <w:rFonts w:hint="eastAsia"/>
          <w:b/>
          <w:bCs/>
          <w:color w:val="auto"/>
          <w:sz w:val="32"/>
          <w:szCs w:val="32"/>
          <w:highlight w:val="none"/>
        </w:rPr>
      </w:pPr>
      <w:r>
        <w:rPr>
          <w:rFonts w:hint="eastAsia"/>
          <w:b/>
          <w:bCs/>
          <w:color w:val="auto"/>
          <w:sz w:val="32"/>
          <w:szCs w:val="32"/>
          <w:highlight w:val="none"/>
        </w:rPr>
        <w:t>响应报价表</w:t>
      </w:r>
    </w:p>
    <w:p w14:paraId="492B9ECD">
      <w:pPr>
        <w:snapToGrid w:val="0"/>
        <w:spacing w:before="50" w:after="50" w:line="360" w:lineRule="auto"/>
        <w:rPr>
          <w:rFonts w:hint="eastAsia"/>
          <w:color w:val="auto"/>
          <w:sz w:val="24"/>
          <w:highlight w:val="none"/>
        </w:rPr>
      </w:pPr>
    </w:p>
    <w:p w14:paraId="4F5E6E48">
      <w:pPr>
        <w:snapToGrid w:val="0"/>
        <w:spacing w:before="50" w:after="50" w:line="24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14:paraId="63DC6794">
      <w:pPr>
        <w:snapToGrid w:val="0"/>
        <w:spacing w:before="50" w:after="50" w:line="24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14:paraId="1154A33B">
      <w:pPr>
        <w:snapToGrid/>
        <w:spacing w:before="0" w:after="0" w:line="240" w:lineRule="auto"/>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tbl>
      <w:tblPr>
        <w:tblStyle w:val="28"/>
        <w:tblW w:w="981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99"/>
        <w:gridCol w:w="1629"/>
        <w:gridCol w:w="1799"/>
        <w:gridCol w:w="2368"/>
      </w:tblGrid>
      <w:tr w14:paraId="1830CB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jc w:val="center"/>
        </w:trPr>
        <w:tc>
          <w:tcPr>
            <w:tcW w:w="3299" w:type="dxa"/>
            <w:tcBorders>
              <w:top w:val="single" w:color="auto" w:sz="4" w:space="0"/>
              <w:left w:val="single" w:color="auto" w:sz="4" w:space="0"/>
              <w:bottom w:val="single" w:color="auto" w:sz="4" w:space="0"/>
              <w:right w:val="single" w:color="auto" w:sz="4" w:space="0"/>
            </w:tcBorders>
            <w:noWrap w:val="0"/>
            <w:vAlign w:val="center"/>
          </w:tcPr>
          <w:p w14:paraId="415F1A46">
            <w:pPr>
              <w:spacing w:line="360" w:lineRule="auto"/>
              <w:contextualSpacing/>
              <w:jc w:val="center"/>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lang w:eastAsia="zh-CN"/>
              </w:rPr>
              <w:t>标的名称</w:t>
            </w:r>
          </w:p>
        </w:tc>
        <w:tc>
          <w:tcPr>
            <w:tcW w:w="1629" w:type="dxa"/>
            <w:tcBorders>
              <w:top w:val="single" w:color="auto" w:sz="4" w:space="0"/>
              <w:left w:val="single" w:color="auto" w:sz="4" w:space="0"/>
              <w:bottom w:val="single" w:color="auto" w:sz="4" w:space="0"/>
              <w:right w:val="single" w:color="auto" w:sz="4" w:space="0"/>
            </w:tcBorders>
            <w:noWrap w:val="0"/>
            <w:vAlign w:val="center"/>
          </w:tcPr>
          <w:p w14:paraId="50F44107">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数量</w:t>
            </w:r>
          </w:p>
        </w:tc>
        <w:tc>
          <w:tcPr>
            <w:tcW w:w="1799" w:type="dxa"/>
            <w:tcBorders>
              <w:top w:val="single" w:color="auto" w:sz="4" w:space="0"/>
              <w:left w:val="single" w:color="auto" w:sz="4" w:space="0"/>
              <w:bottom w:val="single" w:color="auto" w:sz="4" w:space="0"/>
              <w:right w:val="single" w:color="auto" w:sz="4" w:space="0"/>
            </w:tcBorders>
            <w:noWrap w:val="0"/>
            <w:vAlign w:val="center"/>
          </w:tcPr>
          <w:p w14:paraId="2A937837">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单位</w:t>
            </w:r>
          </w:p>
        </w:tc>
        <w:tc>
          <w:tcPr>
            <w:tcW w:w="2368" w:type="dxa"/>
            <w:tcBorders>
              <w:top w:val="single" w:color="auto" w:sz="4" w:space="0"/>
              <w:left w:val="single" w:color="auto" w:sz="4" w:space="0"/>
              <w:bottom w:val="single" w:color="auto" w:sz="4" w:space="0"/>
              <w:right w:val="single" w:color="auto" w:sz="4" w:space="0"/>
            </w:tcBorders>
            <w:noWrap w:val="0"/>
            <w:vAlign w:val="center"/>
          </w:tcPr>
          <w:p w14:paraId="071F6B1B">
            <w:pPr>
              <w:spacing w:line="360" w:lineRule="auto"/>
              <w:contextualSpacing/>
              <w:jc w:val="center"/>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lang w:eastAsia="zh-CN"/>
              </w:rPr>
              <w:t>服务内容</w:t>
            </w:r>
          </w:p>
        </w:tc>
      </w:tr>
      <w:tr w14:paraId="1BFE72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jc w:val="center"/>
        </w:trPr>
        <w:tc>
          <w:tcPr>
            <w:tcW w:w="3299" w:type="dxa"/>
            <w:tcBorders>
              <w:top w:val="single" w:color="auto" w:sz="4" w:space="0"/>
              <w:left w:val="single" w:color="auto" w:sz="4" w:space="0"/>
              <w:bottom w:val="single" w:color="auto" w:sz="4" w:space="0"/>
              <w:right w:val="single" w:color="auto" w:sz="4" w:space="0"/>
            </w:tcBorders>
            <w:noWrap w:val="0"/>
            <w:vAlign w:val="center"/>
          </w:tcPr>
          <w:p w14:paraId="4F4B3057">
            <w:pPr>
              <w:spacing w:line="360" w:lineRule="auto"/>
              <w:contextualSpacing/>
              <w:jc w:val="center"/>
              <w:rPr>
                <w:rFonts w:ascii="宋体" w:hAnsi="宋体" w:cs="仿宋_GB2312"/>
                <w:color w:val="auto"/>
                <w:sz w:val="24"/>
                <w:highlight w:val="none"/>
              </w:rPr>
            </w:pPr>
          </w:p>
        </w:tc>
        <w:tc>
          <w:tcPr>
            <w:tcW w:w="1629" w:type="dxa"/>
            <w:tcBorders>
              <w:top w:val="single" w:color="auto" w:sz="4" w:space="0"/>
              <w:left w:val="single" w:color="auto" w:sz="4" w:space="0"/>
              <w:bottom w:val="single" w:color="auto" w:sz="4" w:space="0"/>
              <w:right w:val="single" w:color="auto" w:sz="4" w:space="0"/>
            </w:tcBorders>
            <w:noWrap w:val="0"/>
            <w:vAlign w:val="center"/>
          </w:tcPr>
          <w:p w14:paraId="2180B510">
            <w:pPr>
              <w:spacing w:line="360" w:lineRule="auto"/>
              <w:contextualSpacing/>
              <w:jc w:val="center"/>
              <w:rPr>
                <w:rFonts w:ascii="宋体" w:hAnsi="宋体" w:cs="仿宋_GB2312"/>
                <w:color w:val="auto"/>
                <w:sz w:val="24"/>
                <w:highlight w:val="none"/>
              </w:rPr>
            </w:pPr>
          </w:p>
        </w:tc>
        <w:tc>
          <w:tcPr>
            <w:tcW w:w="1799" w:type="dxa"/>
            <w:tcBorders>
              <w:top w:val="single" w:color="auto" w:sz="4" w:space="0"/>
              <w:left w:val="single" w:color="auto" w:sz="4" w:space="0"/>
              <w:bottom w:val="single" w:color="auto" w:sz="4" w:space="0"/>
              <w:right w:val="single" w:color="auto" w:sz="4" w:space="0"/>
            </w:tcBorders>
            <w:noWrap w:val="0"/>
            <w:vAlign w:val="center"/>
          </w:tcPr>
          <w:p w14:paraId="7F27B611">
            <w:pPr>
              <w:spacing w:line="360" w:lineRule="auto"/>
              <w:contextualSpacing/>
              <w:jc w:val="center"/>
              <w:rPr>
                <w:rFonts w:ascii="宋体" w:hAnsi="宋体" w:cs="仿宋_GB2312"/>
                <w:color w:val="auto"/>
                <w:sz w:val="24"/>
                <w:highlight w:val="none"/>
              </w:rPr>
            </w:pPr>
          </w:p>
        </w:tc>
        <w:tc>
          <w:tcPr>
            <w:tcW w:w="2368" w:type="dxa"/>
            <w:tcBorders>
              <w:top w:val="single" w:color="auto" w:sz="4" w:space="0"/>
              <w:left w:val="single" w:color="auto" w:sz="4" w:space="0"/>
              <w:bottom w:val="single" w:color="auto" w:sz="4" w:space="0"/>
              <w:right w:val="single" w:color="auto" w:sz="4" w:space="0"/>
            </w:tcBorders>
            <w:noWrap w:val="0"/>
            <w:vAlign w:val="top"/>
          </w:tcPr>
          <w:p w14:paraId="72E8F05D">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具体服务内容详见</w:t>
            </w:r>
            <w:r>
              <w:rPr>
                <w:rFonts w:hint="eastAsia" w:ascii="宋体" w:hAnsi="宋体" w:cs="仿宋_GB2312"/>
                <w:color w:val="auto"/>
                <w:sz w:val="24"/>
                <w:highlight w:val="none"/>
                <w:lang w:eastAsia="zh-CN"/>
              </w:rPr>
              <w:t>商务技术文件</w:t>
            </w:r>
            <w:r>
              <w:rPr>
                <w:rFonts w:hint="eastAsia" w:ascii="宋体" w:hAnsi="宋体" w:cs="仿宋_GB2312"/>
                <w:color w:val="auto"/>
                <w:sz w:val="24"/>
                <w:highlight w:val="none"/>
              </w:rPr>
              <w:t>“服务要求</w:t>
            </w:r>
            <w:r>
              <w:rPr>
                <w:rFonts w:hint="eastAsia" w:ascii="宋体" w:hAnsi="宋体" w:cs="仿宋_GB2312"/>
                <w:color w:val="auto"/>
                <w:sz w:val="24"/>
                <w:highlight w:val="none"/>
                <w:lang w:eastAsia="zh-CN"/>
              </w:rPr>
              <w:t>偏离</w:t>
            </w:r>
            <w:r>
              <w:rPr>
                <w:rFonts w:hint="eastAsia" w:ascii="宋体" w:hAnsi="宋体" w:cs="仿宋_GB2312"/>
                <w:color w:val="auto"/>
                <w:sz w:val="24"/>
                <w:highlight w:val="none"/>
              </w:rPr>
              <w:t>表”</w:t>
            </w:r>
          </w:p>
        </w:tc>
      </w:tr>
      <w:tr w14:paraId="4C25E8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jc w:val="center"/>
        </w:trPr>
        <w:tc>
          <w:tcPr>
            <w:tcW w:w="9095" w:type="dxa"/>
            <w:gridSpan w:val="4"/>
            <w:tcBorders>
              <w:top w:val="single" w:color="auto" w:sz="4" w:space="0"/>
              <w:left w:val="single" w:color="auto" w:sz="4" w:space="0"/>
              <w:bottom w:val="single" w:color="auto" w:sz="4" w:space="0"/>
              <w:right w:val="single" w:color="auto" w:sz="4" w:space="0"/>
            </w:tcBorders>
            <w:noWrap w:val="0"/>
            <w:vAlign w:val="center"/>
          </w:tcPr>
          <w:p w14:paraId="56B097D3">
            <w:pPr>
              <w:spacing w:line="360" w:lineRule="auto"/>
              <w:contextualSpacing/>
              <w:rPr>
                <w:rFonts w:ascii="宋体" w:hAnsi="宋体" w:cs="仿宋_GB2312"/>
                <w:color w:val="auto"/>
                <w:sz w:val="24"/>
                <w:highlight w:val="none"/>
              </w:rPr>
            </w:pPr>
            <w:r>
              <w:rPr>
                <w:rFonts w:hint="eastAsia" w:ascii="宋体" w:hAnsi="宋体" w:cs="仿宋_GB2312"/>
                <w:color w:val="auto"/>
                <w:sz w:val="24"/>
                <w:highlight w:val="none"/>
                <w:lang w:eastAsia="zh-CN"/>
              </w:rPr>
              <w:t>总</w:t>
            </w:r>
            <w:r>
              <w:rPr>
                <w:rFonts w:hint="eastAsia" w:ascii="宋体" w:hAnsi="宋体" w:cs="仿宋_GB2312"/>
                <w:color w:val="auto"/>
                <w:sz w:val="24"/>
                <w:highlight w:val="none"/>
              </w:rPr>
              <w:t>价（折扣率%）：</w:t>
            </w:r>
            <w:r>
              <w:rPr>
                <w:rFonts w:hint="eastAsia" w:ascii="宋体" w:hAnsi="宋体" w:cs="仿宋_GB2312"/>
                <w:color w:val="auto"/>
                <w:sz w:val="24"/>
                <w:highlight w:val="none"/>
                <w:u w:val="single"/>
              </w:rPr>
              <w:t xml:space="preserve"> </w:t>
            </w:r>
            <w:r>
              <w:rPr>
                <w:rFonts w:ascii="宋体" w:hAnsi="宋体" w:cs="仿宋_GB2312"/>
                <w:color w:val="auto"/>
                <w:sz w:val="24"/>
                <w:highlight w:val="none"/>
                <w:u w:val="single"/>
              </w:rPr>
              <w:t xml:space="preserve">   % </w:t>
            </w:r>
          </w:p>
        </w:tc>
      </w:tr>
    </w:tbl>
    <w:p w14:paraId="2D0058BA">
      <w:pPr>
        <w:snapToGrid w:val="0"/>
        <w:spacing w:before="50" w:after="50"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 xml:space="preserve">注： </w:t>
      </w:r>
    </w:p>
    <w:p w14:paraId="26D92FBB">
      <w:pPr>
        <w:snapToGrid w:val="0"/>
        <w:spacing w:before="50" w:after="50"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1</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供应商需按本表格式填写，不得自行更改，也不得留空（</w:t>
      </w:r>
      <w:r>
        <w:rPr>
          <w:rFonts w:hint="eastAsia" w:ascii="宋体" w:hAnsi="宋体" w:eastAsia="宋体" w:cs="宋体"/>
          <w:color w:val="auto"/>
          <w:sz w:val="21"/>
          <w:szCs w:val="21"/>
          <w:highlight w:val="none"/>
        </w:rPr>
        <w:t>备注</w:t>
      </w:r>
      <w:r>
        <w:rPr>
          <w:rFonts w:hint="eastAsia" w:ascii="宋体" w:hAnsi="宋体" w:eastAsia="宋体" w:cs="宋体"/>
          <w:color w:val="auto"/>
          <w:sz w:val="21"/>
          <w:szCs w:val="21"/>
          <w:highlight w:val="none"/>
          <w:lang w:eastAsia="zh-CN"/>
        </w:rPr>
        <w:t>一栏除外</w:t>
      </w:r>
      <w:r>
        <w:rPr>
          <w:rFonts w:hint="eastAsia" w:ascii="宋体" w:hAnsi="宋体" w:eastAsia="宋体" w:cs="宋体"/>
          <w:color w:val="auto"/>
          <w:kern w:val="0"/>
          <w:sz w:val="21"/>
          <w:szCs w:val="21"/>
          <w:highlight w:val="none"/>
          <w:lang w:val="zh-CN"/>
        </w:rPr>
        <w:t>）, 如有多分标，按分标分别提供响应报价表，</w:t>
      </w:r>
      <w:r>
        <w:rPr>
          <w:rFonts w:hint="eastAsia" w:ascii="宋体" w:hAnsi="宋体" w:eastAsia="宋体" w:cs="宋体"/>
          <w:b/>
          <w:color w:val="auto"/>
          <w:kern w:val="0"/>
          <w:sz w:val="21"/>
          <w:szCs w:val="21"/>
          <w:highlight w:val="none"/>
          <w:lang w:val="zh-CN"/>
        </w:rPr>
        <w:t>否则其响应按无效响应处理。</w:t>
      </w:r>
    </w:p>
    <w:p w14:paraId="1E09655C">
      <w:pPr>
        <w:snapToGrid w:val="0"/>
        <w:spacing w:before="50" w:after="50" w:line="360" w:lineRule="auto"/>
        <w:ind w:firstLine="420" w:firstLineChars="200"/>
        <w:jc w:val="left"/>
        <w:rPr>
          <w:rFonts w:hint="eastAsia" w:ascii="宋体" w:hAnsi="宋体" w:eastAsia="宋体" w:cs="宋体"/>
          <w:b/>
          <w:color w:val="auto"/>
          <w:kern w:val="0"/>
          <w:sz w:val="21"/>
          <w:szCs w:val="21"/>
          <w:highlight w:val="none"/>
          <w:lang w:val="zh-CN"/>
        </w:rPr>
      </w:pPr>
      <w:r>
        <w:rPr>
          <w:rFonts w:hint="eastAsia" w:ascii="宋体" w:hAnsi="宋体" w:eastAsia="宋体" w:cs="宋体"/>
          <w:color w:val="auto"/>
          <w:kern w:val="0"/>
          <w:sz w:val="21"/>
          <w:szCs w:val="21"/>
          <w:highlight w:val="none"/>
          <w:lang w:val="zh-CN"/>
        </w:rPr>
        <w:t>2</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报价一经涂改，应在涂改处加盖供应商公章或者加盖电子签章或者由法定代表人或者授权委托人签字（或者电子签名），</w:t>
      </w:r>
      <w:r>
        <w:rPr>
          <w:rFonts w:hint="eastAsia" w:ascii="宋体" w:hAnsi="宋体" w:eastAsia="宋体" w:cs="宋体"/>
          <w:b/>
          <w:bCs/>
          <w:color w:val="auto"/>
          <w:kern w:val="0"/>
          <w:sz w:val="21"/>
          <w:szCs w:val="21"/>
          <w:highlight w:val="none"/>
          <w:lang w:val="zh-CN"/>
        </w:rPr>
        <w:t>否则其响应文件按无效处理</w:t>
      </w:r>
      <w:r>
        <w:rPr>
          <w:rFonts w:hint="eastAsia" w:ascii="宋体" w:hAnsi="宋体" w:eastAsia="宋体" w:cs="宋体"/>
          <w:b/>
          <w:color w:val="auto"/>
          <w:kern w:val="0"/>
          <w:sz w:val="21"/>
          <w:szCs w:val="21"/>
          <w:highlight w:val="none"/>
          <w:lang w:val="zh-CN"/>
        </w:rPr>
        <w:t>。</w:t>
      </w:r>
    </w:p>
    <w:p w14:paraId="2C3F1F84">
      <w:pPr>
        <w:snapToGrid w:val="0"/>
        <w:spacing w:before="50" w:after="50" w:line="360" w:lineRule="auto"/>
        <w:ind w:firstLine="420" w:firstLineChars="200"/>
        <w:jc w:val="left"/>
        <w:rPr>
          <w:rFonts w:hint="eastAsia" w:ascii="宋体" w:hAnsi="宋体" w:eastAsia="宋体" w:cs="宋体"/>
          <w:b/>
          <w:color w:val="auto"/>
          <w:kern w:val="0"/>
          <w:sz w:val="21"/>
          <w:szCs w:val="21"/>
          <w:highlight w:val="none"/>
          <w:lang w:val="zh-CN"/>
        </w:rPr>
      </w:pPr>
      <w:r>
        <w:rPr>
          <w:rFonts w:hint="eastAsia" w:ascii="宋体" w:hAnsi="宋体" w:eastAsia="宋体" w:cs="宋体"/>
          <w:color w:val="auto"/>
          <w:kern w:val="0"/>
          <w:sz w:val="21"/>
          <w:szCs w:val="21"/>
          <w:highlight w:val="none"/>
          <w:lang w:val="zh-CN"/>
        </w:rPr>
        <w:t>3</w:t>
      </w:r>
      <w:r>
        <w:rPr>
          <w:rFonts w:hint="eastAsia" w:ascii="宋体" w:hAnsi="宋体" w:eastAsia="宋体" w:cs="宋体"/>
          <w:color w:val="auto"/>
          <w:kern w:val="0"/>
          <w:sz w:val="21"/>
          <w:szCs w:val="21"/>
          <w:highlight w:val="none"/>
          <w:lang w:val="en-US" w:eastAsia="zh-CN"/>
        </w:rPr>
        <w:t>.</w:t>
      </w:r>
      <w:r>
        <w:rPr>
          <w:rFonts w:hint="eastAsia" w:ascii="宋体" w:hAnsi="宋体" w:cs="宋体"/>
          <w:b/>
          <w:bCs/>
          <w:color w:val="auto"/>
          <w:kern w:val="0"/>
          <w:sz w:val="21"/>
          <w:szCs w:val="21"/>
          <w:highlight w:val="none"/>
          <w:lang w:val="en-US" w:eastAsia="zh-CN"/>
        </w:rPr>
        <w:t>不在有效报价范围内的响应报价按无效响应处理</w:t>
      </w:r>
      <w:r>
        <w:rPr>
          <w:rFonts w:hint="eastAsia" w:ascii="宋体" w:hAnsi="宋体" w:eastAsia="宋体" w:cs="宋体"/>
          <w:b/>
          <w:bCs/>
          <w:color w:val="auto"/>
          <w:sz w:val="21"/>
          <w:szCs w:val="21"/>
          <w:highlight w:val="none"/>
        </w:rPr>
        <w:t>。</w:t>
      </w:r>
    </w:p>
    <w:p w14:paraId="15DCB289">
      <w:pPr>
        <w:snapToGrid w:val="0"/>
        <w:spacing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4</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特别提示：采购代理机构将对项目名称和项目编号，成交供应商名称、地址和成交金额，主要成交标的名称、服务范围、服务要求、服务时间、服务标准等予以公示。</w:t>
      </w:r>
    </w:p>
    <w:p w14:paraId="1EAD82CE">
      <w:pPr>
        <w:snapToGrid w:val="0"/>
        <w:spacing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5</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符合采购文件中列明的可享受中小企业扶持政策的供应商，请填写中小企业声明函。</w:t>
      </w:r>
    </w:p>
    <w:p w14:paraId="20160281">
      <w:pPr>
        <w:snapToGrid w:val="0"/>
        <w:spacing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en-US" w:eastAsia="zh-CN"/>
        </w:rPr>
        <w:t>6.</w:t>
      </w:r>
      <w:r>
        <w:rPr>
          <w:rFonts w:hint="eastAsia" w:ascii="宋体" w:hAnsi="宋体" w:eastAsia="宋体" w:cs="宋体"/>
          <w:color w:val="auto"/>
          <w:kern w:val="0"/>
          <w:sz w:val="21"/>
          <w:szCs w:val="21"/>
          <w:highlight w:val="none"/>
          <w:lang w:val="zh-CN"/>
        </w:rPr>
        <w:t>供应商提供的中小企业声明函内容不实的，属于提供虚假材料谋取中标、成交，依照《中华人民共和国政府采购法》等国家有关规定追究相应责任。</w:t>
      </w:r>
    </w:p>
    <w:p w14:paraId="727AF498">
      <w:pPr>
        <w:autoSpaceDE w:val="0"/>
        <w:autoSpaceDN w:val="0"/>
        <w:spacing w:line="360" w:lineRule="auto"/>
        <w:ind w:left="0" w:leftChars="0" w:firstLine="4560" w:firstLineChars="1900"/>
        <w:rPr>
          <w:rFonts w:hint="eastAsia" w:ascii="宋体" w:hAnsi="宋体" w:eastAsia="宋体" w:cs="宋体"/>
          <w:color w:val="auto"/>
          <w:kern w:val="0"/>
          <w:sz w:val="24"/>
          <w:highlight w:val="none"/>
        </w:rPr>
      </w:pPr>
    </w:p>
    <w:p w14:paraId="6BA26357">
      <w:pPr>
        <w:autoSpaceDE w:val="0"/>
        <w:autoSpaceDN w:val="0"/>
        <w:spacing w:line="360" w:lineRule="auto"/>
        <w:ind w:left="0" w:leftChars="0" w:firstLine="4560" w:firstLineChars="19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21801470">
      <w:pPr>
        <w:autoSpaceDE w:val="0"/>
        <w:autoSpaceDN w:val="0"/>
        <w:spacing w:line="360" w:lineRule="auto"/>
        <w:ind w:firstLine="4560" w:firstLineChars="1900"/>
        <w:rPr>
          <w:rFonts w:hint="eastAsia" w:ascii="宋体" w:hAnsi="宋体" w:eastAsia="宋体" w:cs="宋体"/>
          <w:color w:val="auto"/>
          <w:kern w:val="0"/>
          <w:sz w:val="24"/>
          <w:szCs w:val="21"/>
          <w:highlight w:val="none"/>
          <w:lang w:val="zh-CN"/>
        </w:rPr>
      </w:pPr>
      <w:r>
        <w:rPr>
          <w:rFonts w:hint="eastAsia" w:ascii="宋体" w:hAnsi="宋体" w:eastAsia="宋体" w:cs="宋体"/>
          <w:color w:val="auto"/>
          <w:kern w:val="0"/>
          <w:sz w:val="24"/>
          <w:szCs w:val="21"/>
          <w:highlight w:val="none"/>
          <w:lang w:val="zh-CN"/>
        </w:rPr>
        <w:t>日期：  年  月   日</w:t>
      </w:r>
    </w:p>
    <w:p w14:paraId="708384A1">
      <w:pPr>
        <w:spacing w:line="500" w:lineRule="exact"/>
        <w:ind w:firstLine="0" w:firstLineChars="0"/>
        <w:rPr>
          <w:rFonts w:hint="eastAsia" w:ascii="仿宋" w:hAnsi="仿宋" w:eastAsia="仿宋" w:cs="仿宋_GB2312"/>
          <w:b/>
          <w:color w:val="auto"/>
          <w:sz w:val="30"/>
          <w:szCs w:val="30"/>
          <w:highlight w:val="none"/>
          <w:lang w:val="zh-CN" w:eastAsia="zh-CN"/>
        </w:rPr>
      </w:pPr>
      <w:r>
        <w:rPr>
          <w:rFonts w:hint="eastAsia" w:ascii="宋体" w:hAnsi="宋体" w:eastAsia="宋体" w:cs="宋体"/>
          <w:color w:val="auto"/>
          <w:kern w:val="0"/>
          <w:sz w:val="24"/>
          <w:szCs w:val="21"/>
          <w:highlight w:val="none"/>
          <w:lang w:val="zh-CN"/>
        </w:rPr>
        <w:br w:type="page"/>
      </w:r>
      <w:r>
        <w:rPr>
          <w:rFonts w:hint="eastAsia" w:ascii="宋体" w:hAnsi="宋体" w:eastAsia="宋体" w:cs="宋体"/>
          <w:b/>
          <w:color w:val="auto"/>
          <w:sz w:val="28"/>
          <w:szCs w:val="28"/>
          <w:highlight w:val="none"/>
          <w:lang w:val="en-US" w:eastAsia="zh-CN"/>
        </w:rPr>
        <w:t>5.</w:t>
      </w:r>
      <w:r>
        <w:rPr>
          <w:rFonts w:hint="eastAsia" w:ascii="宋体" w:hAnsi="宋体" w:eastAsia="宋体" w:cs="宋体"/>
          <w:b/>
          <w:color w:val="auto"/>
          <w:sz w:val="28"/>
          <w:szCs w:val="28"/>
          <w:highlight w:val="none"/>
          <w:lang w:val="zh-CN" w:eastAsia="zh-CN"/>
        </w:rPr>
        <w:t>最后报价表的格式：</w:t>
      </w:r>
      <w:r>
        <w:rPr>
          <w:rFonts w:hint="eastAsia" w:ascii="仿宋" w:hAnsi="仿宋" w:eastAsia="仿宋" w:cs="仿宋_GB2312"/>
          <w:b/>
          <w:color w:val="auto"/>
          <w:sz w:val="30"/>
          <w:szCs w:val="30"/>
          <w:highlight w:val="none"/>
          <w:lang w:val="zh-CN" w:eastAsia="zh-CN"/>
        </w:rPr>
        <w:t xml:space="preserve"> </w:t>
      </w:r>
    </w:p>
    <w:p w14:paraId="55C5F19D">
      <w:pPr>
        <w:spacing w:line="520" w:lineRule="exact"/>
        <w:ind w:firstLine="420" w:firstLineChars="200"/>
        <w:rPr>
          <w:rFonts w:hint="eastAsia" w:ascii="Calibri" w:hAnsi="Calibri"/>
          <w:color w:val="auto"/>
          <w:highlight w:val="none"/>
        </w:rPr>
      </w:pPr>
    </w:p>
    <w:p w14:paraId="58D9B931">
      <w:pPr>
        <w:spacing w:line="520" w:lineRule="exact"/>
        <w:ind w:firstLine="0" w:firstLineChars="0"/>
        <w:jc w:val="center"/>
        <w:rPr>
          <w:rFonts w:hint="eastAsia"/>
          <w:b/>
          <w:bCs/>
          <w:color w:val="auto"/>
          <w:sz w:val="32"/>
          <w:szCs w:val="32"/>
          <w:highlight w:val="none"/>
        </w:rPr>
      </w:pPr>
      <w:r>
        <w:rPr>
          <w:rFonts w:hint="eastAsia"/>
          <w:b/>
          <w:bCs/>
          <w:color w:val="auto"/>
          <w:sz w:val="32"/>
          <w:szCs w:val="32"/>
          <w:highlight w:val="none"/>
          <w:lang w:eastAsia="zh-CN"/>
        </w:rPr>
        <w:t>最后</w:t>
      </w:r>
      <w:r>
        <w:rPr>
          <w:rFonts w:hint="eastAsia"/>
          <w:b/>
          <w:bCs/>
          <w:color w:val="auto"/>
          <w:sz w:val="32"/>
          <w:szCs w:val="32"/>
          <w:highlight w:val="none"/>
        </w:rPr>
        <w:t>报价表</w:t>
      </w:r>
    </w:p>
    <w:p w14:paraId="501C9A6D">
      <w:pPr>
        <w:snapToGrid w:val="0"/>
        <w:spacing w:before="50" w:after="50" w:line="360" w:lineRule="auto"/>
        <w:rPr>
          <w:rFonts w:hint="eastAsia"/>
          <w:color w:val="auto"/>
          <w:sz w:val="24"/>
          <w:highlight w:val="none"/>
        </w:rPr>
      </w:pPr>
    </w:p>
    <w:p w14:paraId="5BBE8053">
      <w:pPr>
        <w:snapToGrid w:val="0"/>
        <w:spacing w:before="50" w:after="50"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项目名称：</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14:paraId="5435D380">
      <w:pPr>
        <w:snapToGrid w:val="0"/>
        <w:spacing w:before="50" w:after="50"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项目编号：</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p w14:paraId="46A24FDF">
      <w:pPr>
        <w:snapToGrid/>
        <w:spacing w:before="0" w:after="0" w:line="360" w:lineRule="auto"/>
        <w:contextualSpacing/>
        <w:rPr>
          <w:rFonts w:hint="eastAsia" w:ascii="宋体" w:hAnsi="宋体" w:eastAsia="宋体" w:cs="宋体"/>
          <w:color w:val="auto"/>
          <w:sz w:val="24"/>
          <w:highlight w:val="none"/>
          <w:u w:val="single"/>
        </w:rPr>
      </w:pPr>
      <w:r>
        <w:rPr>
          <w:rFonts w:hint="eastAsia" w:ascii="宋体" w:hAnsi="宋体" w:eastAsia="宋体" w:cs="宋体"/>
          <w:color w:val="auto"/>
          <w:sz w:val="24"/>
          <w:highlight w:val="none"/>
        </w:rPr>
        <w:t>所竞分标（如有则填写，无分标时填写“无”或者留空）：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 xml:space="preserve">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99"/>
        <w:gridCol w:w="1629"/>
        <w:gridCol w:w="1799"/>
        <w:gridCol w:w="2368"/>
      </w:tblGrid>
      <w:tr w14:paraId="435504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trPr>
        <w:tc>
          <w:tcPr>
            <w:tcW w:w="3299" w:type="dxa"/>
            <w:tcBorders>
              <w:top w:val="single" w:color="auto" w:sz="4" w:space="0"/>
              <w:left w:val="single" w:color="auto" w:sz="4" w:space="0"/>
              <w:bottom w:val="single" w:color="auto" w:sz="4" w:space="0"/>
              <w:right w:val="single" w:color="auto" w:sz="4" w:space="0"/>
            </w:tcBorders>
            <w:noWrap w:val="0"/>
            <w:vAlign w:val="center"/>
          </w:tcPr>
          <w:p w14:paraId="7AE1C5CA">
            <w:pPr>
              <w:spacing w:line="360" w:lineRule="auto"/>
              <w:contextualSpacing/>
              <w:jc w:val="center"/>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lang w:eastAsia="zh-CN"/>
              </w:rPr>
              <w:t>标的名称</w:t>
            </w:r>
          </w:p>
        </w:tc>
        <w:tc>
          <w:tcPr>
            <w:tcW w:w="1629" w:type="dxa"/>
            <w:tcBorders>
              <w:top w:val="single" w:color="auto" w:sz="4" w:space="0"/>
              <w:left w:val="single" w:color="auto" w:sz="4" w:space="0"/>
              <w:bottom w:val="single" w:color="auto" w:sz="4" w:space="0"/>
              <w:right w:val="single" w:color="auto" w:sz="4" w:space="0"/>
            </w:tcBorders>
            <w:noWrap w:val="0"/>
            <w:vAlign w:val="center"/>
          </w:tcPr>
          <w:p w14:paraId="1F721E3B">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数量</w:t>
            </w:r>
          </w:p>
        </w:tc>
        <w:tc>
          <w:tcPr>
            <w:tcW w:w="1799" w:type="dxa"/>
            <w:tcBorders>
              <w:top w:val="single" w:color="auto" w:sz="4" w:space="0"/>
              <w:left w:val="single" w:color="auto" w:sz="4" w:space="0"/>
              <w:bottom w:val="single" w:color="auto" w:sz="4" w:space="0"/>
              <w:right w:val="single" w:color="auto" w:sz="4" w:space="0"/>
            </w:tcBorders>
            <w:noWrap w:val="0"/>
            <w:vAlign w:val="center"/>
          </w:tcPr>
          <w:p w14:paraId="6E08CCF8">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单位</w:t>
            </w:r>
          </w:p>
        </w:tc>
        <w:tc>
          <w:tcPr>
            <w:tcW w:w="2368" w:type="dxa"/>
            <w:tcBorders>
              <w:top w:val="single" w:color="auto" w:sz="4" w:space="0"/>
              <w:left w:val="single" w:color="auto" w:sz="4" w:space="0"/>
              <w:bottom w:val="single" w:color="auto" w:sz="4" w:space="0"/>
              <w:right w:val="single" w:color="auto" w:sz="4" w:space="0"/>
            </w:tcBorders>
            <w:noWrap w:val="0"/>
            <w:vAlign w:val="center"/>
          </w:tcPr>
          <w:p w14:paraId="7902354B">
            <w:pPr>
              <w:spacing w:line="360" w:lineRule="auto"/>
              <w:contextualSpacing/>
              <w:jc w:val="center"/>
              <w:rPr>
                <w:rFonts w:hint="eastAsia" w:ascii="宋体" w:hAnsi="宋体" w:eastAsia="宋体" w:cs="仿宋_GB2312"/>
                <w:color w:val="auto"/>
                <w:sz w:val="24"/>
                <w:highlight w:val="none"/>
                <w:lang w:eastAsia="zh-CN"/>
              </w:rPr>
            </w:pPr>
            <w:r>
              <w:rPr>
                <w:rFonts w:hint="eastAsia" w:ascii="宋体" w:hAnsi="宋体" w:cs="仿宋_GB2312"/>
                <w:color w:val="auto"/>
                <w:sz w:val="24"/>
                <w:highlight w:val="none"/>
                <w:lang w:eastAsia="zh-CN"/>
              </w:rPr>
              <w:t>服务内容</w:t>
            </w:r>
          </w:p>
        </w:tc>
      </w:tr>
      <w:tr w14:paraId="3877D5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trPr>
        <w:tc>
          <w:tcPr>
            <w:tcW w:w="3299" w:type="dxa"/>
            <w:tcBorders>
              <w:top w:val="single" w:color="auto" w:sz="4" w:space="0"/>
              <w:left w:val="single" w:color="auto" w:sz="4" w:space="0"/>
              <w:bottom w:val="single" w:color="auto" w:sz="4" w:space="0"/>
              <w:right w:val="single" w:color="auto" w:sz="4" w:space="0"/>
            </w:tcBorders>
            <w:noWrap w:val="0"/>
            <w:vAlign w:val="center"/>
          </w:tcPr>
          <w:p w14:paraId="46352E87">
            <w:pPr>
              <w:spacing w:line="360" w:lineRule="auto"/>
              <w:contextualSpacing/>
              <w:jc w:val="center"/>
              <w:rPr>
                <w:rFonts w:ascii="宋体" w:hAnsi="宋体" w:cs="仿宋_GB2312"/>
                <w:color w:val="auto"/>
                <w:sz w:val="24"/>
                <w:highlight w:val="none"/>
              </w:rPr>
            </w:pPr>
          </w:p>
        </w:tc>
        <w:tc>
          <w:tcPr>
            <w:tcW w:w="1629" w:type="dxa"/>
            <w:tcBorders>
              <w:top w:val="single" w:color="auto" w:sz="4" w:space="0"/>
              <w:left w:val="single" w:color="auto" w:sz="4" w:space="0"/>
              <w:bottom w:val="single" w:color="auto" w:sz="4" w:space="0"/>
              <w:right w:val="single" w:color="auto" w:sz="4" w:space="0"/>
            </w:tcBorders>
            <w:noWrap w:val="0"/>
            <w:vAlign w:val="center"/>
          </w:tcPr>
          <w:p w14:paraId="68C5240A">
            <w:pPr>
              <w:spacing w:line="360" w:lineRule="auto"/>
              <w:contextualSpacing/>
              <w:jc w:val="center"/>
              <w:rPr>
                <w:rFonts w:ascii="宋体" w:hAnsi="宋体" w:cs="仿宋_GB2312"/>
                <w:color w:val="auto"/>
                <w:sz w:val="24"/>
                <w:highlight w:val="none"/>
              </w:rPr>
            </w:pPr>
          </w:p>
        </w:tc>
        <w:tc>
          <w:tcPr>
            <w:tcW w:w="1799" w:type="dxa"/>
            <w:tcBorders>
              <w:top w:val="single" w:color="auto" w:sz="4" w:space="0"/>
              <w:left w:val="single" w:color="auto" w:sz="4" w:space="0"/>
              <w:bottom w:val="single" w:color="auto" w:sz="4" w:space="0"/>
              <w:right w:val="single" w:color="auto" w:sz="4" w:space="0"/>
            </w:tcBorders>
            <w:noWrap w:val="0"/>
            <w:vAlign w:val="center"/>
          </w:tcPr>
          <w:p w14:paraId="115987DC">
            <w:pPr>
              <w:spacing w:line="360" w:lineRule="auto"/>
              <w:contextualSpacing/>
              <w:jc w:val="center"/>
              <w:rPr>
                <w:rFonts w:ascii="宋体" w:hAnsi="宋体" w:cs="仿宋_GB2312"/>
                <w:color w:val="auto"/>
                <w:sz w:val="24"/>
                <w:highlight w:val="none"/>
              </w:rPr>
            </w:pPr>
          </w:p>
        </w:tc>
        <w:tc>
          <w:tcPr>
            <w:tcW w:w="2368" w:type="dxa"/>
            <w:tcBorders>
              <w:top w:val="single" w:color="auto" w:sz="4" w:space="0"/>
              <w:left w:val="single" w:color="auto" w:sz="4" w:space="0"/>
              <w:bottom w:val="single" w:color="auto" w:sz="4" w:space="0"/>
              <w:right w:val="single" w:color="auto" w:sz="4" w:space="0"/>
            </w:tcBorders>
            <w:noWrap w:val="0"/>
            <w:vAlign w:val="top"/>
          </w:tcPr>
          <w:p w14:paraId="71E2A880">
            <w:pPr>
              <w:spacing w:line="360" w:lineRule="auto"/>
              <w:contextualSpacing/>
              <w:jc w:val="center"/>
              <w:rPr>
                <w:rFonts w:ascii="宋体" w:hAnsi="宋体" w:cs="仿宋_GB2312"/>
                <w:color w:val="auto"/>
                <w:sz w:val="24"/>
                <w:highlight w:val="none"/>
              </w:rPr>
            </w:pPr>
            <w:r>
              <w:rPr>
                <w:rFonts w:hint="eastAsia" w:ascii="宋体" w:hAnsi="宋体" w:cs="仿宋_GB2312"/>
                <w:color w:val="auto"/>
                <w:sz w:val="24"/>
                <w:highlight w:val="none"/>
              </w:rPr>
              <w:t>具体服务内容详见</w:t>
            </w:r>
            <w:r>
              <w:rPr>
                <w:rFonts w:hint="eastAsia" w:ascii="宋体" w:hAnsi="宋体" w:cs="仿宋_GB2312"/>
                <w:color w:val="auto"/>
                <w:sz w:val="24"/>
                <w:highlight w:val="none"/>
                <w:lang w:eastAsia="zh-CN"/>
              </w:rPr>
              <w:t>商务技术文件</w:t>
            </w:r>
            <w:r>
              <w:rPr>
                <w:rFonts w:hint="eastAsia" w:ascii="宋体" w:hAnsi="宋体" w:cs="仿宋_GB2312"/>
                <w:color w:val="auto"/>
                <w:sz w:val="24"/>
                <w:highlight w:val="none"/>
              </w:rPr>
              <w:t>“服务要求</w:t>
            </w:r>
            <w:r>
              <w:rPr>
                <w:rFonts w:hint="eastAsia" w:ascii="宋体" w:hAnsi="宋体" w:cs="仿宋_GB2312"/>
                <w:color w:val="auto"/>
                <w:sz w:val="24"/>
                <w:highlight w:val="none"/>
                <w:lang w:eastAsia="zh-CN"/>
              </w:rPr>
              <w:t>偏离</w:t>
            </w:r>
            <w:r>
              <w:rPr>
                <w:rFonts w:hint="eastAsia" w:ascii="宋体" w:hAnsi="宋体" w:cs="仿宋_GB2312"/>
                <w:color w:val="auto"/>
                <w:sz w:val="24"/>
                <w:highlight w:val="none"/>
              </w:rPr>
              <w:t>表”</w:t>
            </w:r>
          </w:p>
        </w:tc>
      </w:tr>
      <w:tr w14:paraId="56554B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97" w:hRule="atLeast"/>
        </w:trPr>
        <w:tc>
          <w:tcPr>
            <w:tcW w:w="9095" w:type="dxa"/>
            <w:gridSpan w:val="4"/>
            <w:tcBorders>
              <w:top w:val="single" w:color="auto" w:sz="4" w:space="0"/>
              <w:left w:val="single" w:color="auto" w:sz="4" w:space="0"/>
              <w:bottom w:val="single" w:color="auto" w:sz="4" w:space="0"/>
              <w:right w:val="single" w:color="auto" w:sz="4" w:space="0"/>
            </w:tcBorders>
            <w:noWrap w:val="0"/>
            <w:vAlign w:val="center"/>
          </w:tcPr>
          <w:p w14:paraId="0727E173">
            <w:pPr>
              <w:spacing w:line="360" w:lineRule="auto"/>
              <w:contextualSpacing/>
              <w:rPr>
                <w:rFonts w:ascii="宋体" w:hAnsi="宋体" w:cs="仿宋_GB2312"/>
                <w:color w:val="auto"/>
                <w:sz w:val="24"/>
                <w:highlight w:val="none"/>
              </w:rPr>
            </w:pPr>
            <w:r>
              <w:rPr>
                <w:rFonts w:hint="eastAsia" w:ascii="宋体" w:hAnsi="宋体" w:cs="仿宋_GB2312"/>
                <w:color w:val="auto"/>
                <w:sz w:val="24"/>
                <w:highlight w:val="none"/>
                <w:lang w:eastAsia="zh-CN"/>
              </w:rPr>
              <w:t>最后</w:t>
            </w:r>
            <w:r>
              <w:rPr>
                <w:rFonts w:hint="eastAsia" w:ascii="宋体" w:hAnsi="宋体" w:cs="仿宋_GB2312"/>
                <w:color w:val="auto"/>
                <w:sz w:val="24"/>
                <w:highlight w:val="none"/>
              </w:rPr>
              <w:t>报价（折扣率%）：</w:t>
            </w:r>
            <w:r>
              <w:rPr>
                <w:rFonts w:hint="eastAsia" w:ascii="宋体" w:hAnsi="宋体" w:cs="仿宋_GB2312"/>
                <w:color w:val="auto"/>
                <w:sz w:val="24"/>
                <w:highlight w:val="none"/>
                <w:u w:val="single"/>
              </w:rPr>
              <w:t xml:space="preserve"> </w:t>
            </w:r>
            <w:r>
              <w:rPr>
                <w:rFonts w:ascii="宋体" w:hAnsi="宋体" w:cs="仿宋_GB2312"/>
                <w:color w:val="auto"/>
                <w:sz w:val="24"/>
                <w:highlight w:val="none"/>
                <w:u w:val="single"/>
              </w:rPr>
              <w:t xml:space="preserve">   % </w:t>
            </w:r>
          </w:p>
        </w:tc>
      </w:tr>
    </w:tbl>
    <w:p w14:paraId="7AD94203">
      <w:pPr>
        <w:snapToGrid w:val="0"/>
        <w:spacing w:before="50" w:after="50"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 xml:space="preserve">注： </w:t>
      </w:r>
    </w:p>
    <w:p w14:paraId="4419C012">
      <w:pPr>
        <w:snapToGrid w:val="0"/>
        <w:spacing w:before="50" w:after="50"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1</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供应商需按本表格式填写，不得自行更改，也不得留空（</w:t>
      </w:r>
      <w:r>
        <w:rPr>
          <w:rFonts w:hint="eastAsia" w:ascii="宋体" w:hAnsi="宋体" w:eastAsia="宋体" w:cs="宋体"/>
          <w:color w:val="auto"/>
          <w:sz w:val="21"/>
          <w:szCs w:val="21"/>
          <w:highlight w:val="none"/>
        </w:rPr>
        <w:t>备注</w:t>
      </w:r>
      <w:r>
        <w:rPr>
          <w:rFonts w:hint="eastAsia" w:ascii="宋体" w:hAnsi="宋体" w:eastAsia="宋体" w:cs="宋体"/>
          <w:color w:val="auto"/>
          <w:sz w:val="21"/>
          <w:szCs w:val="21"/>
          <w:highlight w:val="none"/>
          <w:lang w:eastAsia="zh-CN"/>
        </w:rPr>
        <w:t>一栏除外</w:t>
      </w:r>
      <w:r>
        <w:rPr>
          <w:rFonts w:hint="eastAsia" w:ascii="宋体" w:hAnsi="宋体" w:eastAsia="宋体" w:cs="宋体"/>
          <w:color w:val="auto"/>
          <w:kern w:val="0"/>
          <w:sz w:val="21"/>
          <w:szCs w:val="21"/>
          <w:highlight w:val="none"/>
          <w:lang w:val="zh-CN"/>
        </w:rPr>
        <w:t>）, 如有多分标，按分标分别提供响应报价表，</w:t>
      </w:r>
      <w:r>
        <w:rPr>
          <w:rFonts w:hint="eastAsia" w:ascii="宋体" w:hAnsi="宋体" w:eastAsia="宋体" w:cs="宋体"/>
          <w:b/>
          <w:color w:val="auto"/>
          <w:kern w:val="0"/>
          <w:sz w:val="21"/>
          <w:szCs w:val="21"/>
          <w:highlight w:val="none"/>
          <w:lang w:val="zh-CN"/>
        </w:rPr>
        <w:t>否则其响应按无效响应处理。</w:t>
      </w:r>
    </w:p>
    <w:p w14:paraId="66437246">
      <w:pPr>
        <w:snapToGrid w:val="0"/>
        <w:spacing w:before="50" w:after="50" w:line="360" w:lineRule="auto"/>
        <w:ind w:firstLine="420" w:firstLineChars="200"/>
        <w:jc w:val="left"/>
        <w:rPr>
          <w:rFonts w:hint="eastAsia" w:ascii="宋体" w:hAnsi="宋体" w:eastAsia="宋体" w:cs="宋体"/>
          <w:b/>
          <w:color w:val="auto"/>
          <w:kern w:val="0"/>
          <w:sz w:val="21"/>
          <w:szCs w:val="21"/>
          <w:highlight w:val="none"/>
          <w:lang w:val="zh-CN"/>
        </w:rPr>
      </w:pPr>
      <w:r>
        <w:rPr>
          <w:rFonts w:hint="eastAsia" w:ascii="宋体" w:hAnsi="宋体" w:eastAsia="宋体" w:cs="宋体"/>
          <w:color w:val="auto"/>
          <w:kern w:val="0"/>
          <w:sz w:val="21"/>
          <w:szCs w:val="21"/>
          <w:highlight w:val="none"/>
          <w:lang w:val="zh-CN"/>
        </w:rPr>
        <w:t>2</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报价一经涂改，应在涂改处加盖供应商公章或者加盖电子签章或者由法定代表人或者授权委托人签字（或者电子签名），</w:t>
      </w:r>
      <w:r>
        <w:rPr>
          <w:rFonts w:hint="eastAsia" w:ascii="宋体" w:hAnsi="宋体" w:eastAsia="宋体" w:cs="宋体"/>
          <w:b/>
          <w:bCs/>
          <w:color w:val="auto"/>
          <w:kern w:val="0"/>
          <w:sz w:val="21"/>
          <w:szCs w:val="21"/>
          <w:highlight w:val="none"/>
          <w:lang w:val="zh-CN"/>
        </w:rPr>
        <w:t>否则其响应文件按无效处理</w:t>
      </w:r>
      <w:r>
        <w:rPr>
          <w:rFonts w:hint="eastAsia" w:ascii="宋体" w:hAnsi="宋体" w:eastAsia="宋体" w:cs="宋体"/>
          <w:b/>
          <w:color w:val="auto"/>
          <w:kern w:val="0"/>
          <w:sz w:val="21"/>
          <w:szCs w:val="21"/>
          <w:highlight w:val="none"/>
          <w:lang w:val="zh-CN"/>
        </w:rPr>
        <w:t>。</w:t>
      </w:r>
    </w:p>
    <w:p w14:paraId="7648D6A1">
      <w:pPr>
        <w:snapToGrid w:val="0"/>
        <w:spacing w:before="50" w:after="50" w:line="360" w:lineRule="auto"/>
        <w:ind w:firstLine="420" w:firstLineChars="200"/>
        <w:jc w:val="left"/>
        <w:rPr>
          <w:rFonts w:hint="eastAsia" w:ascii="宋体" w:hAnsi="宋体" w:eastAsia="宋体" w:cs="宋体"/>
          <w:b/>
          <w:color w:val="auto"/>
          <w:kern w:val="0"/>
          <w:sz w:val="21"/>
          <w:szCs w:val="21"/>
          <w:highlight w:val="none"/>
          <w:lang w:val="zh-CN"/>
        </w:rPr>
      </w:pPr>
      <w:r>
        <w:rPr>
          <w:rFonts w:hint="eastAsia" w:ascii="宋体" w:hAnsi="宋体" w:eastAsia="宋体" w:cs="宋体"/>
          <w:color w:val="auto"/>
          <w:kern w:val="0"/>
          <w:sz w:val="21"/>
          <w:szCs w:val="21"/>
          <w:highlight w:val="none"/>
          <w:lang w:val="zh-CN"/>
        </w:rPr>
        <w:t>3</w:t>
      </w:r>
      <w:r>
        <w:rPr>
          <w:rFonts w:hint="eastAsia" w:ascii="宋体" w:hAnsi="宋体" w:eastAsia="宋体" w:cs="宋体"/>
          <w:color w:val="auto"/>
          <w:kern w:val="0"/>
          <w:sz w:val="21"/>
          <w:szCs w:val="21"/>
          <w:highlight w:val="none"/>
          <w:lang w:val="en-US" w:eastAsia="zh-CN"/>
        </w:rPr>
        <w:t>.</w:t>
      </w:r>
      <w:r>
        <w:rPr>
          <w:rFonts w:hint="eastAsia" w:ascii="宋体" w:hAnsi="宋体" w:cs="宋体"/>
          <w:b/>
          <w:bCs/>
          <w:color w:val="auto"/>
          <w:kern w:val="0"/>
          <w:sz w:val="21"/>
          <w:szCs w:val="21"/>
          <w:highlight w:val="none"/>
          <w:lang w:val="en-US" w:eastAsia="zh-CN"/>
        </w:rPr>
        <w:t>不在有效报价范围内的响应报价按无效响应处理</w:t>
      </w:r>
      <w:r>
        <w:rPr>
          <w:rFonts w:hint="eastAsia" w:ascii="宋体" w:hAnsi="宋体" w:eastAsia="宋体" w:cs="宋体"/>
          <w:b/>
          <w:bCs/>
          <w:color w:val="auto"/>
          <w:sz w:val="21"/>
          <w:szCs w:val="21"/>
          <w:highlight w:val="none"/>
        </w:rPr>
        <w:t>。</w:t>
      </w:r>
    </w:p>
    <w:p w14:paraId="4AC3AC89">
      <w:pPr>
        <w:snapToGrid w:val="0"/>
        <w:spacing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4</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特别提示：采购代理机构将对项目名称和项目编号，成交供应商名称、地址和成交金额，主要成交标的名称、服务范围、服务要求、服务时间、服务标准等予以公示。</w:t>
      </w:r>
    </w:p>
    <w:p w14:paraId="71DD98DC">
      <w:pPr>
        <w:snapToGrid w:val="0"/>
        <w:spacing w:line="360" w:lineRule="auto"/>
        <w:ind w:firstLine="420" w:firstLineChars="200"/>
        <w:jc w:val="left"/>
        <w:rPr>
          <w:rFonts w:hint="eastAsia" w:ascii="宋体" w:hAnsi="宋体" w:eastAsia="宋体" w:cs="宋体"/>
          <w:color w:val="auto"/>
          <w:kern w:val="0"/>
          <w:sz w:val="21"/>
          <w:szCs w:val="21"/>
          <w:highlight w:val="none"/>
          <w:lang w:val="zh-CN"/>
        </w:rPr>
      </w:pPr>
      <w:r>
        <w:rPr>
          <w:rFonts w:hint="eastAsia" w:ascii="宋体" w:hAnsi="宋体" w:eastAsia="宋体" w:cs="宋体"/>
          <w:color w:val="auto"/>
          <w:kern w:val="0"/>
          <w:sz w:val="21"/>
          <w:szCs w:val="21"/>
          <w:highlight w:val="none"/>
          <w:lang w:val="zh-CN"/>
        </w:rPr>
        <w:t>5</w:t>
      </w:r>
      <w:r>
        <w:rPr>
          <w:rFonts w:hint="eastAsia" w:ascii="宋体" w:hAnsi="宋体" w:eastAsia="宋体" w:cs="宋体"/>
          <w:color w:val="auto"/>
          <w:kern w:val="0"/>
          <w:sz w:val="21"/>
          <w:szCs w:val="21"/>
          <w:highlight w:val="none"/>
          <w:lang w:val="en-US" w:eastAsia="zh-CN"/>
        </w:rPr>
        <w:t>.</w:t>
      </w:r>
      <w:r>
        <w:rPr>
          <w:rFonts w:hint="eastAsia" w:ascii="宋体" w:hAnsi="宋体" w:eastAsia="宋体" w:cs="宋体"/>
          <w:color w:val="auto"/>
          <w:kern w:val="0"/>
          <w:sz w:val="21"/>
          <w:szCs w:val="21"/>
          <w:highlight w:val="none"/>
          <w:lang w:val="zh-CN"/>
        </w:rPr>
        <w:t>符合采购文件中列明的可享受中小企业扶持政策的供应商，请填写中小企业声明函。</w:t>
      </w:r>
    </w:p>
    <w:p w14:paraId="3EC28F6E">
      <w:pPr>
        <w:autoSpaceDE/>
        <w:autoSpaceDN/>
        <w:snapToGrid w:val="0"/>
        <w:spacing w:before="50" w:after="50" w:line="360" w:lineRule="auto"/>
        <w:ind w:left="0" w:leftChars="0" w:firstLine="420" w:firstLineChars="200"/>
        <w:jc w:val="left"/>
        <w:rPr>
          <w:rFonts w:hint="eastAsia" w:ascii="宋体" w:hAnsi="宋体" w:eastAsia="宋体" w:cs="宋体"/>
          <w:color w:val="auto"/>
          <w:kern w:val="0"/>
          <w:sz w:val="32"/>
          <w:szCs w:val="32"/>
          <w:highlight w:val="none"/>
          <w:lang w:val="zh-CN"/>
        </w:rPr>
      </w:pPr>
      <w:r>
        <w:rPr>
          <w:rFonts w:hint="eastAsia" w:ascii="宋体" w:hAnsi="宋体" w:eastAsia="宋体" w:cs="宋体"/>
          <w:color w:val="auto"/>
          <w:kern w:val="0"/>
          <w:sz w:val="21"/>
          <w:szCs w:val="21"/>
          <w:highlight w:val="none"/>
          <w:lang w:val="en-US" w:eastAsia="zh-CN"/>
        </w:rPr>
        <w:t>6.</w:t>
      </w:r>
      <w:r>
        <w:rPr>
          <w:rFonts w:hint="eastAsia" w:ascii="宋体" w:hAnsi="宋体" w:eastAsia="宋体" w:cs="宋体"/>
          <w:color w:val="auto"/>
          <w:kern w:val="0"/>
          <w:sz w:val="21"/>
          <w:szCs w:val="21"/>
          <w:highlight w:val="none"/>
          <w:lang w:val="zh-CN"/>
        </w:rPr>
        <w:t>供应商提供的中小企业声明函内容不实的，属于提供虚假材料谋取中标、成交，依照《中华人民共和国政府采购法》等国家有关规定追究相应责任。</w:t>
      </w:r>
    </w:p>
    <w:p w14:paraId="58AFECEC">
      <w:pPr>
        <w:pStyle w:val="20"/>
        <w:rPr>
          <w:rFonts w:hint="eastAsia" w:ascii="宋体" w:hAnsi="宋体" w:eastAsia="宋体" w:cs="宋体"/>
          <w:color w:val="auto"/>
          <w:kern w:val="0"/>
          <w:sz w:val="21"/>
          <w:szCs w:val="21"/>
          <w:highlight w:val="none"/>
          <w:lang w:val="zh-CN"/>
        </w:rPr>
      </w:pPr>
    </w:p>
    <w:p w14:paraId="6A3C0A89">
      <w:pPr>
        <w:pStyle w:val="20"/>
        <w:rPr>
          <w:rFonts w:hint="eastAsia" w:ascii="宋体" w:hAnsi="宋体" w:eastAsia="宋体" w:cs="宋体"/>
          <w:color w:val="auto"/>
          <w:kern w:val="0"/>
          <w:sz w:val="21"/>
          <w:szCs w:val="21"/>
          <w:highlight w:val="none"/>
          <w:lang w:val="zh-CN"/>
        </w:rPr>
      </w:pPr>
    </w:p>
    <w:p w14:paraId="3DE0E79A">
      <w:pPr>
        <w:pStyle w:val="13"/>
        <w:rPr>
          <w:rFonts w:hint="eastAsia" w:ascii="宋体" w:hAnsi="宋体" w:eastAsia="宋体" w:cs="宋体"/>
          <w:color w:val="auto"/>
          <w:highlight w:val="none"/>
        </w:rPr>
      </w:pPr>
    </w:p>
    <w:p w14:paraId="4BD88A4E">
      <w:pPr>
        <w:autoSpaceDE w:val="0"/>
        <w:autoSpaceDN w:val="0"/>
        <w:spacing w:line="360" w:lineRule="auto"/>
        <w:ind w:left="0" w:leftChars="0" w:firstLine="4560" w:firstLineChars="19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517B63B4">
      <w:pPr>
        <w:spacing w:line="500" w:lineRule="exact"/>
        <w:ind w:firstLine="6360" w:firstLineChars="2650"/>
        <w:rPr>
          <w:rFonts w:hint="eastAsia" w:ascii="宋体" w:hAnsi="宋体" w:eastAsia="宋体" w:cs="宋体"/>
          <w:color w:val="auto"/>
          <w:sz w:val="24"/>
          <w:highlight w:val="none"/>
          <w:lang w:val="zh-CN"/>
        </w:rPr>
        <w:sectPr>
          <w:pgSz w:w="11911" w:h="16838"/>
          <w:pgMar w:top="1134" w:right="1134" w:bottom="1134" w:left="1134" w:header="720" w:footer="720" w:gutter="0"/>
          <w:pgNumType w:fmt="decimal"/>
          <w:cols w:space="720" w:num="1"/>
        </w:sectPr>
      </w:pPr>
      <w:r>
        <w:rPr>
          <w:rFonts w:hint="eastAsia" w:ascii="宋体" w:hAnsi="宋体" w:eastAsia="宋体" w:cs="宋体"/>
          <w:color w:val="auto"/>
          <w:kern w:val="0"/>
          <w:sz w:val="24"/>
          <w:szCs w:val="21"/>
          <w:highlight w:val="none"/>
          <w:lang w:val="zh-CN"/>
        </w:rPr>
        <w:t>日期：  年  月   日</w:t>
      </w:r>
    </w:p>
    <w:p w14:paraId="3411701D">
      <w:pPr>
        <w:pStyle w:val="4"/>
        <w:jc w:val="center"/>
        <w:rPr>
          <w:rFonts w:ascii="宋体" w:hAnsi="宋体"/>
          <w:b w:val="0"/>
          <w:color w:val="auto"/>
          <w:highlight w:val="none"/>
        </w:rPr>
      </w:pPr>
      <w:bookmarkStart w:id="136" w:name="_Toc80205942"/>
      <w:bookmarkStart w:id="137" w:name="_Toc80886946"/>
      <w:bookmarkStart w:id="138" w:name="_Toc18482"/>
      <w:bookmarkStart w:id="139" w:name="_Toc13936"/>
      <w:r>
        <w:rPr>
          <w:rFonts w:hint="eastAsia" w:ascii="宋体" w:hAnsi="宋体"/>
          <w:color w:val="auto"/>
          <w:highlight w:val="none"/>
        </w:rPr>
        <w:t>第</w:t>
      </w:r>
      <w:r>
        <w:rPr>
          <w:rFonts w:hint="eastAsia" w:ascii="宋体" w:hAnsi="宋体"/>
          <w:color w:val="auto"/>
          <w:highlight w:val="none"/>
          <w:lang w:eastAsia="zh-CN"/>
        </w:rPr>
        <w:t>四</w:t>
      </w:r>
      <w:r>
        <w:rPr>
          <w:rFonts w:hint="eastAsia" w:ascii="宋体" w:hAnsi="宋体"/>
          <w:color w:val="auto"/>
          <w:highlight w:val="none"/>
        </w:rPr>
        <w:t>节 其他文书、文件格式</w:t>
      </w:r>
      <w:bookmarkEnd w:id="136"/>
      <w:bookmarkEnd w:id="137"/>
      <w:bookmarkEnd w:id="138"/>
      <w:bookmarkEnd w:id="139"/>
    </w:p>
    <w:p w14:paraId="0C5265F2">
      <w:pPr>
        <w:spacing w:line="500" w:lineRule="exact"/>
        <w:ind w:firstLine="0" w:firstLineChars="0"/>
        <w:rPr>
          <w:rFonts w:hint="eastAsia" w:ascii="宋体" w:hAnsi="宋体" w:eastAsia="宋体" w:cs="宋体"/>
          <w:b/>
          <w:color w:val="auto"/>
          <w:sz w:val="30"/>
          <w:szCs w:val="30"/>
          <w:highlight w:val="none"/>
          <w:lang w:val="zh-CN" w:eastAsia="zh-CN"/>
        </w:rPr>
      </w:pPr>
      <w:r>
        <w:rPr>
          <w:rFonts w:hint="eastAsia" w:ascii="宋体" w:hAnsi="宋体" w:eastAsia="宋体" w:cs="宋体"/>
          <w:b/>
          <w:color w:val="auto"/>
          <w:sz w:val="30"/>
          <w:szCs w:val="30"/>
          <w:highlight w:val="none"/>
          <w:lang w:val="en-US" w:eastAsia="zh-CN"/>
        </w:rPr>
        <w:t>1.</w:t>
      </w:r>
      <w:r>
        <w:rPr>
          <w:rFonts w:hint="eastAsia" w:ascii="宋体" w:hAnsi="宋体" w:eastAsia="宋体" w:cs="宋体"/>
          <w:b/>
          <w:color w:val="auto"/>
          <w:sz w:val="30"/>
          <w:szCs w:val="30"/>
          <w:highlight w:val="none"/>
          <w:lang w:val="zh-CN" w:eastAsia="zh-CN"/>
        </w:rPr>
        <w:t>中小企业声明函的格式：</w:t>
      </w:r>
    </w:p>
    <w:p w14:paraId="4BFDC9DB">
      <w:pPr>
        <w:pStyle w:val="20"/>
        <w:rPr>
          <w:rFonts w:hint="eastAsia" w:ascii="宋体" w:hAnsi="宋体" w:eastAsia="宋体" w:cs="宋体"/>
          <w:color w:val="auto"/>
          <w:highlight w:val="none"/>
          <w:lang w:eastAsia="zh-CN"/>
        </w:rPr>
      </w:pPr>
    </w:p>
    <w:p w14:paraId="3B8F2644">
      <w:pPr>
        <w:spacing w:line="300" w:lineRule="auto"/>
        <w:ind w:firstLine="3520" w:firstLineChars="800"/>
        <w:jc w:val="both"/>
        <w:rPr>
          <w:rFonts w:hint="eastAsia" w:ascii="宋体" w:hAnsi="宋体" w:eastAsia="宋体" w:cs="宋体"/>
          <w:color w:val="auto"/>
          <w:sz w:val="44"/>
          <w:szCs w:val="44"/>
          <w:highlight w:val="none"/>
        </w:rPr>
      </w:pPr>
      <w:r>
        <w:rPr>
          <w:rFonts w:hint="eastAsia" w:ascii="宋体" w:hAnsi="宋体" w:eastAsia="宋体" w:cs="宋体"/>
          <w:color w:val="auto"/>
          <w:sz w:val="44"/>
          <w:szCs w:val="44"/>
          <w:highlight w:val="none"/>
        </w:rPr>
        <w:t>中小企业声明函</w:t>
      </w:r>
    </w:p>
    <w:p w14:paraId="1893B9BE">
      <w:pPr>
        <w:pStyle w:val="13"/>
        <w:spacing w:after="0" w:line="360" w:lineRule="auto"/>
        <w:ind w:left="-426" w:right="142" w:firstLine="640"/>
        <w:contextualSpacing/>
        <w:rPr>
          <w:rFonts w:hint="eastAsia" w:ascii="宋体" w:hAnsi="宋体" w:eastAsia="宋体" w:cs="宋体"/>
          <w:color w:val="auto"/>
          <w:sz w:val="24"/>
          <w:highlight w:val="none"/>
        </w:rPr>
      </w:pPr>
    </w:p>
    <w:p w14:paraId="13961CD5">
      <w:pPr>
        <w:pStyle w:val="13"/>
        <w:spacing w:after="0" w:line="360" w:lineRule="auto"/>
        <w:ind w:left="-426" w:right="142" w:firstLine="64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本公司（联合体）郑重声明，根据《政府采购促进中小企业发展管理办法》（财库﹝2020﹞46号）的规定，本公司（联合体）参加</w:t>
      </w:r>
      <w:r>
        <w:rPr>
          <w:rFonts w:hint="eastAsia" w:ascii="宋体" w:hAnsi="宋体" w:eastAsia="宋体" w:cs="宋体"/>
          <w:i/>
          <w:iCs/>
          <w:color w:val="auto"/>
          <w:sz w:val="24"/>
          <w:highlight w:val="none"/>
          <w:u w:val="single"/>
        </w:rPr>
        <w:t>（单位名称）</w:t>
      </w:r>
      <w:r>
        <w:rPr>
          <w:rFonts w:hint="eastAsia" w:ascii="宋体" w:hAnsi="宋体" w:eastAsia="宋体" w:cs="宋体"/>
          <w:color w:val="auto"/>
          <w:sz w:val="24"/>
          <w:highlight w:val="none"/>
        </w:rPr>
        <w:t>的</w:t>
      </w:r>
      <w:r>
        <w:rPr>
          <w:rFonts w:hint="eastAsia" w:ascii="宋体" w:hAnsi="宋体" w:eastAsia="宋体" w:cs="宋体"/>
          <w:i/>
          <w:iCs/>
          <w:color w:val="auto"/>
          <w:sz w:val="24"/>
          <w:highlight w:val="none"/>
          <w:u w:val="single"/>
        </w:rPr>
        <w:t>（项目名称）</w:t>
      </w:r>
      <w:r>
        <w:rPr>
          <w:rFonts w:hint="eastAsia" w:ascii="宋体" w:hAnsi="宋体" w:eastAsia="宋体" w:cs="宋体"/>
          <w:color w:val="auto"/>
          <w:sz w:val="24"/>
          <w:highlight w:val="none"/>
        </w:rPr>
        <w:t>采购活动，</w:t>
      </w:r>
      <w:r>
        <w:rPr>
          <w:rFonts w:hint="eastAsia" w:ascii="宋体" w:hAnsi="宋体" w:eastAsia="宋体" w:cs="宋体"/>
          <w:color w:val="auto"/>
          <w:kern w:val="0"/>
          <w:sz w:val="24"/>
          <w:highlight w:val="none"/>
        </w:rPr>
        <w:t>服务全部由符合政策要求的中小企业承接</w:t>
      </w:r>
      <w:r>
        <w:rPr>
          <w:rFonts w:hint="eastAsia" w:ascii="宋体" w:hAnsi="宋体" w:eastAsia="宋体" w:cs="宋体"/>
          <w:color w:val="auto"/>
          <w:sz w:val="24"/>
          <w:highlight w:val="none"/>
        </w:rPr>
        <w:t>。相关企业（含联合体中的中小企业、签订分包意向协议的中小企业）的具体情况如下：</w:t>
      </w:r>
    </w:p>
    <w:p w14:paraId="2361CB31">
      <w:pPr>
        <w:tabs>
          <w:tab w:val="left" w:pos="1384"/>
          <w:tab w:val="left" w:pos="4562"/>
          <w:tab w:val="left" w:pos="6803"/>
        </w:tabs>
        <w:spacing w:line="360" w:lineRule="auto"/>
        <w:ind w:left="-426" w:right="-58" w:firstLine="655"/>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1.</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标的名称</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，属于</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采购文件中明确的所属行业</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w:t>
      </w:r>
      <w:r>
        <w:rPr>
          <w:rFonts w:hint="eastAsia" w:ascii="宋体" w:hAnsi="宋体" w:eastAsia="宋体" w:cs="宋体"/>
          <w:color w:val="auto"/>
          <w:kern w:val="0"/>
          <w:sz w:val="24"/>
          <w:highlight w:val="none"/>
        </w:rPr>
        <w:t>承建（承接）企业</w:t>
      </w:r>
      <w:r>
        <w:rPr>
          <w:rFonts w:hint="eastAsia" w:ascii="宋体" w:hAnsi="宋体" w:eastAsia="宋体" w:cs="宋体"/>
          <w:color w:val="auto"/>
          <w:sz w:val="24"/>
          <w:highlight w:val="none"/>
        </w:rPr>
        <w:t>为</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企业名称</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万元，属于</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中型企业、小型企业、微型企业</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w:t>
      </w:r>
    </w:p>
    <w:p w14:paraId="40165337">
      <w:pPr>
        <w:tabs>
          <w:tab w:val="left" w:pos="1065"/>
          <w:tab w:val="left" w:pos="6477"/>
        </w:tabs>
        <w:spacing w:line="360" w:lineRule="auto"/>
        <w:ind w:left="-426" w:right="-58" w:firstLine="655"/>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标的名称</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，属于</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采购文件中明确的所属行业</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w:t>
      </w:r>
      <w:r>
        <w:rPr>
          <w:rFonts w:hint="eastAsia" w:ascii="宋体" w:hAnsi="宋体" w:eastAsia="宋体" w:cs="宋体"/>
          <w:color w:val="auto"/>
          <w:kern w:val="0"/>
          <w:sz w:val="24"/>
          <w:highlight w:val="none"/>
        </w:rPr>
        <w:t>承建（承接）企业</w:t>
      </w:r>
      <w:r>
        <w:rPr>
          <w:rFonts w:hint="eastAsia" w:ascii="宋体" w:hAnsi="宋体" w:eastAsia="宋体" w:cs="宋体"/>
          <w:color w:val="auto"/>
          <w:sz w:val="24"/>
          <w:highlight w:val="none"/>
        </w:rPr>
        <w:t>为</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企业名称</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，从业人员</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人，营业收入为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万元，资产总额为</w:t>
      </w:r>
      <w:r>
        <w:rPr>
          <w:rFonts w:hint="eastAsia" w:ascii="宋体" w:hAnsi="宋体" w:eastAsia="宋体" w:cs="宋体"/>
          <w:color w:val="auto"/>
          <w:sz w:val="24"/>
          <w:highlight w:val="none"/>
          <w:u w:val="single"/>
        </w:rPr>
        <w:t xml:space="preserve">      </w:t>
      </w:r>
      <w:r>
        <w:rPr>
          <w:rFonts w:hint="eastAsia" w:ascii="宋体" w:hAnsi="宋体" w:eastAsia="宋体" w:cs="宋体"/>
          <w:color w:val="auto"/>
          <w:sz w:val="24"/>
          <w:highlight w:val="none"/>
        </w:rPr>
        <w:t>万元，属于</w:t>
      </w:r>
      <w:r>
        <w:rPr>
          <w:rFonts w:hint="eastAsia" w:ascii="宋体" w:hAnsi="宋体" w:eastAsia="宋体" w:cs="宋体"/>
          <w:color w:val="auto"/>
          <w:sz w:val="24"/>
          <w:highlight w:val="none"/>
          <w:u w:val="single"/>
        </w:rPr>
        <w:t>（</w:t>
      </w:r>
      <w:r>
        <w:rPr>
          <w:rFonts w:hint="eastAsia" w:ascii="宋体" w:hAnsi="宋体" w:eastAsia="宋体" w:cs="宋体"/>
          <w:i/>
          <w:iCs/>
          <w:color w:val="auto"/>
          <w:sz w:val="24"/>
          <w:highlight w:val="none"/>
          <w:u w:val="single"/>
        </w:rPr>
        <w:t>中型企业、小型企业、微型企业</w:t>
      </w:r>
      <w:r>
        <w:rPr>
          <w:rFonts w:hint="eastAsia" w:ascii="宋体" w:hAnsi="宋体" w:eastAsia="宋体" w:cs="宋体"/>
          <w:color w:val="auto"/>
          <w:sz w:val="24"/>
          <w:highlight w:val="none"/>
          <w:u w:val="single"/>
        </w:rPr>
        <w:t>）</w:t>
      </w:r>
      <w:r>
        <w:rPr>
          <w:rFonts w:hint="eastAsia" w:ascii="宋体" w:hAnsi="宋体" w:eastAsia="宋体" w:cs="宋体"/>
          <w:color w:val="auto"/>
          <w:sz w:val="24"/>
          <w:highlight w:val="none"/>
        </w:rPr>
        <w:t>；</w:t>
      </w:r>
    </w:p>
    <w:p w14:paraId="170441E8">
      <w:pPr>
        <w:pStyle w:val="13"/>
        <w:spacing w:after="0" w:line="360" w:lineRule="auto"/>
        <w:ind w:left="142" w:right="142"/>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 </w:t>
      </w:r>
    </w:p>
    <w:p w14:paraId="0E759016">
      <w:pPr>
        <w:pStyle w:val="13"/>
        <w:spacing w:after="0" w:line="360" w:lineRule="auto"/>
        <w:ind w:left="-405" w:leftChars="-193" w:right="142" w:firstLine="453" w:firstLineChars="189"/>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以上企业，不属于大企业的分支机构，不存在控股股东为大企业的情形，也不存在与大企业的负责人为同一人的情形。</w:t>
      </w:r>
    </w:p>
    <w:p w14:paraId="346AF86E">
      <w:pPr>
        <w:pStyle w:val="13"/>
        <w:spacing w:after="0" w:line="360" w:lineRule="auto"/>
        <w:ind w:left="-426" w:right="142" w:firstLine="567"/>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本企业对上述声明内容的真实性负责。如有虚假，将依法承担相应责任。</w:t>
      </w:r>
    </w:p>
    <w:p w14:paraId="71BAD9E3">
      <w:pPr>
        <w:pStyle w:val="13"/>
        <w:spacing w:after="0" w:line="360" w:lineRule="auto"/>
        <w:ind w:left="3960" w:right="1808"/>
        <w:contextualSpacing/>
        <w:rPr>
          <w:rFonts w:hint="eastAsia" w:ascii="宋体" w:hAnsi="宋体" w:eastAsia="宋体" w:cs="宋体"/>
          <w:color w:val="auto"/>
          <w:sz w:val="24"/>
          <w:highlight w:val="none"/>
        </w:rPr>
      </w:pPr>
    </w:p>
    <w:p w14:paraId="6E67CC14">
      <w:pPr>
        <w:autoSpaceDE w:val="0"/>
        <w:autoSpaceDN w:val="0"/>
        <w:spacing w:line="360" w:lineRule="auto"/>
        <w:ind w:left="4335" w:leftChars="1950" w:hanging="240" w:hangingChars="1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供应商名称（</w:t>
      </w:r>
      <w:r>
        <w:rPr>
          <w:rFonts w:hint="eastAsia" w:ascii="宋体" w:hAnsi="宋体" w:eastAsia="宋体" w:cs="宋体"/>
          <w:color w:val="auto"/>
          <w:kern w:val="0"/>
          <w:sz w:val="24"/>
          <w:highlight w:val="none"/>
          <w:lang w:eastAsia="zh-CN"/>
        </w:rPr>
        <w:t>盖公章</w:t>
      </w:r>
      <w:r>
        <w:rPr>
          <w:rFonts w:hint="eastAsia" w:ascii="宋体" w:hAnsi="宋体" w:eastAsia="宋体" w:cs="宋体"/>
          <w:color w:val="auto"/>
          <w:kern w:val="0"/>
          <w:sz w:val="24"/>
          <w:highlight w:val="none"/>
        </w:rPr>
        <w:t>）：</w:t>
      </w:r>
    </w:p>
    <w:p w14:paraId="2200D187">
      <w:pPr>
        <w:autoSpaceDE w:val="0"/>
        <w:autoSpaceDN w:val="0"/>
        <w:spacing w:line="360" w:lineRule="auto"/>
        <w:ind w:firstLine="6480" w:firstLineChars="2700"/>
        <w:rPr>
          <w:rFonts w:hint="eastAsia" w:ascii="宋体" w:hAnsi="宋体" w:eastAsia="宋体" w:cs="宋体"/>
          <w:color w:val="auto"/>
          <w:kern w:val="0"/>
          <w:sz w:val="24"/>
          <w:highlight w:val="none"/>
          <w:lang w:val="zh-CN"/>
        </w:rPr>
      </w:pPr>
      <w:r>
        <w:rPr>
          <w:rFonts w:hint="eastAsia" w:ascii="宋体" w:hAnsi="宋体" w:eastAsia="宋体" w:cs="宋体"/>
          <w:color w:val="auto"/>
          <w:kern w:val="0"/>
          <w:sz w:val="24"/>
          <w:highlight w:val="none"/>
          <w:lang w:val="zh-CN"/>
        </w:rPr>
        <w:t>日期：  年  月   日</w:t>
      </w:r>
    </w:p>
    <w:p w14:paraId="7D86F015">
      <w:pPr>
        <w:pStyle w:val="13"/>
        <w:spacing w:after="0" w:line="360" w:lineRule="auto"/>
        <w:ind w:left="3960" w:right="1808"/>
        <w:contextualSpacing/>
        <w:rPr>
          <w:rFonts w:hint="eastAsia" w:ascii="宋体" w:hAnsi="宋体" w:eastAsia="宋体" w:cs="宋体"/>
          <w:color w:val="auto"/>
          <w:highlight w:val="none"/>
        </w:rPr>
      </w:pPr>
    </w:p>
    <w:p w14:paraId="5B3F28AD">
      <w:pPr>
        <w:spacing w:line="360" w:lineRule="auto"/>
        <w:ind w:firstLine="480" w:firstLineChars="200"/>
        <w:contextualSpacing/>
        <w:jc w:val="left"/>
        <w:rPr>
          <w:rFonts w:hint="eastAsia" w:ascii="宋体" w:hAnsi="宋体" w:eastAsia="宋体" w:cs="宋体"/>
          <w:color w:val="auto"/>
          <w:kern w:val="0"/>
          <w:sz w:val="24"/>
          <w:highlight w:val="none"/>
        </w:rPr>
      </w:pPr>
      <w:r>
        <w:rPr>
          <w:rFonts w:hint="eastAsia" w:ascii="宋体" w:hAnsi="宋体" w:eastAsia="宋体" w:cs="宋体"/>
          <w:color w:val="auto"/>
          <w:sz w:val="24"/>
          <w:highlight w:val="none"/>
        </w:rPr>
        <w:t>注：享受《政府采购促进中小企业发展管理办法》（财库〔2020〕46号）规定的中小企业扶持政策的，采购人</w:t>
      </w:r>
      <w:r>
        <w:rPr>
          <w:rFonts w:hint="eastAsia" w:ascii="宋体" w:hAnsi="宋体" w:eastAsia="宋体" w:cs="宋体"/>
          <w:color w:val="auto"/>
          <w:sz w:val="24"/>
          <w:highlight w:val="none"/>
          <w:lang w:eastAsia="zh-CN"/>
        </w:rPr>
        <w:t>或者</w:t>
      </w:r>
      <w:r>
        <w:rPr>
          <w:rFonts w:hint="eastAsia" w:ascii="宋体" w:hAnsi="宋体" w:eastAsia="宋体" w:cs="宋体"/>
          <w:color w:val="auto"/>
          <w:sz w:val="24"/>
          <w:highlight w:val="none"/>
        </w:rPr>
        <w:t>采购代理机构应当随成交结果公开成交供应商的《中小企业声明函》</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接受社会监督。从业人员、营业收入、资产总额填报上一年度数据，无上一年度数据的新成立企业可不填报。</w:t>
      </w:r>
    </w:p>
    <w:p w14:paraId="41A0BAD6">
      <w:pPr>
        <w:snapToGrid w:val="0"/>
        <w:spacing w:before="120" w:beforeLines="50" w:after="50" w:line="360" w:lineRule="auto"/>
        <w:outlineLvl w:val="1"/>
        <w:rPr>
          <w:rFonts w:hint="eastAsia" w:ascii="宋体" w:hAnsi="宋体" w:eastAsia="宋体" w:cs="宋体"/>
          <w:b/>
          <w:bCs/>
          <w:color w:val="auto"/>
          <w:sz w:val="32"/>
          <w:szCs w:val="32"/>
          <w:highlight w:val="none"/>
        </w:rPr>
        <w:sectPr>
          <w:pgSz w:w="11911" w:h="16838"/>
          <w:pgMar w:top="1134" w:right="1134" w:bottom="1134" w:left="1134" w:header="720" w:footer="720" w:gutter="0"/>
          <w:pgNumType w:fmt="decimal"/>
          <w:cols w:space="720" w:num="1"/>
        </w:sectPr>
      </w:pPr>
    </w:p>
    <w:p w14:paraId="2941242E">
      <w:pPr>
        <w:numPr>
          <w:ilvl w:val="0"/>
          <w:numId w:val="0"/>
        </w:numPr>
        <w:spacing w:line="520" w:lineRule="exact"/>
        <w:jc w:val="both"/>
        <w:rPr>
          <w:rFonts w:hint="eastAsia" w:hAnsi="宋体" w:cs="宋体"/>
          <w:b/>
          <w:color w:val="auto"/>
          <w:sz w:val="28"/>
          <w:szCs w:val="28"/>
          <w:highlight w:val="none"/>
          <w:lang w:val="en-US" w:eastAsia="zh-CN"/>
        </w:rPr>
      </w:pPr>
      <w:r>
        <w:rPr>
          <w:rFonts w:hint="eastAsia" w:ascii="宋体" w:hAnsi="宋体" w:eastAsia="宋体" w:cs="宋体"/>
          <w:b/>
          <w:color w:val="auto"/>
          <w:sz w:val="28"/>
          <w:szCs w:val="28"/>
          <w:highlight w:val="none"/>
          <w:lang w:val="en-US" w:eastAsia="zh-CN"/>
        </w:rPr>
        <w:t>2.</w:t>
      </w:r>
      <w:r>
        <w:rPr>
          <w:rFonts w:hint="eastAsia" w:hAnsi="宋体" w:cs="宋体"/>
          <w:b/>
          <w:color w:val="auto"/>
          <w:sz w:val="28"/>
          <w:szCs w:val="28"/>
          <w:highlight w:val="none"/>
          <w:lang w:val="en-US" w:eastAsia="zh-CN"/>
        </w:rPr>
        <w:t>残疾人福利性单位声明函的格式：</w:t>
      </w:r>
    </w:p>
    <w:p w14:paraId="77309A11">
      <w:pPr>
        <w:pStyle w:val="20"/>
        <w:rPr>
          <w:color w:val="auto"/>
          <w:highlight w:val="none"/>
        </w:rPr>
      </w:pPr>
    </w:p>
    <w:p w14:paraId="1A86594C">
      <w:pPr>
        <w:spacing w:line="520" w:lineRule="exact"/>
        <w:jc w:val="center"/>
        <w:rPr>
          <w:rFonts w:hint="eastAsia" w:ascii="方正小标宋简体" w:hAnsi="方正小标宋简体" w:eastAsia="方正小标宋简体" w:cs="方正小标宋简体"/>
          <w:color w:val="auto"/>
          <w:sz w:val="44"/>
          <w:szCs w:val="44"/>
          <w:highlight w:val="none"/>
        </w:rPr>
      </w:pPr>
    </w:p>
    <w:p w14:paraId="1F86E910">
      <w:pPr>
        <w:spacing w:line="520" w:lineRule="exact"/>
        <w:jc w:val="center"/>
        <w:rPr>
          <w:rFonts w:hint="eastAsia" w:ascii="方正小标宋简体" w:hAnsi="方正小标宋简体" w:eastAsia="方正小标宋简体" w:cs="方正小标宋简体"/>
          <w:color w:val="auto"/>
          <w:sz w:val="44"/>
          <w:szCs w:val="44"/>
          <w:highlight w:val="none"/>
        </w:rPr>
      </w:pPr>
    </w:p>
    <w:p w14:paraId="2E91E54B">
      <w:pPr>
        <w:spacing w:line="520" w:lineRule="exact"/>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残疾人福利性单位声明函</w:t>
      </w:r>
    </w:p>
    <w:p w14:paraId="03BE6897">
      <w:pPr>
        <w:spacing w:line="520" w:lineRule="exact"/>
        <w:rPr>
          <w:rFonts w:hint="eastAsia" w:ascii="宋体" w:hAnsi="宋体" w:eastAsia="宋体" w:cs="宋体"/>
          <w:color w:val="auto"/>
          <w:sz w:val="32"/>
          <w:szCs w:val="32"/>
          <w:highlight w:val="none"/>
        </w:rPr>
      </w:pPr>
    </w:p>
    <w:p w14:paraId="7845A21C">
      <w:pPr>
        <w:spacing w:line="360" w:lineRule="auto"/>
        <w:ind w:firstLine="480" w:firstLineChars="200"/>
        <w:contextualSpacing/>
        <w:rPr>
          <w:rFonts w:hint="eastAsia" w:ascii="宋体" w:hAnsi="宋体" w:eastAsia="宋体" w:cs="宋体"/>
          <w:color w:val="auto"/>
          <w:sz w:val="24"/>
          <w:szCs w:val="24"/>
          <w:highlight w:val="none"/>
        </w:rPr>
      </w:pPr>
    </w:p>
    <w:p w14:paraId="42F12BD5">
      <w:pPr>
        <w:spacing w:line="360" w:lineRule="auto"/>
        <w:ind w:firstLine="480" w:firstLineChars="200"/>
        <w:contextualSpacing/>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本单位郑重声明，根据《财政部 民政部 中国残疾人联合会关于促进残疾人就业政府采购政策的通知》（财库〔2017〕141号）的规定，本单位为符合条件的残疾人福利性单位，且本单位参加</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单位的</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rPr>
        <w:t>项目采购活动提供本单位制造的货物（由本单位承担工程/提供服务），或者提供其他残疾人福利性单位制造的货物（不包括使用非残疾人福利性单位注册商标的货物）。</w:t>
      </w:r>
    </w:p>
    <w:p w14:paraId="0D72C383">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szCs w:val="24"/>
          <w:highlight w:val="none"/>
        </w:rPr>
        <w:t>本单位对上述声明的真实性负责。如有虚假，将依法承担相应责任。</w:t>
      </w:r>
    </w:p>
    <w:p w14:paraId="109F1F7A">
      <w:pPr>
        <w:spacing w:line="360" w:lineRule="auto"/>
        <w:contextualSpacing/>
        <w:rPr>
          <w:rFonts w:hint="eastAsia" w:ascii="宋体" w:hAnsi="宋体" w:eastAsia="宋体" w:cs="宋体"/>
          <w:color w:val="auto"/>
          <w:sz w:val="24"/>
          <w:highlight w:val="none"/>
        </w:rPr>
      </w:pPr>
    </w:p>
    <w:p w14:paraId="274AE2AE">
      <w:pPr>
        <w:spacing w:line="360" w:lineRule="auto"/>
        <w:contextualSpacing/>
        <w:rPr>
          <w:rFonts w:hint="eastAsia" w:ascii="宋体" w:hAnsi="宋体" w:eastAsia="宋体" w:cs="宋体"/>
          <w:color w:val="auto"/>
          <w:sz w:val="24"/>
          <w:highlight w:val="none"/>
        </w:rPr>
      </w:pPr>
    </w:p>
    <w:p w14:paraId="4AC17FF2">
      <w:pPr>
        <w:spacing w:line="360" w:lineRule="auto"/>
        <w:contextualSpacing/>
        <w:rPr>
          <w:rFonts w:hint="eastAsia" w:ascii="宋体" w:hAnsi="宋体" w:eastAsia="宋体" w:cs="宋体"/>
          <w:color w:val="auto"/>
          <w:sz w:val="24"/>
          <w:highlight w:val="none"/>
        </w:rPr>
      </w:pPr>
    </w:p>
    <w:p w14:paraId="2D605549">
      <w:pPr>
        <w:spacing w:line="360" w:lineRule="auto"/>
        <w:ind w:firstLine="2400" w:firstLineChars="10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供应商名称（</w:t>
      </w:r>
      <w:r>
        <w:rPr>
          <w:rFonts w:hint="eastAsia" w:ascii="宋体" w:hAnsi="宋体" w:eastAsia="宋体" w:cs="宋体"/>
          <w:color w:val="auto"/>
          <w:sz w:val="24"/>
          <w:highlight w:val="none"/>
          <w:lang w:eastAsia="zh-CN"/>
        </w:rPr>
        <w:t>盖公章</w:t>
      </w:r>
      <w:r>
        <w:rPr>
          <w:rFonts w:hint="eastAsia" w:ascii="宋体" w:hAnsi="宋体" w:eastAsia="宋体" w:cs="宋体"/>
          <w:color w:val="auto"/>
          <w:sz w:val="24"/>
          <w:highlight w:val="none"/>
        </w:rPr>
        <w:t>）：</w:t>
      </w:r>
    </w:p>
    <w:p w14:paraId="17A22154">
      <w:pPr>
        <w:spacing w:line="360" w:lineRule="auto"/>
        <w:ind w:firstLine="4320" w:firstLineChars="18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日  期：     年   月   日</w:t>
      </w:r>
    </w:p>
    <w:p w14:paraId="19128853">
      <w:pPr>
        <w:spacing w:line="360" w:lineRule="auto"/>
        <w:contextualSpacing/>
        <w:rPr>
          <w:rFonts w:hint="eastAsia" w:ascii="宋体" w:hAnsi="宋体" w:eastAsia="宋体" w:cs="宋体"/>
          <w:color w:val="auto"/>
          <w:sz w:val="24"/>
          <w:highlight w:val="none"/>
        </w:rPr>
      </w:pPr>
    </w:p>
    <w:p w14:paraId="0215BE05">
      <w:pPr>
        <w:spacing w:line="360" w:lineRule="auto"/>
        <w:contextualSpacing/>
        <w:rPr>
          <w:rFonts w:hint="eastAsia" w:ascii="宋体" w:hAnsi="宋体" w:eastAsia="宋体" w:cs="宋体"/>
          <w:color w:val="auto"/>
          <w:sz w:val="24"/>
          <w:highlight w:val="none"/>
        </w:rPr>
      </w:pPr>
    </w:p>
    <w:p w14:paraId="278E98CA">
      <w:pPr>
        <w:spacing w:line="360" w:lineRule="auto"/>
        <w:contextualSpacing/>
        <w:rPr>
          <w:rFonts w:hint="eastAsia" w:ascii="宋体" w:hAnsi="宋体" w:eastAsia="宋体" w:cs="宋体"/>
          <w:color w:val="auto"/>
          <w:sz w:val="24"/>
          <w:highlight w:val="none"/>
        </w:rPr>
      </w:pPr>
    </w:p>
    <w:p w14:paraId="16C70652">
      <w:pPr>
        <w:spacing w:line="360" w:lineRule="auto"/>
        <w:ind w:firstLine="480" w:firstLineChars="200"/>
        <w:contextualSpacing/>
        <w:rPr>
          <w:rFonts w:hint="eastAsia" w:ascii="宋体" w:hAnsi="宋体" w:eastAsia="宋体" w:cs="宋体"/>
          <w:color w:val="auto"/>
          <w:sz w:val="24"/>
          <w:highlight w:val="none"/>
        </w:rPr>
      </w:pPr>
      <w:r>
        <w:rPr>
          <w:rFonts w:hint="eastAsia" w:ascii="宋体" w:hAnsi="宋体" w:eastAsia="宋体" w:cs="宋体"/>
          <w:color w:val="auto"/>
          <w:sz w:val="24"/>
          <w:highlight w:val="none"/>
        </w:rPr>
        <w:t>注：请根据自己的真实情况出具《残疾人福利性单位声明函》。依法享受中小企业</w:t>
      </w:r>
      <w:r>
        <w:rPr>
          <w:rFonts w:hint="eastAsia" w:ascii="宋体" w:hAnsi="宋体" w:eastAsia="宋体" w:cs="宋体"/>
          <w:color w:val="auto"/>
          <w:sz w:val="24"/>
          <w:highlight w:val="none"/>
          <w:lang w:eastAsia="zh-CN"/>
        </w:rPr>
        <w:t>扶持</w:t>
      </w:r>
      <w:r>
        <w:rPr>
          <w:rFonts w:hint="eastAsia" w:ascii="宋体" w:hAnsi="宋体" w:eastAsia="宋体" w:cs="宋体"/>
          <w:color w:val="auto"/>
          <w:sz w:val="24"/>
          <w:highlight w:val="none"/>
        </w:rPr>
        <w:t>政策的，采购人或者采购代理机构在公告</w:t>
      </w:r>
      <w:r>
        <w:rPr>
          <w:rFonts w:hint="eastAsia" w:ascii="宋体" w:hAnsi="宋体" w:eastAsia="宋体" w:cs="宋体"/>
          <w:color w:val="auto"/>
          <w:sz w:val="24"/>
          <w:highlight w:val="none"/>
          <w:lang w:eastAsia="zh-CN"/>
        </w:rPr>
        <w:t>成交</w:t>
      </w:r>
      <w:r>
        <w:rPr>
          <w:rFonts w:hint="eastAsia" w:ascii="宋体" w:hAnsi="宋体" w:eastAsia="宋体" w:cs="宋体"/>
          <w:color w:val="auto"/>
          <w:sz w:val="24"/>
          <w:highlight w:val="none"/>
        </w:rPr>
        <w:t>结果时，同时公告其《残疾人福利性单位声明函》，接受社会监督。</w:t>
      </w:r>
    </w:p>
    <w:p w14:paraId="050B8951">
      <w:pPr>
        <w:widowControl/>
        <w:shd w:val="clear" w:color="auto" w:fill="FFFFFF"/>
        <w:spacing w:line="480" w:lineRule="atLeast"/>
        <w:jc w:val="both"/>
        <w:rPr>
          <w:rFonts w:hint="eastAsia" w:ascii="宋体" w:hAnsi="宋体" w:eastAsia="宋体" w:cs="宋体"/>
          <w:color w:val="auto"/>
          <w:sz w:val="24"/>
          <w:highlight w:val="none"/>
        </w:rPr>
        <w:sectPr>
          <w:pgSz w:w="11911" w:h="16838"/>
          <w:pgMar w:top="1134" w:right="1134" w:bottom="1134" w:left="1134" w:header="720" w:footer="720" w:gutter="0"/>
          <w:pgNumType w:fmt="decimal"/>
          <w:cols w:space="720" w:num="1"/>
        </w:sectPr>
      </w:pPr>
    </w:p>
    <w:p w14:paraId="2B01B7FF">
      <w:pPr>
        <w:widowControl/>
        <w:shd w:val="clear" w:color="auto" w:fill="FFFFFF"/>
        <w:spacing w:line="480" w:lineRule="atLeast"/>
        <w:jc w:val="both"/>
        <w:rPr>
          <w:rFonts w:hint="eastAsia" w:ascii="宋体" w:hAnsi="宋体" w:eastAsia="宋体" w:cs="宋体"/>
          <w:color w:val="auto"/>
          <w:kern w:val="0"/>
          <w:sz w:val="28"/>
          <w:szCs w:val="28"/>
          <w:highlight w:val="none"/>
          <w:lang w:eastAsia="zh-CN"/>
        </w:rPr>
      </w:pPr>
      <w:r>
        <w:rPr>
          <w:rFonts w:hint="eastAsia" w:ascii="宋体" w:hAnsi="宋体" w:eastAsia="宋体" w:cs="宋体"/>
          <w:b w:val="0"/>
          <w:color w:val="auto"/>
          <w:kern w:val="0"/>
          <w:sz w:val="28"/>
          <w:szCs w:val="28"/>
          <w:highlight w:val="none"/>
          <w:lang w:val="en-US" w:eastAsia="zh-CN"/>
        </w:rPr>
        <w:t>3.</w:t>
      </w:r>
      <w:r>
        <w:rPr>
          <w:rFonts w:hint="eastAsia" w:ascii="宋体" w:hAnsi="宋体" w:eastAsia="宋体" w:cs="宋体"/>
          <w:color w:val="auto"/>
          <w:kern w:val="0"/>
          <w:sz w:val="28"/>
          <w:szCs w:val="28"/>
          <w:highlight w:val="none"/>
        </w:rPr>
        <w:t>广西壮族自治区政府采购项目合同验收书</w:t>
      </w:r>
      <w:r>
        <w:rPr>
          <w:rFonts w:hint="eastAsia" w:ascii="宋体" w:hAnsi="宋体" w:eastAsia="宋体" w:cs="宋体"/>
          <w:color w:val="auto"/>
          <w:kern w:val="0"/>
          <w:sz w:val="28"/>
          <w:szCs w:val="28"/>
          <w:highlight w:val="none"/>
          <w:lang w:eastAsia="zh-CN"/>
        </w:rPr>
        <w:t>的</w:t>
      </w:r>
      <w:r>
        <w:rPr>
          <w:rFonts w:hint="eastAsia" w:ascii="宋体" w:hAnsi="宋体" w:eastAsia="宋体" w:cs="宋体"/>
          <w:color w:val="auto"/>
          <w:kern w:val="0"/>
          <w:sz w:val="28"/>
          <w:szCs w:val="28"/>
          <w:highlight w:val="none"/>
        </w:rPr>
        <w:t>格式</w:t>
      </w:r>
      <w:r>
        <w:rPr>
          <w:rFonts w:hint="eastAsia" w:ascii="宋体" w:hAnsi="宋体" w:eastAsia="宋体" w:cs="宋体"/>
          <w:color w:val="auto"/>
          <w:kern w:val="0"/>
          <w:sz w:val="28"/>
          <w:szCs w:val="28"/>
          <w:highlight w:val="none"/>
          <w:lang w:eastAsia="zh-CN"/>
        </w:rPr>
        <w:t>：</w:t>
      </w:r>
    </w:p>
    <w:p w14:paraId="4DCDAF4A">
      <w:pPr>
        <w:spacing w:line="360" w:lineRule="auto"/>
        <w:ind w:firstLine="480" w:firstLineChars="200"/>
        <w:contextualSpacing/>
        <w:rPr>
          <w:rFonts w:cs="仿宋_GB2312"/>
          <w:color w:val="auto"/>
          <w:sz w:val="24"/>
          <w:highlight w:val="none"/>
        </w:rPr>
      </w:pPr>
    </w:p>
    <w:p w14:paraId="290027EF">
      <w:pPr>
        <w:widowControl/>
        <w:shd w:val="clear" w:color="auto" w:fill="FFFFFF"/>
        <w:spacing w:line="480" w:lineRule="atLeast"/>
        <w:jc w:val="center"/>
        <w:rPr>
          <w:rFonts w:hint="eastAsia" w:ascii="仿宋" w:hAnsi="仿宋" w:eastAsia="仿宋" w:cs="宋体"/>
          <w:color w:val="auto"/>
          <w:kern w:val="0"/>
          <w:sz w:val="32"/>
          <w:szCs w:val="32"/>
          <w:highlight w:val="none"/>
        </w:rPr>
      </w:pPr>
      <w:r>
        <w:rPr>
          <w:rFonts w:hint="eastAsia" w:ascii="宋体" w:hAnsi="宋体" w:cs="宋体"/>
          <w:b/>
          <w:bCs/>
          <w:color w:val="auto"/>
          <w:kern w:val="0"/>
          <w:sz w:val="32"/>
          <w:szCs w:val="32"/>
          <w:highlight w:val="none"/>
        </w:rPr>
        <w:t>广西壮族自治区政府采购项目合同验收书</w:t>
      </w:r>
    </w:p>
    <w:p w14:paraId="7C30A81E">
      <w:pPr>
        <w:widowControl/>
        <w:shd w:val="clear" w:color="auto" w:fill="FFFFFF"/>
        <w:spacing w:line="480" w:lineRule="atLeast"/>
        <w:jc w:val="center"/>
        <w:rPr>
          <w:rFonts w:hint="eastAsia" w:ascii="仿宋" w:hAnsi="仿宋" w:eastAsia="仿宋" w:cs="宋体"/>
          <w:color w:val="auto"/>
          <w:kern w:val="0"/>
          <w:sz w:val="32"/>
          <w:szCs w:val="32"/>
          <w:highlight w:val="none"/>
        </w:rPr>
      </w:pPr>
    </w:p>
    <w:p w14:paraId="4FC76863">
      <w:pPr>
        <w:widowControl/>
        <w:shd w:val="clear" w:color="auto" w:fill="FFFFFF"/>
        <w:snapToGrid w:val="0"/>
        <w:spacing w:line="320" w:lineRule="atLeast"/>
        <w:ind w:firstLine="480"/>
        <w:jc w:val="left"/>
        <w:rPr>
          <w:rFonts w:hint="eastAsia" w:ascii="仿宋" w:hAnsi="仿宋" w:eastAsia="仿宋" w:cs="宋体"/>
          <w:color w:val="auto"/>
          <w:kern w:val="0"/>
          <w:szCs w:val="21"/>
          <w:highlight w:val="none"/>
        </w:rPr>
      </w:pPr>
      <w:r>
        <w:rPr>
          <w:rFonts w:hint="eastAsia" w:ascii="仿宋" w:hAnsi="仿宋" w:eastAsia="仿宋" w:cs="宋体"/>
          <w:color w:val="auto"/>
          <w:kern w:val="0"/>
          <w:szCs w:val="21"/>
          <w:highlight w:val="none"/>
        </w:rPr>
        <w:t>根据政府采购项目（</w:t>
      </w:r>
      <w:r>
        <w:rPr>
          <w:rFonts w:hint="eastAsia" w:ascii="仿宋" w:hAnsi="仿宋" w:eastAsia="仿宋" w:cs="宋体"/>
          <w:color w:val="auto"/>
          <w:kern w:val="0"/>
          <w:szCs w:val="21"/>
          <w:highlight w:val="none"/>
          <w:u w:val="single"/>
        </w:rPr>
        <w:t>采购合同编号：</w:t>
      </w:r>
      <w:r>
        <w:rPr>
          <w:rFonts w:hint="eastAsia" w:ascii="仿宋" w:hAnsi="仿宋" w:eastAsia="仿宋" w:cs="宋体"/>
          <w:color w:val="auto"/>
          <w:kern w:val="0"/>
          <w:szCs w:val="21"/>
          <w:highlight w:val="none"/>
          <w:u w:val="single"/>
        </w:rPr>
        <w:softHyphen/>
      </w:r>
      <w:r>
        <w:rPr>
          <w:rFonts w:hint="eastAsia" w:ascii="仿宋" w:hAnsi="仿宋" w:eastAsia="仿宋" w:cs="宋体"/>
          <w:color w:val="auto"/>
          <w:kern w:val="0"/>
          <w:szCs w:val="21"/>
          <w:highlight w:val="none"/>
          <w:u w:val="single"/>
        </w:rPr>
        <w:t xml:space="preserve"> </w:t>
      </w:r>
      <w:r>
        <w:rPr>
          <w:rFonts w:hint="eastAsia" w:ascii="仿宋" w:hAnsi="仿宋" w:eastAsia="仿宋" w:cs="宋体"/>
          <w:color w:val="auto"/>
          <w:kern w:val="0"/>
          <w:szCs w:val="21"/>
          <w:highlight w:val="none"/>
        </w:rPr>
        <w:t>）的约定，我单位对（</w:t>
      </w:r>
      <w:r>
        <w:rPr>
          <w:rFonts w:hint="eastAsia" w:ascii="仿宋" w:hAnsi="仿宋" w:eastAsia="仿宋" w:cs="宋体"/>
          <w:color w:val="auto"/>
          <w:kern w:val="0"/>
          <w:szCs w:val="21"/>
          <w:highlight w:val="none"/>
          <w:u w:val="single"/>
        </w:rPr>
        <w:t xml:space="preserve"> 项目名称 </w:t>
      </w:r>
      <w:r>
        <w:rPr>
          <w:rFonts w:hint="eastAsia" w:ascii="仿宋" w:hAnsi="仿宋" w:eastAsia="仿宋" w:cs="宋体"/>
          <w:color w:val="auto"/>
          <w:kern w:val="0"/>
          <w:szCs w:val="21"/>
          <w:highlight w:val="none"/>
        </w:rPr>
        <w:t>） 政府采购项目成交供应商（</w:t>
      </w:r>
      <w:r>
        <w:rPr>
          <w:rFonts w:hint="eastAsia" w:ascii="仿宋" w:hAnsi="仿宋" w:eastAsia="仿宋" w:cs="宋体"/>
          <w:color w:val="auto"/>
          <w:kern w:val="0"/>
          <w:szCs w:val="21"/>
          <w:highlight w:val="none"/>
          <w:u w:val="single"/>
        </w:rPr>
        <w:t xml:space="preserve"> 公司名称 </w:t>
      </w:r>
      <w:r>
        <w:rPr>
          <w:rFonts w:hint="eastAsia" w:ascii="仿宋" w:hAnsi="仿宋" w:eastAsia="仿宋" w:cs="宋体"/>
          <w:color w:val="auto"/>
          <w:kern w:val="0"/>
          <w:szCs w:val="21"/>
          <w:highlight w:val="none"/>
        </w:rPr>
        <w:t>） 提供的货物（或者工程、服务）进行了验收，验收情况如下：</w:t>
      </w:r>
    </w:p>
    <w:tbl>
      <w:tblPr>
        <w:tblStyle w:val="28"/>
        <w:tblW w:w="0" w:type="auto"/>
        <w:jc w:val="center"/>
        <w:tblLayout w:type="fixed"/>
        <w:tblCellMar>
          <w:top w:w="0" w:type="dxa"/>
          <w:left w:w="0" w:type="dxa"/>
          <w:bottom w:w="0" w:type="dxa"/>
          <w:right w:w="0" w:type="dxa"/>
        </w:tblCellMar>
      </w:tblPr>
      <w:tblGrid>
        <w:gridCol w:w="804"/>
        <w:gridCol w:w="825"/>
        <w:gridCol w:w="1623"/>
        <w:gridCol w:w="798"/>
        <w:gridCol w:w="102"/>
        <w:gridCol w:w="2002"/>
        <w:gridCol w:w="178"/>
        <w:gridCol w:w="685"/>
        <w:gridCol w:w="1428"/>
      </w:tblGrid>
      <w:tr w14:paraId="4B311559">
        <w:tblPrEx>
          <w:tblCellMar>
            <w:top w:w="0" w:type="dxa"/>
            <w:left w:w="0" w:type="dxa"/>
            <w:bottom w:w="0" w:type="dxa"/>
            <w:right w:w="0" w:type="dxa"/>
          </w:tblCellMar>
        </w:tblPrEx>
        <w:trPr>
          <w:trHeight w:val="497" w:hRule="atLeast"/>
          <w:jc w:val="center"/>
        </w:trPr>
        <w:tc>
          <w:tcPr>
            <w:tcW w:w="3252" w:type="dxa"/>
            <w:gridSpan w:val="3"/>
            <w:tcBorders>
              <w:top w:val="single" w:color="auto" w:sz="8" w:space="0"/>
              <w:left w:val="single" w:color="auto" w:sz="8" w:space="0"/>
              <w:bottom w:val="single" w:color="auto" w:sz="8" w:space="0"/>
              <w:right w:val="single" w:color="auto" w:sz="8" w:space="0"/>
            </w:tcBorders>
            <w:noWrap w:val="0"/>
            <w:vAlign w:val="center"/>
          </w:tcPr>
          <w:p w14:paraId="0CC82C02">
            <w:pPr>
              <w:widowControl/>
              <w:snapToGrid w:val="0"/>
              <w:spacing w:before="100" w:beforeAutospacing="1" w:after="100" w:afterAutospacing="1" w:line="320" w:lineRule="atLeast"/>
              <w:ind w:firstLine="5"/>
              <w:jc w:val="center"/>
              <w:rPr>
                <w:rFonts w:ascii="Verdana" w:hAnsi="Verdana" w:cs="宋体"/>
                <w:color w:val="auto"/>
                <w:kern w:val="0"/>
                <w:szCs w:val="21"/>
                <w:highlight w:val="none"/>
              </w:rPr>
            </w:pPr>
            <w:r>
              <w:rPr>
                <w:rFonts w:ascii="Verdana" w:hAnsi="Verdana" w:cs="宋体"/>
                <w:color w:val="auto"/>
                <w:kern w:val="0"/>
                <w:szCs w:val="21"/>
                <w:highlight w:val="none"/>
              </w:rPr>
              <w:t>验收方式：</w:t>
            </w:r>
          </w:p>
        </w:tc>
        <w:tc>
          <w:tcPr>
            <w:tcW w:w="5193" w:type="dxa"/>
            <w:gridSpan w:val="6"/>
            <w:tcBorders>
              <w:top w:val="single" w:color="auto" w:sz="8" w:space="0"/>
              <w:left w:val="nil"/>
              <w:bottom w:val="single" w:color="auto" w:sz="8" w:space="0"/>
              <w:right w:val="single" w:color="auto" w:sz="8" w:space="0"/>
            </w:tcBorders>
            <w:noWrap w:val="0"/>
            <w:vAlign w:val="center"/>
          </w:tcPr>
          <w:p w14:paraId="7EDF966D">
            <w:pPr>
              <w:widowControl/>
              <w:snapToGrid w:val="0"/>
              <w:spacing w:before="100" w:beforeAutospacing="1" w:after="100" w:afterAutospacing="1" w:line="320" w:lineRule="atLeast"/>
              <w:jc w:val="center"/>
              <w:rPr>
                <w:rFonts w:ascii="Verdana" w:hAnsi="Verdana" w:cs="宋体"/>
                <w:color w:val="auto"/>
                <w:kern w:val="0"/>
                <w:szCs w:val="21"/>
                <w:highlight w:val="none"/>
              </w:rPr>
            </w:pPr>
            <w:r>
              <w:rPr>
                <w:rFonts w:hint="eastAsia" w:ascii="宋体" w:hAnsi="宋体" w:eastAsia="宋体" w:cs="宋体"/>
                <w:color w:val="auto"/>
                <w:kern w:val="0"/>
                <w:szCs w:val="21"/>
                <w:highlight w:val="none"/>
                <w:lang w:eastAsia="zh-CN"/>
              </w:rPr>
              <w:t>□</w:t>
            </w:r>
            <w:r>
              <w:rPr>
                <w:rFonts w:ascii="Verdana" w:hAnsi="Verdana" w:cs="宋体"/>
                <w:color w:val="auto"/>
                <w:kern w:val="0"/>
                <w:szCs w:val="21"/>
                <w:highlight w:val="none"/>
              </w:rPr>
              <w:t xml:space="preserve">自行验收 </w:t>
            </w:r>
            <w:r>
              <w:rPr>
                <w:rFonts w:hint="eastAsia" w:ascii="宋体" w:hAnsi="宋体" w:eastAsia="宋体" w:cs="宋体"/>
                <w:color w:val="auto"/>
                <w:kern w:val="0"/>
                <w:szCs w:val="21"/>
                <w:highlight w:val="none"/>
              </w:rPr>
              <w:t>□</w:t>
            </w:r>
            <w:r>
              <w:rPr>
                <w:rFonts w:ascii="Verdana" w:hAnsi="Verdana" w:cs="宋体"/>
                <w:color w:val="auto"/>
                <w:kern w:val="0"/>
                <w:szCs w:val="21"/>
                <w:highlight w:val="none"/>
              </w:rPr>
              <w:t>委托验收</w:t>
            </w:r>
          </w:p>
        </w:tc>
      </w:tr>
      <w:tr w14:paraId="62C40D11">
        <w:tblPrEx>
          <w:tblCellMar>
            <w:top w:w="0" w:type="dxa"/>
            <w:left w:w="0" w:type="dxa"/>
            <w:bottom w:w="0" w:type="dxa"/>
            <w:right w:w="0" w:type="dxa"/>
          </w:tblCellMar>
        </w:tblPrEx>
        <w:trPr>
          <w:trHeight w:val="622" w:hRule="atLeast"/>
          <w:jc w:val="center"/>
        </w:trPr>
        <w:tc>
          <w:tcPr>
            <w:tcW w:w="804" w:type="dxa"/>
            <w:tcBorders>
              <w:top w:val="nil"/>
              <w:left w:val="single" w:color="auto" w:sz="8" w:space="0"/>
              <w:bottom w:val="single" w:color="auto" w:sz="8" w:space="0"/>
              <w:right w:val="single" w:color="auto" w:sz="8" w:space="0"/>
            </w:tcBorders>
            <w:noWrap w:val="0"/>
            <w:vAlign w:val="center"/>
          </w:tcPr>
          <w:p w14:paraId="745F3F5D">
            <w:pPr>
              <w:widowControl/>
              <w:snapToGrid w:val="0"/>
              <w:spacing w:before="100" w:beforeAutospacing="1" w:after="100" w:afterAutospacing="1" w:line="320" w:lineRule="atLeast"/>
              <w:ind w:firstLine="2"/>
              <w:jc w:val="center"/>
              <w:rPr>
                <w:rFonts w:ascii="Verdana" w:hAnsi="Verdana" w:cs="宋体"/>
                <w:color w:val="auto"/>
                <w:kern w:val="0"/>
                <w:szCs w:val="21"/>
                <w:highlight w:val="none"/>
              </w:rPr>
            </w:pPr>
            <w:r>
              <w:rPr>
                <w:rFonts w:ascii="Verdana" w:hAnsi="Verdana" w:cs="宋体"/>
                <w:color w:val="auto"/>
                <w:kern w:val="0"/>
                <w:szCs w:val="21"/>
                <w:highlight w:val="none"/>
              </w:rPr>
              <w:t>序号</w:t>
            </w:r>
          </w:p>
        </w:tc>
        <w:tc>
          <w:tcPr>
            <w:tcW w:w="2448" w:type="dxa"/>
            <w:gridSpan w:val="2"/>
            <w:tcBorders>
              <w:top w:val="nil"/>
              <w:left w:val="nil"/>
              <w:bottom w:val="single" w:color="auto" w:sz="8" w:space="0"/>
              <w:right w:val="single" w:color="auto" w:sz="8" w:space="0"/>
            </w:tcBorders>
            <w:noWrap w:val="0"/>
            <w:vAlign w:val="center"/>
          </w:tcPr>
          <w:p w14:paraId="343D3D50">
            <w:pPr>
              <w:widowControl/>
              <w:snapToGrid w:val="0"/>
              <w:spacing w:before="100" w:beforeAutospacing="1" w:after="100" w:afterAutospacing="1" w:line="320" w:lineRule="atLeast"/>
              <w:ind w:firstLine="2"/>
              <w:jc w:val="center"/>
              <w:rPr>
                <w:rFonts w:ascii="Verdana" w:hAnsi="Verdana" w:cs="宋体"/>
                <w:color w:val="auto"/>
                <w:kern w:val="0"/>
                <w:szCs w:val="21"/>
                <w:highlight w:val="none"/>
              </w:rPr>
            </w:pPr>
            <w:r>
              <w:rPr>
                <w:rFonts w:ascii="Verdana" w:hAnsi="Verdana" w:cs="宋体"/>
                <w:color w:val="auto"/>
                <w:kern w:val="0"/>
                <w:szCs w:val="21"/>
                <w:highlight w:val="none"/>
              </w:rPr>
              <w:t>名称</w:t>
            </w:r>
          </w:p>
        </w:tc>
        <w:tc>
          <w:tcPr>
            <w:tcW w:w="2902" w:type="dxa"/>
            <w:gridSpan w:val="3"/>
            <w:tcBorders>
              <w:top w:val="nil"/>
              <w:left w:val="nil"/>
              <w:bottom w:val="single" w:color="auto" w:sz="8" w:space="0"/>
              <w:right w:val="single" w:color="auto" w:sz="8" w:space="0"/>
            </w:tcBorders>
            <w:noWrap w:val="0"/>
            <w:vAlign w:val="center"/>
          </w:tcPr>
          <w:p w14:paraId="421EB8F8">
            <w:pPr>
              <w:widowControl/>
              <w:snapToGrid w:val="0"/>
              <w:spacing w:before="100" w:beforeAutospacing="1" w:after="100" w:afterAutospacing="1" w:line="320" w:lineRule="atLeast"/>
              <w:ind w:firstLine="2"/>
              <w:jc w:val="center"/>
              <w:rPr>
                <w:rFonts w:ascii="Verdana" w:hAnsi="Verdana" w:cs="宋体"/>
                <w:color w:val="auto"/>
                <w:kern w:val="0"/>
                <w:szCs w:val="21"/>
                <w:highlight w:val="none"/>
              </w:rPr>
            </w:pPr>
            <w:r>
              <w:rPr>
                <w:rFonts w:ascii="Verdana" w:hAnsi="Verdana" w:cs="宋体"/>
                <w:color w:val="auto"/>
                <w:kern w:val="0"/>
                <w:szCs w:val="21"/>
                <w:highlight w:val="none"/>
              </w:rPr>
              <w:t>货物型号规格、标准及配置等（或者服务内容、标准）</w:t>
            </w:r>
          </w:p>
        </w:tc>
        <w:tc>
          <w:tcPr>
            <w:tcW w:w="863" w:type="dxa"/>
            <w:gridSpan w:val="2"/>
            <w:tcBorders>
              <w:top w:val="nil"/>
              <w:left w:val="nil"/>
              <w:bottom w:val="single" w:color="auto" w:sz="8" w:space="0"/>
              <w:right w:val="single" w:color="auto" w:sz="8" w:space="0"/>
            </w:tcBorders>
            <w:noWrap w:val="0"/>
            <w:vAlign w:val="center"/>
          </w:tcPr>
          <w:p w14:paraId="01E48DE7">
            <w:pPr>
              <w:widowControl/>
              <w:snapToGrid w:val="0"/>
              <w:spacing w:before="100" w:beforeAutospacing="1" w:after="100" w:afterAutospacing="1" w:line="320" w:lineRule="atLeast"/>
              <w:jc w:val="center"/>
              <w:rPr>
                <w:rFonts w:ascii="Verdana" w:hAnsi="Verdana" w:cs="宋体"/>
                <w:color w:val="auto"/>
                <w:kern w:val="0"/>
                <w:szCs w:val="21"/>
                <w:highlight w:val="none"/>
              </w:rPr>
            </w:pPr>
            <w:r>
              <w:rPr>
                <w:rFonts w:ascii="Verdana" w:hAnsi="Verdana" w:cs="宋体"/>
                <w:color w:val="auto"/>
                <w:kern w:val="0"/>
                <w:szCs w:val="21"/>
                <w:highlight w:val="none"/>
              </w:rPr>
              <w:t>数量</w:t>
            </w:r>
          </w:p>
        </w:tc>
        <w:tc>
          <w:tcPr>
            <w:tcW w:w="1428" w:type="dxa"/>
            <w:tcBorders>
              <w:top w:val="nil"/>
              <w:left w:val="nil"/>
              <w:bottom w:val="single" w:color="auto" w:sz="8" w:space="0"/>
              <w:right w:val="single" w:color="auto" w:sz="8" w:space="0"/>
            </w:tcBorders>
            <w:noWrap w:val="0"/>
            <w:vAlign w:val="center"/>
          </w:tcPr>
          <w:p w14:paraId="7BA8D2CD">
            <w:pPr>
              <w:widowControl/>
              <w:snapToGrid w:val="0"/>
              <w:spacing w:before="100" w:beforeAutospacing="1" w:after="100" w:afterAutospacing="1" w:line="320" w:lineRule="atLeast"/>
              <w:ind w:firstLine="2"/>
              <w:jc w:val="center"/>
              <w:rPr>
                <w:rFonts w:ascii="Verdana" w:hAnsi="Verdana" w:cs="宋体"/>
                <w:color w:val="auto"/>
                <w:kern w:val="0"/>
                <w:szCs w:val="21"/>
                <w:highlight w:val="none"/>
              </w:rPr>
            </w:pPr>
            <w:r>
              <w:rPr>
                <w:rFonts w:ascii="Verdana" w:hAnsi="Verdana" w:cs="宋体"/>
                <w:color w:val="auto"/>
                <w:kern w:val="0"/>
                <w:szCs w:val="21"/>
                <w:highlight w:val="none"/>
              </w:rPr>
              <w:t>金额</w:t>
            </w:r>
          </w:p>
        </w:tc>
      </w:tr>
      <w:tr w14:paraId="2E96FC9F">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38B05407">
            <w:pPr>
              <w:widowControl/>
              <w:spacing w:before="100" w:beforeAutospacing="1" w:after="100" w:afterAutospacing="1" w:line="240" w:lineRule="atLeast"/>
              <w:jc w:val="center"/>
              <w:rPr>
                <w:rFonts w:ascii="Verdana" w:hAnsi="Verdana" w:cs="宋体"/>
                <w:color w:val="auto"/>
                <w:kern w:val="0"/>
                <w:szCs w:val="21"/>
                <w:highlight w:val="none"/>
              </w:rPr>
            </w:pPr>
          </w:p>
        </w:tc>
        <w:tc>
          <w:tcPr>
            <w:tcW w:w="2448" w:type="dxa"/>
            <w:gridSpan w:val="2"/>
            <w:tcBorders>
              <w:top w:val="nil"/>
              <w:left w:val="nil"/>
              <w:bottom w:val="single" w:color="auto" w:sz="8" w:space="0"/>
              <w:right w:val="single" w:color="auto" w:sz="8" w:space="0"/>
            </w:tcBorders>
            <w:noWrap w:val="0"/>
            <w:vAlign w:val="center"/>
          </w:tcPr>
          <w:p w14:paraId="533ACDB3">
            <w:pPr>
              <w:widowControl/>
              <w:spacing w:before="100" w:beforeAutospacing="1" w:after="100" w:afterAutospacing="1" w:line="240" w:lineRule="atLeast"/>
              <w:jc w:val="center"/>
              <w:rPr>
                <w:rFonts w:ascii="Verdana" w:hAnsi="Verdana" w:cs="宋体"/>
                <w:color w:val="auto"/>
                <w:kern w:val="0"/>
                <w:szCs w:val="21"/>
                <w:highlight w:val="none"/>
              </w:rPr>
            </w:pPr>
          </w:p>
        </w:tc>
        <w:tc>
          <w:tcPr>
            <w:tcW w:w="2902" w:type="dxa"/>
            <w:gridSpan w:val="3"/>
            <w:tcBorders>
              <w:top w:val="nil"/>
              <w:left w:val="nil"/>
              <w:bottom w:val="single" w:color="auto" w:sz="8" w:space="0"/>
              <w:right w:val="single" w:color="auto" w:sz="8" w:space="0"/>
            </w:tcBorders>
            <w:noWrap w:val="0"/>
            <w:vAlign w:val="center"/>
          </w:tcPr>
          <w:p w14:paraId="36211F89">
            <w:pPr>
              <w:widowControl/>
              <w:spacing w:before="100" w:beforeAutospacing="1" w:after="100" w:afterAutospacing="1" w:line="240" w:lineRule="atLeast"/>
              <w:jc w:val="center"/>
              <w:rPr>
                <w:rFonts w:ascii="Verdana" w:hAnsi="Verdana" w:cs="宋体"/>
                <w:color w:val="auto"/>
                <w:kern w:val="0"/>
                <w:szCs w:val="21"/>
                <w:highlight w:val="none"/>
              </w:rPr>
            </w:pPr>
          </w:p>
        </w:tc>
        <w:tc>
          <w:tcPr>
            <w:tcW w:w="863" w:type="dxa"/>
            <w:gridSpan w:val="2"/>
            <w:tcBorders>
              <w:top w:val="nil"/>
              <w:left w:val="nil"/>
              <w:bottom w:val="single" w:color="auto" w:sz="8" w:space="0"/>
              <w:right w:val="single" w:color="auto" w:sz="8" w:space="0"/>
            </w:tcBorders>
            <w:noWrap w:val="0"/>
            <w:vAlign w:val="center"/>
          </w:tcPr>
          <w:p w14:paraId="112E67C2">
            <w:pPr>
              <w:widowControl/>
              <w:spacing w:before="100" w:beforeAutospacing="1" w:after="100" w:afterAutospacing="1" w:line="240" w:lineRule="atLeast"/>
              <w:jc w:val="center"/>
              <w:rPr>
                <w:rFonts w:ascii="Verdana" w:hAnsi="Verdana" w:cs="宋体"/>
                <w:color w:val="auto"/>
                <w:kern w:val="0"/>
                <w:szCs w:val="21"/>
                <w:highlight w:val="none"/>
              </w:rPr>
            </w:pPr>
          </w:p>
        </w:tc>
        <w:tc>
          <w:tcPr>
            <w:tcW w:w="1428" w:type="dxa"/>
            <w:tcBorders>
              <w:top w:val="nil"/>
              <w:left w:val="nil"/>
              <w:bottom w:val="single" w:color="auto" w:sz="8" w:space="0"/>
              <w:right w:val="single" w:color="auto" w:sz="8" w:space="0"/>
            </w:tcBorders>
            <w:noWrap w:val="0"/>
            <w:vAlign w:val="center"/>
          </w:tcPr>
          <w:p w14:paraId="52E08C9C">
            <w:pPr>
              <w:widowControl/>
              <w:spacing w:before="100" w:beforeAutospacing="1" w:after="100" w:afterAutospacing="1" w:line="240" w:lineRule="atLeast"/>
              <w:jc w:val="center"/>
              <w:rPr>
                <w:rFonts w:ascii="Verdana" w:hAnsi="Verdana" w:cs="宋体"/>
                <w:color w:val="auto"/>
                <w:kern w:val="0"/>
                <w:szCs w:val="21"/>
                <w:highlight w:val="none"/>
              </w:rPr>
            </w:pPr>
          </w:p>
        </w:tc>
      </w:tr>
      <w:tr w14:paraId="327E551E">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314BAC3B">
            <w:pPr>
              <w:widowControl/>
              <w:spacing w:before="100" w:beforeAutospacing="1" w:after="100" w:afterAutospacing="1" w:line="240" w:lineRule="atLeast"/>
              <w:jc w:val="center"/>
              <w:rPr>
                <w:rFonts w:ascii="Verdana" w:hAnsi="Verdana" w:cs="宋体"/>
                <w:color w:val="auto"/>
                <w:kern w:val="0"/>
                <w:szCs w:val="21"/>
                <w:highlight w:val="none"/>
              </w:rPr>
            </w:pPr>
          </w:p>
        </w:tc>
        <w:tc>
          <w:tcPr>
            <w:tcW w:w="2448" w:type="dxa"/>
            <w:gridSpan w:val="2"/>
            <w:tcBorders>
              <w:top w:val="nil"/>
              <w:left w:val="nil"/>
              <w:bottom w:val="single" w:color="auto" w:sz="8" w:space="0"/>
              <w:right w:val="single" w:color="auto" w:sz="8" w:space="0"/>
            </w:tcBorders>
            <w:noWrap w:val="0"/>
            <w:vAlign w:val="center"/>
          </w:tcPr>
          <w:p w14:paraId="07A01895">
            <w:pPr>
              <w:widowControl/>
              <w:spacing w:before="100" w:beforeAutospacing="1" w:after="100" w:afterAutospacing="1" w:line="240" w:lineRule="atLeast"/>
              <w:jc w:val="center"/>
              <w:rPr>
                <w:rFonts w:ascii="Verdana" w:hAnsi="Verdana" w:cs="宋体"/>
                <w:color w:val="auto"/>
                <w:kern w:val="0"/>
                <w:szCs w:val="21"/>
                <w:highlight w:val="none"/>
              </w:rPr>
            </w:pPr>
          </w:p>
        </w:tc>
        <w:tc>
          <w:tcPr>
            <w:tcW w:w="2902" w:type="dxa"/>
            <w:gridSpan w:val="3"/>
            <w:tcBorders>
              <w:top w:val="nil"/>
              <w:left w:val="nil"/>
              <w:bottom w:val="single" w:color="auto" w:sz="8" w:space="0"/>
              <w:right w:val="single" w:color="auto" w:sz="8" w:space="0"/>
            </w:tcBorders>
            <w:noWrap w:val="0"/>
            <w:vAlign w:val="center"/>
          </w:tcPr>
          <w:p w14:paraId="5169F13E">
            <w:pPr>
              <w:widowControl/>
              <w:spacing w:before="100" w:beforeAutospacing="1" w:after="100" w:afterAutospacing="1" w:line="240" w:lineRule="atLeast"/>
              <w:jc w:val="center"/>
              <w:rPr>
                <w:rFonts w:ascii="Verdana" w:hAnsi="Verdana" w:cs="宋体"/>
                <w:color w:val="auto"/>
                <w:kern w:val="0"/>
                <w:szCs w:val="21"/>
                <w:highlight w:val="none"/>
              </w:rPr>
            </w:pPr>
          </w:p>
        </w:tc>
        <w:tc>
          <w:tcPr>
            <w:tcW w:w="863" w:type="dxa"/>
            <w:gridSpan w:val="2"/>
            <w:tcBorders>
              <w:top w:val="nil"/>
              <w:left w:val="nil"/>
              <w:bottom w:val="single" w:color="auto" w:sz="8" w:space="0"/>
              <w:right w:val="single" w:color="auto" w:sz="8" w:space="0"/>
            </w:tcBorders>
            <w:noWrap w:val="0"/>
            <w:vAlign w:val="center"/>
          </w:tcPr>
          <w:p w14:paraId="038561D4">
            <w:pPr>
              <w:widowControl/>
              <w:spacing w:before="100" w:beforeAutospacing="1" w:after="100" w:afterAutospacing="1" w:line="240" w:lineRule="atLeast"/>
              <w:jc w:val="center"/>
              <w:rPr>
                <w:rFonts w:ascii="Verdana" w:hAnsi="Verdana" w:cs="宋体"/>
                <w:color w:val="auto"/>
                <w:kern w:val="0"/>
                <w:szCs w:val="21"/>
                <w:highlight w:val="none"/>
              </w:rPr>
            </w:pPr>
          </w:p>
        </w:tc>
        <w:tc>
          <w:tcPr>
            <w:tcW w:w="1428" w:type="dxa"/>
            <w:tcBorders>
              <w:top w:val="nil"/>
              <w:left w:val="nil"/>
              <w:bottom w:val="single" w:color="auto" w:sz="8" w:space="0"/>
              <w:right w:val="single" w:color="auto" w:sz="8" w:space="0"/>
            </w:tcBorders>
            <w:noWrap w:val="0"/>
            <w:vAlign w:val="center"/>
          </w:tcPr>
          <w:p w14:paraId="0C742FA1">
            <w:pPr>
              <w:widowControl/>
              <w:spacing w:before="100" w:beforeAutospacing="1" w:after="100" w:afterAutospacing="1" w:line="240" w:lineRule="atLeast"/>
              <w:jc w:val="center"/>
              <w:rPr>
                <w:rFonts w:ascii="Verdana" w:hAnsi="Verdana" w:cs="宋体"/>
                <w:color w:val="auto"/>
                <w:kern w:val="0"/>
                <w:szCs w:val="21"/>
                <w:highlight w:val="none"/>
              </w:rPr>
            </w:pPr>
          </w:p>
        </w:tc>
      </w:tr>
      <w:tr w14:paraId="62C59C2C">
        <w:tblPrEx>
          <w:tblCellMar>
            <w:top w:w="0" w:type="dxa"/>
            <w:left w:w="0" w:type="dxa"/>
            <w:bottom w:w="0" w:type="dxa"/>
            <w:right w:w="0" w:type="dxa"/>
          </w:tblCellMar>
        </w:tblPrEx>
        <w:trPr>
          <w:trHeight w:val="487" w:hRule="atLeast"/>
          <w:jc w:val="center"/>
        </w:trPr>
        <w:tc>
          <w:tcPr>
            <w:tcW w:w="804" w:type="dxa"/>
            <w:tcBorders>
              <w:top w:val="nil"/>
              <w:left w:val="single" w:color="auto" w:sz="8" w:space="0"/>
              <w:bottom w:val="single" w:color="auto" w:sz="8" w:space="0"/>
              <w:right w:val="single" w:color="auto" w:sz="8" w:space="0"/>
            </w:tcBorders>
            <w:noWrap w:val="0"/>
            <w:vAlign w:val="center"/>
          </w:tcPr>
          <w:p w14:paraId="4752BFDA">
            <w:pPr>
              <w:widowControl/>
              <w:spacing w:before="100" w:beforeAutospacing="1" w:after="100" w:afterAutospacing="1" w:line="240" w:lineRule="atLeast"/>
              <w:jc w:val="center"/>
              <w:rPr>
                <w:rFonts w:ascii="Verdana" w:hAnsi="Verdana" w:cs="宋体"/>
                <w:color w:val="auto"/>
                <w:kern w:val="0"/>
                <w:szCs w:val="21"/>
                <w:highlight w:val="none"/>
              </w:rPr>
            </w:pPr>
          </w:p>
        </w:tc>
        <w:tc>
          <w:tcPr>
            <w:tcW w:w="2448" w:type="dxa"/>
            <w:gridSpan w:val="2"/>
            <w:tcBorders>
              <w:top w:val="nil"/>
              <w:left w:val="nil"/>
              <w:bottom w:val="single" w:color="auto" w:sz="8" w:space="0"/>
              <w:right w:val="single" w:color="auto" w:sz="8" w:space="0"/>
            </w:tcBorders>
            <w:noWrap w:val="0"/>
            <w:vAlign w:val="center"/>
          </w:tcPr>
          <w:p w14:paraId="65B260DA">
            <w:pPr>
              <w:widowControl/>
              <w:spacing w:before="100" w:beforeAutospacing="1" w:after="100" w:afterAutospacing="1" w:line="240" w:lineRule="atLeast"/>
              <w:jc w:val="center"/>
              <w:rPr>
                <w:rFonts w:ascii="Verdana" w:hAnsi="Verdana" w:cs="宋体"/>
                <w:color w:val="auto"/>
                <w:kern w:val="0"/>
                <w:szCs w:val="21"/>
                <w:highlight w:val="none"/>
              </w:rPr>
            </w:pPr>
          </w:p>
        </w:tc>
        <w:tc>
          <w:tcPr>
            <w:tcW w:w="2902" w:type="dxa"/>
            <w:gridSpan w:val="3"/>
            <w:tcBorders>
              <w:top w:val="nil"/>
              <w:left w:val="nil"/>
              <w:bottom w:val="single" w:color="auto" w:sz="8" w:space="0"/>
              <w:right w:val="single" w:color="auto" w:sz="8" w:space="0"/>
            </w:tcBorders>
            <w:noWrap w:val="0"/>
            <w:vAlign w:val="center"/>
          </w:tcPr>
          <w:p w14:paraId="6AA26E3E">
            <w:pPr>
              <w:widowControl/>
              <w:spacing w:before="100" w:beforeAutospacing="1" w:after="100" w:afterAutospacing="1" w:line="240" w:lineRule="atLeast"/>
              <w:jc w:val="center"/>
              <w:rPr>
                <w:rFonts w:ascii="Verdana" w:hAnsi="Verdana" w:cs="宋体"/>
                <w:color w:val="auto"/>
                <w:kern w:val="0"/>
                <w:szCs w:val="21"/>
                <w:highlight w:val="none"/>
              </w:rPr>
            </w:pPr>
          </w:p>
        </w:tc>
        <w:tc>
          <w:tcPr>
            <w:tcW w:w="863" w:type="dxa"/>
            <w:gridSpan w:val="2"/>
            <w:tcBorders>
              <w:top w:val="nil"/>
              <w:left w:val="nil"/>
              <w:bottom w:val="single" w:color="auto" w:sz="8" w:space="0"/>
              <w:right w:val="single" w:color="auto" w:sz="8" w:space="0"/>
            </w:tcBorders>
            <w:noWrap w:val="0"/>
            <w:vAlign w:val="center"/>
          </w:tcPr>
          <w:p w14:paraId="7FF4E035">
            <w:pPr>
              <w:widowControl/>
              <w:spacing w:before="100" w:beforeAutospacing="1" w:after="100" w:afterAutospacing="1" w:line="240" w:lineRule="atLeast"/>
              <w:jc w:val="center"/>
              <w:rPr>
                <w:rFonts w:ascii="Verdana" w:hAnsi="Verdana" w:cs="宋体"/>
                <w:color w:val="auto"/>
                <w:kern w:val="0"/>
                <w:szCs w:val="21"/>
                <w:highlight w:val="none"/>
              </w:rPr>
            </w:pPr>
          </w:p>
        </w:tc>
        <w:tc>
          <w:tcPr>
            <w:tcW w:w="1428" w:type="dxa"/>
            <w:tcBorders>
              <w:top w:val="nil"/>
              <w:left w:val="nil"/>
              <w:bottom w:val="single" w:color="auto" w:sz="8" w:space="0"/>
              <w:right w:val="single" w:color="auto" w:sz="8" w:space="0"/>
            </w:tcBorders>
            <w:noWrap w:val="0"/>
            <w:vAlign w:val="center"/>
          </w:tcPr>
          <w:p w14:paraId="4F287C80">
            <w:pPr>
              <w:widowControl/>
              <w:spacing w:before="100" w:beforeAutospacing="1" w:after="100" w:afterAutospacing="1" w:line="240" w:lineRule="atLeast"/>
              <w:jc w:val="center"/>
              <w:rPr>
                <w:rFonts w:ascii="Verdana" w:hAnsi="Verdana" w:cs="宋体"/>
                <w:color w:val="auto"/>
                <w:kern w:val="0"/>
                <w:szCs w:val="21"/>
                <w:highlight w:val="none"/>
              </w:rPr>
            </w:pPr>
          </w:p>
        </w:tc>
      </w:tr>
      <w:tr w14:paraId="52E957CE">
        <w:tblPrEx>
          <w:tblCellMar>
            <w:top w:w="0" w:type="dxa"/>
            <w:left w:w="0" w:type="dxa"/>
            <w:bottom w:w="0" w:type="dxa"/>
            <w:right w:w="0" w:type="dxa"/>
          </w:tblCellMar>
        </w:tblPrEx>
        <w:trPr>
          <w:trHeight w:val="487" w:hRule="atLeast"/>
          <w:jc w:val="center"/>
        </w:trPr>
        <w:tc>
          <w:tcPr>
            <w:tcW w:w="6154" w:type="dxa"/>
            <w:gridSpan w:val="6"/>
            <w:tcBorders>
              <w:top w:val="nil"/>
              <w:left w:val="single" w:color="auto" w:sz="8" w:space="0"/>
              <w:bottom w:val="single" w:color="auto" w:sz="8" w:space="0"/>
              <w:right w:val="single" w:color="auto" w:sz="8" w:space="0"/>
            </w:tcBorders>
            <w:noWrap w:val="0"/>
            <w:vAlign w:val="center"/>
          </w:tcPr>
          <w:p w14:paraId="728E1161">
            <w:pPr>
              <w:widowControl/>
              <w:snapToGrid w:val="0"/>
              <w:spacing w:before="100" w:beforeAutospacing="1" w:after="100" w:afterAutospacing="1" w:line="320" w:lineRule="atLeast"/>
              <w:ind w:firstLine="5"/>
              <w:jc w:val="center"/>
              <w:rPr>
                <w:rFonts w:ascii="Verdana" w:hAnsi="Verdana" w:cs="宋体"/>
                <w:color w:val="auto"/>
                <w:kern w:val="0"/>
                <w:szCs w:val="21"/>
                <w:highlight w:val="none"/>
              </w:rPr>
            </w:pPr>
            <w:r>
              <w:rPr>
                <w:rFonts w:ascii="Verdana" w:hAnsi="Verdana" w:cs="宋体"/>
                <w:color w:val="auto"/>
                <w:kern w:val="0"/>
                <w:szCs w:val="21"/>
                <w:highlight w:val="none"/>
              </w:rPr>
              <w:t>合 计</w:t>
            </w:r>
          </w:p>
        </w:tc>
        <w:tc>
          <w:tcPr>
            <w:tcW w:w="863" w:type="dxa"/>
            <w:gridSpan w:val="2"/>
            <w:tcBorders>
              <w:top w:val="nil"/>
              <w:left w:val="nil"/>
              <w:bottom w:val="single" w:color="auto" w:sz="8" w:space="0"/>
              <w:right w:val="single" w:color="auto" w:sz="8" w:space="0"/>
            </w:tcBorders>
            <w:noWrap w:val="0"/>
            <w:vAlign w:val="center"/>
          </w:tcPr>
          <w:p w14:paraId="3BF1270D">
            <w:pPr>
              <w:widowControl/>
              <w:spacing w:before="100" w:beforeAutospacing="1" w:after="100" w:afterAutospacing="1" w:line="240" w:lineRule="atLeast"/>
              <w:jc w:val="center"/>
              <w:rPr>
                <w:rFonts w:ascii="Verdana" w:hAnsi="Verdana" w:cs="宋体"/>
                <w:color w:val="auto"/>
                <w:kern w:val="0"/>
                <w:szCs w:val="21"/>
                <w:highlight w:val="none"/>
              </w:rPr>
            </w:pPr>
          </w:p>
        </w:tc>
        <w:tc>
          <w:tcPr>
            <w:tcW w:w="1428" w:type="dxa"/>
            <w:tcBorders>
              <w:top w:val="nil"/>
              <w:left w:val="nil"/>
              <w:bottom w:val="single" w:color="auto" w:sz="8" w:space="0"/>
              <w:right w:val="single" w:color="auto" w:sz="8" w:space="0"/>
            </w:tcBorders>
            <w:noWrap w:val="0"/>
            <w:vAlign w:val="center"/>
          </w:tcPr>
          <w:p w14:paraId="258E1152">
            <w:pPr>
              <w:widowControl/>
              <w:spacing w:before="100" w:beforeAutospacing="1" w:after="100" w:afterAutospacing="1" w:line="240" w:lineRule="atLeast"/>
              <w:jc w:val="center"/>
              <w:rPr>
                <w:rFonts w:ascii="Verdana" w:hAnsi="Verdana" w:cs="宋体"/>
                <w:color w:val="auto"/>
                <w:kern w:val="0"/>
                <w:szCs w:val="21"/>
                <w:highlight w:val="none"/>
              </w:rPr>
            </w:pPr>
          </w:p>
        </w:tc>
      </w:tr>
      <w:tr w14:paraId="6EEE31DA">
        <w:tblPrEx>
          <w:tblCellMar>
            <w:top w:w="0" w:type="dxa"/>
            <w:left w:w="0" w:type="dxa"/>
            <w:bottom w:w="0" w:type="dxa"/>
            <w:right w:w="0" w:type="dxa"/>
          </w:tblCellMar>
        </w:tblPrEx>
        <w:trPr>
          <w:trHeight w:val="641" w:hRule="atLeast"/>
          <w:jc w:val="center"/>
        </w:trPr>
        <w:tc>
          <w:tcPr>
            <w:tcW w:w="8445" w:type="dxa"/>
            <w:gridSpan w:val="9"/>
            <w:tcBorders>
              <w:top w:val="nil"/>
              <w:left w:val="single" w:color="auto" w:sz="8" w:space="0"/>
              <w:bottom w:val="single" w:color="auto" w:sz="8" w:space="0"/>
              <w:right w:val="single" w:color="auto" w:sz="8" w:space="0"/>
            </w:tcBorders>
            <w:noWrap w:val="0"/>
            <w:vAlign w:val="center"/>
          </w:tcPr>
          <w:p w14:paraId="5FA9A0E1">
            <w:pPr>
              <w:widowControl/>
              <w:snapToGrid w:val="0"/>
              <w:spacing w:before="100" w:beforeAutospacing="1" w:after="100" w:afterAutospacing="1" w:line="320" w:lineRule="atLeast"/>
              <w:ind w:firstLine="210" w:firstLineChars="100"/>
              <w:jc w:val="left"/>
              <w:rPr>
                <w:rFonts w:ascii="Verdana" w:hAnsi="Verdana" w:cs="宋体"/>
                <w:color w:val="auto"/>
                <w:kern w:val="0"/>
                <w:szCs w:val="21"/>
                <w:highlight w:val="none"/>
              </w:rPr>
            </w:pPr>
            <w:r>
              <w:rPr>
                <w:rFonts w:ascii="Verdana" w:hAnsi="Verdana" w:cs="宋体"/>
                <w:color w:val="auto"/>
                <w:kern w:val="0"/>
                <w:szCs w:val="21"/>
                <w:highlight w:val="none"/>
              </w:rPr>
              <w:t xml:space="preserve">合计大写金额：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仟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佰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拾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万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仟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佰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拾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元</w:t>
            </w:r>
          </w:p>
        </w:tc>
      </w:tr>
      <w:tr w14:paraId="7498012C">
        <w:tblPrEx>
          <w:tblCellMar>
            <w:top w:w="0" w:type="dxa"/>
            <w:left w:w="0" w:type="dxa"/>
            <w:bottom w:w="0" w:type="dxa"/>
            <w:right w:w="0" w:type="dxa"/>
          </w:tblCellMar>
        </w:tblPrEx>
        <w:trPr>
          <w:trHeight w:val="641" w:hRule="atLeast"/>
          <w:jc w:val="center"/>
        </w:trPr>
        <w:tc>
          <w:tcPr>
            <w:tcW w:w="1629" w:type="dxa"/>
            <w:gridSpan w:val="2"/>
            <w:tcBorders>
              <w:top w:val="nil"/>
              <w:left w:val="single" w:color="auto" w:sz="8" w:space="0"/>
              <w:bottom w:val="single" w:color="auto" w:sz="8" w:space="0"/>
              <w:right w:val="single" w:color="auto" w:sz="8" w:space="0"/>
            </w:tcBorders>
            <w:noWrap w:val="0"/>
            <w:vAlign w:val="center"/>
          </w:tcPr>
          <w:p w14:paraId="697751FA">
            <w:pPr>
              <w:widowControl/>
              <w:snapToGrid w:val="0"/>
              <w:spacing w:before="100" w:beforeAutospacing="1" w:after="100" w:afterAutospacing="1" w:line="320" w:lineRule="atLeast"/>
              <w:ind w:firstLine="2"/>
              <w:jc w:val="center"/>
              <w:rPr>
                <w:rFonts w:ascii="Verdana" w:hAnsi="Verdana" w:cs="宋体"/>
                <w:color w:val="auto"/>
                <w:kern w:val="0"/>
                <w:szCs w:val="21"/>
                <w:highlight w:val="none"/>
              </w:rPr>
            </w:pPr>
            <w:r>
              <w:rPr>
                <w:rFonts w:ascii="Verdana" w:hAnsi="Verdana" w:cs="宋体"/>
                <w:color w:val="auto"/>
                <w:kern w:val="0"/>
                <w:szCs w:val="21"/>
                <w:highlight w:val="none"/>
              </w:rPr>
              <w:t>实际供货日期</w:t>
            </w:r>
          </w:p>
        </w:tc>
        <w:tc>
          <w:tcPr>
            <w:tcW w:w="2421" w:type="dxa"/>
            <w:gridSpan w:val="2"/>
            <w:tcBorders>
              <w:top w:val="nil"/>
              <w:left w:val="nil"/>
              <w:bottom w:val="single" w:color="auto" w:sz="8" w:space="0"/>
              <w:right w:val="single" w:color="auto" w:sz="8" w:space="0"/>
            </w:tcBorders>
            <w:noWrap w:val="0"/>
            <w:vAlign w:val="center"/>
          </w:tcPr>
          <w:p w14:paraId="4C447BE7">
            <w:pPr>
              <w:widowControl/>
              <w:spacing w:before="100" w:beforeAutospacing="1" w:after="100" w:afterAutospacing="1" w:line="240" w:lineRule="atLeast"/>
              <w:jc w:val="center"/>
              <w:rPr>
                <w:rFonts w:ascii="Verdana" w:hAnsi="Verdana" w:cs="宋体"/>
                <w:color w:val="auto"/>
                <w:kern w:val="0"/>
                <w:szCs w:val="21"/>
                <w:highlight w:val="none"/>
              </w:rPr>
            </w:pPr>
          </w:p>
        </w:tc>
        <w:tc>
          <w:tcPr>
            <w:tcW w:w="2282" w:type="dxa"/>
            <w:gridSpan w:val="3"/>
            <w:tcBorders>
              <w:top w:val="nil"/>
              <w:left w:val="nil"/>
              <w:bottom w:val="single" w:color="auto" w:sz="8" w:space="0"/>
              <w:right w:val="single" w:color="auto" w:sz="8" w:space="0"/>
            </w:tcBorders>
            <w:noWrap w:val="0"/>
            <w:vAlign w:val="center"/>
          </w:tcPr>
          <w:p w14:paraId="12285011">
            <w:pPr>
              <w:widowControl/>
              <w:snapToGrid w:val="0"/>
              <w:spacing w:before="100" w:beforeAutospacing="1" w:after="100" w:afterAutospacing="1" w:line="320" w:lineRule="atLeast"/>
              <w:ind w:firstLine="46"/>
              <w:jc w:val="center"/>
              <w:rPr>
                <w:rFonts w:ascii="Verdana" w:hAnsi="Verdana" w:cs="宋体"/>
                <w:color w:val="auto"/>
                <w:kern w:val="0"/>
                <w:szCs w:val="21"/>
                <w:highlight w:val="none"/>
              </w:rPr>
            </w:pPr>
            <w:r>
              <w:rPr>
                <w:rFonts w:ascii="Verdana" w:hAnsi="Verdana" w:cs="宋体"/>
                <w:color w:val="auto"/>
                <w:kern w:val="0"/>
                <w:szCs w:val="21"/>
                <w:highlight w:val="none"/>
              </w:rPr>
              <w:t>合同交货验收日期</w:t>
            </w:r>
          </w:p>
        </w:tc>
        <w:tc>
          <w:tcPr>
            <w:tcW w:w="2113" w:type="dxa"/>
            <w:gridSpan w:val="2"/>
            <w:tcBorders>
              <w:top w:val="nil"/>
              <w:left w:val="nil"/>
              <w:bottom w:val="single" w:color="auto" w:sz="8" w:space="0"/>
              <w:right w:val="single" w:color="auto" w:sz="8" w:space="0"/>
            </w:tcBorders>
            <w:noWrap w:val="0"/>
            <w:vAlign w:val="center"/>
          </w:tcPr>
          <w:p w14:paraId="05663B6F">
            <w:pPr>
              <w:widowControl/>
              <w:spacing w:before="100" w:beforeAutospacing="1" w:after="100" w:afterAutospacing="1" w:line="240" w:lineRule="atLeast"/>
              <w:jc w:val="center"/>
              <w:rPr>
                <w:rFonts w:ascii="Verdana" w:hAnsi="Verdana" w:cs="宋体"/>
                <w:color w:val="auto"/>
                <w:kern w:val="0"/>
                <w:szCs w:val="21"/>
                <w:highlight w:val="none"/>
              </w:rPr>
            </w:pPr>
          </w:p>
        </w:tc>
      </w:tr>
      <w:tr w14:paraId="4D44F543">
        <w:tblPrEx>
          <w:tblCellMar>
            <w:top w:w="0" w:type="dxa"/>
            <w:left w:w="0" w:type="dxa"/>
            <w:bottom w:w="0" w:type="dxa"/>
            <w:right w:w="0" w:type="dxa"/>
          </w:tblCellMar>
        </w:tblPrEx>
        <w:trPr>
          <w:trHeight w:val="693" w:hRule="atLeast"/>
          <w:jc w:val="center"/>
        </w:trPr>
        <w:tc>
          <w:tcPr>
            <w:tcW w:w="1629" w:type="dxa"/>
            <w:gridSpan w:val="2"/>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278049C9">
            <w:pPr>
              <w:widowControl/>
              <w:snapToGrid w:val="0"/>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验收具体内容</w:t>
            </w:r>
          </w:p>
        </w:tc>
        <w:tc>
          <w:tcPr>
            <w:tcW w:w="6816" w:type="dxa"/>
            <w:gridSpan w:val="7"/>
            <w:tcBorders>
              <w:top w:val="nil"/>
              <w:left w:val="nil"/>
              <w:bottom w:val="single" w:color="auto" w:sz="8" w:space="0"/>
              <w:right w:val="single" w:color="auto" w:sz="8" w:space="0"/>
            </w:tcBorders>
            <w:noWrap w:val="0"/>
            <w:tcMar>
              <w:top w:w="0" w:type="dxa"/>
              <w:left w:w="108" w:type="dxa"/>
              <w:bottom w:w="0" w:type="dxa"/>
              <w:right w:w="108" w:type="dxa"/>
            </w:tcMar>
            <w:vAlign w:val="center"/>
          </w:tcPr>
          <w:p w14:paraId="55C5ED11">
            <w:pPr>
              <w:widowControl/>
              <w:snapToGrid w:val="0"/>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应按采购合同、磋商文件、竞标响应文件及验收方案等进行验收；并核对成交供应商在安装调试等方面是否违反合同约定或者服务规范要求、提供的质量保证证明材料是否齐全、应有的配件及附件是否达到合同约定等。可附件)</w:t>
            </w:r>
          </w:p>
        </w:tc>
      </w:tr>
      <w:tr w14:paraId="4B611147">
        <w:tblPrEx>
          <w:tblCellMar>
            <w:top w:w="0" w:type="dxa"/>
            <w:left w:w="0" w:type="dxa"/>
            <w:bottom w:w="0" w:type="dxa"/>
            <w:right w:w="0" w:type="dxa"/>
          </w:tblCellMar>
        </w:tblPrEx>
        <w:trPr>
          <w:trHeight w:val="1281" w:hRule="atLeast"/>
          <w:jc w:val="center"/>
        </w:trPr>
        <w:tc>
          <w:tcPr>
            <w:tcW w:w="1629" w:type="dxa"/>
            <w:gridSpan w:val="2"/>
            <w:vMerge w:val="restart"/>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526A848">
            <w:pPr>
              <w:widowControl/>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验收小组意见</w:t>
            </w:r>
          </w:p>
        </w:tc>
        <w:tc>
          <w:tcPr>
            <w:tcW w:w="6816" w:type="dxa"/>
            <w:gridSpan w:val="7"/>
            <w:tcBorders>
              <w:top w:val="nil"/>
              <w:left w:val="nil"/>
              <w:bottom w:val="single" w:color="auto" w:sz="8" w:space="0"/>
              <w:right w:val="single" w:color="auto" w:sz="8" w:space="0"/>
            </w:tcBorders>
            <w:noWrap w:val="0"/>
            <w:vAlign w:val="center"/>
          </w:tcPr>
          <w:p w14:paraId="0FC7BBE3">
            <w:pPr>
              <w:widowControl/>
              <w:spacing w:before="100" w:beforeAutospacing="1" w:after="100" w:afterAutospacing="1" w:line="320" w:lineRule="atLeast"/>
              <w:ind w:firstLine="210" w:firstLineChars="100"/>
              <w:jc w:val="left"/>
              <w:rPr>
                <w:rFonts w:ascii="Verdana" w:hAnsi="Verdana" w:cs="宋体"/>
                <w:color w:val="auto"/>
                <w:kern w:val="0"/>
                <w:szCs w:val="21"/>
                <w:highlight w:val="none"/>
              </w:rPr>
            </w:pPr>
            <w:r>
              <w:rPr>
                <w:rFonts w:ascii="Verdana" w:hAnsi="Verdana" w:cs="宋体"/>
                <w:color w:val="auto"/>
                <w:kern w:val="0"/>
                <w:szCs w:val="21"/>
                <w:highlight w:val="none"/>
              </w:rPr>
              <w:t>验收结论性意见：</w:t>
            </w:r>
          </w:p>
        </w:tc>
      </w:tr>
      <w:tr w14:paraId="7414BAFE">
        <w:tblPrEx>
          <w:tblCellMar>
            <w:top w:w="0" w:type="dxa"/>
            <w:left w:w="0" w:type="dxa"/>
            <w:bottom w:w="0" w:type="dxa"/>
            <w:right w:w="0" w:type="dxa"/>
          </w:tblCellMar>
        </w:tblPrEx>
        <w:trPr>
          <w:trHeight w:val="607" w:hRule="atLeast"/>
          <w:jc w:val="center"/>
        </w:trPr>
        <w:tc>
          <w:tcPr>
            <w:tcW w:w="1629" w:type="dxa"/>
            <w:gridSpan w:val="2"/>
            <w:vMerge w:val="continue"/>
            <w:tcBorders>
              <w:top w:val="nil"/>
              <w:left w:val="single" w:color="auto" w:sz="8" w:space="0"/>
              <w:bottom w:val="single" w:color="auto" w:sz="8" w:space="0"/>
              <w:right w:val="single" w:color="auto" w:sz="8" w:space="0"/>
            </w:tcBorders>
            <w:noWrap w:val="0"/>
            <w:vAlign w:val="center"/>
          </w:tcPr>
          <w:p w14:paraId="18DDB6D3">
            <w:pPr>
              <w:widowControl/>
              <w:jc w:val="left"/>
              <w:rPr>
                <w:rFonts w:ascii="Verdana" w:hAnsi="Verdana" w:cs="宋体"/>
                <w:color w:val="auto"/>
                <w:kern w:val="0"/>
                <w:szCs w:val="21"/>
                <w:highlight w:val="none"/>
              </w:rPr>
            </w:pPr>
          </w:p>
        </w:tc>
        <w:tc>
          <w:tcPr>
            <w:tcW w:w="6816" w:type="dxa"/>
            <w:gridSpan w:val="7"/>
            <w:tcBorders>
              <w:top w:val="nil"/>
              <w:left w:val="nil"/>
              <w:bottom w:val="single" w:color="auto" w:sz="8" w:space="0"/>
              <w:right w:val="single" w:color="auto" w:sz="8" w:space="0"/>
            </w:tcBorders>
            <w:noWrap w:val="0"/>
            <w:vAlign w:val="center"/>
          </w:tcPr>
          <w:p w14:paraId="2A110A8F">
            <w:pPr>
              <w:widowControl/>
              <w:spacing w:before="100" w:beforeAutospacing="1" w:after="100" w:afterAutospacing="1" w:line="320" w:lineRule="atLeast"/>
              <w:ind w:firstLine="210" w:firstLineChars="100"/>
              <w:jc w:val="left"/>
              <w:rPr>
                <w:rFonts w:ascii="Verdana" w:hAnsi="Verdana" w:cs="宋体"/>
                <w:color w:val="auto"/>
                <w:kern w:val="0"/>
                <w:szCs w:val="21"/>
                <w:highlight w:val="none"/>
              </w:rPr>
            </w:pPr>
            <w:r>
              <w:rPr>
                <w:rFonts w:ascii="Verdana" w:hAnsi="Verdana" w:cs="宋体"/>
                <w:color w:val="auto"/>
                <w:kern w:val="0"/>
                <w:szCs w:val="21"/>
                <w:highlight w:val="none"/>
              </w:rPr>
              <w:t>有异议的意见和说明理由：</w:t>
            </w:r>
          </w:p>
          <w:p w14:paraId="492FE6EA">
            <w:pPr>
              <w:widowControl/>
              <w:spacing w:before="100" w:beforeAutospacing="1" w:after="100" w:afterAutospacing="1" w:line="320" w:lineRule="atLeast"/>
              <w:ind w:firstLine="210" w:firstLineChars="100"/>
              <w:jc w:val="left"/>
              <w:rPr>
                <w:rFonts w:ascii="Verdana" w:hAnsi="Verdana" w:cs="宋体"/>
                <w:color w:val="auto"/>
                <w:kern w:val="0"/>
                <w:szCs w:val="21"/>
                <w:highlight w:val="none"/>
              </w:rPr>
            </w:pPr>
            <w:r>
              <w:rPr>
                <w:rFonts w:ascii="Verdana" w:hAnsi="Verdana" w:cs="宋体"/>
                <w:color w:val="auto"/>
                <w:kern w:val="0"/>
                <w:szCs w:val="21"/>
                <w:highlight w:val="none"/>
              </w:rPr>
              <w:t>签字：</w:t>
            </w:r>
          </w:p>
        </w:tc>
      </w:tr>
      <w:tr w14:paraId="7CAFE543">
        <w:tblPrEx>
          <w:tblCellMar>
            <w:top w:w="0" w:type="dxa"/>
            <w:left w:w="0" w:type="dxa"/>
            <w:bottom w:w="0" w:type="dxa"/>
            <w:right w:w="0" w:type="dxa"/>
          </w:tblCellMar>
        </w:tblPrEx>
        <w:trPr>
          <w:trHeight w:val="507"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1E499730">
            <w:pPr>
              <w:widowControl/>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验收小组成员签字：</w:t>
            </w:r>
          </w:p>
        </w:tc>
      </w:tr>
      <w:tr w14:paraId="0B410D25">
        <w:tblPrEx>
          <w:tblCellMar>
            <w:top w:w="0" w:type="dxa"/>
            <w:left w:w="0" w:type="dxa"/>
            <w:bottom w:w="0" w:type="dxa"/>
            <w:right w:w="0" w:type="dxa"/>
          </w:tblCellMar>
        </w:tblPrEx>
        <w:trPr>
          <w:trHeight w:val="736" w:hRule="atLeast"/>
          <w:jc w:val="center"/>
        </w:trPr>
        <w:tc>
          <w:tcPr>
            <w:tcW w:w="8445" w:type="dxa"/>
            <w:gridSpan w:val="9"/>
            <w:tcBorders>
              <w:top w:val="nil"/>
              <w:left w:val="single" w:color="auto" w:sz="8" w:space="0"/>
              <w:bottom w:val="single" w:color="auto" w:sz="8" w:space="0"/>
              <w:right w:val="single" w:color="auto" w:sz="8" w:space="0"/>
            </w:tcBorders>
            <w:noWrap w:val="0"/>
            <w:tcMar>
              <w:top w:w="0" w:type="dxa"/>
              <w:left w:w="108" w:type="dxa"/>
              <w:bottom w:w="0" w:type="dxa"/>
              <w:right w:w="108" w:type="dxa"/>
            </w:tcMar>
            <w:vAlign w:val="center"/>
          </w:tcPr>
          <w:p w14:paraId="424FEEFC">
            <w:pPr>
              <w:widowControl/>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监督人员或者</w:t>
            </w:r>
            <w:r>
              <w:rPr>
                <w:rFonts w:hint="eastAsia" w:ascii="Verdana" w:hAnsi="Verdana" w:cs="宋体"/>
                <w:color w:val="auto"/>
                <w:kern w:val="0"/>
                <w:szCs w:val="21"/>
                <w:highlight w:val="none"/>
                <w:lang w:eastAsia="zh-CN"/>
              </w:rPr>
              <w:t>其他</w:t>
            </w:r>
            <w:r>
              <w:rPr>
                <w:rFonts w:ascii="Verdana" w:hAnsi="Verdana" w:cs="宋体"/>
                <w:color w:val="auto"/>
                <w:kern w:val="0"/>
                <w:szCs w:val="21"/>
                <w:highlight w:val="none"/>
              </w:rPr>
              <w:t>相关人员签字：</w:t>
            </w:r>
          </w:p>
          <w:p w14:paraId="497C98AB">
            <w:pPr>
              <w:widowControl/>
              <w:spacing w:before="100" w:beforeAutospacing="1" w:after="100" w:afterAutospacing="1" w:line="320" w:lineRule="atLeast"/>
              <w:ind w:firstLine="74"/>
              <w:jc w:val="left"/>
              <w:rPr>
                <w:rFonts w:ascii="Verdana" w:hAnsi="Verdana" w:cs="宋体"/>
                <w:color w:val="auto"/>
                <w:kern w:val="0"/>
                <w:szCs w:val="21"/>
                <w:highlight w:val="none"/>
              </w:rPr>
            </w:pPr>
            <w:r>
              <w:rPr>
                <w:rFonts w:ascii="Verdana" w:hAnsi="Verdana" w:cs="宋体"/>
                <w:color w:val="auto"/>
                <w:kern w:val="0"/>
                <w:szCs w:val="21"/>
                <w:highlight w:val="none"/>
              </w:rPr>
              <w:t>或者受邀机构的意见（盖章）：</w:t>
            </w:r>
          </w:p>
        </w:tc>
      </w:tr>
      <w:tr w14:paraId="46D2E776">
        <w:tblPrEx>
          <w:tblCellMar>
            <w:top w:w="0" w:type="dxa"/>
            <w:left w:w="0" w:type="dxa"/>
            <w:bottom w:w="0" w:type="dxa"/>
            <w:right w:w="0" w:type="dxa"/>
          </w:tblCellMar>
        </w:tblPrEx>
        <w:trPr>
          <w:trHeight w:val="758" w:hRule="atLeast"/>
          <w:jc w:val="center"/>
        </w:trPr>
        <w:tc>
          <w:tcPr>
            <w:tcW w:w="4152" w:type="dxa"/>
            <w:gridSpan w:val="5"/>
            <w:tcBorders>
              <w:top w:val="nil"/>
              <w:left w:val="single" w:color="auto" w:sz="8" w:space="0"/>
              <w:bottom w:val="single" w:color="auto" w:sz="8" w:space="0"/>
              <w:right w:val="single" w:color="auto" w:sz="4" w:space="0"/>
            </w:tcBorders>
            <w:noWrap w:val="0"/>
            <w:tcMar>
              <w:top w:w="0" w:type="dxa"/>
              <w:left w:w="108" w:type="dxa"/>
              <w:bottom w:w="0" w:type="dxa"/>
              <w:right w:w="108" w:type="dxa"/>
            </w:tcMar>
            <w:vAlign w:val="center"/>
          </w:tcPr>
          <w:p w14:paraId="1BEB7173">
            <w:pPr>
              <w:widowControl/>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成交供应商负责人签字或者盖章：</w:t>
            </w:r>
          </w:p>
          <w:p w14:paraId="15E901B8">
            <w:pPr>
              <w:widowControl/>
              <w:spacing w:before="100" w:beforeAutospacing="1" w:after="100" w:afterAutospacing="1" w:line="320" w:lineRule="atLeast"/>
              <w:jc w:val="left"/>
              <w:rPr>
                <w:rFonts w:ascii="Verdana" w:hAnsi="Verdana" w:cs="宋体"/>
                <w:color w:val="auto"/>
                <w:kern w:val="0"/>
                <w:szCs w:val="21"/>
                <w:highlight w:val="none"/>
              </w:rPr>
            </w:pPr>
          </w:p>
          <w:p w14:paraId="0F71BBF4">
            <w:pPr>
              <w:widowControl/>
              <w:spacing w:before="100" w:beforeAutospacing="1" w:after="100" w:afterAutospacing="1" w:line="320" w:lineRule="atLeast"/>
              <w:jc w:val="left"/>
              <w:rPr>
                <w:rFonts w:ascii="Verdana" w:hAnsi="Verdana" w:cs="宋体"/>
                <w:color w:val="auto"/>
                <w:kern w:val="0"/>
                <w:szCs w:val="21"/>
                <w:highlight w:val="none"/>
              </w:rPr>
            </w:pPr>
            <w:r>
              <w:rPr>
                <w:rFonts w:ascii="Verdana" w:hAnsi="Verdana" w:cs="宋体"/>
                <w:color w:val="auto"/>
                <w:kern w:val="0"/>
                <w:szCs w:val="21"/>
                <w:highlight w:val="none"/>
              </w:rPr>
              <w:t>联系电话：</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 </w:t>
            </w:r>
          </w:p>
          <w:p w14:paraId="4C9D19BB">
            <w:pPr>
              <w:widowControl/>
              <w:spacing w:before="100" w:beforeAutospacing="1" w:after="100" w:afterAutospacing="1" w:line="320" w:lineRule="atLeast"/>
              <w:ind w:firstLine="2730" w:firstLineChars="1300"/>
              <w:jc w:val="left"/>
              <w:rPr>
                <w:rFonts w:ascii="Verdana" w:hAnsi="Verdana" w:cs="宋体"/>
                <w:color w:val="auto"/>
                <w:kern w:val="0"/>
                <w:szCs w:val="21"/>
                <w:highlight w:val="none"/>
              </w:rPr>
            </w:pPr>
            <w:r>
              <w:rPr>
                <w:rFonts w:ascii="Verdana" w:hAnsi="Verdana" w:cs="宋体"/>
                <w:color w:val="auto"/>
                <w:kern w:val="0"/>
                <w:szCs w:val="21"/>
                <w:highlight w:val="none"/>
              </w:rPr>
              <w:t>年</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 月 </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日</w:t>
            </w:r>
          </w:p>
        </w:tc>
        <w:tc>
          <w:tcPr>
            <w:tcW w:w="4293" w:type="dxa"/>
            <w:gridSpan w:val="4"/>
            <w:tcBorders>
              <w:top w:val="nil"/>
              <w:left w:val="single" w:color="auto" w:sz="4" w:space="0"/>
              <w:bottom w:val="single" w:color="auto" w:sz="8" w:space="0"/>
              <w:right w:val="single" w:color="auto" w:sz="8" w:space="0"/>
            </w:tcBorders>
            <w:noWrap w:val="0"/>
            <w:vAlign w:val="center"/>
          </w:tcPr>
          <w:p w14:paraId="0F611224">
            <w:pPr>
              <w:widowControl/>
              <w:spacing w:before="100" w:beforeAutospacing="1" w:after="100" w:afterAutospacing="1" w:line="320" w:lineRule="atLeast"/>
              <w:ind w:firstLine="210" w:firstLineChars="100"/>
              <w:jc w:val="left"/>
              <w:rPr>
                <w:rFonts w:ascii="Verdana" w:hAnsi="Verdana" w:cs="宋体"/>
                <w:color w:val="auto"/>
                <w:kern w:val="0"/>
                <w:szCs w:val="21"/>
                <w:highlight w:val="none"/>
              </w:rPr>
            </w:pPr>
            <w:r>
              <w:rPr>
                <w:rFonts w:ascii="Verdana" w:hAnsi="Verdana" w:cs="宋体"/>
                <w:color w:val="auto"/>
                <w:kern w:val="0"/>
                <w:szCs w:val="21"/>
                <w:highlight w:val="none"/>
              </w:rPr>
              <w:t>采购人或者受托机构的意见（盖章）：</w:t>
            </w:r>
          </w:p>
          <w:p w14:paraId="5B91B03D">
            <w:pPr>
              <w:widowControl/>
              <w:spacing w:before="100" w:beforeAutospacing="1" w:after="100" w:afterAutospacing="1" w:line="320" w:lineRule="atLeast"/>
              <w:ind w:firstLine="210" w:firstLineChars="100"/>
              <w:jc w:val="left"/>
              <w:rPr>
                <w:rFonts w:ascii="Verdana" w:hAnsi="Verdana" w:cs="宋体"/>
                <w:color w:val="auto"/>
                <w:kern w:val="0"/>
                <w:szCs w:val="21"/>
                <w:highlight w:val="none"/>
              </w:rPr>
            </w:pPr>
          </w:p>
          <w:p w14:paraId="464C695C">
            <w:pPr>
              <w:widowControl/>
              <w:spacing w:before="100" w:beforeAutospacing="1" w:after="100" w:afterAutospacing="1" w:line="320" w:lineRule="atLeast"/>
              <w:ind w:firstLine="210" w:firstLineChars="100"/>
              <w:jc w:val="left"/>
              <w:rPr>
                <w:rFonts w:hint="eastAsia" w:ascii="Verdana" w:hAnsi="Verdana" w:cs="宋体"/>
                <w:color w:val="auto"/>
                <w:kern w:val="0"/>
                <w:szCs w:val="21"/>
                <w:highlight w:val="none"/>
              </w:rPr>
            </w:pPr>
            <w:r>
              <w:rPr>
                <w:rFonts w:ascii="Verdana" w:hAnsi="Verdana" w:cs="宋体"/>
                <w:color w:val="auto"/>
                <w:kern w:val="0"/>
                <w:szCs w:val="21"/>
                <w:highlight w:val="none"/>
              </w:rPr>
              <w:t>联系电话：</w:t>
            </w:r>
            <w:r>
              <w:rPr>
                <w:rFonts w:hint="eastAsia" w:ascii="Verdana" w:hAnsi="Verdana" w:cs="宋体"/>
                <w:color w:val="auto"/>
                <w:kern w:val="0"/>
                <w:szCs w:val="21"/>
                <w:highlight w:val="none"/>
              </w:rPr>
              <w:t xml:space="preserve">               </w:t>
            </w:r>
          </w:p>
          <w:p w14:paraId="7AFF8ACB">
            <w:pPr>
              <w:widowControl/>
              <w:spacing w:before="100" w:beforeAutospacing="1" w:after="100" w:afterAutospacing="1" w:line="320" w:lineRule="atLeast"/>
              <w:ind w:firstLine="2310" w:firstLineChars="1100"/>
              <w:jc w:val="left"/>
              <w:rPr>
                <w:rFonts w:ascii="Verdana" w:hAnsi="Verdana" w:cs="宋体"/>
                <w:color w:val="auto"/>
                <w:kern w:val="0"/>
                <w:szCs w:val="21"/>
                <w:highlight w:val="none"/>
              </w:rPr>
            </w:pP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年</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 月</w:t>
            </w:r>
            <w:r>
              <w:rPr>
                <w:rFonts w:hint="eastAsia" w:ascii="Verdana" w:hAnsi="Verdana" w:cs="宋体"/>
                <w:color w:val="auto"/>
                <w:kern w:val="0"/>
                <w:szCs w:val="21"/>
                <w:highlight w:val="none"/>
              </w:rPr>
              <w:t xml:space="preserve"> </w:t>
            </w:r>
            <w:r>
              <w:rPr>
                <w:rFonts w:ascii="Verdana" w:hAnsi="Verdana" w:cs="宋体"/>
                <w:color w:val="auto"/>
                <w:kern w:val="0"/>
                <w:szCs w:val="21"/>
                <w:highlight w:val="none"/>
              </w:rPr>
              <w:t xml:space="preserve"> 日</w:t>
            </w:r>
          </w:p>
        </w:tc>
      </w:tr>
    </w:tbl>
    <w:p w14:paraId="06092A28">
      <w:pPr>
        <w:jc w:val="both"/>
        <w:rPr>
          <w:rFonts w:hint="eastAsia" w:ascii="宋体" w:hAnsi="宋体" w:cs="宋体"/>
          <w:color w:val="auto"/>
          <w:sz w:val="28"/>
          <w:szCs w:val="28"/>
          <w:highlight w:val="none"/>
          <w:lang w:val="en-US" w:eastAsia="zh-CN"/>
        </w:rPr>
      </w:pPr>
      <w:r>
        <w:rPr>
          <w:rFonts w:hAnsi="宋体"/>
          <w:color w:val="auto"/>
          <w:highlight w:val="none"/>
        </w:rPr>
        <w:br w:type="page"/>
      </w:r>
      <w:r>
        <w:rPr>
          <w:rFonts w:hint="eastAsia" w:ascii="宋体" w:hAnsi="宋体" w:cs="宋体"/>
          <w:color w:val="auto"/>
          <w:sz w:val="28"/>
          <w:szCs w:val="28"/>
          <w:highlight w:val="none"/>
          <w:lang w:val="en-US" w:eastAsia="zh-CN"/>
        </w:rPr>
        <w:t>5.政府采购项目履约保证金退付意见书的格式：</w:t>
      </w:r>
    </w:p>
    <w:p w14:paraId="47311D5C">
      <w:pPr>
        <w:pStyle w:val="17"/>
        <w:snapToGrid w:val="0"/>
        <w:rPr>
          <w:rFonts w:hint="eastAsia" w:ascii="黑体" w:hAnsi="黑体" w:eastAsia="黑体" w:cs="黑体"/>
          <w:color w:val="auto"/>
          <w:sz w:val="32"/>
          <w:szCs w:val="32"/>
          <w:highlight w:val="none"/>
        </w:rPr>
      </w:pPr>
    </w:p>
    <w:p w14:paraId="6027226A">
      <w:pPr>
        <w:pStyle w:val="9"/>
        <w:rPr>
          <w:rFonts w:hint="eastAsia"/>
          <w:color w:val="auto"/>
          <w:highlight w:val="none"/>
        </w:rPr>
      </w:pPr>
    </w:p>
    <w:p w14:paraId="32EA50AA">
      <w:pPr>
        <w:jc w:val="center"/>
        <w:rPr>
          <w:rFonts w:hint="eastAsia" w:ascii="宋体" w:hAnsi="宋体" w:cs="宋体"/>
          <w:b/>
          <w:bCs/>
          <w:color w:val="auto"/>
          <w:sz w:val="32"/>
          <w:szCs w:val="32"/>
          <w:highlight w:val="none"/>
        </w:rPr>
      </w:pPr>
      <w:r>
        <w:rPr>
          <w:rFonts w:hint="eastAsia" w:ascii="宋体" w:hAnsi="宋体" w:cs="宋体"/>
          <w:b/>
          <w:bCs/>
          <w:color w:val="auto"/>
          <w:sz w:val="32"/>
          <w:szCs w:val="32"/>
          <w:highlight w:val="none"/>
        </w:rPr>
        <w:t>政府采购项目履约保证金退付意见书（参考）</w:t>
      </w:r>
    </w:p>
    <w:p w14:paraId="5870AAE7">
      <w:pPr>
        <w:jc w:val="center"/>
        <w:rPr>
          <w:rFonts w:hint="eastAsia" w:ascii="黑体" w:hAnsi="黑体" w:eastAsia="黑体"/>
          <w:color w:val="auto"/>
          <w:sz w:val="36"/>
          <w:szCs w:val="36"/>
          <w:highlight w:val="none"/>
        </w:rPr>
      </w:pP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17"/>
        <w:gridCol w:w="8009"/>
      </w:tblGrid>
      <w:tr w14:paraId="71216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15" w:hRule="atLeast"/>
          <w:jc w:val="center"/>
        </w:trPr>
        <w:tc>
          <w:tcPr>
            <w:tcW w:w="817" w:type="dxa"/>
            <w:vMerge w:val="restart"/>
            <w:noWrap w:val="0"/>
            <w:vAlign w:val="center"/>
          </w:tcPr>
          <w:p w14:paraId="6A952F18">
            <w:pPr>
              <w:jc w:val="center"/>
              <w:rPr>
                <w:rFonts w:hint="eastAsia"/>
                <w:color w:val="auto"/>
                <w:sz w:val="24"/>
                <w:highlight w:val="none"/>
              </w:rPr>
            </w:pPr>
            <w:r>
              <w:rPr>
                <w:rFonts w:hint="eastAsia"/>
                <w:color w:val="auto"/>
                <w:sz w:val="24"/>
                <w:highlight w:val="none"/>
              </w:rPr>
              <w:t>供</w:t>
            </w:r>
          </w:p>
          <w:p w14:paraId="10049D14">
            <w:pPr>
              <w:jc w:val="center"/>
              <w:rPr>
                <w:rFonts w:hint="eastAsia"/>
                <w:color w:val="auto"/>
                <w:sz w:val="24"/>
                <w:highlight w:val="none"/>
              </w:rPr>
            </w:pPr>
            <w:r>
              <w:rPr>
                <w:rFonts w:hint="eastAsia"/>
                <w:color w:val="auto"/>
                <w:sz w:val="24"/>
                <w:highlight w:val="none"/>
              </w:rPr>
              <w:t>应</w:t>
            </w:r>
          </w:p>
          <w:p w14:paraId="1EA365EA">
            <w:pPr>
              <w:jc w:val="center"/>
              <w:rPr>
                <w:rFonts w:hint="eastAsia"/>
                <w:color w:val="auto"/>
                <w:sz w:val="24"/>
                <w:highlight w:val="none"/>
              </w:rPr>
            </w:pPr>
            <w:r>
              <w:rPr>
                <w:rFonts w:hint="eastAsia"/>
                <w:color w:val="auto"/>
                <w:sz w:val="24"/>
                <w:highlight w:val="none"/>
              </w:rPr>
              <w:t>商</w:t>
            </w:r>
          </w:p>
          <w:p w14:paraId="19E228F7">
            <w:pPr>
              <w:jc w:val="center"/>
              <w:rPr>
                <w:rFonts w:hint="eastAsia"/>
                <w:color w:val="auto"/>
                <w:sz w:val="24"/>
                <w:highlight w:val="none"/>
              </w:rPr>
            </w:pPr>
            <w:r>
              <w:rPr>
                <w:rFonts w:hint="eastAsia"/>
                <w:color w:val="auto"/>
                <w:sz w:val="24"/>
                <w:highlight w:val="none"/>
              </w:rPr>
              <w:t>申</w:t>
            </w:r>
          </w:p>
          <w:p w14:paraId="1437BAF5">
            <w:pPr>
              <w:jc w:val="center"/>
              <w:rPr>
                <w:rFonts w:hint="eastAsia"/>
                <w:color w:val="auto"/>
                <w:sz w:val="24"/>
                <w:highlight w:val="none"/>
              </w:rPr>
            </w:pPr>
            <w:r>
              <w:rPr>
                <w:rFonts w:hint="eastAsia"/>
                <w:color w:val="auto"/>
                <w:sz w:val="24"/>
                <w:highlight w:val="none"/>
              </w:rPr>
              <w:t>请</w:t>
            </w:r>
          </w:p>
        </w:tc>
        <w:tc>
          <w:tcPr>
            <w:tcW w:w="8009" w:type="dxa"/>
            <w:noWrap w:val="0"/>
            <w:vAlign w:val="center"/>
          </w:tcPr>
          <w:p w14:paraId="11694062">
            <w:pPr>
              <w:rPr>
                <w:rFonts w:hint="eastAsia"/>
                <w:color w:val="auto"/>
                <w:sz w:val="24"/>
                <w:highlight w:val="none"/>
              </w:rPr>
            </w:pPr>
            <w:r>
              <w:rPr>
                <w:rFonts w:hint="eastAsia"/>
                <w:color w:val="auto"/>
                <w:sz w:val="24"/>
                <w:highlight w:val="none"/>
              </w:rPr>
              <w:t>项目编号：</w:t>
            </w:r>
          </w:p>
        </w:tc>
      </w:tr>
      <w:tr w14:paraId="78D06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8" w:hRule="atLeast"/>
          <w:jc w:val="center"/>
        </w:trPr>
        <w:tc>
          <w:tcPr>
            <w:tcW w:w="817" w:type="dxa"/>
            <w:vMerge w:val="continue"/>
            <w:noWrap w:val="0"/>
            <w:vAlign w:val="center"/>
          </w:tcPr>
          <w:p w14:paraId="545A1884">
            <w:pPr>
              <w:rPr>
                <w:rFonts w:hint="eastAsia"/>
                <w:color w:val="auto"/>
                <w:sz w:val="24"/>
                <w:highlight w:val="none"/>
              </w:rPr>
            </w:pPr>
          </w:p>
        </w:tc>
        <w:tc>
          <w:tcPr>
            <w:tcW w:w="8009" w:type="dxa"/>
            <w:noWrap w:val="0"/>
            <w:vAlign w:val="center"/>
          </w:tcPr>
          <w:p w14:paraId="502696E2">
            <w:pPr>
              <w:rPr>
                <w:rFonts w:hint="eastAsia"/>
                <w:color w:val="auto"/>
                <w:sz w:val="24"/>
                <w:highlight w:val="none"/>
              </w:rPr>
            </w:pPr>
            <w:r>
              <w:rPr>
                <w:rFonts w:hint="eastAsia"/>
                <w:color w:val="auto"/>
                <w:sz w:val="24"/>
                <w:highlight w:val="none"/>
              </w:rPr>
              <w:t>项目名称：</w:t>
            </w:r>
          </w:p>
        </w:tc>
      </w:tr>
      <w:tr w14:paraId="08042F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817" w:type="dxa"/>
            <w:vMerge w:val="continue"/>
            <w:noWrap w:val="0"/>
            <w:vAlign w:val="top"/>
          </w:tcPr>
          <w:p w14:paraId="22649028">
            <w:pPr>
              <w:rPr>
                <w:rFonts w:hint="eastAsia"/>
                <w:color w:val="auto"/>
                <w:sz w:val="24"/>
                <w:highlight w:val="none"/>
              </w:rPr>
            </w:pPr>
          </w:p>
        </w:tc>
        <w:tc>
          <w:tcPr>
            <w:tcW w:w="8009" w:type="dxa"/>
            <w:noWrap w:val="0"/>
            <w:vAlign w:val="top"/>
          </w:tcPr>
          <w:p w14:paraId="6DC43F09">
            <w:pPr>
              <w:rPr>
                <w:rFonts w:hint="eastAsia"/>
                <w:color w:val="auto"/>
                <w:sz w:val="24"/>
                <w:highlight w:val="none"/>
              </w:rPr>
            </w:pPr>
            <w:r>
              <w:rPr>
                <w:rFonts w:hint="eastAsia"/>
                <w:color w:val="auto"/>
                <w:sz w:val="24"/>
                <w:highlight w:val="none"/>
              </w:rPr>
              <w:t xml:space="preserve">  </w:t>
            </w:r>
          </w:p>
          <w:p w14:paraId="1187DAF7">
            <w:pPr>
              <w:ind w:firstLine="480" w:firstLineChars="200"/>
              <w:rPr>
                <w:rFonts w:hint="eastAsia"/>
                <w:color w:val="auto"/>
                <w:sz w:val="24"/>
                <w:highlight w:val="none"/>
              </w:rPr>
            </w:pPr>
            <w:r>
              <w:rPr>
                <w:rFonts w:hint="eastAsia"/>
                <w:color w:val="auto"/>
                <w:sz w:val="24"/>
                <w:highlight w:val="none"/>
              </w:rPr>
              <w:t>该项目已于</w:t>
            </w:r>
            <w:r>
              <w:rPr>
                <w:rFonts w:hint="eastAsia"/>
                <w:color w:val="auto"/>
                <w:sz w:val="24"/>
                <w:highlight w:val="none"/>
                <w:u w:val="single"/>
              </w:rPr>
              <w:t xml:space="preserve">       </w:t>
            </w:r>
            <w:r>
              <w:rPr>
                <w:rFonts w:hint="eastAsia"/>
                <w:color w:val="auto"/>
                <w:sz w:val="24"/>
                <w:highlight w:val="none"/>
              </w:rPr>
              <w:t>年</w:t>
            </w:r>
            <w:r>
              <w:rPr>
                <w:rFonts w:hint="eastAsia"/>
                <w:color w:val="auto"/>
                <w:sz w:val="24"/>
                <w:highlight w:val="none"/>
                <w:u w:val="single"/>
              </w:rPr>
              <w:t xml:space="preserve">     </w:t>
            </w:r>
            <w:r>
              <w:rPr>
                <w:rFonts w:hint="eastAsia"/>
                <w:color w:val="auto"/>
                <w:sz w:val="24"/>
                <w:highlight w:val="none"/>
              </w:rPr>
              <w:t>月</w:t>
            </w:r>
            <w:r>
              <w:rPr>
                <w:rFonts w:hint="eastAsia"/>
                <w:color w:val="auto"/>
                <w:sz w:val="24"/>
                <w:highlight w:val="none"/>
                <w:u w:val="single"/>
              </w:rPr>
              <w:t xml:space="preserve">     </w:t>
            </w:r>
            <w:r>
              <w:rPr>
                <w:rFonts w:hint="eastAsia"/>
                <w:color w:val="auto"/>
                <w:sz w:val="24"/>
                <w:highlight w:val="none"/>
              </w:rPr>
              <w:t>日验收并交付使用。根据合同规定，该项目的履约保证金期限于</w:t>
            </w:r>
            <w:r>
              <w:rPr>
                <w:rFonts w:hint="eastAsia"/>
                <w:color w:val="auto"/>
                <w:sz w:val="24"/>
                <w:highlight w:val="none"/>
                <w:u w:val="single"/>
              </w:rPr>
              <w:t xml:space="preserve">         </w:t>
            </w:r>
            <w:r>
              <w:rPr>
                <w:rFonts w:hint="eastAsia"/>
                <w:color w:val="auto"/>
                <w:sz w:val="24"/>
                <w:highlight w:val="none"/>
              </w:rPr>
              <w:t>年</w:t>
            </w:r>
            <w:r>
              <w:rPr>
                <w:rFonts w:hint="eastAsia"/>
                <w:color w:val="auto"/>
                <w:sz w:val="24"/>
                <w:highlight w:val="none"/>
                <w:u w:val="single"/>
              </w:rPr>
              <w:t xml:space="preserve">        </w:t>
            </w:r>
            <w:r>
              <w:rPr>
                <w:rFonts w:hint="eastAsia"/>
                <w:color w:val="auto"/>
                <w:sz w:val="24"/>
                <w:highlight w:val="none"/>
              </w:rPr>
              <w:t>月</w:t>
            </w:r>
            <w:r>
              <w:rPr>
                <w:rFonts w:hint="eastAsia"/>
                <w:color w:val="auto"/>
                <w:sz w:val="24"/>
                <w:highlight w:val="none"/>
                <w:u w:val="single"/>
              </w:rPr>
              <w:t xml:space="preserve">        </w:t>
            </w:r>
            <w:r>
              <w:rPr>
                <w:rFonts w:hint="eastAsia"/>
                <w:color w:val="auto"/>
                <w:sz w:val="24"/>
                <w:highlight w:val="none"/>
              </w:rPr>
              <w:t>日已满，请将履约保证金</w:t>
            </w:r>
          </w:p>
          <w:p w14:paraId="3E097D24">
            <w:pPr>
              <w:rPr>
                <w:rFonts w:hint="eastAsia"/>
                <w:color w:val="auto"/>
                <w:sz w:val="24"/>
                <w:highlight w:val="none"/>
              </w:rPr>
            </w:pPr>
            <w:r>
              <w:rPr>
                <w:rFonts w:hint="eastAsia"/>
                <w:color w:val="auto"/>
                <w:sz w:val="24"/>
                <w:highlight w:val="none"/>
              </w:rPr>
              <w:t>（大写）</w:t>
            </w:r>
            <w:r>
              <w:rPr>
                <w:rFonts w:hint="eastAsia"/>
                <w:color w:val="auto"/>
                <w:sz w:val="24"/>
                <w:highlight w:val="none"/>
                <w:u w:val="single"/>
                <w:lang w:eastAsia="zh-CN"/>
              </w:rPr>
              <w:t>人民币</w:t>
            </w:r>
            <w:r>
              <w:rPr>
                <w:rFonts w:hint="eastAsia"/>
                <w:color w:val="auto"/>
                <w:sz w:val="24"/>
                <w:highlight w:val="none"/>
                <w:u w:val="single"/>
              </w:rPr>
              <w:t xml:space="preserve">                            </w:t>
            </w:r>
            <w:r>
              <w:rPr>
                <w:rFonts w:hint="eastAsia"/>
                <w:color w:val="auto"/>
                <w:sz w:val="24"/>
                <w:highlight w:val="none"/>
              </w:rPr>
              <w:t>（小写）¥</w:t>
            </w:r>
            <w:r>
              <w:rPr>
                <w:rFonts w:hint="eastAsia"/>
                <w:color w:val="auto"/>
                <w:sz w:val="24"/>
                <w:highlight w:val="none"/>
                <w:u w:val="single"/>
              </w:rPr>
              <w:t xml:space="preserve">          </w:t>
            </w:r>
            <w:r>
              <w:rPr>
                <w:rFonts w:hint="eastAsia"/>
                <w:color w:val="auto"/>
                <w:sz w:val="24"/>
                <w:highlight w:val="none"/>
              </w:rPr>
              <w:t>退付到达以下</w:t>
            </w:r>
            <w:r>
              <w:rPr>
                <w:rFonts w:hint="eastAsia"/>
                <w:color w:val="auto"/>
                <w:sz w:val="24"/>
                <w:highlight w:val="none"/>
                <w:lang w:eastAsia="zh-CN"/>
              </w:rPr>
              <w:t>账</w:t>
            </w:r>
            <w:r>
              <w:rPr>
                <w:rFonts w:hint="eastAsia"/>
                <w:color w:val="auto"/>
                <w:sz w:val="24"/>
                <w:highlight w:val="none"/>
              </w:rPr>
              <w:t>户。</w:t>
            </w:r>
          </w:p>
          <w:p w14:paraId="516A42C6">
            <w:pPr>
              <w:rPr>
                <w:rFonts w:hint="eastAsia"/>
                <w:color w:val="auto"/>
                <w:sz w:val="24"/>
                <w:highlight w:val="none"/>
              </w:rPr>
            </w:pPr>
            <w:r>
              <w:rPr>
                <w:rFonts w:hint="eastAsia"/>
                <w:color w:val="auto"/>
                <w:sz w:val="24"/>
                <w:highlight w:val="none"/>
              </w:rPr>
              <w:t>单位名称：</w:t>
            </w:r>
          </w:p>
          <w:p w14:paraId="0F16E22B">
            <w:pPr>
              <w:rPr>
                <w:rFonts w:hint="eastAsia"/>
                <w:color w:val="auto"/>
                <w:sz w:val="24"/>
                <w:highlight w:val="none"/>
              </w:rPr>
            </w:pPr>
            <w:r>
              <w:rPr>
                <w:rFonts w:hint="eastAsia"/>
                <w:color w:val="auto"/>
                <w:sz w:val="24"/>
                <w:highlight w:val="none"/>
              </w:rPr>
              <w:t>开户银行：</w:t>
            </w:r>
          </w:p>
          <w:p w14:paraId="00DD775F">
            <w:pPr>
              <w:rPr>
                <w:rFonts w:hint="eastAsia"/>
                <w:color w:val="auto"/>
                <w:sz w:val="24"/>
                <w:highlight w:val="none"/>
              </w:rPr>
            </w:pPr>
            <w:r>
              <w:rPr>
                <w:rFonts w:hint="eastAsia"/>
                <w:color w:val="auto"/>
                <w:sz w:val="24"/>
                <w:highlight w:val="none"/>
                <w:lang w:eastAsia="zh-CN"/>
              </w:rPr>
              <w:t>账</w:t>
            </w:r>
            <w:r>
              <w:rPr>
                <w:rFonts w:hint="eastAsia"/>
                <w:color w:val="auto"/>
                <w:sz w:val="24"/>
                <w:highlight w:val="none"/>
              </w:rPr>
              <w:t xml:space="preserve">    号：</w:t>
            </w:r>
          </w:p>
          <w:p w14:paraId="40813263">
            <w:pPr>
              <w:rPr>
                <w:rFonts w:hint="eastAsia"/>
                <w:color w:val="auto"/>
                <w:sz w:val="24"/>
                <w:highlight w:val="none"/>
              </w:rPr>
            </w:pPr>
            <w:r>
              <w:rPr>
                <w:rFonts w:hint="eastAsia"/>
                <w:color w:val="auto"/>
                <w:sz w:val="24"/>
                <w:highlight w:val="none"/>
              </w:rPr>
              <w:t>联系人及电话：</w:t>
            </w:r>
          </w:p>
          <w:p w14:paraId="61EC4746">
            <w:pPr>
              <w:rPr>
                <w:rFonts w:hint="eastAsia"/>
                <w:color w:val="auto"/>
                <w:sz w:val="24"/>
                <w:highlight w:val="none"/>
              </w:rPr>
            </w:pPr>
          </w:p>
          <w:p w14:paraId="1C39F80B">
            <w:pPr>
              <w:jc w:val="center"/>
              <w:rPr>
                <w:rFonts w:hint="eastAsia"/>
                <w:color w:val="auto"/>
                <w:sz w:val="24"/>
                <w:highlight w:val="none"/>
              </w:rPr>
            </w:pPr>
            <w:r>
              <w:rPr>
                <w:rFonts w:hint="eastAsia"/>
                <w:color w:val="auto"/>
                <w:sz w:val="24"/>
                <w:highlight w:val="none"/>
              </w:rPr>
              <w:t xml:space="preserve">                           供应商签章：</w:t>
            </w:r>
          </w:p>
          <w:p w14:paraId="2026AC80">
            <w:pPr>
              <w:jc w:val="center"/>
              <w:rPr>
                <w:rFonts w:hint="eastAsia"/>
                <w:color w:val="auto"/>
                <w:sz w:val="24"/>
                <w:highlight w:val="none"/>
              </w:rPr>
            </w:pPr>
            <w:r>
              <w:rPr>
                <w:rFonts w:hint="eastAsia"/>
                <w:color w:val="auto"/>
                <w:sz w:val="24"/>
                <w:highlight w:val="none"/>
              </w:rPr>
              <w:t xml:space="preserve">                                                年    月    日</w:t>
            </w:r>
          </w:p>
        </w:tc>
      </w:tr>
      <w:tr w14:paraId="20D3AB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25" w:hRule="atLeast"/>
          <w:jc w:val="center"/>
        </w:trPr>
        <w:tc>
          <w:tcPr>
            <w:tcW w:w="817" w:type="dxa"/>
            <w:noWrap w:val="0"/>
            <w:vAlign w:val="center"/>
          </w:tcPr>
          <w:p w14:paraId="32EAE862">
            <w:pPr>
              <w:jc w:val="center"/>
              <w:rPr>
                <w:rFonts w:hint="eastAsia"/>
                <w:color w:val="auto"/>
                <w:sz w:val="24"/>
                <w:highlight w:val="none"/>
              </w:rPr>
            </w:pPr>
            <w:r>
              <w:rPr>
                <w:rFonts w:hint="eastAsia"/>
                <w:color w:val="auto"/>
                <w:sz w:val="24"/>
                <w:highlight w:val="none"/>
              </w:rPr>
              <w:t>采</w:t>
            </w:r>
          </w:p>
          <w:p w14:paraId="3C263E1A">
            <w:pPr>
              <w:jc w:val="center"/>
              <w:rPr>
                <w:rFonts w:hint="eastAsia"/>
                <w:color w:val="auto"/>
                <w:sz w:val="24"/>
                <w:highlight w:val="none"/>
              </w:rPr>
            </w:pPr>
            <w:r>
              <w:rPr>
                <w:rFonts w:hint="eastAsia"/>
                <w:color w:val="auto"/>
                <w:sz w:val="24"/>
                <w:highlight w:val="none"/>
              </w:rPr>
              <w:t>购</w:t>
            </w:r>
          </w:p>
          <w:p w14:paraId="6A633A08">
            <w:pPr>
              <w:jc w:val="center"/>
              <w:rPr>
                <w:rFonts w:hint="eastAsia"/>
                <w:color w:val="auto"/>
                <w:sz w:val="24"/>
                <w:highlight w:val="none"/>
              </w:rPr>
            </w:pPr>
            <w:r>
              <w:rPr>
                <w:rFonts w:hint="eastAsia"/>
                <w:color w:val="auto"/>
                <w:sz w:val="24"/>
                <w:highlight w:val="none"/>
              </w:rPr>
              <w:t>单</w:t>
            </w:r>
          </w:p>
          <w:p w14:paraId="0E9AF163">
            <w:pPr>
              <w:jc w:val="center"/>
              <w:rPr>
                <w:rFonts w:hint="eastAsia"/>
                <w:color w:val="auto"/>
                <w:sz w:val="24"/>
                <w:highlight w:val="none"/>
              </w:rPr>
            </w:pPr>
            <w:r>
              <w:rPr>
                <w:rFonts w:hint="eastAsia"/>
                <w:color w:val="auto"/>
                <w:sz w:val="24"/>
                <w:highlight w:val="none"/>
              </w:rPr>
              <w:t>位</w:t>
            </w:r>
          </w:p>
          <w:p w14:paraId="3D3BEC83">
            <w:pPr>
              <w:jc w:val="center"/>
              <w:rPr>
                <w:rFonts w:hint="eastAsia"/>
                <w:color w:val="auto"/>
                <w:sz w:val="24"/>
                <w:highlight w:val="none"/>
              </w:rPr>
            </w:pPr>
            <w:r>
              <w:rPr>
                <w:rFonts w:hint="eastAsia"/>
                <w:color w:val="auto"/>
                <w:sz w:val="24"/>
                <w:highlight w:val="none"/>
              </w:rPr>
              <w:t>意</w:t>
            </w:r>
          </w:p>
          <w:p w14:paraId="50327B61">
            <w:pPr>
              <w:jc w:val="center"/>
              <w:rPr>
                <w:rFonts w:hint="eastAsia"/>
                <w:color w:val="auto"/>
                <w:sz w:val="24"/>
                <w:highlight w:val="none"/>
              </w:rPr>
            </w:pPr>
            <w:r>
              <w:rPr>
                <w:rFonts w:hint="eastAsia"/>
                <w:color w:val="auto"/>
                <w:sz w:val="24"/>
                <w:highlight w:val="none"/>
              </w:rPr>
              <w:t>见</w:t>
            </w:r>
          </w:p>
        </w:tc>
        <w:tc>
          <w:tcPr>
            <w:tcW w:w="8009" w:type="dxa"/>
            <w:noWrap w:val="0"/>
            <w:vAlign w:val="top"/>
          </w:tcPr>
          <w:p w14:paraId="6F7EBAB1">
            <w:pPr>
              <w:rPr>
                <w:rFonts w:hint="eastAsia"/>
                <w:color w:val="auto"/>
                <w:sz w:val="24"/>
                <w:highlight w:val="none"/>
              </w:rPr>
            </w:pPr>
          </w:p>
          <w:p w14:paraId="1C6C059E">
            <w:pPr>
              <w:rPr>
                <w:rFonts w:hint="eastAsia"/>
                <w:color w:val="auto"/>
                <w:sz w:val="24"/>
                <w:highlight w:val="none"/>
              </w:rPr>
            </w:pPr>
            <w:r>
              <w:rPr>
                <w:rFonts w:hint="eastAsia"/>
                <w:color w:val="auto"/>
                <w:sz w:val="24"/>
                <w:highlight w:val="none"/>
              </w:rPr>
              <w:t>退付意见：是否同意退付履约保证金及退付金额：</w:t>
            </w:r>
          </w:p>
          <w:p w14:paraId="154C6093">
            <w:pPr>
              <w:rPr>
                <w:rFonts w:hint="eastAsia"/>
                <w:color w:val="auto"/>
                <w:sz w:val="24"/>
                <w:highlight w:val="none"/>
              </w:rPr>
            </w:pPr>
          </w:p>
          <w:p w14:paraId="130F49B5">
            <w:pPr>
              <w:rPr>
                <w:rFonts w:hint="eastAsia"/>
                <w:color w:val="auto"/>
                <w:sz w:val="24"/>
                <w:highlight w:val="none"/>
              </w:rPr>
            </w:pPr>
          </w:p>
          <w:p w14:paraId="3927AAA5">
            <w:pPr>
              <w:rPr>
                <w:rFonts w:hint="eastAsia"/>
                <w:color w:val="auto"/>
                <w:sz w:val="24"/>
                <w:highlight w:val="none"/>
              </w:rPr>
            </w:pPr>
            <w:r>
              <w:rPr>
                <w:rFonts w:hint="eastAsia"/>
                <w:color w:val="auto"/>
                <w:sz w:val="24"/>
                <w:highlight w:val="none"/>
              </w:rPr>
              <w:t xml:space="preserve">联系人及电话：                                </w:t>
            </w:r>
          </w:p>
          <w:p w14:paraId="44D1F85C">
            <w:pPr>
              <w:rPr>
                <w:rFonts w:hint="eastAsia"/>
                <w:color w:val="auto"/>
                <w:sz w:val="24"/>
                <w:highlight w:val="none"/>
              </w:rPr>
            </w:pPr>
          </w:p>
          <w:p w14:paraId="700CE508">
            <w:pPr>
              <w:ind w:firstLine="4560" w:firstLineChars="1900"/>
              <w:rPr>
                <w:rFonts w:hint="eastAsia"/>
                <w:color w:val="auto"/>
                <w:sz w:val="24"/>
                <w:highlight w:val="none"/>
              </w:rPr>
            </w:pPr>
            <w:r>
              <w:rPr>
                <w:rFonts w:hint="eastAsia"/>
                <w:color w:val="auto"/>
                <w:sz w:val="24"/>
                <w:highlight w:val="none"/>
              </w:rPr>
              <w:t xml:space="preserve"> 采购人签章：</w:t>
            </w:r>
          </w:p>
          <w:p w14:paraId="7F8CC77A">
            <w:pPr>
              <w:jc w:val="center"/>
              <w:rPr>
                <w:rFonts w:hint="eastAsia"/>
                <w:color w:val="auto"/>
                <w:sz w:val="24"/>
                <w:highlight w:val="none"/>
              </w:rPr>
            </w:pPr>
            <w:r>
              <w:rPr>
                <w:rFonts w:hint="eastAsia"/>
                <w:color w:val="auto"/>
                <w:sz w:val="24"/>
                <w:highlight w:val="none"/>
              </w:rPr>
              <w:t xml:space="preserve">                                                年    月    日</w:t>
            </w:r>
          </w:p>
        </w:tc>
      </w:tr>
      <w:tr w14:paraId="424A6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33" w:hRule="atLeast"/>
          <w:jc w:val="center"/>
        </w:trPr>
        <w:tc>
          <w:tcPr>
            <w:tcW w:w="817" w:type="dxa"/>
            <w:noWrap w:val="0"/>
            <w:vAlign w:val="center"/>
          </w:tcPr>
          <w:p w14:paraId="56967B35">
            <w:pPr>
              <w:jc w:val="center"/>
              <w:rPr>
                <w:rFonts w:hint="eastAsia"/>
                <w:color w:val="auto"/>
                <w:sz w:val="24"/>
                <w:highlight w:val="none"/>
              </w:rPr>
            </w:pPr>
            <w:r>
              <w:rPr>
                <w:rFonts w:hint="eastAsia"/>
                <w:color w:val="auto"/>
                <w:sz w:val="24"/>
                <w:highlight w:val="none"/>
              </w:rPr>
              <w:t>备注</w:t>
            </w:r>
          </w:p>
        </w:tc>
        <w:tc>
          <w:tcPr>
            <w:tcW w:w="8009" w:type="dxa"/>
            <w:noWrap w:val="0"/>
            <w:vAlign w:val="top"/>
          </w:tcPr>
          <w:p w14:paraId="7171ADE7">
            <w:pPr>
              <w:rPr>
                <w:rFonts w:hint="eastAsia"/>
                <w:color w:val="auto"/>
                <w:sz w:val="24"/>
                <w:highlight w:val="none"/>
              </w:rPr>
            </w:pPr>
          </w:p>
        </w:tc>
      </w:tr>
    </w:tbl>
    <w:p w14:paraId="5CF18FF9">
      <w:pPr>
        <w:pStyle w:val="13"/>
        <w:ind w:left="1" w:firstLine="2" w:firstLineChars="1"/>
        <w:rPr>
          <w:rFonts w:hint="eastAsia" w:ascii="宋体"/>
          <w:b/>
          <w:bCs/>
          <w:color w:val="auto"/>
          <w:sz w:val="18"/>
          <w:szCs w:val="18"/>
          <w:highlight w:val="none"/>
        </w:rPr>
      </w:pPr>
    </w:p>
    <w:p w14:paraId="2DA0361E">
      <w:pPr>
        <w:pStyle w:val="13"/>
        <w:ind w:left="1" w:firstLine="2" w:firstLineChars="1"/>
        <w:rPr>
          <w:rFonts w:hint="eastAsia" w:ascii="宋体"/>
          <w:b/>
          <w:bCs/>
          <w:color w:val="auto"/>
          <w:sz w:val="18"/>
          <w:szCs w:val="18"/>
          <w:highlight w:val="none"/>
        </w:rPr>
      </w:pPr>
      <w:r>
        <w:rPr>
          <w:rFonts w:hint="eastAsia" w:ascii="宋体"/>
          <w:b/>
          <w:bCs/>
          <w:color w:val="auto"/>
          <w:sz w:val="18"/>
          <w:szCs w:val="18"/>
          <w:highlight w:val="none"/>
          <w:lang w:eastAsia="zh-CN"/>
        </w:rPr>
        <w:t>　　　</w:t>
      </w:r>
      <w:r>
        <w:rPr>
          <w:rFonts w:hint="eastAsia" w:ascii="宋体"/>
          <w:b/>
          <w:bCs/>
          <w:color w:val="auto"/>
          <w:sz w:val="18"/>
          <w:szCs w:val="18"/>
          <w:highlight w:val="none"/>
        </w:rPr>
        <w:t>注：供应商凭经采购人审批的退付意见书到履约保证金收取单位财务部门办理履约保证金退付事宜。</w:t>
      </w:r>
    </w:p>
    <w:p w14:paraId="6B59F6AA">
      <w:pPr>
        <w:spacing w:line="520" w:lineRule="exact"/>
        <w:jc w:val="center"/>
        <w:rPr>
          <w:color w:val="auto"/>
          <w:sz w:val="24"/>
          <w:highlight w:val="none"/>
        </w:rPr>
      </w:pPr>
      <w:r>
        <w:rPr>
          <w:b/>
          <w:color w:val="auto"/>
          <w:kern w:val="0"/>
          <w:sz w:val="20"/>
          <w:szCs w:val="21"/>
          <w:highlight w:val="none"/>
        </w:rPr>
        <w:br w:type="page"/>
      </w:r>
    </w:p>
    <w:p w14:paraId="77D49195">
      <w:pPr>
        <w:spacing w:line="520" w:lineRule="exact"/>
        <w:jc w:val="center"/>
        <w:rPr>
          <w:color w:val="auto"/>
          <w:sz w:val="24"/>
          <w:highlight w:val="none"/>
        </w:rPr>
      </w:pPr>
    </w:p>
    <w:p w14:paraId="7BEDEC61">
      <w:pPr>
        <w:spacing w:line="520" w:lineRule="exact"/>
        <w:jc w:val="center"/>
        <w:rPr>
          <w:color w:val="auto"/>
          <w:sz w:val="24"/>
          <w:highlight w:val="none"/>
        </w:rPr>
      </w:pPr>
    </w:p>
    <w:p w14:paraId="248CFCEA">
      <w:pPr>
        <w:spacing w:line="520" w:lineRule="exact"/>
        <w:jc w:val="center"/>
        <w:rPr>
          <w:color w:val="auto"/>
          <w:sz w:val="24"/>
          <w:highlight w:val="none"/>
        </w:rPr>
      </w:pPr>
    </w:p>
    <w:p w14:paraId="3CF5763C">
      <w:pPr>
        <w:spacing w:line="520" w:lineRule="exact"/>
        <w:jc w:val="center"/>
        <w:rPr>
          <w:color w:val="auto"/>
          <w:sz w:val="24"/>
          <w:highlight w:val="none"/>
        </w:rPr>
      </w:pPr>
    </w:p>
    <w:p w14:paraId="7BFB8552">
      <w:pPr>
        <w:spacing w:line="520" w:lineRule="exact"/>
        <w:jc w:val="center"/>
        <w:rPr>
          <w:color w:val="auto"/>
          <w:sz w:val="24"/>
          <w:highlight w:val="none"/>
        </w:rPr>
      </w:pPr>
    </w:p>
    <w:p w14:paraId="528DE96F">
      <w:pPr>
        <w:spacing w:line="520" w:lineRule="exact"/>
        <w:jc w:val="center"/>
        <w:rPr>
          <w:color w:val="auto"/>
          <w:sz w:val="24"/>
          <w:highlight w:val="none"/>
        </w:rPr>
      </w:pPr>
    </w:p>
    <w:p w14:paraId="68FCFDCA">
      <w:pPr>
        <w:spacing w:line="520" w:lineRule="exact"/>
        <w:jc w:val="center"/>
        <w:rPr>
          <w:color w:val="auto"/>
          <w:sz w:val="24"/>
          <w:highlight w:val="none"/>
        </w:rPr>
      </w:pPr>
    </w:p>
    <w:p w14:paraId="6A69F750">
      <w:pPr>
        <w:spacing w:line="520" w:lineRule="exact"/>
        <w:jc w:val="center"/>
        <w:rPr>
          <w:color w:val="auto"/>
          <w:sz w:val="24"/>
          <w:highlight w:val="none"/>
        </w:rPr>
      </w:pPr>
    </w:p>
    <w:p w14:paraId="5E8C2E71">
      <w:pPr>
        <w:pStyle w:val="3"/>
        <w:jc w:val="center"/>
        <w:rPr>
          <w:rFonts w:hint="eastAsia"/>
          <w:b w:val="0"/>
          <w:bCs w:val="0"/>
          <w:color w:val="auto"/>
          <w:highlight w:val="none"/>
        </w:rPr>
      </w:pPr>
      <w:bookmarkStart w:id="140" w:name="_Toc15161"/>
      <w:bookmarkStart w:id="141" w:name="_Toc9343"/>
      <w:bookmarkStart w:id="142" w:name="_Toc80886947"/>
      <w:bookmarkStart w:id="143" w:name="_Toc4005"/>
      <w:bookmarkStart w:id="144" w:name="_Toc15154"/>
      <w:bookmarkStart w:id="145" w:name="_Toc18676"/>
      <w:bookmarkStart w:id="146" w:name="_Toc24786"/>
      <w:bookmarkStart w:id="147" w:name="_Toc12748"/>
      <w:r>
        <w:rPr>
          <w:rFonts w:hint="eastAsia"/>
          <w:b w:val="0"/>
          <w:bCs w:val="0"/>
          <w:color w:val="auto"/>
          <w:highlight w:val="none"/>
        </w:rPr>
        <w:t>第六章 合同文本</w:t>
      </w:r>
      <w:bookmarkEnd w:id="140"/>
      <w:bookmarkEnd w:id="141"/>
      <w:bookmarkEnd w:id="142"/>
      <w:bookmarkEnd w:id="143"/>
      <w:bookmarkEnd w:id="144"/>
      <w:bookmarkEnd w:id="145"/>
      <w:bookmarkEnd w:id="146"/>
    </w:p>
    <w:p w14:paraId="6DDDA460">
      <w:pPr>
        <w:snapToGrid w:val="0"/>
        <w:spacing w:line="240" w:lineRule="auto"/>
        <w:jc w:val="left"/>
        <w:rPr>
          <w:rFonts w:hint="eastAsia" w:ascii="宋体" w:hAnsi="宋体" w:eastAsia="宋体" w:cs="宋体"/>
          <w:b/>
          <w:bCs/>
          <w:color w:val="auto"/>
          <w:sz w:val="32"/>
          <w:szCs w:val="32"/>
          <w:highlight w:val="none"/>
        </w:rPr>
      </w:pPr>
      <w:r>
        <w:rPr>
          <w:b/>
          <w:bCs/>
          <w:color w:val="auto"/>
          <w:highlight w:val="none"/>
        </w:rPr>
        <w:br w:type="page"/>
      </w:r>
      <w:bookmarkEnd w:id="147"/>
    </w:p>
    <w:p w14:paraId="7F44291F">
      <w:pPr>
        <w:snapToGrid w:val="0"/>
        <w:spacing w:line="400" w:lineRule="exact"/>
        <w:jc w:val="center"/>
        <w:rPr>
          <w:rFonts w:hint="eastAsia" w:ascii="宋体" w:hAnsi="宋体" w:eastAsia="宋体" w:cs="宋体"/>
          <w:color w:val="auto"/>
          <w:highlight w:val="none"/>
          <w:lang w:eastAsia="zh-CN"/>
        </w:rPr>
      </w:pPr>
      <w:r>
        <w:rPr>
          <w:rFonts w:hint="eastAsia" w:ascii="宋体" w:hAnsi="宋体" w:eastAsia="宋体" w:cs="宋体"/>
          <w:b/>
          <w:bCs/>
          <w:color w:val="auto"/>
          <w:sz w:val="32"/>
          <w:szCs w:val="32"/>
          <w:highlight w:val="none"/>
        </w:rPr>
        <w:t>《广西壮族自治区政府采购合同》</w:t>
      </w:r>
      <w:r>
        <w:rPr>
          <w:rFonts w:hint="eastAsia" w:ascii="宋体" w:hAnsi="宋体" w:eastAsia="宋体" w:cs="宋体"/>
          <w:b/>
          <w:color w:val="auto"/>
          <w:sz w:val="32"/>
          <w:szCs w:val="32"/>
          <w:highlight w:val="none"/>
        </w:rPr>
        <w:t>文本</w:t>
      </w:r>
    </w:p>
    <w:p w14:paraId="4612EFBE">
      <w:pPr>
        <w:spacing w:line="520" w:lineRule="exact"/>
        <w:rPr>
          <w:rFonts w:hint="eastAsia" w:ascii="宋体" w:hAnsi="宋体" w:eastAsia="宋体" w:cs="宋体"/>
          <w:b/>
          <w:color w:val="auto"/>
          <w:sz w:val="32"/>
          <w:szCs w:val="32"/>
          <w:highlight w:val="none"/>
        </w:rPr>
      </w:pPr>
    </w:p>
    <w:p w14:paraId="6DA059C3">
      <w:pPr>
        <w:spacing w:line="360" w:lineRule="auto"/>
        <w:ind w:right="800" w:firstLine="6090" w:firstLineChars="2900"/>
        <w:rPr>
          <w:rFonts w:hint="eastAsia" w:ascii="宋体" w:hAnsi="宋体" w:eastAsia="宋体" w:cs="宋体"/>
          <w:color w:val="auto"/>
          <w:szCs w:val="21"/>
          <w:highlight w:val="none"/>
          <w:u w:val="single"/>
        </w:rPr>
      </w:pPr>
      <w:r>
        <w:rPr>
          <w:rFonts w:hint="eastAsia" w:ascii="宋体" w:hAnsi="宋体" w:eastAsia="宋体" w:cs="宋体"/>
          <w:bCs/>
          <w:color w:val="auto"/>
          <w:szCs w:val="21"/>
          <w:highlight w:val="none"/>
        </w:rPr>
        <w:t>合同编号：</w:t>
      </w:r>
      <w:r>
        <w:rPr>
          <w:rFonts w:hint="eastAsia" w:ascii="宋体" w:hAnsi="宋体" w:eastAsia="宋体" w:cs="宋体"/>
          <w:color w:val="auto"/>
          <w:szCs w:val="21"/>
          <w:highlight w:val="none"/>
          <w:u w:val="single"/>
        </w:rPr>
        <w:t xml:space="preserve">               </w:t>
      </w:r>
    </w:p>
    <w:p w14:paraId="7AC0DC4B">
      <w:pPr>
        <w:spacing w:line="360" w:lineRule="auto"/>
        <w:ind w:right="800" w:firstLine="6090" w:firstLineChars="2900"/>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采购计划号：</w:t>
      </w:r>
      <w:r>
        <w:rPr>
          <w:rFonts w:hint="eastAsia" w:ascii="宋体" w:hAnsi="宋体" w:eastAsia="宋体" w:cs="宋体"/>
          <w:color w:val="auto"/>
          <w:szCs w:val="21"/>
          <w:highlight w:val="none"/>
          <w:u w:val="single"/>
        </w:rPr>
        <w:t xml:space="preserve">               </w:t>
      </w:r>
    </w:p>
    <w:p w14:paraId="1BA01AE1">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采购人（甲方）：</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56E3B258">
      <w:pPr>
        <w:spacing w:line="360" w:lineRule="auto"/>
        <w:rPr>
          <w:rFonts w:hint="eastAsia" w:ascii="宋体" w:hAnsi="宋体" w:eastAsia="宋体" w:cs="宋体"/>
          <w:color w:val="auto"/>
          <w:szCs w:val="21"/>
          <w:highlight w:val="none"/>
          <w:u w:val="single"/>
        </w:rPr>
      </w:pPr>
      <w:r>
        <w:rPr>
          <w:rFonts w:hint="eastAsia" w:ascii="宋体" w:hAnsi="宋体" w:cs="宋体"/>
          <w:color w:val="auto"/>
          <w:szCs w:val="21"/>
          <w:highlight w:val="none"/>
          <w:lang w:eastAsia="zh-CN"/>
        </w:rPr>
        <w:t>成交供应商</w:t>
      </w:r>
      <w:r>
        <w:rPr>
          <w:rFonts w:hint="eastAsia" w:ascii="宋体" w:hAnsi="宋体" w:eastAsia="宋体" w:cs="宋体"/>
          <w:color w:val="auto"/>
          <w:szCs w:val="21"/>
          <w:highlight w:val="none"/>
        </w:rPr>
        <w:t>（乙方）：</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6A7E3D2B">
      <w:pPr>
        <w:spacing w:line="360" w:lineRule="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项目名称：</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2FCCB788">
      <w:pPr>
        <w:spacing w:line="360" w:lineRule="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项目编号：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u w:val="single"/>
        </w:rPr>
        <w:t xml:space="preserve">     </w:t>
      </w:r>
    </w:p>
    <w:p w14:paraId="4F23CDB0">
      <w:pPr>
        <w:spacing w:line="360" w:lineRule="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签订地点：</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none"/>
          <w:lang w:val="en-US" w:eastAsia="zh-CN"/>
        </w:rPr>
        <w:t xml:space="preserve"> </w:t>
      </w:r>
      <w:r>
        <w:rPr>
          <w:rFonts w:hint="eastAsia" w:ascii="宋体" w:hAnsi="宋体" w:cs="宋体"/>
          <w:color w:val="auto"/>
          <w:szCs w:val="21"/>
          <w:highlight w:val="none"/>
          <w:u w:val="none"/>
          <w:lang w:val="en-US" w:eastAsia="zh-CN"/>
        </w:rPr>
        <w:t xml:space="preserve">                   </w:t>
      </w:r>
      <w:r>
        <w:rPr>
          <w:rFonts w:hint="eastAsia" w:ascii="宋体" w:hAnsi="宋体" w:eastAsia="宋体" w:cs="宋体"/>
          <w:color w:val="auto"/>
          <w:szCs w:val="21"/>
          <w:highlight w:val="none"/>
        </w:rPr>
        <w:t>签订时间：</w:t>
      </w:r>
      <w:r>
        <w:rPr>
          <w:rFonts w:hint="eastAsia" w:ascii="宋体" w:hAnsi="宋体" w:eastAsia="宋体" w:cs="宋体"/>
          <w:color w:val="auto"/>
          <w:szCs w:val="21"/>
          <w:highlight w:val="none"/>
          <w:u w:val="single"/>
        </w:rPr>
        <w:t xml:space="preserve">               </w:t>
      </w:r>
    </w:p>
    <w:p w14:paraId="6A0C2C06">
      <w:pPr>
        <w:spacing w:line="360" w:lineRule="auto"/>
        <w:rPr>
          <w:rFonts w:hint="eastAsia" w:ascii="宋体" w:hAnsi="宋体" w:cs="宋体"/>
          <w:color w:val="auto"/>
          <w:szCs w:val="21"/>
          <w:highlight w:val="none"/>
          <w:u w:val="single"/>
        </w:rPr>
      </w:pPr>
    </w:p>
    <w:p w14:paraId="35E32927">
      <w:pPr>
        <w:spacing w:line="360" w:lineRule="auto"/>
        <w:ind w:firstLine="420" w:firstLineChars="200"/>
        <w:rPr>
          <w:rFonts w:hint="eastAsia" w:ascii="宋体" w:hAnsi="宋体" w:cs="宋体"/>
          <w:color w:val="auto"/>
          <w:szCs w:val="21"/>
          <w:highlight w:val="none"/>
        </w:rPr>
      </w:pPr>
    </w:p>
    <w:p w14:paraId="792C87F5">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根据《中华人民共和国政府采购法》、《中华人民共和国</w:t>
      </w:r>
      <w:r>
        <w:rPr>
          <w:rFonts w:hint="eastAsia" w:ascii="宋体" w:hAnsi="宋体" w:cs="宋体"/>
          <w:color w:val="auto"/>
          <w:szCs w:val="21"/>
          <w:highlight w:val="none"/>
          <w:lang w:eastAsia="zh-CN"/>
        </w:rPr>
        <w:t>民法典</w:t>
      </w:r>
      <w:r>
        <w:rPr>
          <w:rFonts w:hint="eastAsia" w:ascii="宋体" w:hAnsi="宋体" w:cs="宋体"/>
          <w:color w:val="auto"/>
          <w:szCs w:val="21"/>
          <w:highlight w:val="none"/>
        </w:rPr>
        <w:t>》等法律、法规规定，按照</w:t>
      </w:r>
      <w:r>
        <w:rPr>
          <w:rFonts w:hint="eastAsia" w:ascii="宋体" w:hAnsi="宋体" w:cs="宋体"/>
          <w:color w:val="auto"/>
          <w:szCs w:val="21"/>
          <w:highlight w:val="none"/>
          <w:lang w:val="en-US" w:eastAsia="zh-CN"/>
        </w:rPr>
        <w:t>竞争性</w:t>
      </w:r>
      <w:r>
        <w:rPr>
          <w:rFonts w:hint="eastAsia" w:ascii="宋体" w:hAnsi="宋体"/>
          <w:color w:val="auto"/>
          <w:szCs w:val="21"/>
          <w:highlight w:val="none"/>
        </w:rPr>
        <w:t>磋商文件规定条款和乙方响应文件及其承诺，甲乙双方签订本合同。</w:t>
      </w:r>
    </w:p>
    <w:p w14:paraId="4319F0D2">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第一条　合同标的</w:t>
      </w:r>
    </w:p>
    <w:p w14:paraId="6B29BA36">
      <w:pPr>
        <w:spacing w:line="360" w:lineRule="auto"/>
        <w:ind w:firstLine="420" w:firstLineChars="200"/>
        <w:rPr>
          <w:rFonts w:hint="eastAsia" w:ascii="宋体" w:hAnsi="宋体" w:cs="宋体"/>
          <w:color w:val="auto"/>
          <w:szCs w:val="21"/>
          <w:highlight w:val="none"/>
        </w:rPr>
      </w:pPr>
      <w:r>
        <w:rPr>
          <w:rFonts w:hint="eastAsia" w:ascii="宋体" w:hAnsi="宋体" w:eastAsia="宋体" w:cs="宋体"/>
          <w:color w:val="auto"/>
          <w:szCs w:val="21"/>
          <w:highlight w:val="none"/>
          <w:lang w:val="en-US" w:eastAsia="zh-CN"/>
        </w:rPr>
        <w:t>1、项目一览表</w:t>
      </w:r>
    </w:p>
    <w:tbl>
      <w:tblPr>
        <w:tblStyle w:val="2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6"/>
        <w:gridCol w:w="1056"/>
        <w:gridCol w:w="1266"/>
        <w:gridCol w:w="2736"/>
        <w:gridCol w:w="1606"/>
      </w:tblGrid>
      <w:tr w14:paraId="77A37C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8" w:hRule="atLeast"/>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14:paraId="54D95C20">
            <w:pPr>
              <w:spacing w:line="360" w:lineRule="auto"/>
              <w:ind w:firstLine="0" w:firstLineChars="0"/>
              <w:jc w:val="center"/>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分标（标项）</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F4965ED">
            <w:pPr>
              <w:spacing w:line="36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标的名称</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675FEA3E">
            <w:pPr>
              <w:spacing w:line="36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数量及单位</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353EC6D9">
            <w:pPr>
              <w:spacing w:line="360" w:lineRule="auto"/>
              <w:ind w:firstLine="420" w:firstLineChars="20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服务内容</w:t>
            </w:r>
          </w:p>
        </w:tc>
        <w:tc>
          <w:tcPr>
            <w:tcW w:w="1606" w:type="dxa"/>
            <w:tcBorders>
              <w:top w:val="single" w:color="auto" w:sz="4" w:space="0"/>
              <w:left w:val="single" w:color="auto" w:sz="4" w:space="0"/>
              <w:bottom w:val="single" w:color="auto" w:sz="4" w:space="0"/>
              <w:right w:val="single" w:color="auto" w:sz="4" w:space="0"/>
            </w:tcBorders>
            <w:noWrap w:val="0"/>
            <w:vAlign w:val="center"/>
          </w:tcPr>
          <w:p w14:paraId="5E58BC20">
            <w:pPr>
              <w:spacing w:line="360" w:lineRule="auto"/>
              <w:ind w:firstLine="0" w:firstLineChars="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rPr>
              <w:t>折扣率</w:t>
            </w:r>
            <w:r>
              <w:rPr>
                <w:rFonts w:hint="eastAsia" w:ascii="宋体" w:hAnsi="宋体" w:eastAsia="宋体" w:cs="宋体"/>
                <w:color w:val="auto"/>
                <w:sz w:val="21"/>
                <w:szCs w:val="21"/>
                <w:highlight w:val="none"/>
                <w:lang w:val="en-US" w:eastAsia="zh-CN"/>
              </w:rPr>
              <w:t>%</w:t>
            </w:r>
          </w:p>
        </w:tc>
      </w:tr>
      <w:tr w14:paraId="18080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jc w:val="center"/>
        </w:trPr>
        <w:tc>
          <w:tcPr>
            <w:tcW w:w="0" w:type="auto"/>
            <w:tcBorders>
              <w:top w:val="single" w:color="auto" w:sz="4" w:space="0"/>
              <w:left w:val="single" w:color="auto" w:sz="4" w:space="0"/>
              <w:bottom w:val="single" w:color="auto" w:sz="4" w:space="0"/>
              <w:right w:val="single" w:color="auto" w:sz="4" w:space="0"/>
            </w:tcBorders>
            <w:noWrap w:val="0"/>
            <w:vAlign w:val="center"/>
          </w:tcPr>
          <w:p w14:paraId="145B1051">
            <w:pPr>
              <w:spacing w:line="360" w:lineRule="auto"/>
              <w:ind w:firstLine="420" w:firstLineChars="200"/>
              <w:jc w:val="center"/>
              <w:rPr>
                <w:rFonts w:hint="eastAsia" w:ascii="宋体" w:hAnsi="宋体" w:eastAsia="宋体" w:cs="宋体"/>
                <w:color w:val="auto"/>
                <w:sz w:val="21"/>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60309606">
            <w:pPr>
              <w:spacing w:line="360" w:lineRule="auto"/>
              <w:ind w:firstLine="0" w:firstLineChars="0"/>
              <w:jc w:val="center"/>
              <w:rPr>
                <w:rFonts w:hint="eastAsia" w:ascii="宋体" w:hAnsi="宋体" w:eastAsia="宋体" w:cs="宋体"/>
                <w:color w:val="auto"/>
                <w:sz w:val="21"/>
                <w:szCs w:val="21"/>
                <w:highlight w:val="none"/>
              </w:rPr>
            </w:pPr>
          </w:p>
        </w:tc>
        <w:tc>
          <w:tcPr>
            <w:tcW w:w="0" w:type="auto"/>
            <w:tcBorders>
              <w:top w:val="single" w:color="auto" w:sz="4" w:space="0"/>
              <w:left w:val="single" w:color="auto" w:sz="4" w:space="0"/>
              <w:bottom w:val="single" w:color="auto" w:sz="4" w:space="0"/>
              <w:right w:val="single" w:color="auto" w:sz="4" w:space="0"/>
            </w:tcBorders>
            <w:noWrap w:val="0"/>
            <w:vAlign w:val="center"/>
          </w:tcPr>
          <w:p w14:paraId="6E843BB1">
            <w:pPr>
              <w:spacing w:line="36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1项</w:t>
            </w:r>
          </w:p>
        </w:tc>
        <w:tc>
          <w:tcPr>
            <w:tcW w:w="0" w:type="auto"/>
            <w:tcBorders>
              <w:top w:val="single" w:color="auto" w:sz="4" w:space="0"/>
              <w:left w:val="single" w:color="auto" w:sz="4" w:space="0"/>
              <w:bottom w:val="single" w:color="auto" w:sz="4" w:space="0"/>
              <w:right w:val="single" w:color="auto" w:sz="4" w:space="0"/>
            </w:tcBorders>
            <w:noWrap w:val="0"/>
            <w:vAlign w:val="center"/>
          </w:tcPr>
          <w:p w14:paraId="7BFE78EE">
            <w:pPr>
              <w:spacing w:line="360" w:lineRule="auto"/>
              <w:ind w:firstLine="0" w:firstLineChars="0"/>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详见合同附件（采购需求）</w:t>
            </w:r>
          </w:p>
        </w:tc>
        <w:tc>
          <w:tcPr>
            <w:tcW w:w="1606" w:type="dxa"/>
            <w:tcBorders>
              <w:top w:val="single" w:color="auto" w:sz="4" w:space="0"/>
              <w:left w:val="single" w:color="auto" w:sz="4" w:space="0"/>
              <w:bottom w:val="single" w:color="auto" w:sz="4" w:space="0"/>
              <w:right w:val="single" w:color="auto" w:sz="4" w:space="0"/>
            </w:tcBorders>
            <w:noWrap w:val="0"/>
            <w:vAlign w:val="center"/>
          </w:tcPr>
          <w:p w14:paraId="50BA56BB">
            <w:pPr>
              <w:spacing w:line="360" w:lineRule="auto"/>
              <w:ind w:firstLine="420" w:firstLineChars="200"/>
              <w:jc w:val="center"/>
              <w:rPr>
                <w:rFonts w:hint="eastAsia" w:ascii="宋体" w:hAnsi="宋体" w:eastAsia="宋体" w:cs="宋体"/>
                <w:color w:val="auto"/>
                <w:sz w:val="21"/>
                <w:szCs w:val="21"/>
                <w:highlight w:val="none"/>
              </w:rPr>
            </w:pPr>
          </w:p>
        </w:tc>
      </w:tr>
      <w:tr w14:paraId="3D19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3" w:hRule="atLeast"/>
          <w:jc w:val="center"/>
        </w:trPr>
        <w:tc>
          <w:tcPr>
            <w:tcW w:w="8140" w:type="dxa"/>
            <w:gridSpan w:val="5"/>
            <w:tcBorders>
              <w:top w:val="single" w:color="auto" w:sz="4" w:space="0"/>
              <w:left w:val="single" w:color="auto" w:sz="4" w:space="0"/>
              <w:bottom w:val="single" w:color="auto" w:sz="4" w:space="0"/>
              <w:right w:val="single" w:color="auto" w:sz="4" w:space="0"/>
            </w:tcBorders>
            <w:noWrap w:val="0"/>
            <w:vAlign w:val="center"/>
          </w:tcPr>
          <w:p w14:paraId="03C432E4">
            <w:pPr>
              <w:spacing w:line="360" w:lineRule="auto"/>
              <w:ind w:firstLine="0" w:firstLineChars="0"/>
              <w:jc w:val="both"/>
              <w:rPr>
                <w:rFonts w:hint="eastAsia" w:ascii="宋体" w:hAnsi="宋体" w:eastAsia="宋体" w:cs="宋体"/>
                <w:color w:val="auto"/>
                <w:sz w:val="21"/>
                <w:szCs w:val="21"/>
                <w:highlight w:val="none"/>
              </w:rPr>
            </w:pPr>
            <w:r>
              <w:rPr>
                <w:rFonts w:hint="eastAsia" w:ascii="宋体" w:hAnsi="宋体" w:eastAsia="宋体" w:cs="宋体"/>
                <w:color w:val="auto"/>
                <w:szCs w:val="21"/>
                <w:highlight w:val="none"/>
              </w:rPr>
              <w:t>合同履行期限：自签订合同之日起至2027年4月30日止</w:t>
            </w:r>
          </w:p>
        </w:tc>
      </w:tr>
    </w:tbl>
    <w:p w14:paraId="010A87F5">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2</w:t>
      </w:r>
      <w:r>
        <w:rPr>
          <w:rFonts w:hint="eastAsia" w:ascii="宋体" w:hAnsi="宋体" w:cs="宋体"/>
          <w:color w:val="auto"/>
          <w:szCs w:val="21"/>
          <w:highlight w:val="none"/>
        </w:rPr>
        <w:t>、</w:t>
      </w:r>
      <w:r>
        <w:rPr>
          <w:rFonts w:hint="eastAsia" w:ascii="宋体" w:hAnsi="宋体" w:eastAsia="宋体" w:cs="宋体"/>
          <w:color w:val="auto"/>
          <w:szCs w:val="21"/>
          <w:highlight w:val="none"/>
          <w:lang w:eastAsia="zh-CN"/>
        </w:rPr>
        <w:t>服务内容</w:t>
      </w:r>
      <w:r>
        <w:rPr>
          <w:rFonts w:hint="eastAsia" w:ascii="宋体" w:hAnsi="宋体" w:eastAsia="宋体" w:cs="宋体"/>
          <w:color w:val="auto"/>
          <w:szCs w:val="21"/>
          <w:highlight w:val="none"/>
        </w:rPr>
        <w:t>一览表</w:t>
      </w:r>
      <w:r>
        <w:rPr>
          <w:rFonts w:hint="eastAsia" w:ascii="宋体" w:hAnsi="宋体" w:eastAsia="宋体" w:cs="宋体"/>
          <w:color w:val="auto"/>
          <w:szCs w:val="21"/>
          <w:highlight w:val="none"/>
          <w:lang w:eastAsia="zh-CN"/>
        </w:rPr>
        <w:t>（详见附件中的响应报价表）</w:t>
      </w:r>
    </w:p>
    <w:p w14:paraId="542E0912">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3</w:t>
      </w:r>
      <w:r>
        <w:rPr>
          <w:rFonts w:hint="eastAsia" w:ascii="宋体" w:hAnsi="宋体" w:cs="宋体"/>
          <w:color w:val="auto"/>
          <w:szCs w:val="21"/>
          <w:highlight w:val="none"/>
        </w:rPr>
        <w:t>、合同金额包</w:t>
      </w:r>
      <w:r>
        <w:rPr>
          <w:rFonts w:hint="eastAsia" w:ascii="宋体" w:hAnsi="宋体" w:cs="宋体"/>
          <w:color w:val="auto"/>
          <w:szCs w:val="21"/>
          <w:highlight w:val="none"/>
          <w:lang w:eastAsia="zh-CN"/>
        </w:rPr>
        <w:t>含</w:t>
      </w:r>
      <w:r>
        <w:rPr>
          <w:rFonts w:hint="eastAsia" w:ascii="宋体" w:hAnsi="宋体" w:cs="宋体"/>
          <w:color w:val="auto"/>
          <w:szCs w:val="21"/>
          <w:highlight w:val="none"/>
        </w:rPr>
        <w:t>满足本次竞标全部采购需求所应提供的服务，以及伴随的货物价格；</w:t>
      </w:r>
    </w:p>
    <w:p w14:paraId="560C896C">
      <w:pPr>
        <w:spacing w:line="360" w:lineRule="auto"/>
        <w:ind w:firstLine="420" w:firstLineChars="200"/>
        <w:rPr>
          <w:rFonts w:hint="eastAsia" w:ascii="宋体" w:hAnsi="宋体" w:cs="宋体"/>
          <w:color w:val="auto"/>
          <w:szCs w:val="21"/>
          <w:highlight w:val="none"/>
          <w:lang w:eastAsia="zh-CN"/>
        </w:rPr>
      </w:pP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1</w:t>
      </w:r>
      <w:r>
        <w:rPr>
          <w:rFonts w:hint="eastAsia" w:ascii="宋体" w:hAnsi="宋体" w:cs="宋体"/>
          <w:color w:val="auto"/>
          <w:szCs w:val="21"/>
          <w:highlight w:val="none"/>
          <w:lang w:eastAsia="zh-CN"/>
        </w:rPr>
        <w:t>）本项目所有服务及供货全流程的费用，包括图书出版码洋、图书加工服务费、运输搬运费、耗材费（含可充消钴基复合磁条、条形码、PVC材质书标及保护膜等）、物流配送费、异地现场采购费、调试培训、技术支持、质保期内维护、软件升级、售后服务费、必要的保险、税金及其他相关的费用。</w:t>
      </w:r>
    </w:p>
    <w:p w14:paraId="657A4A93">
      <w:pPr>
        <w:spacing w:line="360" w:lineRule="auto"/>
        <w:ind w:firstLine="420" w:firstLineChars="200"/>
        <w:rPr>
          <w:rFonts w:hint="eastAsia" w:ascii="宋体" w:hAnsi="宋体" w:cs="宋体"/>
          <w:b w:val="0"/>
          <w:bCs w:val="0"/>
          <w:color w:val="auto"/>
          <w:szCs w:val="21"/>
          <w:highlight w:val="none"/>
        </w:rPr>
      </w:pPr>
      <w:r>
        <w:rPr>
          <w:rFonts w:hint="eastAsia" w:ascii="宋体" w:hAnsi="宋体" w:cs="宋体"/>
          <w:color w:val="auto"/>
          <w:szCs w:val="21"/>
          <w:highlight w:val="none"/>
          <w:lang w:eastAsia="zh-CN"/>
        </w:rPr>
        <w:t>（</w:t>
      </w:r>
      <w:r>
        <w:rPr>
          <w:rFonts w:hint="eastAsia" w:ascii="宋体" w:hAnsi="宋体" w:cs="宋体"/>
          <w:color w:val="auto"/>
          <w:szCs w:val="21"/>
          <w:highlight w:val="none"/>
          <w:lang w:val="en-US" w:eastAsia="zh-CN"/>
        </w:rPr>
        <w:t>2</w:t>
      </w:r>
      <w:r>
        <w:rPr>
          <w:rFonts w:hint="eastAsia" w:ascii="宋体" w:hAnsi="宋体" w:cs="宋体"/>
          <w:color w:val="auto"/>
          <w:szCs w:val="21"/>
          <w:highlight w:val="none"/>
          <w:lang w:eastAsia="zh-CN"/>
        </w:rPr>
        <w:t>）采购需求中所有货物的价格为采购人指定地点的现场交付价格，合同有效期内所有经过验收合格的采购图书均按实洋价结算付款，图书出版的标价为码洋价，实洋价＝码洋价×成交折扣率</w:t>
      </w:r>
      <w:r>
        <w:rPr>
          <w:rFonts w:hint="eastAsia" w:ascii="宋体" w:hAnsi="宋体" w:cs="宋体"/>
          <w:color w:val="auto"/>
          <w:szCs w:val="21"/>
          <w:highlight w:val="none"/>
        </w:rPr>
        <w:t>。</w:t>
      </w:r>
    </w:p>
    <w:p w14:paraId="26BB58DC">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第二条　质量保证</w:t>
      </w:r>
    </w:p>
    <w:p w14:paraId="123737C5">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乙方所提供的服务及服务内容必须与响应文件承诺相一致，有国家强制性标准的，还必须符合国家强制性标准的规定，没有国家强制性标准但有</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强制性标准的，必须符合</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强制性标准的规定。</w:t>
      </w:r>
    </w:p>
    <w:p w14:paraId="6E5905C5">
      <w:pPr>
        <w:spacing w:line="360" w:lineRule="auto"/>
        <w:ind w:firstLine="422" w:firstLineChars="200"/>
        <w:rPr>
          <w:rFonts w:hint="eastAsia" w:ascii="宋体" w:hAnsi="宋体" w:cs="宋体"/>
          <w:color w:val="auto"/>
          <w:szCs w:val="21"/>
          <w:highlight w:val="none"/>
        </w:rPr>
      </w:pPr>
      <w:r>
        <w:rPr>
          <w:rFonts w:hint="eastAsia" w:ascii="宋体" w:hAnsi="宋体" w:cs="宋体"/>
          <w:b/>
          <w:color w:val="auto"/>
          <w:szCs w:val="21"/>
          <w:highlight w:val="none"/>
        </w:rPr>
        <w:t>第三条　权利保证</w:t>
      </w:r>
    </w:p>
    <w:p w14:paraId="4D431263">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1、乙方应保证所提供服务在使用时不会侵犯任何第三方的专利权、商标权、工业设计权等知识产权及</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合法权利，且所有权、处分权等没有受到任何限制。</w:t>
      </w:r>
    </w:p>
    <w:p w14:paraId="0A7385B7">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2、没有甲方事先书面同意，乙方不得将由甲方提供的有关合同或者任何合同条文、规格、计划、图纸、样品或者资料提供给</w:t>
      </w:r>
      <w:r>
        <w:rPr>
          <w:rFonts w:hint="eastAsia" w:ascii="宋体" w:hAnsi="宋体" w:cs="宋体"/>
          <w:color w:val="auto"/>
          <w:szCs w:val="21"/>
          <w:highlight w:val="none"/>
          <w:lang w:val="en-US" w:eastAsia="zh-CN"/>
        </w:rPr>
        <w:t>予</w:t>
      </w:r>
      <w:r>
        <w:rPr>
          <w:rFonts w:hint="eastAsia" w:ascii="宋体" w:hAnsi="宋体" w:cs="宋体"/>
          <w:color w:val="auto"/>
          <w:szCs w:val="21"/>
          <w:highlight w:val="none"/>
        </w:rPr>
        <w:t>履行本合同无关的任何</w:t>
      </w:r>
      <w:r>
        <w:rPr>
          <w:rFonts w:hint="eastAsia" w:ascii="宋体" w:hAnsi="宋体" w:cs="宋体"/>
          <w:color w:val="auto"/>
          <w:szCs w:val="21"/>
          <w:highlight w:val="none"/>
          <w:lang w:eastAsia="zh-CN"/>
        </w:rPr>
        <w:t>其他</w:t>
      </w:r>
      <w:r>
        <w:rPr>
          <w:rFonts w:hint="eastAsia" w:ascii="宋体" w:hAnsi="宋体" w:cs="宋体"/>
          <w:color w:val="auto"/>
          <w:szCs w:val="21"/>
          <w:highlight w:val="none"/>
        </w:rPr>
        <w:t>人。即使向履行本合同有关的人员提供，也应注意保密并限于履行合同的必需范围。乙方的保密义务持续有效，不因为本合同履行终止、解除或者无效而解除。</w:t>
      </w:r>
    </w:p>
    <w:p w14:paraId="31715EE3">
      <w:pPr>
        <w:spacing w:line="360" w:lineRule="auto"/>
        <w:ind w:firstLine="422" w:firstLineChars="200"/>
        <w:rPr>
          <w:rFonts w:hint="eastAsia" w:ascii="宋体" w:hAnsi="宋体" w:cs="宋体"/>
          <w:color w:val="auto"/>
          <w:szCs w:val="21"/>
          <w:highlight w:val="none"/>
        </w:rPr>
      </w:pPr>
      <w:r>
        <w:rPr>
          <w:rFonts w:hint="eastAsia" w:ascii="宋体" w:hAnsi="宋体" w:cs="宋体"/>
          <w:b/>
          <w:color w:val="auto"/>
          <w:szCs w:val="21"/>
          <w:highlight w:val="none"/>
        </w:rPr>
        <w:t>第四条　交付和验收</w:t>
      </w:r>
    </w:p>
    <w:p w14:paraId="76BF8A47">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1、服务期：</w:t>
      </w:r>
      <w:r>
        <w:rPr>
          <w:rFonts w:hint="eastAsia" w:ascii="宋体" w:hAnsi="宋体" w:cs="宋体"/>
          <w:color w:val="auto"/>
          <w:szCs w:val="21"/>
          <w:highlight w:val="none"/>
          <w:u w:val="single"/>
        </w:rPr>
        <w:t>自签订合同之日起至2027年4月30日止</w:t>
      </w:r>
      <w:r>
        <w:rPr>
          <w:rFonts w:hint="eastAsia" w:ascii="宋体" w:hAnsi="宋体" w:cs="宋体"/>
          <w:color w:val="auto"/>
          <w:szCs w:val="21"/>
          <w:highlight w:val="none"/>
        </w:rPr>
        <w:t>，服务地点：</w:t>
      </w:r>
      <w:r>
        <w:rPr>
          <w:rFonts w:hint="eastAsia" w:ascii="宋体" w:hAnsi="宋体" w:cs="宋体"/>
          <w:color w:val="auto"/>
          <w:szCs w:val="21"/>
          <w:highlight w:val="none"/>
          <w:u w:val="single"/>
          <w:lang w:eastAsia="zh-CN"/>
        </w:rPr>
        <w:t>广西农业职业技术大学</w:t>
      </w:r>
      <w:r>
        <w:rPr>
          <w:rFonts w:hint="eastAsia" w:ascii="宋体" w:hAnsi="宋体" w:cs="宋体"/>
          <w:color w:val="auto"/>
          <w:szCs w:val="21"/>
          <w:highlight w:val="none"/>
        </w:rPr>
        <w:t>。</w:t>
      </w:r>
    </w:p>
    <w:p w14:paraId="3ADAF022">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2、乙方应按响应文件的承诺向甲方提供相应的服务，并提供所服务内容的相关技术资料。</w:t>
      </w:r>
    </w:p>
    <w:p w14:paraId="111A4497">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3、乙方提供不符合响应文件和本合同规定的服务成果，甲方有权拒绝接受。</w:t>
      </w:r>
    </w:p>
    <w:p w14:paraId="7D24F9BF">
      <w:pPr>
        <w:spacing w:line="360" w:lineRule="auto"/>
        <w:ind w:firstLine="420" w:firstLineChars="200"/>
        <w:rPr>
          <w:rFonts w:hint="eastAsia" w:ascii="宋体" w:hAnsi="宋体"/>
          <w:color w:val="auto"/>
          <w:szCs w:val="21"/>
          <w:highlight w:val="none"/>
        </w:rPr>
      </w:pPr>
      <w:r>
        <w:rPr>
          <w:rFonts w:hint="eastAsia" w:ascii="宋体" w:hAnsi="宋体"/>
          <w:color w:val="auto"/>
          <w:szCs w:val="21"/>
          <w:highlight w:val="none"/>
        </w:rPr>
        <w:t>4、乙方完成服务后应及时书面通知甲方进行验收，甲方应在收到通知后</w:t>
      </w:r>
      <w:r>
        <w:rPr>
          <w:rFonts w:hint="eastAsia" w:ascii="宋体" w:hAnsi="宋体"/>
          <w:color w:val="auto"/>
          <w:szCs w:val="21"/>
          <w:highlight w:val="none"/>
          <w:lang w:val="en-US" w:eastAsia="zh-CN"/>
        </w:rPr>
        <w:t>七</w:t>
      </w:r>
      <w:r>
        <w:rPr>
          <w:rFonts w:hint="eastAsia" w:ascii="宋体" w:hAnsi="宋体"/>
          <w:color w:val="auto"/>
          <w:szCs w:val="21"/>
          <w:highlight w:val="none"/>
        </w:rPr>
        <w:t>个工作日内进行验收。验收合格后由甲乙双方签署验收单并加盖</w:t>
      </w:r>
      <w:r>
        <w:rPr>
          <w:rFonts w:hint="eastAsia" w:ascii="宋体" w:hAnsi="宋体"/>
          <w:color w:val="auto"/>
          <w:szCs w:val="21"/>
          <w:highlight w:val="none"/>
          <w:lang w:eastAsia="zh-CN"/>
        </w:rPr>
        <w:t>甲方</w:t>
      </w:r>
      <w:r>
        <w:rPr>
          <w:rFonts w:hint="eastAsia" w:ascii="宋体" w:hAnsi="宋体"/>
          <w:color w:val="auto"/>
          <w:szCs w:val="21"/>
          <w:highlight w:val="none"/>
        </w:rPr>
        <w:t>公章，甲乙双方各执一份。</w:t>
      </w:r>
    </w:p>
    <w:p w14:paraId="54C5AF41">
      <w:pPr>
        <w:spacing w:line="360" w:lineRule="auto"/>
        <w:ind w:firstLine="420" w:firstLineChars="200"/>
        <w:rPr>
          <w:rFonts w:hint="eastAsia" w:ascii="宋体" w:hAnsi="宋体"/>
          <w:color w:val="auto"/>
          <w:szCs w:val="21"/>
          <w:highlight w:val="none"/>
        </w:rPr>
      </w:pPr>
      <w:r>
        <w:rPr>
          <w:rFonts w:hint="eastAsia" w:ascii="宋体" w:hAnsi="宋体" w:cs="宋体"/>
          <w:color w:val="auto"/>
          <w:szCs w:val="21"/>
          <w:highlight w:val="none"/>
        </w:rPr>
        <w:t>5、甲乙双方应按照《</w:t>
      </w:r>
      <w:r>
        <w:rPr>
          <w:rFonts w:ascii="宋体" w:hAnsi="宋体" w:cs="宋体"/>
          <w:color w:val="auto"/>
          <w:szCs w:val="21"/>
          <w:highlight w:val="none"/>
        </w:rPr>
        <w:t>广西壮族自治区政府采购项目履约验收管理办法</w:t>
      </w:r>
      <w:r>
        <w:rPr>
          <w:rFonts w:hint="eastAsia" w:ascii="宋体" w:hAnsi="宋体" w:cs="宋体"/>
          <w:color w:val="auto"/>
          <w:szCs w:val="21"/>
          <w:highlight w:val="none"/>
        </w:rPr>
        <w:t>》、双方合同、响应文件验收。</w:t>
      </w:r>
    </w:p>
    <w:p w14:paraId="440373D7">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6、甲方在初步验收或者最终验收过程中如发现乙方提供的服务成果不满足响应文件及本合同规定的，可暂缓向乙方付款，直到乙方及时完善并提交相应的服务成果且经甲方验收合格后，方可办理付款。</w:t>
      </w:r>
    </w:p>
    <w:p w14:paraId="4514346A">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7、甲方验收时以书面形式提出异议的，乙方应自收到甲方书面异议后五个工作日内及时予以解决，否则甲方有权不出具服务验收合格单。</w:t>
      </w:r>
    </w:p>
    <w:p w14:paraId="34A2993D">
      <w:pPr>
        <w:snapToGrid w:val="0"/>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第五条  服务及培训</w:t>
      </w:r>
    </w:p>
    <w:p w14:paraId="72BB2BAB">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1、乙方应按照国家有关法律法规和本合同所附的《服务</w:t>
      </w:r>
      <w:r>
        <w:rPr>
          <w:rFonts w:hint="eastAsia" w:ascii="宋体" w:hAnsi="宋体" w:cs="宋体"/>
          <w:color w:val="auto"/>
          <w:szCs w:val="21"/>
          <w:highlight w:val="none"/>
          <w:lang w:eastAsia="zh-CN"/>
        </w:rPr>
        <w:t>承诺</w:t>
      </w:r>
      <w:r>
        <w:rPr>
          <w:rFonts w:hint="eastAsia" w:ascii="宋体" w:hAnsi="宋体" w:cs="宋体"/>
          <w:color w:val="auto"/>
          <w:szCs w:val="21"/>
          <w:highlight w:val="none"/>
        </w:rPr>
        <w:t>》要求为甲方提供相应的服务。</w:t>
      </w:r>
    </w:p>
    <w:p w14:paraId="6147AACC">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2、甲方应提供必要测试条件（如场地、电源、水源等）。</w:t>
      </w:r>
    </w:p>
    <w:p w14:paraId="6EA0131E">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3、乙方负责甲方有关人员的培训。培训时间、地点：</w:t>
      </w:r>
      <w:r>
        <w:rPr>
          <w:rFonts w:hint="eastAsia" w:ascii="宋体" w:hAnsi="宋体" w:cs="宋体"/>
          <w:color w:val="auto"/>
          <w:szCs w:val="21"/>
          <w:highlight w:val="none"/>
          <w:u w:val="single"/>
        </w:rPr>
        <w:t xml:space="preserve"> </w:t>
      </w:r>
      <w:r>
        <w:rPr>
          <w:rFonts w:ascii="宋体" w:hAnsi="宋体" w:cs="宋体"/>
          <w:color w:val="auto"/>
          <w:szCs w:val="21"/>
          <w:highlight w:val="none"/>
          <w:u w:val="single"/>
        </w:rPr>
        <w:t xml:space="preserve">   </w:t>
      </w:r>
      <w:r>
        <w:rPr>
          <w:rFonts w:hint="eastAsia" w:ascii="宋体" w:hAnsi="宋体" w:cs="宋体"/>
          <w:color w:val="auto"/>
          <w:szCs w:val="21"/>
          <w:highlight w:val="none"/>
          <w:u w:val="single"/>
          <w:lang w:eastAsia="zh-CN"/>
        </w:rPr>
        <w:t>甲方指定</w:t>
      </w:r>
      <w:r>
        <w:rPr>
          <w:rFonts w:ascii="宋体" w:hAnsi="宋体" w:cs="宋体"/>
          <w:color w:val="auto"/>
          <w:szCs w:val="21"/>
          <w:highlight w:val="none"/>
          <w:u w:val="single"/>
        </w:rPr>
        <w:t xml:space="preserve">     </w:t>
      </w:r>
      <w:r>
        <w:rPr>
          <w:rFonts w:hint="eastAsia" w:ascii="宋体" w:hAnsi="宋体" w:cs="宋体"/>
          <w:color w:val="auto"/>
          <w:szCs w:val="21"/>
          <w:highlight w:val="none"/>
        </w:rPr>
        <w:t>。</w:t>
      </w:r>
    </w:p>
    <w:p w14:paraId="1C2EA0B2">
      <w:pPr>
        <w:snapToGrid w:val="0"/>
        <w:spacing w:line="360" w:lineRule="auto"/>
        <w:ind w:firstLine="422" w:firstLineChars="200"/>
        <w:rPr>
          <w:rFonts w:hint="eastAsia" w:ascii="宋体" w:hAnsi="宋体" w:cs="宋体"/>
          <w:color w:val="auto"/>
          <w:szCs w:val="21"/>
          <w:highlight w:val="none"/>
          <w:u w:val="single"/>
        </w:rPr>
      </w:pPr>
      <w:r>
        <w:rPr>
          <w:rFonts w:hint="eastAsia" w:ascii="宋体" w:hAnsi="宋体" w:cs="宋体"/>
          <w:b/>
          <w:color w:val="auto"/>
          <w:szCs w:val="21"/>
          <w:highlight w:val="none"/>
        </w:rPr>
        <w:t>第六条　付款方式</w:t>
      </w:r>
    </w:p>
    <w:p w14:paraId="6FF4F3B7">
      <w:pPr>
        <w:numPr>
          <w:ilvl w:val="0"/>
          <w:numId w:val="0"/>
        </w:numPr>
        <w:snapToGrid/>
        <w:spacing w:line="360" w:lineRule="auto"/>
        <w:ind w:firstLine="420" w:firstLineChars="200"/>
        <w:jc w:val="left"/>
        <w:rPr>
          <w:rFonts w:hint="eastAsia" w:hAnsi="宋体" w:eastAsia="宋体" w:cs="宋体"/>
          <w:i/>
          <w:iCs/>
          <w:color w:val="auto"/>
          <w:sz w:val="21"/>
          <w:highlight w:val="none"/>
        </w:rPr>
      </w:pPr>
      <w:r>
        <w:rPr>
          <w:rFonts w:hint="eastAsia" w:ascii="宋体" w:hAnsi="宋体" w:eastAsia="宋体" w:cs="宋体"/>
          <w:bCs w:val="0"/>
          <w:color w:val="auto"/>
          <w:szCs w:val="21"/>
          <w:highlight w:val="none"/>
          <w:lang w:val="en-US" w:eastAsia="zh-CN"/>
        </w:rPr>
        <w:t>乙方在要求的交付期内，可分批交付，也可一次性交付，但须先按每次交付并验收完成的金额开具发票给甲方，甲方在收到发票后30日历日内按发票面额付款。如乙方未按国家要求开具发票，或未按合同履约的，视为违约，甲方有权扣减履约保证金，或要求解除合同，并追究乙方法律责任。</w:t>
      </w:r>
    </w:p>
    <w:p w14:paraId="431418F3">
      <w:pPr>
        <w:snapToGrid w:val="0"/>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第七条　履约保证金</w:t>
      </w:r>
    </w:p>
    <w:p w14:paraId="16304CC8">
      <w:pPr>
        <w:spacing w:line="360" w:lineRule="auto"/>
        <w:ind w:firstLine="422" w:firstLineChars="200"/>
        <w:rPr>
          <w:rFonts w:hint="eastAsia" w:ascii="宋体" w:hAnsi="宋体" w:cs="宋体"/>
          <w:b/>
          <w:bCs/>
          <w:color w:val="auto"/>
          <w:szCs w:val="21"/>
          <w:highlight w:val="none"/>
        </w:rPr>
      </w:pPr>
      <w:r>
        <w:rPr>
          <w:rFonts w:hint="eastAsia" w:ascii="宋体" w:hAnsi="宋体" w:cs="宋体"/>
          <w:b/>
          <w:bCs/>
          <w:color w:val="auto"/>
          <w:szCs w:val="21"/>
          <w:highlight w:val="none"/>
          <w:lang w:eastAsia="zh-CN"/>
        </w:rPr>
        <w:t>本项目需要缴</w:t>
      </w:r>
      <w:r>
        <w:rPr>
          <w:rFonts w:hint="eastAsia" w:ascii="宋体" w:hAnsi="宋体" w:cs="宋体"/>
          <w:b/>
          <w:bCs/>
          <w:color w:val="auto"/>
          <w:kern w:val="0"/>
          <w:szCs w:val="21"/>
          <w:highlight w:val="none"/>
        </w:rPr>
        <w:t>纳</w:t>
      </w:r>
      <w:r>
        <w:rPr>
          <w:rFonts w:hint="eastAsia" w:ascii="宋体" w:hAnsi="宋体" w:cs="宋体"/>
          <w:b/>
          <w:bCs/>
          <w:color w:val="auto"/>
          <w:szCs w:val="21"/>
          <w:highlight w:val="none"/>
        </w:rPr>
        <w:t>履约</w:t>
      </w:r>
      <w:r>
        <w:rPr>
          <w:rFonts w:hint="eastAsia" w:ascii="宋体" w:hAnsi="宋体" w:cs="宋体"/>
          <w:b/>
          <w:bCs/>
          <w:color w:val="auto"/>
          <w:szCs w:val="21"/>
          <w:highlight w:val="none"/>
          <w:lang w:eastAsia="zh-CN"/>
        </w:rPr>
        <w:t>保证金，</w:t>
      </w:r>
      <w:r>
        <w:rPr>
          <w:rFonts w:hint="eastAsia" w:ascii="宋体" w:hAnsi="宋体" w:cs="宋体"/>
          <w:b/>
          <w:bCs/>
          <w:color w:val="auto"/>
          <w:szCs w:val="21"/>
          <w:highlight w:val="none"/>
        </w:rPr>
        <w:t>相关要求</w:t>
      </w:r>
      <w:r>
        <w:rPr>
          <w:rFonts w:hint="eastAsia" w:ascii="宋体" w:hAnsi="宋体" w:cs="宋体"/>
          <w:b/>
          <w:bCs/>
          <w:color w:val="auto"/>
          <w:szCs w:val="21"/>
          <w:highlight w:val="none"/>
          <w:lang w:eastAsia="zh-CN"/>
        </w:rPr>
        <w:t>如下</w:t>
      </w:r>
      <w:r>
        <w:rPr>
          <w:rFonts w:hint="eastAsia" w:ascii="宋体" w:hAnsi="宋体" w:cs="宋体"/>
          <w:b/>
          <w:bCs/>
          <w:color w:val="auto"/>
          <w:szCs w:val="21"/>
          <w:highlight w:val="none"/>
        </w:rPr>
        <w:t>：</w:t>
      </w:r>
    </w:p>
    <w:p w14:paraId="2CF10FC8">
      <w:pPr>
        <w:autoSpaceDE w:val="0"/>
        <w:autoSpaceDN w:val="0"/>
        <w:snapToGrid w:val="0"/>
        <w:spacing w:line="360" w:lineRule="auto"/>
        <w:ind w:firstLine="0" w:firstLineChars="0"/>
        <w:textAlignment w:val="bottom"/>
        <w:rPr>
          <w:rFonts w:hint="default" w:ascii="宋体" w:hAnsi="宋体" w:eastAsia="宋体" w:cs="宋体"/>
          <w:color w:val="auto"/>
          <w:szCs w:val="21"/>
          <w:highlight w:val="none"/>
          <w:lang w:val="en-US" w:eastAsia="zh-CN"/>
        </w:rPr>
      </w:pPr>
      <w:r>
        <w:rPr>
          <w:rFonts w:hint="eastAsia" w:ascii="宋体" w:hAnsi="宋体" w:cs="宋体"/>
          <w:color w:val="auto"/>
          <w:szCs w:val="21"/>
          <w:highlight w:val="none"/>
          <w:lang w:eastAsia="zh-CN"/>
        </w:rPr>
        <w:t>　</w:t>
      </w:r>
      <w:r>
        <w:rPr>
          <w:rFonts w:hint="eastAsia" w:ascii="宋体" w:hAnsi="宋体" w:cs="宋体"/>
          <w:color w:val="auto"/>
          <w:szCs w:val="21"/>
          <w:highlight w:val="none"/>
          <w:lang w:val="en-US" w:eastAsia="zh-CN"/>
        </w:rPr>
        <w:t xml:space="preserve">  </w:t>
      </w:r>
      <w:r>
        <w:rPr>
          <w:rFonts w:hint="eastAsia" w:ascii="宋体" w:hAnsi="宋体" w:cs="宋体"/>
          <w:color w:val="auto"/>
          <w:szCs w:val="21"/>
          <w:highlight w:val="none"/>
          <w:lang w:eastAsia="zh-CN"/>
        </w:rPr>
        <w:t>1、</w:t>
      </w:r>
      <w:r>
        <w:rPr>
          <w:rFonts w:hint="eastAsia" w:ascii="宋体" w:hAnsi="宋体" w:cs="宋体"/>
          <w:color w:val="auto"/>
          <w:szCs w:val="21"/>
          <w:highlight w:val="none"/>
        </w:rPr>
        <w:t>履约保证金金额：</w:t>
      </w:r>
      <w:r>
        <w:rPr>
          <w:rFonts w:hint="eastAsia" w:ascii="宋体" w:hAnsi="宋体" w:eastAsia="宋体" w:cs="宋体"/>
          <w:color w:val="auto"/>
          <w:szCs w:val="21"/>
          <w:highlight w:val="none"/>
        </w:rPr>
        <w:t>按</w:t>
      </w:r>
      <w:r>
        <w:rPr>
          <w:rFonts w:hint="eastAsia" w:ascii="宋体" w:hAnsi="宋体" w:eastAsia="宋体" w:cs="宋体"/>
          <w:color w:val="auto"/>
          <w:szCs w:val="21"/>
          <w:highlight w:val="none"/>
          <w:lang w:eastAsia="zh-CN"/>
        </w:rPr>
        <w:t>项目</w:t>
      </w:r>
      <w:r>
        <w:rPr>
          <w:rFonts w:hint="eastAsia" w:ascii="宋体" w:hAnsi="宋体" w:eastAsia="宋体" w:cs="宋体"/>
          <w:color w:val="auto"/>
          <w:szCs w:val="21"/>
          <w:highlight w:val="none"/>
        </w:rPr>
        <w:t>每分标</w:t>
      </w:r>
      <w:r>
        <w:rPr>
          <w:rFonts w:hint="eastAsia" w:ascii="宋体" w:hAnsi="宋体" w:eastAsia="宋体" w:cs="宋体"/>
          <w:color w:val="auto"/>
          <w:szCs w:val="21"/>
          <w:highlight w:val="none"/>
          <w:lang w:eastAsia="zh-CN"/>
        </w:rPr>
        <w:t>采购预算</w:t>
      </w:r>
      <w:r>
        <w:rPr>
          <w:rFonts w:hint="eastAsia" w:ascii="宋体" w:hAnsi="宋体" w:eastAsia="宋体" w:cs="宋体"/>
          <w:color w:val="auto"/>
          <w:szCs w:val="21"/>
          <w:highlight w:val="none"/>
        </w:rPr>
        <w:t>金额的</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2</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w:t>
      </w:r>
      <w:r>
        <w:rPr>
          <w:rFonts w:hint="eastAsia" w:ascii="宋体" w:hAnsi="宋体" w:eastAsia="宋体" w:cs="宋体"/>
          <w:b w:val="0"/>
          <w:bCs w:val="0"/>
          <w:i w:val="0"/>
          <w:iCs w:val="0"/>
          <w:color w:val="auto"/>
          <w:szCs w:val="21"/>
          <w:highlight w:val="none"/>
          <w:lang w:eastAsia="zh-CN"/>
        </w:rPr>
        <w:t>即人民币（大写）</w:t>
      </w:r>
      <w:r>
        <w:rPr>
          <w:rFonts w:hint="eastAsia" w:ascii="宋体" w:hAnsi="宋体" w:eastAsia="宋体" w:cs="宋体"/>
          <w:b w:val="0"/>
          <w:bCs w:val="0"/>
          <w:i w:val="0"/>
          <w:iCs w:val="0"/>
          <w:color w:val="auto"/>
          <w:szCs w:val="21"/>
          <w:highlight w:val="none"/>
          <w:u w:val="single"/>
          <w:lang w:val="en-US" w:eastAsia="zh-CN"/>
        </w:rPr>
        <w:t xml:space="preserve">       </w:t>
      </w:r>
      <w:r>
        <w:rPr>
          <w:rFonts w:hint="eastAsia" w:ascii="宋体" w:hAnsi="宋体" w:eastAsia="宋体" w:cs="宋体"/>
          <w:b w:val="0"/>
          <w:bCs w:val="0"/>
          <w:i w:val="0"/>
          <w:iCs w:val="0"/>
          <w:color w:val="auto"/>
          <w:szCs w:val="21"/>
          <w:highlight w:val="none"/>
          <w:lang w:val="en-US" w:eastAsia="zh-CN"/>
        </w:rPr>
        <w:t>小写（￥）</w:t>
      </w:r>
      <w:r>
        <w:rPr>
          <w:rFonts w:hint="eastAsia" w:ascii="宋体" w:hAnsi="宋体" w:eastAsia="宋体" w:cs="宋体"/>
          <w:b w:val="0"/>
          <w:bCs w:val="0"/>
          <w:i w:val="0"/>
          <w:iCs w:val="0"/>
          <w:color w:val="auto"/>
          <w:szCs w:val="21"/>
          <w:highlight w:val="none"/>
          <w:u w:val="single"/>
          <w:lang w:val="en-US" w:eastAsia="zh-CN"/>
        </w:rPr>
        <w:t xml:space="preserve">   </w:t>
      </w:r>
      <w:r>
        <w:rPr>
          <w:rFonts w:hint="eastAsia" w:ascii="宋体" w:hAnsi="宋体" w:eastAsia="宋体" w:cs="宋体"/>
          <w:b w:val="0"/>
          <w:bCs w:val="0"/>
          <w:i w:val="0"/>
          <w:iCs w:val="0"/>
          <w:color w:val="auto"/>
          <w:szCs w:val="21"/>
          <w:highlight w:val="none"/>
          <w:lang w:val="en-US" w:eastAsia="zh-CN"/>
        </w:rPr>
        <w:t>。</w:t>
      </w:r>
    </w:p>
    <w:p w14:paraId="5FC61D00">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2、</w:t>
      </w:r>
      <w:r>
        <w:rPr>
          <w:rFonts w:hint="eastAsia" w:ascii="宋体" w:hAnsi="宋体" w:cs="宋体"/>
          <w:color w:val="auto"/>
          <w:szCs w:val="21"/>
          <w:highlight w:val="none"/>
        </w:rPr>
        <w:t>履约保证金</w:t>
      </w:r>
      <w:r>
        <w:rPr>
          <w:rFonts w:hint="eastAsia" w:ascii="宋体" w:hAnsi="宋体" w:cs="宋体"/>
          <w:color w:val="auto"/>
          <w:szCs w:val="21"/>
          <w:highlight w:val="none"/>
          <w:lang w:eastAsia="zh-CN"/>
        </w:rPr>
        <w:t>提交</w:t>
      </w:r>
      <w:r>
        <w:rPr>
          <w:rFonts w:hint="eastAsia" w:ascii="宋体" w:hAnsi="宋体" w:cs="宋体"/>
          <w:color w:val="auto"/>
          <w:szCs w:val="21"/>
          <w:highlight w:val="none"/>
        </w:rPr>
        <w:t>方式：</w:t>
      </w:r>
      <w:r>
        <w:rPr>
          <w:rFonts w:hint="eastAsia" w:ascii="宋体" w:hAnsi="宋体" w:cs="宋体"/>
          <w:color w:val="auto"/>
          <w:szCs w:val="21"/>
          <w:highlight w:val="none"/>
          <w:lang w:val="en-US" w:eastAsia="zh-CN"/>
        </w:rPr>
        <w:t>乙方</w:t>
      </w:r>
      <w:r>
        <w:rPr>
          <w:rFonts w:hint="eastAsia" w:ascii="宋体" w:hAnsi="宋体" w:cs="宋体"/>
          <w:color w:val="auto"/>
          <w:szCs w:val="21"/>
          <w:highlight w:val="none"/>
          <w:lang w:eastAsia="zh-CN"/>
        </w:rPr>
        <w:t>在</w:t>
      </w:r>
      <w:r>
        <w:rPr>
          <w:rFonts w:hint="eastAsia" w:ascii="宋体" w:hAnsi="宋体" w:cs="宋体"/>
          <w:color w:val="auto"/>
          <w:szCs w:val="21"/>
          <w:highlight w:val="none"/>
          <w:u w:val="single"/>
          <w:lang w:eastAsia="zh-CN"/>
        </w:rPr>
        <w:t>签订合同</w:t>
      </w:r>
      <w:r>
        <w:rPr>
          <w:rFonts w:hint="eastAsia" w:ascii="宋体" w:hAnsi="宋体" w:cs="宋体"/>
          <w:color w:val="auto"/>
          <w:szCs w:val="21"/>
          <w:highlight w:val="none"/>
          <w:u w:val="single"/>
          <w:lang w:val="en-US" w:eastAsia="zh-CN"/>
        </w:rPr>
        <w:t>前以</w:t>
      </w:r>
      <w:r>
        <w:rPr>
          <w:rFonts w:hint="eastAsia" w:ascii="宋体" w:hAnsi="宋体" w:cs="宋体"/>
          <w:color w:val="auto"/>
          <w:szCs w:val="21"/>
          <w:highlight w:val="none"/>
        </w:rPr>
        <w:t>银行转账、支票、汇票、本票或者金融机构、担保机构出具的保函等非现金方式</w:t>
      </w:r>
      <w:r>
        <w:rPr>
          <w:rFonts w:hint="eastAsia" w:ascii="宋体" w:hAnsi="宋体" w:cs="宋体"/>
          <w:color w:val="auto"/>
          <w:szCs w:val="21"/>
          <w:highlight w:val="none"/>
          <w:lang w:eastAsia="zh-CN"/>
        </w:rPr>
        <w:t>向</w:t>
      </w:r>
      <w:r>
        <w:rPr>
          <w:rFonts w:hint="eastAsia" w:ascii="宋体" w:hAnsi="宋体" w:cs="宋体"/>
          <w:color w:val="auto"/>
          <w:szCs w:val="21"/>
          <w:highlight w:val="none"/>
          <w:u w:val="single"/>
          <w:lang w:val="en-US" w:eastAsia="zh-CN"/>
        </w:rPr>
        <w:t>甲方</w:t>
      </w:r>
      <w:r>
        <w:rPr>
          <w:rFonts w:hint="eastAsia" w:ascii="宋体" w:hAnsi="宋体" w:cs="宋体"/>
          <w:color w:val="auto"/>
          <w:szCs w:val="21"/>
          <w:highlight w:val="none"/>
          <w:u w:val="none"/>
          <w:lang w:val="en-US" w:eastAsia="zh-CN"/>
        </w:rPr>
        <w:t>提交</w:t>
      </w:r>
      <w:r>
        <w:rPr>
          <w:rFonts w:hint="eastAsia" w:ascii="宋体" w:hAnsi="宋体" w:cs="宋体"/>
          <w:color w:val="auto"/>
          <w:szCs w:val="21"/>
          <w:highlight w:val="none"/>
        </w:rPr>
        <w:t>。</w:t>
      </w:r>
    </w:p>
    <w:p w14:paraId="548A9930">
      <w:pPr>
        <w:autoSpaceDE w:val="0"/>
        <w:autoSpaceDN w:val="0"/>
        <w:snapToGrid w:val="0"/>
        <w:spacing w:line="360" w:lineRule="auto"/>
        <w:ind w:firstLine="420" w:firstLineChars="200"/>
        <w:textAlignment w:val="bottom"/>
        <w:rPr>
          <w:rFonts w:hint="eastAsia" w:ascii="宋体" w:hAnsi="宋体" w:cs="宋体"/>
          <w:color w:val="auto"/>
          <w:szCs w:val="21"/>
          <w:highlight w:val="none"/>
        </w:rPr>
      </w:pPr>
      <w:r>
        <w:rPr>
          <w:rFonts w:hint="eastAsia" w:ascii="宋体" w:hAnsi="宋体" w:cs="宋体"/>
          <w:color w:val="auto"/>
          <w:szCs w:val="21"/>
          <w:highlight w:val="none"/>
          <w:lang w:val="en-US" w:eastAsia="zh-CN"/>
        </w:rPr>
        <w:t>3</w:t>
      </w:r>
      <w:r>
        <w:rPr>
          <w:rFonts w:hint="eastAsia" w:ascii="宋体" w:hAnsi="宋体" w:cs="宋体"/>
          <w:color w:val="auto"/>
          <w:szCs w:val="21"/>
          <w:highlight w:val="none"/>
          <w:lang w:eastAsia="zh-CN"/>
        </w:rPr>
        <w:t>、</w:t>
      </w:r>
      <w:r>
        <w:rPr>
          <w:rFonts w:hint="eastAsia" w:ascii="宋体" w:hAnsi="宋体" w:cs="宋体"/>
          <w:color w:val="auto"/>
          <w:szCs w:val="21"/>
          <w:highlight w:val="none"/>
        </w:rPr>
        <w:t>履约保证金退付方式、时间及条件：</w:t>
      </w:r>
      <w:r>
        <w:rPr>
          <w:rFonts w:hint="eastAsia" w:ascii="宋体" w:hAnsi="宋体" w:cs="宋体"/>
          <w:color w:val="auto"/>
          <w:szCs w:val="21"/>
          <w:highlight w:val="none"/>
          <w:u w:val="single"/>
          <w:lang w:val="en-US" w:eastAsia="zh-CN"/>
        </w:rPr>
        <w:t>项目交付完成并验收合格，在乙方履行完合同约定的权利义务事项后且无违约情形的，由乙方向甲方财务部门提供审签完成的《政府采购项目合同验收书》及《政府采购项目履约保证金退付意见书》，甲方财务部门在收到合格材料后5个工作日内办理退还手续（不计利息）。如最终验收与合同不符，全部履约保证金不予退还，并承担甲方为此而支付的一切损失（包括但不限于律师费、公证费、鉴定费、诉讼费、保全费、公告费、诉讼财产保全责任险保费等一切费用）</w:t>
      </w:r>
      <w:r>
        <w:rPr>
          <w:rFonts w:hint="eastAsia" w:ascii="宋体" w:hAnsi="宋体" w:cs="宋体"/>
          <w:color w:val="auto"/>
          <w:szCs w:val="21"/>
          <w:highlight w:val="none"/>
        </w:rPr>
        <w:t>。</w:t>
      </w:r>
    </w:p>
    <w:p w14:paraId="2945CB65">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4、</w:t>
      </w:r>
      <w:r>
        <w:rPr>
          <w:rFonts w:hint="eastAsia" w:ascii="宋体" w:hAnsi="宋体" w:cs="宋体"/>
          <w:color w:val="auto"/>
          <w:szCs w:val="21"/>
          <w:highlight w:val="none"/>
          <w:lang w:eastAsia="zh-CN"/>
        </w:rPr>
        <w:t>缴纳</w:t>
      </w:r>
      <w:r>
        <w:rPr>
          <w:rFonts w:hint="eastAsia" w:ascii="宋体" w:hAnsi="宋体" w:cs="宋体"/>
          <w:color w:val="auto"/>
          <w:szCs w:val="21"/>
          <w:highlight w:val="none"/>
        </w:rPr>
        <w:t>履约保证金指定账户</w:t>
      </w:r>
      <w:r>
        <w:rPr>
          <w:rFonts w:hint="eastAsia" w:ascii="宋体" w:hAnsi="宋体" w:cs="宋体"/>
          <w:color w:val="auto"/>
          <w:szCs w:val="21"/>
          <w:highlight w:val="none"/>
          <w:lang w:eastAsia="zh-CN"/>
        </w:rPr>
        <w:t>的信息</w:t>
      </w:r>
      <w:r>
        <w:rPr>
          <w:rFonts w:hint="eastAsia" w:ascii="宋体" w:hAnsi="宋体" w:cs="宋体"/>
          <w:color w:val="auto"/>
          <w:szCs w:val="21"/>
          <w:highlight w:val="none"/>
        </w:rPr>
        <w:t>：</w:t>
      </w:r>
    </w:p>
    <w:p w14:paraId="67852399">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开户名：广西农业职业技术大学</w:t>
      </w:r>
    </w:p>
    <w:p w14:paraId="7BB3D06E">
      <w:pPr>
        <w:autoSpaceDE/>
        <w:autoSpaceDN/>
        <w:snapToGrid w:val="0"/>
        <w:spacing w:line="360" w:lineRule="auto"/>
        <w:ind w:firstLine="420" w:firstLineChars="200"/>
        <w:textAlignment w:val="auto"/>
        <w:rPr>
          <w:rFonts w:hint="eastAsia" w:ascii="宋体" w:hAnsi="宋体" w:cs="宋体"/>
          <w:color w:val="auto"/>
          <w:szCs w:val="21"/>
          <w:highlight w:val="none"/>
        </w:rPr>
      </w:pPr>
      <w:r>
        <w:rPr>
          <w:rFonts w:hint="eastAsia" w:ascii="宋体" w:hAnsi="宋体" w:cs="宋体"/>
          <w:color w:val="auto"/>
          <w:szCs w:val="21"/>
          <w:highlight w:val="none"/>
        </w:rPr>
        <w:t>开户行：交通银行南宁大学路支行</w:t>
      </w:r>
    </w:p>
    <w:p w14:paraId="603BAC52">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账  号：451060605013002182351</w:t>
      </w:r>
    </w:p>
    <w:p w14:paraId="49EE051D">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第八条  税费</w:t>
      </w:r>
    </w:p>
    <w:p w14:paraId="3D60553A">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本合同执行中相关的一切税费均由乙方负担，合同另有约定的除外。</w:t>
      </w:r>
    </w:p>
    <w:p w14:paraId="6326D8F4">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第九条　违约责任</w:t>
      </w:r>
    </w:p>
    <w:p w14:paraId="6E0E1D90">
      <w:pPr>
        <w:snapToGrid w:val="0"/>
        <w:spacing w:line="360" w:lineRule="auto"/>
        <w:ind w:firstLine="420" w:firstLineChars="200"/>
        <w:rPr>
          <w:rFonts w:hint="eastAsia" w:ascii="宋体" w:hAnsi="宋体" w:cs="宋体"/>
          <w:color w:val="auto"/>
          <w:szCs w:val="21"/>
          <w:highlight w:val="none"/>
        </w:rPr>
      </w:pPr>
      <w:r>
        <w:rPr>
          <w:rFonts w:hint="eastAsia" w:ascii="宋体" w:hAnsi="宋体"/>
          <w:color w:val="auto"/>
          <w:szCs w:val="21"/>
          <w:highlight w:val="none"/>
        </w:rPr>
        <w:t>1、除不可抗力原因外，乙方没有按照合同规定的时间提供服务的，甲方可要求乙方支付违约金。每推迟一天按合同</w:t>
      </w:r>
      <w:r>
        <w:rPr>
          <w:rFonts w:hint="eastAsia" w:ascii="宋体" w:hAnsi="宋体"/>
          <w:color w:val="auto"/>
          <w:szCs w:val="21"/>
          <w:highlight w:val="none"/>
          <w:lang w:eastAsia="zh-CN"/>
        </w:rPr>
        <w:t>总</w:t>
      </w:r>
      <w:r>
        <w:rPr>
          <w:rFonts w:hint="eastAsia" w:ascii="宋体" w:hAnsi="宋体"/>
          <w:color w:val="auto"/>
          <w:szCs w:val="21"/>
          <w:highlight w:val="none"/>
        </w:rPr>
        <w:t>金额的</w:t>
      </w:r>
      <w:r>
        <w:rPr>
          <w:rFonts w:hint="eastAsia" w:ascii="宋体" w:hAnsi="宋体"/>
          <w:color w:val="auto"/>
          <w:szCs w:val="21"/>
          <w:highlight w:val="none"/>
          <w:lang w:val="en-US" w:eastAsia="zh-CN"/>
        </w:rPr>
        <w:t>5</w:t>
      </w:r>
      <w:r>
        <w:rPr>
          <w:rFonts w:hint="eastAsia" w:ascii="宋体" w:hAnsi="宋体"/>
          <w:color w:val="auto"/>
          <w:szCs w:val="21"/>
          <w:highlight w:val="none"/>
        </w:rPr>
        <w:t>‰支付违约金，该违约金累计不超过合同</w:t>
      </w:r>
      <w:r>
        <w:rPr>
          <w:rFonts w:hint="eastAsia" w:ascii="宋体" w:hAnsi="宋体"/>
          <w:color w:val="auto"/>
          <w:szCs w:val="21"/>
          <w:highlight w:val="none"/>
          <w:lang w:eastAsia="zh-CN"/>
        </w:rPr>
        <w:t>总</w:t>
      </w:r>
      <w:r>
        <w:rPr>
          <w:rFonts w:hint="eastAsia" w:ascii="宋体" w:hAnsi="宋体"/>
          <w:color w:val="auto"/>
          <w:szCs w:val="21"/>
          <w:highlight w:val="none"/>
        </w:rPr>
        <w:t>金额的10%。</w:t>
      </w:r>
      <w:r>
        <w:rPr>
          <w:rFonts w:hint="eastAsia" w:ascii="宋体" w:hAnsi="宋体" w:cs="宋体"/>
          <w:color w:val="auto"/>
          <w:szCs w:val="21"/>
          <w:highlight w:val="none"/>
        </w:rPr>
        <w:t xml:space="preserve">                                  </w:t>
      </w:r>
    </w:p>
    <w:p w14:paraId="139C506A">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2、乙方提供的服务如侵犯了第三方合法权益而引发的任何纠纷或者诉讼，均由乙方负责交涉并承担全部责任。</w:t>
      </w:r>
    </w:p>
    <w:p w14:paraId="7BDFCCAE">
      <w:pPr>
        <w:snapToGrid w:val="0"/>
        <w:spacing w:line="360" w:lineRule="auto"/>
        <w:ind w:firstLine="420" w:firstLineChars="200"/>
        <w:rPr>
          <w:rFonts w:hint="eastAsia" w:ascii="宋体" w:hAnsi="宋体" w:cs="宋体"/>
          <w:color w:val="auto"/>
          <w:szCs w:val="21"/>
          <w:highlight w:val="none"/>
        </w:rPr>
      </w:pPr>
      <w:r>
        <w:rPr>
          <w:rFonts w:ascii="宋体" w:hAnsi="宋体"/>
          <w:color w:val="auto"/>
          <w:szCs w:val="21"/>
          <w:highlight w:val="none"/>
        </w:rPr>
        <w:t>3</w:t>
      </w:r>
      <w:r>
        <w:rPr>
          <w:rFonts w:hint="eastAsia" w:ascii="宋体" w:hAnsi="宋体"/>
          <w:color w:val="auto"/>
          <w:szCs w:val="21"/>
          <w:highlight w:val="none"/>
        </w:rPr>
        <w:t>、甲方延期付款的，每天向乙方偿付延期款额</w:t>
      </w:r>
      <w:r>
        <w:rPr>
          <w:rFonts w:hint="eastAsia" w:ascii="宋体" w:hAnsi="宋体"/>
          <w:color w:val="auto"/>
          <w:szCs w:val="21"/>
          <w:highlight w:val="none"/>
          <w:lang w:val="en-US" w:eastAsia="zh-CN"/>
        </w:rPr>
        <w:t>5</w:t>
      </w:r>
      <w:r>
        <w:rPr>
          <w:rFonts w:hint="eastAsia" w:ascii="宋体" w:hAnsi="宋体"/>
          <w:color w:val="auto"/>
          <w:szCs w:val="21"/>
          <w:highlight w:val="none"/>
        </w:rPr>
        <w:t>‰滞纳金，但滞纳金累计不得超过延期款额</w:t>
      </w:r>
      <w:r>
        <w:rPr>
          <w:rFonts w:hint="eastAsia" w:ascii="宋体" w:hAnsi="宋体"/>
          <w:color w:val="auto"/>
          <w:szCs w:val="21"/>
          <w:highlight w:val="none"/>
          <w:lang w:val="en-US" w:eastAsia="zh-CN"/>
        </w:rPr>
        <w:t>10</w:t>
      </w:r>
      <w:r>
        <w:rPr>
          <w:rFonts w:hint="eastAsia" w:ascii="宋体" w:hAnsi="宋体"/>
          <w:color w:val="auto"/>
          <w:szCs w:val="21"/>
          <w:highlight w:val="none"/>
        </w:rPr>
        <w:t>%。</w:t>
      </w:r>
    </w:p>
    <w:p w14:paraId="041C24D5">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第十条  不可抗力事件处理</w:t>
      </w:r>
    </w:p>
    <w:p w14:paraId="58784126">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1、在合同有效期内，任何一方因不可抗力事件导致不能履行合同，则合同履行期可延长，其延长期与不可抗力影响期相同。</w:t>
      </w:r>
    </w:p>
    <w:p w14:paraId="4F7510E6">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2、不可抗力事件发生后，应立即通知对方，并寄送有关权威机构出具的证明。</w:t>
      </w:r>
    </w:p>
    <w:p w14:paraId="6447FC43">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3、不可抗力事件延续一百二十天以上，双方应通过友好协商，确定是否继续履行合同。</w:t>
      </w:r>
    </w:p>
    <w:p w14:paraId="5F6DBD67">
      <w:pPr>
        <w:spacing w:line="360" w:lineRule="auto"/>
        <w:ind w:firstLine="422" w:firstLineChars="200"/>
        <w:rPr>
          <w:rFonts w:hint="eastAsia" w:ascii="宋体" w:hAnsi="宋体" w:cs="宋体"/>
          <w:color w:val="auto"/>
          <w:szCs w:val="21"/>
          <w:highlight w:val="none"/>
        </w:rPr>
      </w:pPr>
      <w:r>
        <w:rPr>
          <w:rFonts w:hint="eastAsia" w:ascii="宋体" w:hAnsi="宋体" w:cs="宋体"/>
          <w:b/>
          <w:color w:val="auto"/>
          <w:szCs w:val="21"/>
          <w:highlight w:val="none"/>
        </w:rPr>
        <w:t>第十一条  合同争议解决</w:t>
      </w:r>
    </w:p>
    <w:p w14:paraId="04AB2024">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1、因服务质量问题发生争议的，应邀请国家认可的质量检测机构进行鉴定。服务符合标准的，鉴定费由甲方承担；服务不符合标准的，鉴定费由乙方承担。</w:t>
      </w:r>
    </w:p>
    <w:p w14:paraId="14E40F08">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2、因履行本合同引起的或者与本合同有关的争议，甲乙双方应首先通过友好协商解决，如果协商不能解决，可向甲方所在地有管辖权的人民法院提起诉讼。</w:t>
      </w:r>
    </w:p>
    <w:p w14:paraId="5D475BED">
      <w:pPr>
        <w:snapToGrid w:val="0"/>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3、诉讼期间，本合同继续履行。</w:t>
      </w:r>
    </w:p>
    <w:p w14:paraId="47637841">
      <w:pPr>
        <w:spacing w:line="360" w:lineRule="auto"/>
        <w:ind w:firstLine="422" w:firstLineChars="200"/>
        <w:rPr>
          <w:rFonts w:hint="eastAsia" w:ascii="宋体" w:hAnsi="宋体" w:eastAsia="宋体" w:cs="宋体"/>
          <w:b/>
          <w:color w:val="auto"/>
          <w:szCs w:val="21"/>
          <w:highlight w:val="none"/>
          <w:lang w:eastAsia="zh-CN"/>
        </w:rPr>
      </w:pPr>
      <w:r>
        <w:rPr>
          <w:rFonts w:hint="eastAsia" w:ascii="宋体" w:hAnsi="宋体" w:cs="宋体"/>
          <w:b/>
          <w:color w:val="auto"/>
          <w:szCs w:val="21"/>
          <w:highlight w:val="none"/>
        </w:rPr>
        <w:t>第十二条  合同生效及</w:t>
      </w:r>
      <w:r>
        <w:rPr>
          <w:rFonts w:hint="eastAsia" w:ascii="宋体" w:hAnsi="宋体" w:cs="宋体"/>
          <w:b/>
          <w:color w:val="auto"/>
          <w:szCs w:val="21"/>
          <w:highlight w:val="none"/>
          <w:lang w:eastAsia="zh-CN"/>
        </w:rPr>
        <w:t>其他</w:t>
      </w:r>
    </w:p>
    <w:p w14:paraId="29891022">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1、合同经双方法定代表人或者授权代表签字并加盖单位公章后生效（委托代理人签字的需后附法定代表人授权委托书，格式自拟）。</w:t>
      </w:r>
    </w:p>
    <w:p w14:paraId="615E97D5">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2、合同执行中涉及采购资金和采购内容修改或者补充的，须经财政部门审批，并签书面补充协议报财政部门备案，方可作为主合同不可分割的一部分。</w:t>
      </w:r>
    </w:p>
    <w:p w14:paraId="1E4E7E58">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3、本合同未尽事宜，遵照《</w:t>
      </w:r>
      <w:r>
        <w:rPr>
          <w:rFonts w:hint="eastAsia" w:ascii="宋体" w:hAnsi="宋体" w:cs="宋体"/>
          <w:color w:val="auto"/>
          <w:szCs w:val="21"/>
          <w:highlight w:val="none"/>
          <w:lang w:eastAsia="zh-CN"/>
        </w:rPr>
        <w:t>中华人民共和国民法典</w:t>
      </w:r>
      <w:r>
        <w:rPr>
          <w:rFonts w:hint="eastAsia" w:ascii="宋体" w:hAnsi="宋体" w:cs="宋体"/>
          <w:color w:val="auto"/>
          <w:szCs w:val="21"/>
          <w:highlight w:val="none"/>
        </w:rPr>
        <w:t>》有关条文执行。</w:t>
      </w:r>
    </w:p>
    <w:p w14:paraId="02AD599D">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第十三条　合同的变更、终止与转让</w:t>
      </w:r>
    </w:p>
    <w:p w14:paraId="214F9E76">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1、除《中华人民共和国政府采购法》第五十条规定的情形外，本合同一经签订，甲乙双方不得擅自变更、中止或者终止。</w:t>
      </w:r>
    </w:p>
    <w:p w14:paraId="06869A91">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2、乙方不得擅自转让其应履行的合同义务。</w:t>
      </w:r>
    </w:p>
    <w:p w14:paraId="60AD65AF">
      <w:pPr>
        <w:spacing w:line="360" w:lineRule="auto"/>
        <w:ind w:firstLine="422" w:firstLineChars="200"/>
        <w:rPr>
          <w:rFonts w:hint="eastAsia" w:ascii="宋体" w:hAnsi="宋体" w:cs="宋体"/>
          <w:b/>
          <w:color w:val="auto"/>
          <w:szCs w:val="21"/>
          <w:highlight w:val="none"/>
        </w:rPr>
      </w:pPr>
      <w:r>
        <w:rPr>
          <w:rFonts w:hint="eastAsia" w:ascii="宋体" w:hAnsi="宋体" w:cs="宋体"/>
          <w:b/>
          <w:color w:val="auto"/>
          <w:szCs w:val="21"/>
          <w:highlight w:val="none"/>
        </w:rPr>
        <w:t>第十四条　签订本合同依据</w:t>
      </w:r>
    </w:p>
    <w:p w14:paraId="7AD1E958">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1、</w:t>
      </w:r>
      <w:r>
        <w:rPr>
          <w:rFonts w:hint="eastAsia" w:ascii="宋体" w:hAnsi="宋体"/>
          <w:color w:val="auto"/>
          <w:szCs w:val="21"/>
          <w:highlight w:val="none"/>
        </w:rPr>
        <w:t>成交通知书</w:t>
      </w:r>
      <w:r>
        <w:rPr>
          <w:rFonts w:hint="eastAsia" w:ascii="宋体" w:hAnsi="宋体" w:cs="宋体"/>
          <w:color w:val="auto"/>
          <w:szCs w:val="21"/>
          <w:highlight w:val="none"/>
        </w:rPr>
        <w:t>；</w:t>
      </w:r>
    </w:p>
    <w:p w14:paraId="1EC48062">
      <w:pPr>
        <w:spacing w:line="360" w:lineRule="auto"/>
        <w:ind w:firstLine="420" w:firstLineChars="200"/>
        <w:rPr>
          <w:rFonts w:hint="eastAsia" w:ascii="宋体" w:hAnsi="宋体" w:eastAsia="宋体" w:cs="宋体"/>
          <w:color w:val="auto"/>
          <w:szCs w:val="21"/>
          <w:highlight w:val="none"/>
          <w:lang w:eastAsia="zh-CN"/>
        </w:rPr>
      </w:pPr>
      <w:r>
        <w:rPr>
          <w:rFonts w:hint="eastAsia" w:ascii="宋体" w:hAnsi="宋体" w:cs="宋体"/>
          <w:color w:val="auto"/>
          <w:szCs w:val="21"/>
          <w:highlight w:val="none"/>
        </w:rPr>
        <w:t>2、</w:t>
      </w:r>
      <w:r>
        <w:rPr>
          <w:rFonts w:hint="eastAsia" w:ascii="宋体" w:hAnsi="宋体" w:cs="宋体"/>
          <w:color w:val="auto"/>
          <w:kern w:val="2"/>
          <w:sz w:val="21"/>
          <w:szCs w:val="21"/>
          <w:highlight w:val="none"/>
          <w:lang w:val="en-US" w:eastAsia="zh-CN"/>
        </w:rPr>
        <w:t>响应函；</w:t>
      </w:r>
    </w:p>
    <w:p w14:paraId="65FA8B84">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3、</w:t>
      </w:r>
      <w:r>
        <w:rPr>
          <w:rFonts w:hint="eastAsia" w:ascii="宋体" w:hAnsi="宋体" w:cs="宋体"/>
          <w:color w:val="auto"/>
          <w:szCs w:val="21"/>
          <w:highlight w:val="none"/>
          <w:lang w:eastAsia="zh-CN"/>
        </w:rPr>
        <w:t>响应报价表及最后报价表</w:t>
      </w:r>
      <w:r>
        <w:rPr>
          <w:rFonts w:hint="eastAsia" w:ascii="宋体" w:hAnsi="宋体" w:cs="宋体"/>
          <w:color w:val="auto"/>
          <w:szCs w:val="21"/>
          <w:highlight w:val="none"/>
        </w:rPr>
        <w:t>；</w:t>
      </w:r>
    </w:p>
    <w:p w14:paraId="1255F815">
      <w:pPr>
        <w:spacing w:line="360" w:lineRule="auto"/>
        <w:ind w:firstLine="420" w:firstLineChars="200"/>
        <w:rPr>
          <w:rFonts w:hint="eastAsia" w:ascii="宋体" w:hAnsi="宋体" w:eastAsia="宋体" w:cs="宋体"/>
          <w:color w:val="auto"/>
          <w:szCs w:val="21"/>
          <w:highlight w:val="none"/>
          <w:lang w:val="en-US" w:eastAsia="zh-CN"/>
        </w:rPr>
      </w:pPr>
      <w:r>
        <w:rPr>
          <w:rFonts w:hint="eastAsia" w:ascii="宋体" w:hAnsi="宋体" w:cs="宋体"/>
          <w:color w:val="auto"/>
          <w:kern w:val="2"/>
          <w:sz w:val="21"/>
          <w:szCs w:val="21"/>
          <w:highlight w:val="none"/>
          <w:lang w:val="en-US" w:eastAsia="zh-CN"/>
        </w:rPr>
        <w:t>4、</w:t>
      </w:r>
      <w:r>
        <w:rPr>
          <w:rFonts w:hint="eastAsia" w:ascii="宋体" w:hAnsi="宋体" w:cs="宋体"/>
          <w:color w:val="auto"/>
          <w:szCs w:val="21"/>
          <w:highlight w:val="none"/>
          <w:lang w:eastAsia="zh-CN"/>
        </w:rPr>
        <w:t>采购需求</w:t>
      </w:r>
      <w:r>
        <w:rPr>
          <w:rFonts w:hint="eastAsia" w:ascii="宋体" w:hAnsi="宋体" w:cs="宋体"/>
          <w:color w:val="auto"/>
          <w:kern w:val="2"/>
          <w:sz w:val="21"/>
          <w:szCs w:val="21"/>
          <w:highlight w:val="none"/>
          <w:lang w:val="en-US" w:eastAsia="zh-CN"/>
        </w:rPr>
        <w:t>；</w:t>
      </w:r>
    </w:p>
    <w:p w14:paraId="5ECB71A0">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5</w:t>
      </w:r>
      <w:r>
        <w:rPr>
          <w:rFonts w:hint="eastAsia" w:ascii="宋体" w:hAnsi="宋体" w:cs="宋体"/>
          <w:color w:val="auto"/>
          <w:szCs w:val="21"/>
          <w:highlight w:val="none"/>
        </w:rPr>
        <w:t>、商务条款偏离表和</w:t>
      </w:r>
      <w:r>
        <w:rPr>
          <w:rFonts w:hint="eastAsia" w:ascii="宋体" w:hAnsi="宋体" w:cs="宋体"/>
          <w:color w:val="auto"/>
          <w:szCs w:val="21"/>
          <w:highlight w:val="none"/>
          <w:lang w:eastAsia="zh-CN"/>
        </w:rPr>
        <w:t>服务要求</w:t>
      </w:r>
      <w:r>
        <w:rPr>
          <w:rFonts w:hint="eastAsia" w:ascii="宋体" w:hAnsi="宋体" w:cs="宋体"/>
          <w:color w:val="auto"/>
          <w:szCs w:val="21"/>
          <w:highlight w:val="none"/>
        </w:rPr>
        <w:t>偏离表；</w:t>
      </w:r>
    </w:p>
    <w:p w14:paraId="1FB1917E">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lang w:val="en-US" w:eastAsia="zh-CN"/>
        </w:rPr>
        <w:t>6</w:t>
      </w:r>
      <w:r>
        <w:rPr>
          <w:rFonts w:hint="eastAsia" w:ascii="宋体" w:hAnsi="宋体" w:cs="宋体"/>
          <w:color w:val="auto"/>
          <w:szCs w:val="21"/>
          <w:highlight w:val="none"/>
        </w:rPr>
        <w:t>、服务</w:t>
      </w:r>
      <w:r>
        <w:rPr>
          <w:rFonts w:hint="eastAsia" w:ascii="宋体" w:hAnsi="宋体" w:cs="宋体"/>
          <w:color w:val="auto"/>
          <w:szCs w:val="21"/>
          <w:highlight w:val="none"/>
          <w:lang w:eastAsia="zh-CN"/>
        </w:rPr>
        <w:t>承诺</w:t>
      </w:r>
      <w:r>
        <w:rPr>
          <w:rFonts w:hint="eastAsia" w:ascii="宋体" w:hAnsi="宋体" w:cs="宋体"/>
          <w:color w:val="auto"/>
          <w:szCs w:val="21"/>
          <w:highlight w:val="none"/>
        </w:rPr>
        <w:t>；</w:t>
      </w:r>
    </w:p>
    <w:p w14:paraId="50BF0EAC">
      <w:pPr>
        <w:spacing w:line="360" w:lineRule="auto"/>
        <w:ind w:firstLine="420" w:firstLineChars="200"/>
        <w:rPr>
          <w:rFonts w:hint="eastAsia" w:ascii="宋体" w:hAnsi="宋体" w:eastAsia="宋体" w:cs="宋体"/>
          <w:color w:val="auto"/>
          <w:szCs w:val="21"/>
          <w:highlight w:val="none"/>
          <w:lang w:val="en-US" w:eastAsia="zh-CN"/>
        </w:rPr>
      </w:pPr>
      <w:r>
        <w:rPr>
          <w:rFonts w:hint="eastAsia" w:ascii="宋体" w:hAnsi="宋体" w:cs="宋体"/>
          <w:color w:val="auto"/>
          <w:szCs w:val="21"/>
          <w:highlight w:val="none"/>
          <w:lang w:val="en-US" w:eastAsia="zh-CN"/>
        </w:rPr>
        <w:t>7、</w:t>
      </w:r>
      <w:r>
        <w:rPr>
          <w:rFonts w:hint="eastAsia" w:hAnsi="宋体" w:eastAsia="宋体" w:cs="宋体"/>
          <w:color w:val="auto"/>
          <w:sz w:val="21"/>
          <w:highlight w:val="none"/>
        </w:rPr>
        <w:t>……</w:t>
      </w:r>
      <w:r>
        <w:rPr>
          <w:rFonts w:hint="eastAsia" w:hAnsi="宋体" w:eastAsia="宋体" w:cs="宋体"/>
          <w:color w:val="auto"/>
          <w:sz w:val="21"/>
          <w:highlight w:val="none"/>
          <w:lang w:eastAsia="zh-CN"/>
        </w:rPr>
        <w:t>；</w:t>
      </w:r>
    </w:p>
    <w:p w14:paraId="6E251E67">
      <w:pPr>
        <w:spacing w:line="360" w:lineRule="auto"/>
        <w:ind w:firstLine="420" w:firstLineChars="200"/>
        <w:rPr>
          <w:rFonts w:ascii="宋体" w:hAnsi="宋体" w:cs="宋体"/>
          <w:color w:val="auto"/>
          <w:szCs w:val="21"/>
          <w:highlight w:val="none"/>
        </w:rPr>
      </w:pPr>
      <w:r>
        <w:rPr>
          <w:rFonts w:hint="eastAsia" w:ascii="宋体" w:hAnsi="宋体" w:cs="宋体"/>
          <w:color w:val="auto"/>
          <w:szCs w:val="21"/>
          <w:highlight w:val="none"/>
          <w:lang w:val="en-US" w:eastAsia="zh-CN"/>
        </w:rPr>
        <w:t>8</w:t>
      </w:r>
      <w:r>
        <w:rPr>
          <w:rFonts w:hint="eastAsia" w:ascii="宋体" w:hAnsi="宋体" w:cs="宋体"/>
          <w:color w:val="auto"/>
          <w:szCs w:val="21"/>
          <w:highlight w:val="none"/>
        </w:rPr>
        <w:t>、</w:t>
      </w:r>
      <w:r>
        <w:rPr>
          <w:rFonts w:hint="eastAsia" w:hAnsi="宋体" w:eastAsia="宋体" w:cs="宋体"/>
          <w:color w:val="auto"/>
          <w:sz w:val="21"/>
          <w:highlight w:val="none"/>
          <w:lang w:eastAsia="zh-CN"/>
        </w:rPr>
        <w:t>其他</w:t>
      </w:r>
      <w:r>
        <w:rPr>
          <w:rFonts w:hint="eastAsia" w:hAnsi="宋体" w:eastAsia="宋体" w:cs="宋体"/>
          <w:color w:val="auto"/>
          <w:sz w:val="21"/>
          <w:highlight w:val="none"/>
        </w:rPr>
        <w:t>合同文件</w:t>
      </w:r>
      <w:r>
        <w:rPr>
          <w:rFonts w:hint="eastAsia" w:ascii="宋体" w:hAnsi="宋体" w:cs="宋体"/>
          <w:color w:val="auto"/>
          <w:szCs w:val="21"/>
          <w:highlight w:val="none"/>
        </w:rPr>
        <w:t>。</w:t>
      </w:r>
    </w:p>
    <w:p w14:paraId="1ABEED0F">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lang w:val="en-US" w:eastAsia="zh-CN"/>
        </w:rPr>
        <w:t>9</w:t>
      </w:r>
      <w:r>
        <w:rPr>
          <w:rFonts w:hint="eastAsia" w:ascii="宋体" w:hAnsi="宋体" w:cs="宋体"/>
          <w:color w:val="auto"/>
          <w:szCs w:val="21"/>
          <w:highlight w:val="none"/>
        </w:rPr>
        <w:t>、上述合同文件互相补充和解释。如果合同文件之间存在矛盾或者不一致之处，以上述文件的排列顺序在先者为准。</w:t>
      </w:r>
    </w:p>
    <w:p w14:paraId="6CC6C19F">
      <w:pPr>
        <w:spacing w:line="360" w:lineRule="auto"/>
        <w:ind w:firstLine="422" w:firstLineChars="200"/>
        <w:rPr>
          <w:rFonts w:hint="eastAsia" w:ascii="宋体" w:hAnsi="宋体" w:cs="宋体"/>
          <w:color w:val="auto"/>
          <w:szCs w:val="21"/>
          <w:highlight w:val="none"/>
        </w:rPr>
      </w:pPr>
      <w:r>
        <w:rPr>
          <w:rFonts w:hint="eastAsia" w:ascii="宋体" w:hAnsi="宋体" w:cs="宋体"/>
          <w:b/>
          <w:color w:val="auto"/>
          <w:szCs w:val="21"/>
          <w:highlight w:val="none"/>
        </w:rPr>
        <w:t>第十五条　</w:t>
      </w:r>
      <w:r>
        <w:rPr>
          <w:rFonts w:hint="eastAsia" w:ascii="宋体" w:hAnsi="宋体" w:cs="宋体"/>
          <w:color w:val="auto"/>
          <w:szCs w:val="21"/>
          <w:highlight w:val="none"/>
        </w:rPr>
        <w:t>本合同一式</w:t>
      </w:r>
      <w:r>
        <w:rPr>
          <w:rFonts w:hint="eastAsia" w:ascii="宋体" w:hAnsi="宋体" w:cs="宋体"/>
          <w:color w:val="auto"/>
          <w:szCs w:val="21"/>
          <w:highlight w:val="none"/>
          <w:lang w:eastAsia="zh-CN"/>
        </w:rPr>
        <w:t>六</w:t>
      </w:r>
      <w:r>
        <w:rPr>
          <w:rFonts w:hint="eastAsia" w:ascii="宋体" w:hAnsi="宋体" w:cs="宋体"/>
          <w:color w:val="auto"/>
          <w:szCs w:val="21"/>
          <w:highlight w:val="none"/>
        </w:rPr>
        <w:t>份，具有同等法律效力，财政部门（政府采购监管部门）、采购代理机构各一份，甲方</w:t>
      </w:r>
      <w:r>
        <w:rPr>
          <w:rFonts w:hint="eastAsia" w:ascii="宋体" w:hAnsi="宋体" w:cs="宋体"/>
          <w:color w:val="auto"/>
          <w:szCs w:val="21"/>
          <w:highlight w:val="none"/>
          <w:lang w:eastAsia="zh-CN"/>
        </w:rPr>
        <w:t>三</w:t>
      </w:r>
      <w:r>
        <w:rPr>
          <w:rFonts w:hint="eastAsia" w:ascii="宋体" w:hAnsi="宋体" w:cs="宋体"/>
          <w:color w:val="auto"/>
          <w:szCs w:val="21"/>
          <w:highlight w:val="none"/>
        </w:rPr>
        <w:t>份</w:t>
      </w:r>
      <w:r>
        <w:rPr>
          <w:rFonts w:hint="eastAsia" w:ascii="宋体" w:hAnsi="宋体" w:cs="宋体"/>
          <w:color w:val="auto"/>
          <w:szCs w:val="21"/>
          <w:highlight w:val="none"/>
          <w:lang w:eastAsia="zh-CN"/>
        </w:rPr>
        <w:t>，乙方一份</w:t>
      </w:r>
      <w:r>
        <w:rPr>
          <w:rFonts w:hint="eastAsia" w:ascii="宋体" w:hAnsi="宋体" w:cs="宋体"/>
          <w:color w:val="auto"/>
          <w:szCs w:val="21"/>
          <w:highlight w:val="none"/>
        </w:rPr>
        <w:t>（可根据需要另增加）。</w:t>
      </w:r>
    </w:p>
    <w:p w14:paraId="2AC5979B">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本合同甲乙双方签字盖章后生效，自签订之日起七个工作日内，甲方应当将合同副本报同级财政部门备案。</w:t>
      </w:r>
    </w:p>
    <w:p w14:paraId="2CC40C74">
      <w:pPr>
        <w:spacing w:line="360" w:lineRule="auto"/>
        <w:ind w:firstLine="420" w:firstLineChars="200"/>
        <w:rPr>
          <w:rFonts w:hint="eastAsia" w:ascii="宋体" w:hAnsi="宋体" w:cs="宋体"/>
          <w:color w:val="auto"/>
          <w:szCs w:val="21"/>
          <w:highlight w:val="none"/>
        </w:rPr>
      </w:pPr>
      <w:r>
        <w:rPr>
          <w:rFonts w:hint="eastAsia" w:ascii="宋体" w:hAnsi="宋体" w:cs="宋体"/>
          <w:color w:val="auto"/>
          <w:szCs w:val="21"/>
          <w:highlight w:val="none"/>
        </w:rPr>
        <w:t>本合同自签订之日起2个工作日内，甲方应当将采购合同在广西壮族自治区财政厅指定的媒体上公告。</w:t>
      </w:r>
    </w:p>
    <w:tbl>
      <w:tblPr>
        <w:tblStyle w:val="28"/>
        <w:tblpPr w:leftFromText="180" w:rightFromText="180" w:vertAnchor="text" w:horzAnchor="margin" w:tblpY="21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2"/>
        <w:gridCol w:w="4583"/>
      </w:tblGrid>
      <w:tr w14:paraId="352EB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380"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1BE85606">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甲方：（章）</w:t>
            </w:r>
          </w:p>
          <w:p w14:paraId="1DE75337">
            <w:pPr>
              <w:snapToGrid w:val="0"/>
              <w:spacing w:line="360" w:lineRule="auto"/>
              <w:rPr>
                <w:rFonts w:hint="eastAsia" w:ascii="宋体" w:hAnsi="宋体" w:cs="宋体"/>
                <w:color w:val="auto"/>
                <w:szCs w:val="21"/>
                <w:highlight w:val="none"/>
              </w:rPr>
            </w:pPr>
          </w:p>
          <w:p w14:paraId="3987A2C1">
            <w:pPr>
              <w:snapToGrid w:val="0"/>
              <w:spacing w:line="360" w:lineRule="auto"/>
              <w:rPr>
                <w:rFonts w:hint="eastAsia" w:ascii="宋体" w:hAnsi="宋体" w:cs="宋体"/>
                <w:color w:val="auto"/>
                <w:szCs w:val="21"/>
                <w:highlight w:val="none"/>
              </w:rPr>
            </w:pPr>
          </w:p>
          <w:p w14:paraId="2335196B">
            <w:pPr>
              <w:snapToGrid w:val="0"/>
              <w:spacing w:line="360" w:lineRule="auto"/>
              <w:ind w:firstLine="945" w:firstLineChars="450"/>
              <w:jc w:val="right"/>
              <w:rPr>
                <w:rFonts w:hint="eastAsia" w:ascii="宋体" w:hAnsi="宋体" w:cs="宋体"/>
                <w:color w:val="auto"/>
                <w:szCs w:val="21"/>
                <w:highlight w:val="none"/>
              </w:rPr>
            </w:pPr>
          </w:p>
          <w:p w14:paraId="1E78052E">
            <w:pPr>
              <w:snapToGrid w:val="0"/>
              <w:spacing w:line="360" w:lineRule="auto"/>
              <w:ind w:firstLine="945" w:firstLineChars="450"/>
              <w:jc w:val="right"/>
              <w:rPr>
                <w:rFonts w:ascii="宋体" w:hAnsi="宋体" w:cs="宋体"/>
                <w:color w:val="auto"/>
                <w:szCs w:val="21"/>
                <w:highlight w:val="none"/>
              </w:rPr>
            </w:pPr>
            <w:r>
              <w:rPr>
                <w:rFonts w:hint="eastAsia" w:ascii="宋体" w:hAnsi="宋体" w:cs="宋体"/>
                <w:color w:val="auto"/>
                <w:szCs w:val="21"/>
                <w:highlight w:val="none"/>
              </w:rPr>
              <w:t>年   月   日</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1728AB7B">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 xml:space="preserve">乙方：（章）       </w:t>
            </w:r>
          </w:p>
          <w:p w14:paraId="0D9F8A0C">
            <w:pPr>
              <w:snapToGrid w:val="0"/>
              <w:spacing w:line="360" w:lineRule="auto"/>
              <w:rPr>
                <w:rFonts w:hint="eastAsia" w:ascii="宋体" w:hAnsi="宋体" w:cs="宋体"/>
                <w:color w:val="auto"/>
                <w:szCs w:val="21"/>
                <w:highlight w:val="none"/>
              </w:rPr>
            </w:pPr>
          </w:p>
          <w:p w14:paraId="209A5010">
            <w:pPr>
              <w:snapToGrid w:val="0"/>
              <w:spacing w:line="360" w:lineRule="auto"/>
              <w:rPr>
                <w:rFonts w:hint="eastAsia" w:ascii="宋体" w:hAnsi="宋体" w:cs="宋体"/>
                <w:color w:val="auto"/>
                <w:szCs w:val="21"/>
                <w:highlight w:val="none"/>
              </w:rPr>
            </w:pPr>
            <w:r>
              <w:rPr>
                <w:rFonts w:hint="eastAsia" w:ascii="宋体" w:hAnsi="宋体" w:cs="宋体"/>
                <w:color w:val="auto"/>
                <w:szCs w:val="21"/>
                <w:highlight w:val="none"/>
              </w:rPr>
              <w:t xml:space="preserve">       </w:t>
            </w:r>
          </w:p>
          <w:p w14:paraId="60CDC289">
            <w:pPr>
              <w:snapToGrid w:val="0"/>
              <w:spacing w:line="360" w:lineRule="auto"/>
              <w:jc w:val="right"/>
              <w:rPr>
                <w:rFonts w:hint="eastAsia" w:ascii="宋体" w:hAnsi="宋体" w:cs="宋体"/>
                <w:color w:val="auto"/>
                <w:szCs w:val="21"/>
                <w:highlight w:val="none"/>
              </w:rPr>
            </w:pPr>
          </w:p>
          <w:p w14:paraId="7FF0729F">
            <w:pPr>
              <w:snapToGrid w:val="0"/>
              <w:spacing w:line="360" w:lineRule="auto"/>
              <w:jc w:val="right"/>
              <w:rPr>
                <w:rFonts w:ascii="宋体" w:hAnsi="宋体" w:cs="宋体"/>
                <w:color w:val="auto"/>
                <w:szCs w:val="21"/>
                <w:highlight w:val="none"/>
              </w:rPr>
            </w:pPr>
            <w:r>
              <w:rPr>
                <w:rFonts w:hint="eastAsia" w:ascii="宋体" w:hAnsi="宋体" w:cs="宋体"/>
                <w:color w:val="auto"/>
                <w:szCs w:val="21"/>
                <w:highlight w:val="none"/>
              </w:rPr>
              <w:t xml:space="preserve"> 年   月   日</w:t>
            </w:r>
          </w:p>
        </w:tc>
      </w:tr>
      <w:tr w14:paraId="355E4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7E883259">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单位地址：</w:t>
            </w:r>
            <w:r>
              <w:rPr>
                <w:rFonts w:ascii="宋体" w:hAnsi="宋体" w:cs="宋体"/>
                <w:color w:val="auto"/>
                <w:szCs w:val="21"/>
                <w:highlight w:val="none"/>
              </w:rPr>
              <w:t xml:space="preserve"> </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75AFB4CD">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单位地址： </w:t>
            </w:r>
          </w:p>
        </w:tc>
      </w:tr>
      <w:tr w14:paraId="3FA9B8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458B00E8">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法定代表人：</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6DA222BE">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法定代表人：</w:t>
            </w:r>
          </w:p>
        </w:tc>
      </w:tr>
      <w:tr w14:paraId="682CF3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6F08F139">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委托代理人：</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5D1820F9">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委托代理人：</w:t>
            </w:r>
          </w:p>
        </w:tc>
      </w:tr>
      <w:tr w14:paraId="528AA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74F91BFA">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电话：</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3040F365">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电话：</w:t>
            </w:r>
          </w:p>
        </w:tc>
      </w:tr>
      <w:tr w14:paraId="18B4B6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6DF6D5AE">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开户银行： </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1A54D714">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 xml:space="preserve">开户银行： </w:t>
            </w:r>
          </w:p>
        </w:tc>
      </w:tr>
      <w:tr w14:paraId="67B88A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637BE151">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账号：</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5376E8B9">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账号：</w:t>
            </w:r>
          </w:p>
        </w:tc>
      </w:tr>
      <w:tr w14:paraId="15A2DE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93" w:hRule="atLeast"/>
        </w:trPr>
        <w:tc>
          <w:tcPr>
            <w:tcW w:w="4582" w:type="dxa"/>
            <w:tcBorders>
              <w:top w:val="single" w:color="auto" w:sz="4" w:space="0"/>
              <w:left w:val="single" w:color="auto" w:sz="4" w:space="0"/>
              <w:bottom w:val="single" w:color="auto" w:sz="4" w:space="0"/>
              <w:right w:val="single" w:color="auto" w:sz="4" w:space="0"/>
            </w:tcBorders>
            <w:noWrap w:val="0"/>
            <w:vAlign w:val="center"/>
          </w:tcPr>
          <w:p w14:paraId="59F78A77">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邮政编码：</w:t>
            </w:r>
          </w:p>
        </w:tc>
        <w:tc>
          <w:tcPr>
            <w:tcW w:w="4583" w:type="dxa"/>
            <w:tcBorders>
              <w:top w:val="single" w:color="auto" w:sz="4" w:space="0"/>
              <w:left w:val="single" w:color="auto" w:sz="4" w:space="0"/>
              <w:bottom w:val="single" w:color="auto" w:sz="4" w:space="0"/>
              <w:right w:val="single" w:color="auto" w:sz="4" w:space="0"/>
            </w:tcBorders>
            <w:noWrap w:val="0"/>
            <w:vAlign w:val="center"/>
          </w:tcPr>
          <w:p w14:paraId="226115D4">
            <w:pPr>
              <w:snapToGrid w:val="0"/>
              <w:spacing w:line="360" w:lineRule="auto"/>
              <w:rPr>
                <w:rFonts w:ascii="宋体" w:hAnsi="宋体" w:cs="宋体"/>
                <w:color w:val="auto"/>
                <w:szCs w:val="21"/>
                <w:highlight w:val="none"/>
              </w:rPr>
            </w:pPr>
            <w:r>
              <w:rPr>
                <w:rFonts w:hint="eastAsia" w:ascii="宋体" w:hAnsi="宋体" w:cs="宋体"/>
                <w:color w:val="auto"/>
                <w:szCs w:val="21"/>
                <w:highlight w:val="none"/>
              </w:rPr>
              <w:t>邮政编码：</w:t>
            </w:r>
          </w:p>
        </w:tc>
      </w:tr>
    </w:tbl>
    <w:p w14:paraId="774278FB">
      <w:pPr>
        <w:tabs>
          <w:tab w:val="left" w:pos="3261"/>
        </w:tabs>
        <w:spacing w:line="360" w:lineRule="auto"/>
        <w:contextualSpacing/>
        <w:jc w:val="center"/>
        <w:rPr>
          <w:rFonts w:cs="仿宋_GB2312"/>
          <w:b/>
          <w:color w:val="auto"/>
          <w:sz w:val="44"/>
          <w:szCs w:val="44"/>
          <w:highlight w:val="none"/>
        </w:rPr>
      </w:pPr>
      <w:r>
        <w:rPr>
          <w:rFonts w:hint="eastAsia" w:ascii="宋体" w:hAnsi="宋体" w:cs="Courier New"/>
          <w:b/>
          <w:color w:val="auto"/>
          <w:szCs w:val="21"/>
          <w:highlight w:val="none"/>
        </w:rPr>
        <w:br w:type="page"/>
      </w:r>
    </w:p>
    <w:p w14:paraId="331C751D">
      <w:pPr>
        <w:tabs>
          <w:tab w:val="left" w:pos="3261"/>
        </w:tabs>
        <w:spacing w:line="360" w:lineRule="auto"/>
        <w:contextualSpacing/>
        <w:jc w:val="center"/>
        <w:rPr>
          <w:rFonts w:cs="仿宋_GB2312"/>
          <w:b/>
          <w:color w:val="auto"/>
          <w:sz w:val="44"/>
          <w:szCs w:val="44"/>
          <w:highlight w:val="none"/>
        </w:rPr>
      </w:pPr>
    </w:p>
    <w:p w14:paraId="6DEBDCD5">
      <w:pPr>
        <w:tabs>
          <w:tab w:val="left" w:pos="3261"/>
        </w:tabs>
        <w:spacing w:line="360" w:lineRule="auto"/>
        <w:contextualSpacing/>
        <w:jc w:val="center"/>
        <w:rPr>
          <w:rFonts w:cs="仿宋_GB2312"/>
          <w:b/>
          <w:color w:val="auto"/>
          <w:sz w:val="44"/>
          <w:szCs w:val="44"/>
          <w:highlight w:val="none"/>
        </w:rPr>
      </w:pPr>
    </w:p>
    <w:p w14:paraId="46F1F9E0">
      <w:pPr>
        <w:tabs>
          <w:tab w:val="left" w:pos="3261"/>
        </w:tabs>
        <w:spacing w:line="360" w:lineRule="auto"/>
        <w:contextualSpacing/>
        <w:jc w:val="center"/>
        <w:rPr>
          <w:rFonts w:cs="仿宋_GB2312"/>
          <w:b/>
          <w:color w:val="auto"/>
          <w:sz w:val="44"/>
          <w:szCs w:val="44"/>
          <w:highlight w:val="none"/>
        </w:rPr>
      </w:pPr>
    </w:p>
    <w:p w14:paraId="6EE84D2E">
      <w:pPr>
        <w:pStyle w:val="3"/>
        <w:jc w:val="center"/>
        <w:rPr>
          <w:rFonts w:hint="eastAsia" w:cs="仿宋_GB2312"/>
          <w:color w:val="auto"/>
          <w:highlight w:val="none"/>
        </w:rPr>
        <w:sectPr>
          <w:pgSz w:w="11911" w:h="16838"/>
          <w:pgMar w:top="1134" w:right="1134" w:bottom="1134" w:left="1134" w:header="720" w:footer="720" w:gutter="0"/>
          <w:pgNumType w:fmt="decimal"/>
          <w:cols w:space="720" w:num="1"/>
        </w:sectPr>
      </w:pPr>
      <w:bookmarkStart w:id="148" w:name="_Toc8963"/>
      <w:bookmarkStart w:id="149" w:name="_Toc29624"/>
      <w:bookmarkStart w:id="150" w:name="_Toc178"/>
      <w:bookmarkStart w:id="151" w:name="_Toc610"/>
      <w:bookmarkStart w:id="152" w:name="_Toc28283"/>
      <w:bookmarkStart w:id="153" w:name="_Toc80886951"/>
      <w:bookmarkStart w:id="154" w:name="_Toc20915"/>
      <w:bookmarkStart w:id="155" w:name="_Toc13011"/>
      <w:r>
        <w:rPr>
          <w:rFonts w:hint="eastAsia" w:cs="仿宋_GB2312"/>
          <w:b w:val="0"/>
          <w:color w:val="auto"/>
          <w:highlight w:val="none"/>
        </w:rPr>
        <w:t>第七章 质疑、投诉材料格式</w:t>
      </w:r>
      <w:bookmarkEnd w:id="148"/>
      <w:bookmarkEnd w:id="149"/>
      <w:bookmarkEnd w:id="150"/>
      <w:bookmarkEnd w:id="151"/>
      <w:bookmarkEnd w:id="152"/>
      <w:bookmarkEnd w:id="153"/>
      <w:bookmarkEnd w:id="154"/>
      <w:bookmarkEnd w:id="155"/>
    </w:p>
    <w:p w14:paraId="3007AF07">
      <w:pPr>
        <w:spacing w:line="360" w:lineRule="auto"/>
        <w:jc w:val="center"/>
        <w:rPr>
          <w:rFonts w:hint="eastAsia"/>
          <w:b/>
          <w:bCs/>
          <w:color w:val="auto"/>
          <w:sz w:val="32"/>
          <w:szCs w:val="32"/>
          <w:highlight w:val="none"/>
        </w:rPr>
      </w:pPr>
      <w:r>
        <w:rPr>
          <w:rFonts w:hint="eastAsia"/>
          <w:b/>
          <w:bCs/>
          <w:color w:val="auto"/>
          <w:sz w:val="32"/>
          <w:szCs w:val="32"/>
          <w:highlight w:val="none"/>
        </w:rPr>
        <w:t>质疑函（格式）</w:t>
      </w:r>
    </w:p>
    <w:p w14:paraId="221DB021">
      <w:pPr>
        <w:spacing w:line="360" w:lineRule="auto"/>
        <w:ind w:firstLine="482" w:firstLineChars="200"/>
        <w:contextualSpacing/>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一、质疑供应商基本信息：</w:t>
      </w:r>
    </w:p>
    <w:p w14:paraId="6681A892">
      <w:pPr>
        <w:spacing w:line="360" w:lineRule="auto"/>
        <w:ind w:firstLine="480" w:firstLineChars="200"/>
        <w:contextualSpacing/>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质疑供应商：</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0C3AB45A">
      <w:pPr>
        <w:spacing w:line="360" w:lineRule="auto"/>
        <w:ind w:firstLine="480" w:firstLineChars="200"/>
        <w:contextualSpacing/>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6B151F3C">
      <w:pPr>
        <w:spacing w:line="360" w:lineRule="auto"/>
        <w:ind w:firstLine="480" w:firstLineChars="200"/>
        <w:contextualSpacing/>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联系人：</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p>
    <w:p w14:paraId="09F7DCA5">
      <w:pPr>
        <w:spacing w:line="360" w:lineRule="auto"/>
        <w:ind w:firstLine="480" w:firstLineChars="200"/>
        <w:contextualSpacing/>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授权代表：</w:t>
      </w:r>
      <w:r>
        <w:rPr>
          <w:rFonts w:hint="eastAsia" w:ascii="宋体" w:hAnsi="宋体" w:eastAsia="宋体" w:cs="宋体"/>
          <w:bCs/>
          <w:color w:val="auto"/>
          <w:kern w:val="0"/>
          <w:sz w:val="24"/>
          <w:highlight w:val="none"/>
          <w:u w:val="single"/>
        </w:rPr>
        <w:t xml:space="preserve">                      </w:t>
      </w:r>
    </w:p>
    <w:p w14:paraId="76334F07">
      <w:pPr>
        <w:spacing w:line="360" w:lineRule="auto"/>
        <w:ind w:firstLine="480" w:firstLineChars="200"/>
        <w:contextualSpacing/>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p>
    <w:p w14:paraId="0B671C93">
      <w:pPr>
        <w:spacing w:line="360" w:lineRule="auto"/>
        <w:ind w:firstLine="480" w:firstLineChars="200"/>
        <w:contextualSpacing/>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429274DC">
      <w:pPr>
        <w:spacing w:line="360" w:lineRule="auto"/>
        <w:ind w:firstLine="482" w:firstLineChars="200"/>
        <w:contextualSpacing/>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二、质疑项目基本情况：</w:t>
      </w:r>
    </w:p>
    <w:p w14:paraId="3558FBF9">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rPr>
        <w:t>质疑</w:t>
      </w:r>
      <w:r>
        <w:rPr>
          <w:rFonts w:hint="eastAsia" w:ascii="宋体" w:hAnsi="宋体" w:eastAsia="宋体" w:cs="宋体"/>
          <w:color w:val="auto"/>
          <w:kern w:val="0"/>
          <w:sz w:val="24"/>
          <w:highlight w:val="none"/>
        </w:rPr>
        <w:t>项目的名称：</w:t>
      </w:r>
      <w:r>
        <w:rPr>
          <w:rFonts w:hint="eastAsia" w:ascii="宋体" w:hAnsi="宋体" w:eastAsia="宋体" w:cs="宋体"/>
          <w:bCs/>
          <w:color w:val="auto"/>
          <w:kern w:val="0"/>
          <w:sz w:val="24"/>
          <w:highlight w:val="none"/>
          <w:u w:val="single"/>
        </w:rPr>
        <w:t xml:space="preserve">                                     </w:t>
      </w:r>
    </w:p>
    <w:p w14:paraId="4D070202">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rPr>
        <w:t>质疑</w:t>
      </w:r>
      <w:r>
        <w:rPr>
          <w:rFonts w:hint="eastAsia" w:ascii="宋体" w:hAnsi="宋体" w:eastAsia="宋体" w:cs="宋体"/>
          <w:color w:val="auto"/>
          <w:kern w:val="0"/>
          <w:sz w:val="24"/>
          <w:highlight w:val="none"/>
        </w:rPr>
        <w:t>项目的编号：</w:t>
      </w:r>
      <w:r>
        <w:rPr>
          <w:rFonts w:hint="eastAsia" w:ascii="宋体" w:hAnsi="宋体" w:eastAsia="宋体" w:cs="宋体"/>
          <w:bCs/>
          <w:color w:val="auto"/>
          <w:kern w:val="0"/>
          <w:sz w:val="24"/>
          <w:highlight w:val="none"/>
          <w:u w:val="single"/>
        </w:rPr>
        <w:t xml:space="preserve">                                     </w:t>
      </w:r>
    </w:p>
    <w:p w14:paraId="7370FEC9">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采购人名称：</w:t>
      </w:r>
      <w:r>
        <w:rPr>
          <w:rFonts w:hint="eastAsia" w:ascii="宋体" w:hAnsi="宋体" w:eastAsia="宋体" w:cs="宋体"/>
          <w:bCs/>
          <w:color w:val="auto"/>
          <w:kern w:val="0"/>
          <w:sz w:val="24"/>
          <w:highlight w:val="none"/>
          <w:u w:val="single"/>
        </w:rPr>
        <w:t xml:space="preserve">                                         </w:t>
      </w:r>
    </w:p>
    <w:p w14:paraId="42D762BF">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质疑事项：</w:t>
      </w:r>
    </w:p>
    <w:p w14:paraId="2E64E5D8">
      <w:pPr>
        <w:spacing w:line="360" w:lineRule="auto"/>
        <w:ind w:left="25" w:leftChars="12" w:firstLine="352" w:firstLineChars="14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□采购文件   采购文件获取日期：</w:t>
      </w:r>
      <w:r>
        <w:rPr>
          <w:rFonts w:hint="eastAsia" w:ascii="宋体" w:hAnsi="宋体" w:eastAsia="宋体" w:cs="宋体"/>
          <w:bCs/>
          <w:color w:val="auto"/>
          <w:kern w:val="0"/>
          <w:sz w:val="24"/>
          <w:highlight w:val="none"/>
          <w:u w:val="single"/>
        </w:rPr>
        <w:t xml:space="preserve">                                   </w:t>
      </w:r>
    </w:p>
    <w:p w14:paraId="286B929D">
      <w:pPr>
        <w:spacing w:line="360" w:lineRule="auto"/>
        <w:ind w:left="25" w:leftChars="12" w:firstLine="352" w:firstLineChars="14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 xml:space="preserve">□采购过程   </w:t>
      </w:r>
    </w:p>
    <w:p w14:paraId="26BC944A">
      <w:pPr>
        <w:spacing w:line="360" w:lineRule="auto"/>
        <w:ind w:left="25" w:leftChars="12" w:firstLine="352" w:firstLineChars="147"/>
        <w:contextualSpacing/>
        <w:rPr>
          <w:rFonts w:hint="eastAsia" w:ascii="宋体" w:hAnsi="宋体" w:eastAsia="宋体" w:cs="宋体"/>
          <w:bCs/>
          <w:color w:val="auto"/>
          <w:kern w:val="0"/>
          <w:sz w:val="24"/>
          <w:highlight w:val="none"/>
          <w:u w:val="single"/>
        </w:rPr>
      </w:pPr>
      <w:r>
        <w:rPr>
          <w:rFonts w:hint="eastAsia" w:ascii="宋体" w:hAnsi="宋体" w:eastAsia="宋体" w:cs="宋体"/>
          <w:color w:val="auto"/>
          <w:kern w:val="0"/>
          <w:sz w:val="24"/>
          <w:highlight w:val="none"/>
        </w:rPr>
        <w:t xml:space="preserve">□成交结果   </w:t>
      </w:r>
    </w:p>
    <w:p w14:paraId="34C98E03">
      <w:pPr>
        <w:spacing w:line="360" w:lineRule="auto"/>
        <w:ind w:left="25" w:leftChars="12" w:firstLine="472" w:firstLineChars="196"/>
        <w:contextualSpacing/>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三、质疑事项具体内容</w:t>
      </w:r>
    </w:p>
    <w:p w14:paraId="2433259A">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质疑事项1：</w:t>
      </w:r>
      <w:r>
        <w:rPr>
          <w:rFonts w:hint="eastAsia" w:ascii="宋体" w:hAnsi="宋体" w:eastAsia="宋体" w:cs="宋体"/>
          <w:bCs/>
          <w:color w:val="auto"/>
          <w:kern w:val="0"/>
          <w:sz w:val="24"/>
          <w:highlight w:val="none"/>
          <w:u w:val="single"/>
        </w:rPr>
        <w:t xml:space="preserve">                                                                    </w:t>
      </w:r>
    </w:p>
    <w:p w14:paraId="72699829">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事实依据：</w:t>
      </w:r>
      <w:r>
        <w:rPr>
          <w:rFonts w:hint="eastAsia" w:ascii="宋体" w:hAnsi="宋体" w:eastAsia="宋体" w:cs="宋体"/>
          <w:bCs/>
          <w:color w:val="auto"/>
          <w:kern w:val="0"/>
          <w:sz w:val="24"/>
          <w:highlight w:val="none"/>
          <w:u w:val="single"/>
        </w:rPr>
        <w:t xml:space="preserve">                                                                      </w:t>
      </w:r>
    </w:p>
    <w:p w14:paraId="427C4658">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法律依据：</w:t>
      </w:r>
      <w:r>
        <w:rPr>
          <w:rFonts w:hint="eastAsia" w:ascii="宋体" w:hAnsi="宋体" w:eastAsia="宋体" w:cs="宋体"/>
          <w:color w:val="auto"/>
          <w:kern w:val="0"/>
          <w:sz w:val="24"/>
          <w:highlight w:val="none"/>
          <w:u w:val="single"/>
        </w:rPr>
        <w:t xml:space="preserve">                                                        </w:t>
      </w:r>
      <w:r>
        <w:rPr>
          <w:rFonts w:hint="eastAsia" w:ascii="宋体" w:hAnsi="宋体" w:eastAsia="宋体" w:cs="宋体"/>
          <w:bCs/>
          <w:color w:val="auto"/>
          <w:kern w:val="0"/>
          <w:sz w:val="24"/>
          <w:highlight w:val="none"/>
          <w:u w:val="single"/>
        </w:rPr>
        <w:t xml:space="preserve">               </w:t>
      </w:r>
    </w:p>
    <w:p w14:paraId="2B6869AF">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质疑事项2</w:t>
      </w:r>
    </w:p>
    <w:p w14:paraId="308BB522">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w:t>
      </w:r>
    </w:p>
    <w:p w14:paraId="3DF1AD21">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四、与质疑事项相关的质疑请求：</w:t>
      </w:r>
    </w:p>
    <w:p w14:paraId="30675906">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请求：</w:t>
      </w:r>
      <w:r>
        <w:rPr>
          <w:rFonts w:hint="eastAsia" w:ascii="宋体" w:hAnsi="宋体" w:eastAsia="宋体" w:cs="宋体"/>
          <w:bCs/>
          <w:color w:val="auto"/>
          <w:kern w:val="0"/>
          <w:sz w:val="24"/>
          <w:highlight w:val="none"/>
          <w:u w:val="single"/>
        </w:rPr>
        <w:t xml:space="preserve">                                                                </w:t>
      </w:r>
    </w:p>
    <w:p w14:paraId="125B7EFC">
      <w:pPr>
        <w:spacing w:line="360" w:lineRule="auto"/>
        <w:ind w:left="25" w:leftChars="12" w:firstLine="352" w:firstLineChars="147"/>
        <w:contextualSpacing/>
        <w:rPr>
          <w:rFonts w:hint="eastAsia" w:ascii="宋体" w:hAnsi="宋体" w:eastAsia="宋体" w:cs="宋体"/>
          <w:color w:val="auto"/>
          <w:kern w:val="0"/>
          <w:sz w:val="24"/>
          <w:highlight w:val="none"/>
        </w:rPr>
      </w:pPr>
    </w:p>
    <w:p w14:paraId="24AC177B">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签字（签章）：                                       公章：</w:t>
      </w:r>
    </w:p>
    <w:p w14:paraId="25E8B583">
      <w:pPr>
        <w:spacing w:line="360" w:lineRule="auto"/>
        <w:ind w:left="25" w:leftChars="12" w:firstLine="352" w:firstLineChars="147"/>
        <w:contextualSpacing/>
        <w:rPr>
          <w:rFonts w:hint="eastAsia" w:ascii="宋体" w:hAnsi="宋体" w:eastAsia="宋体" w:cs="宋体"/>
          <w:color w:val="auto"/>
          <w:kern w:val="0"/>
          <w:sz w:val="24"/>
          <w:highlight w:val="none"/>
        </w:rPr>
      </w:pPr>
    </w:p>
    <w:p w14:paraId="50DB92E8">
      <w:pPr>
        <w:spacing w:line="360" w:lineRule="auto"/>
        <w:ind w:left="25" w:leftChars="12" w:firstLine="472" w:firstLineChars="197"/>
        <w:contextualSpacing/>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日期：</w:t>
      </w:r>
    </w:p>
    <w:p w14:paraId="16F475F4">
      <w:pPr>
        <w:spacing w:line="360" w:lineRule="auto"/>
        <w:contextualSpacing/>
        <w:rPr>
          <w:rFonts w:hint="eastAsia"/>
          <w:b/>
          <w:color w:val="auto"/>
          <w:kern w:val="0"/>
          <w:sz w:val="24"/>
          <w:highlight w:val="none"/>
        </w:rPr>
      </w:pPr>
    </w:p>
    <w:p w14:paraId="4B5FC8B7">
      <w:pPr>
        <w:spacing w:line="360" w:lineRule="auto"/>
        <w:contextualSpacing/>
        <w:rPr>
          <w:rFonts w:hint="eastAsia"/>
          <w:b/>
          <w:color w:val="auto"/>
          <w:kern w:val="0"/>
          <w:sz w:val="24"/>
          <w:highlight w:val="none"/>
        </w:rPr>
      </w:pPr>
    </w:p>
    <w:p w14:paraId="010BFCCF">
      <w:pPr>
        <w:spacing w:line="360" w:lineRule="auto"/>
        <w:contextualSpacing/>
        <w:rPr>
          <w:rFonts w:hint="eastAsia"/>
          <w:b/>
          <w:color w:val="auto"/>
          <w:kern w:val="0"/>
          <w:sz w:val="24"/>
          <w:highlight w:val="none"/>
        </w:rPr>
      </w:pPr>
      <w:r>
        <w:rPr>
          <w:rFonts w:hint="eastAsia"/>
          <w:b/>
          <w:color w:val="auto"/>
          <w:kern w:val="0"/>
          <w:sz w:val="24"/>
          <w:highlight w:val="none"/>
        </w:rPr>
        <w:t>说明：</w:t>
      </w:r>
    </w:p>
    <w:p w14:paraId="33D774EE">
      <w:pPr>
        <w:spacing w:line="360" w:lineRule="auto"/>
        <w:ind w:left="25" w:leftChars="12" w:firstLine="354" w:firstLineChars="147"/>
        <w:contextualSpacing/>
        <w:rPr>
          <w:rFonts w:hint="eastAsia" w:ascii="宋体" w:hAnsi="宋体" w:eastAsia="宋体" w:cs="宋体"/>
          <w:b/>
          <w:bCs/>
          <w:color w:val="auto"/>
          <w:kern w:val="0"/>
          <w:sz w:val="24"/>
          <w:highlight w:val="none"/>
        </w:rPr>
      </w:pPr>
      <w:r>
        <w:rPr>
          <w:rFonts w:hint="eastAsia" w:ascii="宋体" w:hAnsi="宋体" w:eastAsia="宋体" w:cs="宋体"/>
          <w:b/>
          <w:color w:val="auto"/>
          <w:kern w:val="0"/>
          <w:sz w:val="24"/>
          <w:highlight w:val="none"/>
        </w:rPr>
        <w:t>1.供应商提出质疑时，应提交质疑函和必要的证明材料</w:t>
      </w:r>
      <w:r>
        <w:rPr>
          <w:rFonts w:hint="eastAsia" w:ascii="宋体" w:hAnsi="宋体" w:eastAsia="宋体" w:cs="宋体"/>
          <w:b/>
          <w:bCs/>
          <w:color w:val="auto"/>
          <w:kern w:val="0"/>
          <w:sz w:val="24"/>
          <w:highlight w:val="none"/>
        </w:rPr>
        <w:t>。</w:t>
      </w:r>
    </w:p>
    <w:p w14:paraId="2836ED6D">
      <w:pPr>
        <w:spacing w:line="360" w:lineRule="auto"/>
        <w:ind w:left="25" w:leftChars="12" w:firstLine="354" w:firstLineChars="147"/>
        <w:contextualSpacing/>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2.质疑供应商若委托代理人进行质疑的，质疑函应按要求列明“授权代表”的有关内容，并在附件中提交由质疑供应商签署的授权委托书。授权委托书应载明代理人的姓名或者名称、代理事项、具体权限、期限和相关事项。</w:t>
      </w:r>
    </w:p>
    <w:p w14:paraId="23C45333">
      <w:pPr>
        <w:spacing w:line="360" w:lineRule="auto"/>
        <w:ind w:left="25" w:leftChars="12" w:firstLine="354" w:firstLineChars="147"/>
        <w:contextualSpacing/>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3.质疑函的质疑事项应具体、明确，并有必要的事实依据和法律依据。</w:t>
      </w:r>
    </w:p>
    <w:p w14:paraId="079AAA5C">
      <w:pPr>
        <w:spacing w:line="360" w:lineRule="auto"/>
        <w:ind w:left="25" w:leftChars="12" w:firstLine="354" w:firstLineChars="147"/>
        <w:contextualSpacing/>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4.质疑函的质疑请求应与质疑事项相关。</w:t>
      </w:r>
    </w:p>
    <w:p w14:paraId="1DCE811E">
      <w:pPr>
        <w:spacing w:line="360" w:lineRule="auto"/>
        <w:ind w:left="25" w:leftChars="12" w:firstLine="354" w:firstLineChars="147"/>
        <w:contextualSpacing/>
        <w:rPr>
          <w:rFonts w:hint="eastAsia" w:ascii="宋体" w:hAnsi="宋体" w:eastAsia="宋体" w:cs="宋体"/>
          <w:b/>
          <w:color w:val="auto"/>
          <w:kern w:val="0"/>
          <w:sz w:val="20"/>
          <w:szCs w:val="21"/>
          <w:highlight w:val="none"/>
        </w:rPr>
      </w:pPr>
      <w:r>
        <w:rPr>
          <w:rFonts w:hint="eastAsia" w:ascii="宋体" w:hAnsi="宋体" w:eastAsia="宋体" w:cs="宋体"/>
          <w:b/>
          <w:color w:val="auto"/>
          <w:kern w:val="0"/>
          <w:sz w:val="24"/>
          <w:highlight w:val="none"/>
        </w:rPr>
        <w:t>5.质疑供应商为法人或者其他组织的，质疑函应由法定代表人、主要负责人，或者其授权代表签字或者盖章，并加盖公章。</w:t>
      </w:r>
    </w:p>
    <w:p w14:paraId="6AEC2CF7">
      <w:pPr>
        <w:snapToGrid w:val="0"/>
        <w:rPr>
          <w:rFonts w:hint="eastAsia" w:hAnsi="Courier New"/>
          <w:b/>
          <w:color w:val="auto"/>
          <w:kern w:val="0"/>
          <w:sz w:val="24"/>
          <w:highlight w:val="none"/>
        </w:rPr>
      </w:pPr>
    </w:p>
    <w:p w14:paraId="0D040276">
      <w:pPr>
        <w:spacing w:line="460" w:lineRule="exact"/>
        <w:jc w:val="center"/>
        <w:rPr>
          <w:rFonts w:hint="eastAsia" w:ascii="Calibri" w:hAnsi="Calibri" w:eastAsia="隶书"/>
          <w:color w:val="auto"/>
          <w:sz w:val="44"/>
          <w:highlight w:val="none"/>
        </w:rPr>
      </w:pPr>
      <w:r>
        <w:rPr>
          <w:rFonts w:ascii="Calibri" w:hAnsi="Calibri" w:eastAsia="隶书"/>
          <w:color w:val="auto"/>
          <w:sz w:val="44"/>
          <w:highlight w:val="none"/>
        </w:rPr>
        <w:br w:type="page"/>
      </w:r>
    </w:p>
    <w:p w14:paraId="154FDDF0">
      <w:pPr>
        <w:spacing w:line="360" w:lineRule="auto"/>
        <w:jc w:val="center"/>
        <w:rPr>
          <w:rFonts w:hint="eastAsia"/>
          <w:b/>
          <w:bCs/>
          <w:color w:val="auto"/>
          <w:sz w:val="32"/>
          <w:szCs w:val="32"/>
          <w:highlight w:val="none"/>
        </w:rPr>
      </w:pPr>
      <w:r>
        <w:rPr>
          <w:rFonts w:hint="eastAsia"/>
          <w:b/>
          <w:bCs/>
          <w:color w:val="auto"/>
          <w:sz w:val="32"/>
          <w:szCs w:val="32"/>
          <w:highlight w:val="none"/>
        </w:rPr>
        <w:t>投诉书（格式）</w:t>
      </w:r>
    </w:p>
    <w:p w14:paraId="5DDF3CAB">
      <w:pPr>
        <w:snapToGrid w:val="0"/>
        <w:spacing w:line="360" w:lineRule="auto"/>
        <w:ind w:firstLine="482" w:firstLineChars="200"/>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一、投诉相关主体基本情况：</w:t>
      </w:r>
    </w:p>
    <w:p w14:paraId="14669481">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供应商：</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590BB927">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17633155">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法定代表人/主要负责人：</w:t>
      </w:r>
      <w:r>
        <w:rPr>
          <w:rFonts w:hint="eastAsia" w:ascii="宋体" w:hAnsi="宋体" w:eastAsia="宋体" w:cs="宋体"/>
          <w:bCs/>
          <w:color w:val="auto"/>
          <w:kern w:val="0"/>
          <w:sz w:val="24"/>
          <w:highlight w:val="none"/>
          <w:u w:val="single"/>
        </w:rPr>
        <w:t xml:space="preserve">                                                         </w:t>
      </w:r>
    </w:p>
    <w:p w14:paraId="011DDA27">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p>
    <w:p w14:paraId="794BB258">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授权代表：</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p>
    <w:p w14:paraId="0FCC48C7">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p>
    <w:p w14:paraId="7FA1980F">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0EAE5013">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被投诉人1：</w:t>
      </w:r>
    </w:p>
    <w:p w14:paraId="5557DA65">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p>
    <w:p w14:paraId="1C70AF8F">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7A269E73">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联系人：</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p>
    <w:p w14:paraId="79B95F4A">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被投诉人2：</w:t>
      </w:r>
    </w:p>
    <w:p w14:paraId="2798A83D">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w:t>
      </w:r>
    </w:p>
    <w:p w14:paraId="21B05645">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相关供应商：</w:t>
      </w:r>
      <w:r>
        <w:rPr>
          <w:rFonts w:hint="eastAsia" w:ascii="宋体" w:hAnsi="宋体" w:eastAsia="宋体" w:cs="宋体"/>
          <w:bCs/>
          <w:color w:val="auto"/>
          <w:kern w:val="0"/>
          <w:sz w:val="24"/>
          <w:highlight w:val="none"/>
          <w:u w:val="single"/>
        </w:rPr>
        <w:t xml:space="preserve">                                                                       </w:t>
      </w:r>
    </w:p>
    <w:p w14:paraId="10FD9185">
      <w:pPr>
        <w:snapToGrid w:val="0"/>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地址：</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邮编：</w:t>
      </w:r>
      <w:r>
        <w:rPr>
          <w:rFonts w:hint="eastAsia" w:ascii="宋体" w:hAnsi="宋体" w:eastAsia="宋体" w:cs="宋体"/>
          <w:bCs/>
          <w:color w:val="auto"/>
          <w:kern w:val="0"/>
          <w:sz w:val="24"/>
          <w:highlight w:val="none"/>
          <w:u w:val="single"/>
        </w:rPr>
        <w:t xml:space="preserve">                         </w:t>
      </w:r>
    </w:p>
    <w:p w14:paraId="3C347A9F">
      <w:pPr>
        <w:snapToGrid w:val="0"/>
        <w:spacing w:line="360" w:lineRule="auto"/>
        <w:ind w:firstLine="480" w:firstLineChars="200"/>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联系人：</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联系电话：</w:t>
      </w:r>
      <w:r>
        <w:rPr>
          <w:rFonts w:hint="eastAsia" w:ascii="宋体" w:hAnsi="宋体" w:eastAsia="宋体" w:cs="宋体"/>
          <w:bCs/>
          <w:color w:val="auto"/>
          <w:kern w:val="0"/>
          <w:sz w:val="24"/>
          <w:highlight w:val="none"/>
          <w:u w:val="single"/>
        </w:rPr>
        <w:t xml:space="preserve">                     </w:t>
      </w:r>
      <w:r>
        <w:rPr>
          <w:rFonts w:hint="eastAsia" w:ascii="宋体" w:hAnsi="宋体" w:eastAsia="宋体" w:cs="宋体"/>
          <w:bCs/>
          <w:color w:val="auto"/>
          <w:kern w:val="0"/>
          <w:sz w:val="24"/>
          <w:highlight w:val="none"/>
        </w:rPr>
        <w:t xml:space="preserve">                </w:t>
      </w:r>
    </w:p>
    <w:p w14:paraId="03E70CB0">
      <w:pPr>
        <w:snapToGrid w:val="0"/>
        <w:spacing w:line="360" w:lineRule="auto"/>
        <w:ind w:firstLine="482" w:firstLineChars="200"/>
        <w:rPr>
          <w:rFonts w:hint="eastAsia" w:ascii="宋体" w:hAnsi="宋体" w:eastAsia="宋体" w:cs="宋体"/>
          <w:b/>
          <w:bCs/>
          <w:color w:val="auto"/>
          <w:kern w:val="0"/>
          <w:sz w:val="24"/>
          <w:highlight w:val="none"/>
        </w:rPr>
      </w:pPr>
      <w:r>
        <w:rPr>
          <w:rFonts w:hint="eastAsia" w:ascii="宋体" w:hAnsi="宋体" w:eastAsia="宋体" w:cs="宋体"/>
          <w:b/>
          <w:bCs/>
          <w:color w:val="auto"/>
          <w:kern w:val="0"/>
          <w:sz w:val="24"/>
          <w:highlight w:val="none"/>
        </w:rPr>
        <w:t>二、投诉项目基本情况：</w:t>
      </w:r>
    </w:p>
    <w:p w14:paraId="644AA5E1">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rPr>
        <w:t>采购</w:t>
      </w:r>
      <w:r>
        <w:rPr>
          <w:rFonts w:hint="eastAsia" w:ascii="宋体" w:hAnsi="宋体" w:eastAsia="宋体" w:cs="宋体"/>
          <w:color w:val="auto"/>
          <w:kern w:val="0"/>
          <w:sz w:val="24"/>
          <w:highlight w:val="none"/>
        </w:rPr>
        <w:t>项目的名称：</w:t>
      </w:r>
      <w:r>
        <w:rPr>
          <w:rFonts w:hint="eastAsia" w:ascii="宋体" w:hAnsi="宋体" w:eastAsia="宋体" w:cs="宋体"/>
          <w:bCs/>
          <w:color w:val="auto"/>
          <w:kern w:val="0"/>
          <w:sz w:val="24"/>
          <w:highlight w:val="none"/>
          <w:u w:val="single"/>
        </w:rPr>
        <w:t xml:space="preserve">                                                                   </w:t>
      </w:r>
    </w:p>
    <w:p w14:paraId="5B5E105A">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rPr>
        <w:t>采购</w:t>
      </w:r>
      <w:r>
        <w:rPr>
          <w:rFonts w:hint="eastAsia" w:ascii="宋体" w:hAnsi="宋体" w:eastAsia="宋体" w:cs="宋体"/>
          <w:color w:val="auto"/>
          <w:kern w:val="0"/>
          <w:sz w:val="24"/>
          <w:highlight w:val="none"/>
        </w:rPr>
        <w:t>项目的编号：</w:t>
      </w:r>
      <w:r>
        <w:rPr>
          <w:rFonts w:hint="eastAsia" w:ascii="宋体" w:hAnsi="宋体" w:eastAsia="宋体" w:cs="宋体"/>
          <w:bCs/>
          <w:color w:val="auto"/>
          <w:kern w:val="0"/>
          <w:sz w:val="24"/>
          <w:highlight w:val="none"/>
          <w:u w:val="single"/>
        </w:rPr>
        <w:t xml:space="preserve">                                          </w:t>
      </w:r>
    </w:p>
    <w:p w14:paraId="43B497D2">
      <w:pPr>
        <w:spacing w:line="360" w:lineRule="auto"/>
        <w:ind w:left="25" w:leftChars="12" w:firstLine="472" w:firstLineChars="197"/>
        <w:rPr>
          <w:rFonts w:hint="eastAsia" w:ascii="宋体" w:hAnsi="宋体" w:eastAsia="宋体" w:cs="宋体"/>
          <w:bCs/>
          <w:color w:val="auto"/>
          <w:kern w:val="0"/>
          <w:sz w:val="24"/>
          <w:highlight w:val="none"/>
          <w:u w:val="single"/>
        </w:rPr>
      </w:pPr>
      <w:r>
        <w:rPr>
          <w:rFonts w:hint="eastAsia" w:ascii="宋体" w:hAnsi="宋体" w:eastAsia="宋体" w:cs="宋体"/>
          <w:color w:val="auto"/>
          <w:kern w:val="0"/>
          <w:sz w:val="24"/>
          <w:highlight w:val="none"/>
        </w:rPr>
        <w:t>采购人名称：</w:t>
      </w:r>
      <w:r>
        <w:rPr>
          <w:rFonts w:hint="eastAsia" w:ascii="宋体" w:hAnsi="宋体" w:eastAsia="宋体" w:cs="宋体"/>
          <w:bCs/>
          <w:color w:val="auto"/>
          <w:kern w:val="0"/>
          <w:sz w:val="24"/>
          <w:highlight w:val="none"/>
          <w:u w:val="single"/>
        </w:rPr>
        <w:t xml:space="preserve">                                                                        </w:t>
      </w:r>
    </w:p>
    <w:p w14:paraId="014B590D">
      <w:pPr>
        <w:spacing w:line="360" w:lineRule="auto"/>
        <w:ind w:left="25" w:leftChars="12" w:firstLine="472" w:firstLineChars="197"/>
        <w:rPr>
          <w:rFonts w:hint="eastAsia" w:ascii="宋体" w:hAnsi="宋体" w:eastAsia="宋体" w:cs="宋体"/>
          <w:bCs/>
          <w:color w:val="auto"/>
          <w:kern w:val="0"/>
          <w:sz w:val="24"/>
          <w:highlight w:val="none"/>
          <w:u w:val="single"/>
        </w:rPr>
      </w:pPr>
      <w:r>
        <w:rPr>
          <w:rFonts w:hint="eastAsia" w:ascii="宋体" w:hAnsi="宋体" w:eastAsia="宋体" w:cs="宋体"/>
          <w:color w:val="auto"/>
          <w:kern w:val="0"/>
          <w:sz w:val="24"/>
          <w:highlight w:val="none"/>
        </w:rPr>
        <w:t>代理机构名称：</w:t>
      </w:r>
      <w:r>
        <w:rPr>
          <w:rFonts w:hint="eastAsia" w:ascii="宋体" w:hAnsi="宋体" w:eastAsia="宋体" w:cs="宋体"/>
          <w:bCs/>
          <w:color w:val="auto"/>
          <w:kern w:val="0"/>
          <w:sz w:val="24"/>
          <w:highlight w:val="none"/>
          <w:u w:val="single"/>
        </w:rPr>
        <w:t xml:space="preserve">                                                                      </w:t>
      </w:r>
    </w:p>
    <w:p w14:paraId="192C87A6">
      <w:pPr>
        <w:spacing w:line="360" w:lineRule="auto"/>
        <w:ind w:left="25" w:leftChars="12" w:firstLine="472" w:firstLineChars="197"/>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lang w:eastAsia="zh-CN"/>
        </w:rPr>
        <w:t>采购</w:t>
      </w:r>
      <w:r>
        <w:rPr>
          <w:rFonts w:hint="eastAsia" w:ascii="宋体" w:hAnsi="宋体" w:eastAsia="宋体" w:cs="宋体"/>
          <w:bCs/>
          <w:color w:val="auto"/>
          <w:kern w:val="0"/>
          <w:sz w:val="24"/>
          <w:highlight w:val="none"/>
        </w:rPr>
        <w:t>文件公告：</w:t>
      </w:r>
      <w:r>
        <w:rPr>
          <w:rFonts w:hint="eastAsia" w:ascii="宋体" w:hAnsi="宋体" w:eastAsia="宋体" w:cs="宋体"/>
          <w:bCs/>
          <w:color w:val="auto"/>
          <w:kern w:val="0"/>
          <w:sz w:val="24"/>
          <w:highlight w:val="none"/>
          <w:u w:val="single"/>
        </w:rPr>
        <w:t>是/否</w:t>
      </w:r>
      <w:r>
        <w:rPr>
          <w:rFonts w:hint="eastAsia" w:ascii="宋体" w:hAnsi="宋体" w:eastAsia="宋体" w:cs="宋体"/>
          <w:bCs/>
          <w:color w:val="auto"/>
          <w:kern w:val="0"/>
          <w:sz w:val="24"/>
          <w:highlight w:val="none"/>
        </w:rPr>
        <w:t>公告期限：</w:t>
      </w:r>
      <w:r>
        <w:rPr>
          <w:rFonts w:hint="eastAsia" w:ascii="宋体" w:hAnsi="宋体" w:eastAsia="宋体" w:cs="宋体"/>
          <w:bCs/>
          <w:color w:val="auto"/>
          <w:kern w:val="0"/>
          <w:sz w:val="24"/>
          <w:highlight w:val="none"/>
          <w:u w:val="single"/>
        </w:rPr>
        <w:t xml:space="preserve">                                                       </w:t>
      </w:r>
    </w:p>
    <w:p w14:paraId="03B0336F">
      <w:pPr>
        <w:spacing w:line="360" w:lineRule="auto"/>
        <w:ind w:left="25" w:leftChars="12" w:firstLine="472" w:firstLineChars="197"/>
        <w:rPr>
          <w:rFonts w:hint="eastAsia" w:ascii="宋体" w:hAnsi="宋体" w:eastAsia="宋体" w:cs="宋体"/>
          <w:b/>
          <w:color w:val="auto"/>
          <w:kern w:val="0"/>
          <w:sz w:val="24"/>
          <w:highlight w:val="none"/>
        </w:rPr>
      </w:pPr>
      <w:r>
        <w:rPr>
          <w:rFonts w:hint="eastAsia" w:ascii="宋体" w:hAnsi="宋体" w:eastAsia="宋体" w:cs="宋体"/>
          <w:bCs/>
          <w:color w:val="auto"/>
          <w:kern w:val="0"/>
          <w:sz w:val="24"/>
          <w:highlight w:val="none"/>
        </w:rPr>
        <w:t>采购结果公告：</w:t>
      </w:r>
      <w:r>
        <w:rPr>
          <w:rFonts w:hint="eastAsia" w:ascii="宋体" w:hAnsi="宋体" w:eastAsia="宋体" w:cs="宋体"/>
          <w:bCs/>
          <w:color w:val="auto"/>
          <w:kern w:val="0"/>
          <w:sz w:val="24"/>
          <w:highlight w:val="none"/>
          <w:u w:val="single"/>
        </w:rPr>
        <w:t>是/否</w:t>
      </w:r>
      <w:r>
        <w:rPr>
          <w:rFonts w:hint="eastAsia" w:ascii="宋体" w:hAnsi="宋体" w:eastAsia="宋体" w:cs="宋体"/>
          <w:bCs/>
          <w:color w:val="auto"/>
          <w:kern w:val="0"/>
          <w:sz w:val="24"/>
          <w:highlight w:val="none"/>
        </w:rPr>
        <w:t>公告期限：</w:t>
      </w:r>
      <w:r>
        <w:rPr>
          <w:rFonts w:hint="eastAsia" w:ascii="宋体" w:hAnsi="宋体" w:eastAsia="宋体" w:cs="宋体"/>
          <w:bCs/>
          <w:color w:val="auto"/>
          <w:kern w:val="0"/>
          <w:sz w:val="24"/>
          <w:highlight w:val="none"/>
          <w:u w:val="single"/>
        </w:rPr>
        <w:t xml:space="preserve">                                                       </w:t>
      </w:r>
    </w:p>
    <w:p w14:paraId="67C60208">
      <w:pPr>
        <w:spacing w:line="360" w:lineRule="auto"/>
        <w:ind w:left="25" w:leftChars="12" w:firstLine="472" w:firstLineChars="196"/>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三、质疑基本情况</w:t>
      </w:r>
    </w:p>
    <w:p w14:paraId="69013720">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投诉人于</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年</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月</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日，向</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提出质疑，质疑事项为：</w:t>
      </w:r>
    </w:p>
    <w:p w14:paraId="71E2C6B5">
      <w:pPr>
        <w:spacing w:line="360" w:lineRule="auto"/>
        <w:ind w:firstLine="241"/>
        <w:rPr>
          <w:rFonts w:hint="eastAsia" w:ascii="宋体" w:hAnsi="宋体" w:eastAsia="宋体" w:cs="宋体"/>
          <w:bCs/>
          <w:color w:val="auto"/>
          <w:kern w:val="0"/>
          <w:sz w:val="24"/>
          <w:highlight w:val="none"/>
          <w:u w:val="single"/>
        </w:rPr>
      </w:pPr>
      <w:r>
        <w:rPr>
          <w:rFonts w:hint="eastAsia" w:ascii="宋体" w:hAnsi="宋体" w:eastAsia="宋体" w:cs="宋体"/>
          <w:color w:val="auto"/>
          <w:kern w:val="0"/>
          <w:sz w:val="24"/>
          <w:highlight w:val="none"/>
        </w:rPr>
        <w:t xml:space="preserve">    </w:t>
      </w:r>
      <w:r>
        <w:rPr>
          <w:rFonts w:hint="eastAsia" w:ascii="宋体" w:hAnsi="宋体" w:eastAsia="宋体" w:cs="宋体"/>
          <w:bCs/>
          <w:color w:val="auto"/>
          <w:kern w:val="0"/>
          <w:sz w:val="24"/>
          <w:highlight w:val="none"/>
          <w:u w:val="single"/>
        </w:rPr>
        <w:t xml:space="preserve">                                                                                      </w:t>
      </w:r>
    </w:p>
    <w:p w14:paraId="4E2EF414">
      <w:pPr>
        <w:spacing w:line="360" w:lineRule="auto"/>
        <w:ind w:firstLine="241"/>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 xml:space="preserve">    </w:t>
      </w:r>
      <w:r>
        <w:rPr>
          <w:rFonts w:hint="eastAsia" w:ascii="宋体" w:hAnsi="宋体" w:eastAsia="宋体" w:cs="宋体"/>
          <w:bCs/>
          <w:color w:val="auto"/>
          <w:kern w:val="0"/>
          <w:sz w:val="24"/>
          <w:highlight w:val="none"/>
          <w:u w:val="single"/>
        </w:rPr>
        <w:t xml:space="preserve">                                                                                      </w:t>
      </w:r>
    </w:p>
    <w:p w14:paraId="37A8A4D8">
      <w:pPr>
        <w:spacing w:line="360" w:lineRule="auto"/>
        <w:ind w:firstLine="480" w:firstLineChars="200"/>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u w:val="single"/>
        </w:rPr>
        <w:t>采购人/</w:t>
      </w:r>
      <w:r>
        <w:rPr>
          <w:rFonts w:hint="eastAsia" w:ascii="宋体" w:hAnsi="宋体" w:eastAsia="宋体" w:cs="宋体"/>
          <w:bCs/>
          <w:color w:val="auto"/>
          <w:kern w:val="0"/>
          <w:sz w:val="24"/>
          <w:highlight w:val="none"/>
          <w:u w:val="single"/>
          <w:lang w:eastAsia="zh-CN"/>
        </w:rPr>
        <w:t>采购</w:t>
      </w:r>
      <w:r>
        <w:rPr>
          <w:rFonts w:hint="eastAsia" w:ascii="宋体" w:hAnsi="宋体" w:eastAsia="宋体" w:cs="宋体"/>
          <w:bCs/>
          <w:color w:val="auto"/>
          <w:kern w:val="0"/>
          <w:sz w:val="24"/>
          <w:highlight w:val="none"/>
          <w:u w:val="single"/>
        </w:rPr>
        <w:t>代理机构</w:t>
      </w:r>
      <w:r>
        <w:rPr>
          <w:rFonts w:hint="eastAsia" w:ascii="宋体" w:hAnsi="宋体" w:eastAsia="宋体" w:cs="宋体"/>
          <w:bCs/>
          <w:color w:val="auto"/>
          <w:kern w:val="0"/>
          <w:sz w:val="24"/>
          <w:highlight w:val="none"/>
        </w:rPr>
        <w:t>于</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年</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月</w:t>
      </w:r>
      <w:r>
        <w:rPr>
          <w:rFonts w:hint="eastAsia" w:ascii="宋体" w:hAnsi="宋体" w:eastAsia="宋体" w:cs="宋体"/>
          <w:color w:val="auto"/>
          <w:kern w:val="0"/>
          <w:sz w:val="24"/>
          <w:highlight w:val="none"/>
          <w:u w:val="single"/>
        </w:rPr>
        <w:t xml:space="preserve">   </w:t>
      </w:r>
      <w:r>
        <w:rPr>
          <w:rFonts w:hint="eastAsia" w:ascii="宋体" w:hAnsi="宋体" w:eastAsia="宋体" w:cs="宋体"/>
          <w:color w:val="auto"/>
          <w:kern w:val="0"/>
          <w:sz w:val="24"/>
          <w:highlight w:val="none"/>
        </w:rPr>
        <w:t>日，</w:t>
      </w:r>
      <w:r>
        <w:rPr>
          <w:rFonts w:hint="eastAsia" w:ascii="宋体" w:hAnsi="宋体" w:eastAsia="宋体" w:cs="宋体"/>
          <w:bCs/>
          <w:color w:val="auto"/>
          <w:kern w:val="0"/>
          <w:sz w:val="24"/>
          <w:highlight w:val="none"/>
        </w:rPr>
        <w:t xml:space="preserve">就质疑事项作出了答复/没有在法定期限内作出答复。                                                                                             </w:t>
      </w:r>
    </w:p>
    <w:p w14:paraId="458B5EF4">
      <w:pPr>
        <w:spacing w:line="360" w:lineRule="auto"/>
        <w:ind w:left="25" w:leftChars="12" w:firstLine="472" w:firstLineChars="196"/>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四、投诉事项具体内容</w:t>
      </w:r>
    </w:p>
    <w:p w14:paraId="6461AEBD">
      <w:pPr>
        <w:spacing w:line="360" w:lineRule="auto"/>
        <w:ind w:left="25" w:leftChars="12" w:firstLine="472" w:firstLineChars="197"/>
        <w:rPr>
          <w:rFonts w:hint="eastAsia" w:ascii="宋体" w:hAnsi="宋体" w:eastAsia="宋体" w:cs="宋体"/>
          <w:bCs/>
          <w:color w:val="auto"/>
          <w:kern w:val="0"/>
          <w:sz w:val="24"/>
          <w:highlight w:val="none"/>
          <w:u w:val="single"/>
        </w:rPr>
      </w:pPr>
      <w:r>
        <w:rPr>
          <w:rFonts w:hint="eastAsia" w:ascii="宋体" w:hAnsi="宋体" w:eastAsia="宋体" w:cs="宋体"/>
          <w:color w:val="auto"/>
          <w:kern w:val="0"/>
          <w:sz w:val="24"/>
          <w:highlight w:val="none"/>
        </w:rPr>
        <w:t>投诉事项1：</w:t>
      </w:r>
      <w:r>
        <w:rPr>
          <w:rFonts w:hint="eastAsia" w:ascii="宋体" w:hAnsi="宋体" w:eastAsia="宋体" w:cs="宋体"/>
          <w:bCs/>
          <w:color w:val="auto"/>
          <w:kern w:val="0"/>
          <w:sz w:val="24"/>
          <w:highlight w:val="none"/>
          <w:u w:val="single"/>
        </w:rPr>
        <w:t xml:space="preserve">                                                                           </w:t>
      </w:r>
    </w:p>
    <w:p w14:paraId="569BC889">
      <w:pPr>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事实依据：</w:t>
      </w:r>
      <w:r>
        <w:rPr>
          <w:rFonts w:hint="eastAsia" w:ascii="宋体" w:hAnsi="宋体" w:eastAsia="宋体" w:cs="宋体"/>
          <w:color w:val="auto"/>
          <w:kern w:val="0"/>
          <w:sz w:val="24"/>
          <w:highlight w:val="none"/>
        </w:rPr>
        <w:t xml:space="preserve"> </w:t>
      </w:r>
      <w:r>
        <w:rPr>
          <w:rFonts w:hint="eastAsia" w:ascii="宋体" w:hAnsi="宋体" w:eastAsia="宋体" w:cs="宋体"/>
          <w:bCs/>
          <w:color w:val="auto"/>
          <w:kern w:val="0"/>
          <w:sz w:val="24"/>
          <w:highlight w:val="none"/>
          <w:u w:val="single"/>
        </w:rPr>
        <w:t xml:space="preserve">                                                                                      </w:t>
      </w:r>
    </w:p>
    <w:p w14:paraId="1D334543">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u w:val="single"/>
        </w:rPr>
        <w:t xml:space="preserve">                                                                                        </w:t>
      </w:r>
    </w:p>
    <w:p w14:paraId="5CE87349">
      <w:pPr>
        <w:spacing w:line="360" w:lineRule="auto"/>
        <w:ind w:firstLine="480" w:firstLineChars="200"/>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法律依据：</w:t>
      </w:r>
      <w:r>
        <w:rPr>
          <w:rFonts w:hint="eastAsia" w:ascii="宋体" w:hAnsi="宋体" w:eastAsia="宋体" w:cs="宋体"/>
          <w:color w:val="auto"/>
          <w:kern w:val="0"/>
          <w:sz w:val="24"/>
          <w:highlight w:val="none"/>
        </w:rPr>
        <w:t xml:space="preserve"> </w:t>
      </w:r>
      <w:r>
        <w:rPr>
          <w:rFonts w:hint="eastAsia" w:ascii="宋体" w:hAnsi="宋体" w:eastAsia="宋体" w:cs="宋体"/>
          <w:bCs/>
          <w:color w:val="auto"/>
          <w:kern w:val="0"/>
          <w:sz w:val="24"/>
          <w:highlight w:val="none"/>
          <w:u w:val="single"/>
        </w:rPr>
        <w:t xml:space="preserve">                                                                                      </w:t>
      </w:r>
    </w:p>
    <w:p w14:paraId="496C9628">
      <w:pPr>
        <w:spacing w:line="360" w:lineRule="auto"/>
        <w:ind w:left="25" w:leftChars="12" w:firstLine="352" w:firstLineChars="147"/>
        <w:rPr>
          <w:rFonts w:hint="eastAsia" w:ascii="宋体" w:hAnsi="宋体" w:eastAsia="宋体" w:cs="宋体"/>
          <w:bCs/>
          <w:color w:val="auto"/>
          <w:kern w:val="0"/>
          <w:sz w:val="24"/>
          <w:highlight w:val="none"/>
          <w:u w:val="single"/>
        </w:rPr>
      </w:pPr>
      <w:r>
        <w:rPr>
          <w:rFonts w:hint="eastAsia" w:ascii="宋体" w:hAnsi="宋体" w:eastAsia="宋体" w:cs="宋体"/>
          <w:bCs/>
          <w:color w:val="auto"/>
          <w:kern w:val="0"/>
          <w:sz w:val="24"/>
          <w:highlight w:val="none"/>
        </w:rPr>
        <w:t xml:space="preserve"> </w:t>
      </w:r>
      <w:r>
        <w:rPr>
          <w:rFonts w:hint="eastAsia" w:ascii="宋体" w:hAnsi="宋体" w:eastAsia="宋体" w:cs="宋体"/>
          <w:bCs/>
          <w:color w:val="auto"/>
          <w:kern w:val="0"/>
          <w:sz w:val="24"/>
          <w:highlight w:val="none"/>
          <w:u w:val="single"/>
        </w:rPr>
        <w:t xml:space="preserve">                                                                                        </w:t>
      </w:r>
    </w:p>
    <w:p w14:paraId="0BF444D1">
      <w:pPr>
        <w:spacing w:line="360" w:lineRule="auto"/>
        <w:ind w:left="25" w:leftChars="12" w:firstLine="472" w:firstLineChars="197"/>
        <w:rPr>
          <w:rFonts w:hint="eastAsia" w:ascii="宋体" w:hAnsi="宋体" w:eastAsia="宋体" w:cs="宋体"/>
          <w:bCs/>
          <w:color w:val="auto"/>
          <w:kern w:val="0"/>
          <w:sz w:val="24"/>
          <w:highlight w:val="none"/>
        </w:rPr>
      </w:pPr>
      <w:r>
        <w:rPr>
          <w:rFonts w:hint="eastAsia" w:ascii="宋体" w:hAnsi="宋体" w:eastAsia="宋体" w:cs="宋体"/>
          <w:color w:val="auto"/>
          <w:kern w:val="0"/>
          <w:sz w:val="24"/>
          <w:highlight w:val="none"/>
        </w:rPr>
        <w:t xml:space="preserve">投诉事项2  </w:t>
      </w:r>
      <w:r>
        <w:rPr>
          <w:rFonts w:hint="eastAsia" w:ascii="宋体" w:hAnsi="宋体" w:eastAsia="宋体" w:cs="宋体"/>
          <w:bCs/>
          <w:color w:val="auto"/>
          <w:kern w:val="0"/>
          <w:sz w:val="24"/>
          <w:highlight w:val="none"/>
        </w:rPr>
        <w:t xml:space="preserve">   </w:t>
      </w:r>
    </w:p>
    <w:p w14:paraId="2355933E">
      <w:pPr>
        <w:spacing w:line="360" w:lineRule="auto"/>
        <w:ind w:left="25" w:leftChars="12" w:firstLine="472" w:firstLineChars="197"/>
        <w:rPr>
          <w:rFonts w:hint="eastAsia" w:ascii="宋体" w:hAnsi="宋体" w:eastAsia="宋体" w:cs="宋体"/>
          <w:bCs/>
          <w:color w:val="auto"/>
          <w:kern w:val="0"/>
          <w:sz w:val="24"/>
          <w:highlight w:val="none"/>
        </w:rPr>
      </w:pPr>
      <w:r>
        <w:rPr>
          <w:rFonts w:hint="eastAsia" w:ascii="宋体" w:hAnsi="宋体" w:eastAsia="宋体" w:cs="宋体"/>
          <w:bCs/>
          <w:color w:val="auto"/>
          <w:kern w:val="0"/>
          <w:sz w:val="24"/>
          <w:highlight w:val="none"/>
        </w:rPr>
        <w:t>……</w:t>
      </w:r>
    </w:p>
    <w:p w14:paraId="000228F3">
      <w:pPr>
        <w:spacing w:line="360" w:lineRule="auto"/>
        <w:ind w:left="25" w:leftChars="12" w:firstLine="472" w:firstLineChars="196"/>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五、与投诉事项相关的投诉请求：</w:t>
      </w:r>
    </w:p>
    <w:p w14:paraId="6C4873FA">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请求：</w:t>
      </w:r>
      <w:r>
        <w:rPr>
          <w:rFonts w:hint="eastAsia" w:ascii="宋体" w:hAnsi="宋体" w:eastAsia="宋体" w:cs="宋体"/>
          <w:bCs/>
          <w:color w:val="auto"/>
          <w:kern w:val="0"/>
          <w:sz w:val="24"/>
          <w:highlight w:val="none"/>
          <w:u w:val="single"/>
        </w:rPr>
        <w:t xml:space="preserve">                                                                                 </w:t>
      </w:r>
    </w:p>
    <w:p w14:paraId="32F2C270">
      <w:pPr>
        <w:spacing w:line="360" w:lineRule="auto"/>
        <w:ind w:left="25" w:leftChars="12" w:firstLine="352" w:firstLineChars="147"/>
        <w:rPr>
          <w:rFonts w:hint="eastAsia" w:ascii="宋体" w:hAnsi="宋体" w:eastAsia="宋体" w:cs="宋体"/>
          <w:color w:val="auto"/>
          <w:kern w:val="0"/>
          <w:sz w:val="24"/>
          <w:highlight w:val="none"/>
        </w:rPr>
      </w:pPr>
    </w:p>
    <w:p w14:paraId="568062BC">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签字（签章）：                                       公章：</w:t>
      </w:r>
    </w:p>
    <w:p w14:paraId="3CE1BE66">
      <w:pPr>
        <w:spacing w:line="360" w:lineRule="auto"/>
        <w:ind w:left="25" w:leftChars="12" w:firstLine="352" w:firstLineChars="147"/>
        <w:rPr>
          <w:rFonts w:hint="eastAsia" w:ascii="宋体" w:hAnsi="宋体" w:eastAsia="宋体" w:cs="宋体"/>
          <w:color w:val="auto"/>
          <w:kern w:val="0"/>
          <w:sz w:val="24"/>
          <w:highlight w:val="none"/>
        </w:rPr>
      </w:pPr>
    </w:p>
    <w:p w14:paraId="146EE7F3">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color w:val="auto"/>
          <w:kern w:val="0"/>
          <w:sz w:val="24"/>
          <w:highlight w:val="none"/>
        </w:rPr>
        <w:t>日期：</w:t>
      </w:r>
    </w:p>
    <w:p w14:paraId="44B01B78">
      <w:pPr>
        <w:spacing w:line="360" w:lineRule="auto"/>
        <w:ind w:left="25" w:leftChars="12" w:firstLine="472" w:firstLineChars="197"/>
        <w:rPr>
          <w:rFonts w:hint="eastAsia" w:ascii="宋体" w:hAnsi="宋体" w:eastAsia="宋体" w:cs="宋体"/>
          <w:color w:val="auto"/>
          <w:kern w:val="0"/>
          <w:sz w:val="24"/>
          <w:highlight w:val="none"/>
        </w:rPr>
      </w:pPr>
      <w:r>
        <w:rPr>
          <w:rFonts w:hint="eastAsia" w:ascii="宋体" w:hAnsi="宋体" w:eastAsia="宋体" w:cs="宋体"/>
          <w:bCs/>
          <w:color w:val="auto"/>
          <w:kern w:val="0"/>
          <w:sz w:val="24"/>
          <w:highlight w:val="none"/>
        </w:rPr>
        <w:t xml:space="preserve">                                                                                 </w:t>
      </w:r>
    </w:p>
    <w:p w14:paraId="2DFE5839">
      <w:pPr>
        <w:snapToGrid w:val="0"/>
        <w:spacing w:line="360" w:lineRule="auto"/>
        <w:rPr>
          <w:rFonts w:hint="eastAsia" w:ascii="宋体" w:hAnsi="宋体" w:eastAsia="宋体" w:cs="宋体"/>
          <w:b/>
          <w:color w:val="auto"/>
          <w:kern w:val="0"/>
          <w:sz w:val="24"/>
          <w:highlight w:val="none"/>
        </w:rPr>
      </w:pPr>
    </w:p>
    <w:p w14:paraId="6C6A50ED">
      <w:pPr>
        <w:snapToGrid w:val="0"/>
        <w:spacing w:line="360" w:lineRule="auto"/>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说明：</w:t>
      </w:r>
    </w:p>
    <w:p w14:paraId="3C7ABD78">
      <w:pPr>
        <w:spacing w:line="360" w:lineRule="auto"/>
        <w:ind w:left="25" w:leftChars="12" w:firstLine="354" w:firstLineChars="147"/>
        <w:rPr>
          <w:rFonts w:hint="eastAsia" w:ascii="宋体" w:hAnsi="宋体" w:eastAsia="宋体" w:cs="宋体"/>
          <w:b/>
          <w:bCs/>
          <w:color w:val="auto"/>
          <w:kern w:val="0"/>
          <w:sz w:val="24"/>
          <w:highlight w:val="none"/>
        </w:rPr>
      </w:pPr>
      <w:r>
        <w:rPr>
          <w:rFonts w:hint="eastAsia" w:ascii="宋体" w:hAnsi="宋体" w:eastAsia="宋体" w:cs="宋体"/>
          <w:b/>
          <w:color w:val="auto"/>
          <w:kern w:val="0"/>
          <w:sz w:val="24"/>
          <w:highlight w:val="none"/>
        </w:rPr>
        <w:t>1.投诉人提起投诉时，应当提交投诉书和必要的证明材料，并按照被投诉人和与投诉事项有关的供应商数量提供投诉书副本</w:t>
      </w:r>
      <w:r>
        <w:rPr>
          <w:rFonts w:hint="eastAsia" w:ascii="宋体" w:hAnsi="宋体" w:eastAsia="宋体" w:cs="宋体"/>
          <w:b/>
          <w:bCs/>
          <w:color w:val="auto"/>
          <w:kern w:val="0"/>
          <w:sz w:val="24"/>
          <w:highlight w:val="none"/>
        </w:rPr>
        <w:t>。</w:t>
      </w:r>
    </w:p>
    <w:p w14:paraId="4D188922">
      <w:pPr>
        <w:spacing w:line="360" w:lineRule="auto"/>
        <w:ind w:left="25" w:leftChars="12" w:firstLine="354" w:firstLineChars="147"/>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2.投诉人若委托代理人进行投诉的，投诉书应按要求列明“授权代表”的有关内容，并在附件中提交由投诉人签署的授权委托书。授权委托书应当载明代理人的姓名或者名称、代理事项、具体权限、期限和相关事项。</w:t>
      </w:r>
    </w:p>
    <w:p w14:paraId="0774ABE4">
      <w:pPr>
        <w:spacing w:line="360" w:lineRule="auto"/>
        <w:ind w:left="25" w:leftChars="12" w:firstLine="354" w:firstLineChars="147"/>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3.投诉书应简要列明质疑事项，质疑函、质疑答复等作为附件材料提供。</w:t>
      </w:r>
    </w:p>
    <w:p w14:paraId="23B96296">
      <w:pPr>
        <w:spacing w:line="360" w:lineRule="auto"/>
        <w:ind w:left="25" w:leftChars="12" w:firstLine="354" w:firstLineChars="147"/>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4.投诉书的投诉事项应具体、明确，并有必要的事实依据和法律依据。</w:t>
      </w:r>
    </w:p>
    <w:p w14:paraId="2E5BE66F">
      <w:pPr>
        <w:spacing w:line="360" w:lineRule="auto"/>
        <w:ind w:left="25" w:leftChars="12" w:firstLine="354" w:firstLineChars="147"/>
        <w:rPr>
          <w:rFonts w:hint="eastAsia" w:ascii="宋体" w:hAnsi="宋体" w:eastAsia="宋体" w:cs="宋体"/>
          <w:b/>
          <w:color w:val="auto"/>
          <w:kern w:val="0"/>
          <w:sz w:val="24"/>
          <w:highlight w:val="none"/>
        </w:rPr>
      </w:pPr>
      <w:r>
        <w:rPr>
          <w:rFonts w:hint="eastAsia" w:ascii="宋体" w:hAnsi="宋体" w:eastAsia="宋体" w:cs="宋体"/>
          <w:b/>
          <w:color w:val="auto"/>
          <w:kern w:val="0"/>
          <w:sz w:val="24"/>
          <w:highlight w:val="none"/>
        </w:rPr>
        <w:t>5.投诉书的投诉请求应与投诉事项相关。</w:t>
      </w:r>
    </w:p>
    <w:p w14:paraId="39B2442D">
      <w:pPr>
        <w:spacing w:line="360" w:lineRule="auto"/>
        <w:ind w:left="25" w:leftChars="12" w:firstLine="354" w:firstLineChars="147"/>
        <w:rPr>
          <w:rFonts w:hint="eastAsia" w:ascii="宋体" w:hAnsi="宋体" w:eastAsia="宋体" w:cs="宋体"/>
          <w:color w:val="auto"/>
          <w:highlight w:val="none"/>
        </w:rPr>
      </w:pPr>
      <w:r>
        <w:rPr>
          <w:rFonts w:hint="eastAsia" w:ascii="宋体" w:hAnsi="宋体" w:eastAsia="宋体" w:cs="宋体"/>
          <w:b/>
          <w:color w:val="auto"/>
          <w:kern w:val="0"/>
          <w:sz w:val="24"/>
          <w:highlight w:val="none"/>
        </w:rPr>
        <w:t>6.投诉人为法人或者其他组织的，投诉书应由法定代表人、主要负责人，或者其授权代表签字或者盖章，并加盖公章。</w:t>
      </w:r>
    </w:p>
    <w:p w14:paraId="55C3E285">
      <w:pPr>
        <w:rPr>
          <w:rFonts w:hint="eastAsia"/>
          <w:color w:val="auto"/>
          <w:highlight w:val="none"/>
        </w:rPr>
      </w:pPr>
    </w:p>
    <w:sectPr>
      <w:headerReference r:id="rId11" w:type="default"/>
      <w:footerReference r:id="rId12" w:type="default"/>
      <w:pgSz w:w="11910" w:h="16840"/>
      <w:pgMar w:top="1340" w:right="1500" w:bottom="280" w:left="1680" w:header="720" w:footer="720" w:gutter="0"/>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603F6643-0CC3-4BD3-8F05-E3597D5781F2}"/>
  </w:font>
  <w:font w:name="Courier New">
    <w:panose1 w:val="02070309020205020404"/>
    <w:charset w:val="01"/>
    <w:family w:val="modern"/>
    <w:pitch w:val="default"/>
    <w:sig w:usb0="E0002AFF" w:usb1="C0007843" w:usb2="00000009" w:usb3="00000000" w:csb0="400001FF" w:csb1="FFFF0000"/>
    <w:embedRegular r:id="rId2" w:fontKey="{BE0C8E99-B318-420F-9651-028D3B568B65}"/>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embedRegular r:id="rId3" w:fontKey="{00232969-C516-4613-A5C0-06C5798853C9}"/>
  </w:font>
  <w:font w:name="Cambria">
    <w:panose1 w:val="02040503050406030204"/>
    <w:charset w:val="00"/>
    <w:family w:val="roman"/>
    <w:pitch w:val="default"/>
    <w:sig w:usb0="E00002FF" w:usb1="400004FF" w:usb2="00000000" w:usb3="00000000" w:csb0="2000019F" w:csb1="00000000"/>
    <w:embedRegular r:id="rId4" w:fontKey="{37E5CDCC-4830-4AD4-902E-C314D1EC5A63}"/>
  </w:font>
  <w:font w:name="等线 Light">
    <w:altName w:val="宋体"/>
    <w:panose1 w:val="02010600030101010101"/>
    <w:charset w:val="86"/>
    <w:family w:val="auto"/>
    <w:pitch w:val="default"/>
    <w:sig w:usb0="00000000" w:usb1="00000000" w:usb2="00000016" w:usb3="00000000" w:csb0="0004000F" w:csb1="00000000"/>
  </w:font>
  <w:font w:name="仿宋_GB2312">
    <w:panose1 w:val="02010609030101010101"/>
    <w:charset w:val="86"/>
    <w:family w:val="modern"/>
    <w:pitch w:val="default"/>
    <w:sig w:usb0="00000001" w:usb1="080E0000" w:usb2="00000000" w:usb3="00000000" w:csb0="00040000" w:csb1="00000000"/>
    <w:embedRegular r:id="rId5" w:fontKey="{3401601D-D4EE-420B-B7A4-81C9C6D08ED5}"/>
  </w:font>
  <w:font w:name="仿宋">
    <w:panose1 w:val="02010609060101010101"/>
    <w:charset w:val="86"/>
    <w:family w:val="modern"/>
    <w:pitch w:val="default"/>
    <w:sig w:usb0="800002BF" w:usb1="38CF7CFA" w:usb2="00000016" w:usb3="00000000" w:csb0="00040001" w:csb1="00000000"/>
    <w:embedRegular r:id="rId6" w:fontKey="{B07FC3ED-5C3A-47A6-BEF7-3FB368B6D828}"/>
  </w:font>
  <w:font w:name="Tahoma">
    <w:panose1 w:val="020B0604030504040204"/>
    <w:charset w:val="00"/>
    <w:family w:val="swiss"/>
    <w:pitch w:val="default"/>
    <w:sig w:usb0="E1002EFF" w:usb1="C000605B" w:usb2="00000029" w:usb3="00000000" w:csb0="200101FF" w:csb1="20280000"/>
    <w:embedRegular r:id="rId7" w:fontKey="{6F33F247-E78D-4F8F-946B-D094511E63D2}"/>
  </w:font>
  <w:font w:name="Segoe UI Emoji">
    <w:panose1 w:val="020B0502040204020203"/>
    <w:charset w:val="00"/>
    <w:family w:val="auto"/>
    <w:pitch w:val="default"/>
    <w:sig w:usb0="00000001" w:usb1="02000000" w:usb2="08000000" w:usb3="00000000" w:csb0="00000001" w:csb1="00000000"/>
    <w:embedRegular r:id="rId8" w:fontKey="{474B0BE3-5B93-4E6D-B7B1-558A46451EEC}"/>
  </w:font>
  <w:font w:name="Arial Unicode MS">
    <w:panose1 w:val="020B0604020202020204"/>
    <w:charset w:val="86"/>
    <w:family w:val="roman"/>
    <w:pitch w:val="default"/>
    <w:sig w:usb0="FFFFFFFF" w:usb1="E9FFFFFF" w:usb2="0000003F" w:usb3="00000000" w:csb0="603F01FF" w:csb1="FFFF0000"/>
    <w:embedRegular r:id="rId9" w:fontKey="{CD8A1F75-9813-4F26-A8FA-2099609FC985}"/>
  </w:font>
  <w:font w:name="方正小标宋简体">
    <w:panose1 w:val="02000000000000000000"/>
    <w:charset w:val="86"/>
    <w:family w:val="auto"/>
    <w:pitch w:val="default"/>
    <w:sig w:usb0="00000001" w:usb1="08000000" w:usb2="00000000" w:usb3="00000000" w:csb0="00040000" w:csb1="00000000"/>
    <w:embedRegular r:id="rId10" w:fontKey="{38F1AD9A-4014-4AD2-B301-E442B2534638}"/>
  </w:font>
  <w:font w:name="Verdana">
    <w:panose1 w:val="020B0604030504040204"/>
    <w:charset w:val="00"/>
    <w:family w:val="swiss"/>
    <w:pitch w:val="default"/>
    <w:sig w:usb0="A10006FF" w:usb1="4000205B" w:usb2="00000010" w:usb3="00000000" w:csb0="2000019F" w:csb1="00000000"/>
    <w:embedRegular r:id="rId11" w:fontKey="{FA655A4F-ECA7-4888-AB09-E5E74738E4EC}"/>
  </w:font>
  <w:font w:name="隶书">
    <w:panose1 w:val="02010509060101010101"/>
    <w:charset w:val="86"/>
    <w:family w:val="modern"/>
    <w:pitch w:val="default"/>
    <w:sig w:usb0="00000001" w:usb1="080E0000" w:usb2="00000000" w:usb3="00000000" w:csb0="00040000" w:csb1="00000000"/>
    <w:embedRegular r:id="rId12" w:fontKey="{30F2E01E-B09A-4E00-8888-B6B79CBED1DF}"/>
  </w:font>
  <w:font w:name="WPSEMBED1">
    <w:panose1 w:val="020B0502040204020203"/>
    <w:charset w:val="00"/>
    <w:family w:val="auto"/>
    <w:pitch w:val="default"/>
    <w:sig w:usb0="00000001" w:usb1="02000000" w:usb2="08000000" w:usb3="00000000" w:csb0="00000001" w:csb1="00000000"/>
    <w:embedRegular r:id="rId13" w:fontKey="{90318FC0-D736-47FC-927A-A373593A7296}"/>
  </w:font>
  <w:font w:name="WPSEMBED2">
    <w:panose1 w:val="020B0604020202020204"/>
    <w:charset w:val="86"/>
    <w:family w:val="auto"/>
    <w:pitch w:val="default"/>
    <w:sig w:usb0="FFFFFFFF" w:usb1="E9FFFFFF" w:usb2="0000003F" w:usb3="00000000" w:csb0="603F01FF" w:csb1="FFFF0000"/>
  </w:font>
  <w:font w:name="WPSEMBED3">
    <w:panose1 w:val="02000000000000000000"/>
    <w:charset w:val="86"/>
    <w:family w:val="auto"/>
    <w:pitch w:val="default"/>
    <w:sig w:usb0="00000001" w:usb1="08000000" w:usb2="00000000" w:usb3="00000000" w:csb0="00040000" w:csb1="00000000"/>
  </w:font>
  <w:font w:name="WPSEMBED4">
    <w:panose1 w:val="02010509060101010101"/>
    <w:charset w:val="86"/>
    <w:family w:val="auto"/>
    <w:pitch w:val="default"/>
    <w:sig w:usb0="00000001" w:usb1="080E0000" w:usb2="00000000" w:usb3="00000000" w:csb0="00040000"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941B7">
    <w:pPr>
      <w:pStyle w:val="20"/>
      <w:jc w:val="center"/>
      <w:rPr>
        <w:rFonts w:hint="eastAsia" w:ascii="Calibri" w:hAnsi="Calibri"/>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1A0DF41">
    <w:pPr>
      <w:pStyle w:val="20"/>
      <w:framePr w:wrap="around" w:vAnchor="text" w:hAnchor="margin" w:xAlign="center" w:y="1"/>
      <w:rPr>
        <w:rStyle w:val="33"/>
        <w:rFonts w:ascii="Calibri" w:hAnsi="Calibri"/>
        <w:sz w:val="21"/>
      </w:rPr>
    </w:pPr>
    <w:r>
      <w:rPr>
        <w:rFonts w:ascii="Calibri" w:hAnsi="Calibri"/>
        <w:sz w:val="21"/>
      </w:rPr>
      <w:fldChar w:fldCharType="begin"/>
    </w:r>
    <w:r>
      <w:rPr>
        <w:rStyle w:val="33"/>
        <w:rFonts w:ascii="Calibri" w:hAnsi="Calibri"/>
        <w:sz w:val="21"/>
      </w:rPr>
      <w:instrText xml:space="preserve">PAGE  </w:instrText>
    </w:r>
    <w:r>
      <w:rPr>
        <w:rFonts w:ascii="Calibri" w:hAnsi="Calibri"/>
        <w:sz w:val="21"/>
      </w:rPr>
      <w:fldChar w:fldCharType="separate"/>
    </w:r>
    <w:r>
      <w:rPr>
        <w:rStyle w:val="33"/>
        <w:rFonts w:ascii="Calibri" w:hAnsi="Calibri"/>
        <w:sz w:val="21"/>
      </w:rPr>
      <w:t>0</w:t>
    </w:r>
    <w:r>
      <w:rPr>
        <w:rFonts w:ascii="Calibri" w:hAnsi="Calibri"/>
        <w:sz w:val="21"/>
      </w:rPr>
      <w:fldChar w:fldCharType="end"/>
    </w:r>
  </w:p>
  <w:p w14:paraId="681AA127">
    <w:pPr>
      <w:pStyle w:val="20"/>
      <w:rPr>
        <w:rFonts w:ascii="Calibri" w:hAnsi="Calibri"/>
        <w:sz w:val="21"/>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2B54B2">
    <w:pPr>
      <w:pStyle w:val="20"/>
      <w:tabs>
        <w:tab w:val="center" w:pos="4439"/>
        <w:tab w:val="clear" w:pos="4153"/>
      </w:tabs>
      <w:jc w:val="both"/>
      <w:rPr>
        <w:rFonts w:ascii="Calibri" w:hAnsi="Calibri"/>
      </w:rP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5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35D4FAC">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513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Zc+Rv4QEAAMEDAAAOAAAA&#10;AAAAAAEAIAAAAB4BAABkcnMvZTJvRG9jLnhtbFBLBQYAAAAABgAGAFkBAABxBQAAAAA=&#10;">
              <v:fill on="f" focussize="0,0"/>
              <v:stroke on="f"/>
              <v:imagedata o:title=""/>
              <o:lock v:ext="edit" aspectratio="f"/>
              <v:textbox inset="0mm,0mm,0mm,0mm" style="mso-fit-shape-to-text:t;">
                <w:txbxContent>
                  <w:p w14:paraId="635D4FAC">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5</w:t>
                    </w:r>
                    <w:r>
                      <w:rPr>
                        <w:rFonts w:hint="eastAsia"/>
                        <w:lang w:eastAsia="zh-CN"/>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D33FD0">
    <w:pPr>
      <w:pStyle w:val="20"/>
      <w:tabs>
        <w:tab w:val="center" w:pos="4439"/>
        <w:tab w:val="clear" w:pos="4153"/>
      </w:tabs>
      <w:rPr>
        <w:rFonts w:ascii="Calibri" w:hAnsi="Calibri"/>
      </w:rPr>
    </w:pPr>
    <w:r>
      <w:rPr>
        <w:rFonts w:ascii="Calibri" w:hAnsi="Calibri"/>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51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F3CFD67">
                          <w:pPr>
                            <w:rPr>
                              <w:rFonts w:ascii="Calibri" w:hAnsi="Calibri"/>
                            </w:rPr>
                          </w:pPr>
                        </w:p>
                      </w:txbxContent>
                    </wps:txbx>
                    <wps:bodyPr wrap="none" lIns="0" tIns="0" rIns="0" bIns="0" upright="0">
                      <a:spAutoFit/>
                    </wps:bodyPr>
                  </wps:wsp>
                </a:graphicData>
              </a:graphic>
            </wp:anchor>
          </w:drawing>
        </mc:Choice>
        <mc:Fallback>
          <w:pict>
            <v:shape id="文本框 51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FoSUWDLAQAAnAMAAA4AAAAAAAAAAQAgAAAAHgEAAGRycy9lMm9E&#10;b2MueG1sUEsFBgAAAAAGAAYAWQEAAFsFAAAAAA==&#10;">
              <v:fill on="f" focussize="0,0"/>
              <v:stroke on="f"/>
              <v:imagedata o:title=""/>
              <o:lock v:ext="edit" aspectratio="f"/>
              <v:textbox inset="0mm,0mm,0mm,0mm" style="mso-fit-shape-to-text:t;">
                <w:txbxContent>
                  <w:p w14:paraId="2F3CFD67">
                    <w:pPr>
                      <w:rPr>
                        <w:rFonts w:ascii="Calibri" w:hAnsi="Calibri"/>
                      </w:rPr>
                    </w:pP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FDF3B2C">
    <w:pPr>
      <w:pStyle w:val="20"/>
      <w:jc w:val="center"/>
      <w:rPr>
        <w:rFonts w:ascii="Calibri" w:hAnsi="Calibri"/>
      </w:rP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1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4E798CA">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wps:txbx>
                    <wps:bodyPr vert="horz" wrap="none" lIns="0" tIns="0" rIns="0" bIns="0" anchor="t" anchorCtr="0" upright="0">
                      <a:spAutoFit/>
                    </wps:bodyPr>
                  </wps:wsp>
                </a:graphicData>
              </a:graphic>
            </wp:anchor>
          </w:drawing>
        </mc:Choice>
        <mc:Fallback>
          <w:pict>
            <v:shape id="文本框 513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M6pebnPAAAABQEAAA8AAAAAAAAA&#10;AQAgAAAAIgAAAGRycy9kb3ducmV2LnhtbFBLAQIUABQAAAAIAIdO4kBvougf4QEAAMEDAAAOAAAA&#10;AAAAAAEAIAAAAB4BAABkcnMvZTJvRG9jLnhtbFBLBQYAAAAABgAGAFkBAABxBQAAAAA=&#10;">
              <v:fill on="f" focussize="0,0"/>
              <v:stroke on="f"/>
              <v:imagedata o:title=""/>
              <o:lock v:ext="edit" aspectratio="f"/>
              <v:textbox inset="0mm,0mm,0mm,0mm" style="mso-fit-shape-to-text:t;">
                <w:txbxContent>
                  <w:p w14:paraId="04E798CA">
                    <w:pPr>
                      <w:pStyle w:val="20"/>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6</w:t>
                    </w:r>
                    <w:r>
                      <w:rPr>
                        <w:rFonts w:hint="eastAsia"/>
                        <w:lang w:eastAsia="zh-CN"/>
                      </w:rPr>
                      <w:fldChar w:fldCharType="end"/>
                    </w:r>
                  </w:p>
                </w:txbxContent>
              </v:textbox>
            </v:shape>
          </w:pict>
        </mc:Fallback>
      </mc:AlternateContent>
    </w:r>
  </w:p>
  <w:p w14:paraId="3530438F">
    <w:pPr>
      <w:pStyle w:val="20"/>
      <w:rPr>
        <w:rFonts w:ascii="Calibri" w:hAnsi="Calibri"/>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6F29EA5">
    <w:pPr>
      <w:pStyle w:val="2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51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1FD4A1">
                          <w:pPr>
                            <w:pStyle w:val="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wrap="none" lIns="0" tIns="0" rIns="0" bIns="0" upright="0">
                      <a:spAutoFit/>
                    </wps:bodyPr>
                  </wps:wsp>
                </a:graphicData>
              </a:graphic>
            </wp:anchor>
          </w:drawing>
        </mc:Choice>
        <mc:Fallback>
          <w:pict>
            <v:shape id="文本框 5121"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zql5uc8AAAAFAQAADwAAAAAAAAABACAAAAAiAAAAZHJzL2Rvd25yZXYu&#10;eG1sUEsBAhQAFAAAAAgAh07iQJaBIY3LAQAAnAMAAA4AAAAAAAAAAQAgAAAAHgEAAGRycy9lMm9E&#10;b2MueG1sUEsFBgAAAAAGAAYAWQEAAFsFAAAAAA==&#10;">
              <v:fill on="f" focussize="0,0"/>
              <v:stroke on="f"/>
              <v:imagedata o:title=""/>
              <o:lock v:ext="edit" aspectratio="f"/>
              <v:textbox inset="0mm,0mm,0mm,0mm" style="mso-fit-shape-to-text:t;">
                <w:txbxContent>
                  <w:p w14:paraId="601FD4A1">
                    <w:pPr>
                      <w:pStyle w:val="20"/>
                      <w:jc w:val="center"/>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p w14:paraId="62965853">
    <w:pPr>
      <w:pStyle w:val="2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F83FFC">
    <w:pPr>
      <w:pStyle w:val="21"/>
      <w:tabs>
        <w:tab w:val="center" w:pos="0"/>
        <w:tab w:val="clear" w:pos="4153"/>
      </w:tabs>
      <w:rPr>
        <w:rFonts w:ascii="Calibri" w:hAnsi="Calibri"/>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FFC2DF">
    <w:pPr>
      <w:pStyle w:val="21"/>
      <w:rPr>
        <w:rFonts w:hint="eastAsia"/>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A1158A8">
    <w:pPr>
      <w:pStyle w:val="21"/>
      <w:tabs>
        <w:tab w:val="center" w:pos="0"/>
        <w:tab w:val="clear" w:pos="4153"/>
      </w:tabs>
      <w:rPr>
        <w:rFonts w:ascii="Calibri" w:hAnsi="Calibri"/>
      </w:rPr>
    </w:pPr>
    <w:r>
      <w:rPr>
        <w:rFonts w:hint="eastAsia" w:ascii="Calibri" w:hAnsi="Calibri"/>
      </w:rPr>
      <w:t>南宁市政府采购竞争性磋商采购文件（项目编号：NNZC2021-C3--KLZB）</w:t>
    </w:r>
  </w:p>
  <w:p w14:paraId="4DBED829">
    <w:pPr>
      <w:pStyle w:val="21"/>
      <w:pBdr>
        <w:bottom w:val="none" w:color="auto" w:sz="0" w:space="1"/>
      </w:pBdr>
      <w:rPr>
        <w:rFonts w:ascii="Calibri" w:hAnsi="Calibri"/>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256C40">
    <w:pPr>
      <w:pStyle w:val="21"/>
      <w:tabs>
        <w:tab w:val="center" w:pos="0"/>
        <w:tab w:val="clear" w:pos="4153"/>
      </w:tabs>
    </w:pPr>
    <w:r>
      <w:rPr>
        <w:vanish/>
        <w:highlight w:val="yellow"/>
      </w:rPr>
      <w:t>&gt;</w:t>
    </w:r>
  </w:p>
  <w:p w14:paraId="503E808E">
    <w:pPr>
      <w:pStyle w:val="21"/>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000B"/>
    <w:multiLevelType w:val="multilevel"/>
    <w:tmpl w:val="0000000B"/>
    <w:lvl w:ilvl="0" w:tentative="0">
      <w:start w:val="1"/>
      <w:numFmt w:val="decimal"/>
      <w:lvlText w:val="（%1）"/>
      <w:lvlJc w:val="left"/>
      <w:pPr>
        <w:tabs>
          <w:tab w:val="left" w:pos="1140"/>
        </w:tabs>
        <w:ind w:left="1140" w:hanging="720"/>
      </w:pPr>
      <w:rPr>
        <w:rFonts w:ascii="宋体" w:hAnsi="宋体" w:eastAsia="宋体" w:cs="Times New Roman"/>
      </w:r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saveSubset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hdrShapeDefaults>
    <o:shapelayout v:ext="edit">
      <o:idmap v:ext="edit" data="1,3,4,5,6,7"/>
    </o:shapelayout>
  </w:hdrShapeDefaults>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mI5ZGY0NGQ5OGEyODUzY2E3MWM2YjNkMTgwZWQ4MjkifQ=="/>
  </w:docVars>
  <w:rsids>
    <w:rsidRoot w:val="00F34B14"/>
    <w:rsid w:val="00000672"/>
    <w:rsid w:val="00001013"/>
    <w:rsid w:val="00001799"/>
    <w:rsid w:val="00001AF2"/>
    <w:rsid w:val="00001ECA"/>
    <w:rsid w:val="00002D29"/>
    <w:rsid w:val="00003B93"/>
    <w:rsid w:val="0000474D"/>
    <w:rsid w:val="00004EEE"/>
    <w:rsid w:val="00005FDF"/>
    <w:rsid w:val="000070B3"/>
    <w:rsid w:val="000076B8"/>
    <w:rsid w:val="0001047A"/>
    <w:rsid w:val="000109DC"/>
    <w:rsid w:val="00010D39"/>
    <w:rsid w:val="0001172C"/>
    <w:rsid w:val="00011A4D"/>
    <w:rsid w:val="00011BC9"/>
    <w:rsid w:val="00012854"/>
    <w:rsid w:val="00012EA6"/>
    <w:rsid w:val="00013359"/>
    <w:rsid w:val="000139CF"/>
    <w:rsid w:val="00013AA4"/>
    <w:rsid w:val="00013DFE"/>
    <w:rsid w:val="000141EA"/>
    <w:rsid w:val="00015094"/>
    <w:rsid w:val="00016ABC"/>
    <w:rsid w:val="000177DB"/>
    <w:rsid w:val="000179C9"/>
    <w:rsid w:val="00017CCC"/>
    <w:rsid w:val="00020227"/>
    <w:rsid w:val="00020263"/>
    <w:rsid w:val="00020455"/>
    <w:rsid w:val="00020527"/>
    <w:rsid w:val="00020813"/>
    <w:rsid w:val="000220B2"/>
    <w:rsid w:val="0002264C"/>
    <w:rsid w:val="00022731"/>
    <w:rsid w:val="00022792"/>
    <w:rsid w:val="00024463"/>
    <w:rsid w:val="00025461"/>
    <w:rsid w:val="00025636"/>
    <w:rsid w:val="00025E36"/>
    <w:rsid w:val="00026855"/>
    <w:rsid w:val="00026886"/>
    <w:rsid w:val="0002785D"/>
    <w:rsid w:val="000329E0"/>
    <w:rsid w:val="000352E9"/>
    <w:rsid w:val="00035494"/>
    <w:rsid w:val="00036125"/>
    <w:rsid w:val="00036A07"/>
    <w:rsid w:val="0003780B"/>
    <w:rsid w:val="00040571"/>
    <w:rsid w:val="00040973"/>
    <w:rsid w:val="0004156E"/>
    <w:rsid w:val="00041713"/>
    <w:rsid w:val="0004440C"/>
    <w:rsid w:val="00046B5E"/>
    <w:rsid w:val="000470CB"/>
    <w:rsid w:val="000509D9"/>
    <w:rsid w:val="00051ACB"/>
    <w:rsid w:val="000533E7"/>
    <w:rsid w:val="00055D41"/>
    <w:rsid w:val="00057CD6"/>
    <w:rsid w:val="00060DCE"/>
    <w:rsid w:val="000610E3"/>
    <w:rsid w:val="000614F3"/>
    <w:rsid w:val="000623B4"/>
    <w:rsid w:val="00062405"/>
    <w:rsid w:val="000634A7"/>
    <w:rsid w:val="00063B0B"/>
    <w:rsid w:val="00063F81"/>
    <w:rsid w:val="00064847"/>
    <w:rsid w:val="00065E08"/>
    <w:rsid w:val="000673E2"/>
    <w:rsid w:val="0007063F"/>
    <w:rsid w:val="000707FD"/>
    <w:rsid w:val="00070949"/>
    <w:rsid w:val="000711E4"/>
    <w:rsid w:val="000724D9"/>
    <w:rsid w:val="00072AED"/>
    <w:rsid w:val="00073F47"/>
    <w:rsid w:val="0007492F"/>
    <w:rsid w:val="00074ED8"/>
    <w:rsid w:val="00075B7E"/>
    <w:rsid w:val="00077ACA"/>
    <w:rsid w:val="00077C70"/>
    <w:rsid w:val="000813B5"/>
    <w:rsid w:val="00081BA3"/>
    <w:rsid w:val="00081D2E"/>
    <w:rsid w:val="00081F89"/>
    <w:rsid w:val="00082619"/>
    <w:rsid w:val="00082D02"/>
    <w:rsid w:val="00083871"/>
    <w:rsid w:val="00083B91"/>
    <w:rsid w:val="0008473C"/>
    <w:rsid w:val="0008520B"/>
    <w:rsid w:val="000860BD"/>
    <w:rsid w:val="000871B8"/>
    <w:rsid w:val="000916DA"/>
    <w:rsid w:val="00092442"/>
    <w:rsid w:val="000929EF"/>
    <w:rsid w:val="000933BE"/>
    <w:rsid w:val="00093CD4"/>
    <w:rsid w:val="0009560F"/>
    <w:rsid w:val="0009588E"/>
    <w:rsid w:val="000959EE"/>
    <w:rsid w:val="00097183"/>
    <w:rsid w:val="000972CB"/>
    <w:rsid w:val="00097608"/>
    <w:rsid w:val="000A13F3"/>
    <w:rsid w:val="000A23B1"/>
    <w:rsid w:val="000A2B0E"/>
    <w:rsid w:val="000A398F"/>
    <w:rsid w:val="000A3BB7"/>
    <w:rsid w:val="000A448C"/>
    <w:rsid w:val="000A509C"/>
    <w:rsid w:val="000A54A7"/>
    <w:rsid w:val="000A6007"/>
    <w:rsid w:val="000A65A6"/>
    <w:rsid w:val="000A70E3"/>
    <w:rsid w:val="000A7275"/>
    <w:rsid w:val="000A7A12"/>
    <w:rsid w:val="000A7A72"/>
    <w:rsid w:val="000B1202"/>
    <w:rsid w:val="000B1801"/>
    <w:rsid w:val="000B1D0C"/>
    <w:rsid w:val="000B2273"/>
    <w:rsid w:val="000B2585"/>
    <w:rsid w:val="000B2BC6"/>
    <w:rsid w:val="000B2D03"/>
    <w:rsid w:val="000B3815"/>
    <w:rsid w:val="000B3C7B"/>
    <w:rsid w:val="000B4321"/>
    <w:rsid w:val="000B552E"/>
    <w:rsid w:val="000B6A6B"/>
    <w:rsid w:val="000B6C95"/>
    <w:rsid w:val="000B79FC"/>
    <w:rsid w:val="000B7BD1"/>
    <w:rsid w:val="000C02B1"/>
    <w:rsid w:val="000C1679"/>
    <w:rsid w:val="000C1EE3"/>
    <w:rsid w:val="000C3AE7"/>
    <w:rsid w:val="000C3CC9"/>
    <w:rsid w:val="000C6DE4"/>
    <w:rsid w:val="000C7202"/>
    <w:rsid w:val="000D0A89"/>
    <w:rsid w:val="000D1389"/>
    <w:rsid w:val="000D1798"/>
    <w:rsid w:val="000D2626"/>
    <w:rsid w:val="000D291C"/>
    <w:rsid w:val="000D3FB6"/>
    <w:rsid w:val="000D411D"/>
    <w:rsid w:val="000D4589"/>
    <w:rsid w:val="000D4809"/>
    <w:rsid w:val="000D73DD"/>
    <w:rsid w:val="000E1C51"/>
    <w:rsid w:val="000E28AB"/>
    <w:rsid w:val="000E2E3E"/>
    <w:rsid w:val="000E3583"/>
    <w:rsid w:val="000E3AF0"/>
    <w:rsid w:val="000E4E04"/>
    <w:rsid w:val="000E693B"/>
    <w:rsid w:val="000E6EC9"/>
    <w:rsid w:val="000E70B4"/>
    <w:rsid w:val="000E7B62"/>
    <w:rsid w:val="000F0E1E"/>
    <w:rsid w:val="000F17E5"/>
    <w:rsid w:val="000F1A1B"/>
    <w:rsid w:val="000F2A95"/>
    <w:rsid w:val="000F3281"/>
    <w:rsid w:val="000F32FD"/>
    <w:rsid w:val="000F3733"/>
    <w:rsid w:val="000F5F8B"/>
    <w:rsid w:val="000F6153"/>
    <w:rsid w:val="000F63C8"/>
    <w:rsid w:val="000F64AA"/>
    <w:rsid w:val="000F7AF4"/>
    <w:rsid w:val="000F7C33"/>
    <w:rsid w:val="000F7F0C"/>
    <w:rsid w:val="001004D6"/>
    <w:rsid w:val="00102676"/>
    <w:rsid w:val="00103646"/>
    <w:rsid w:val="00103918"/>
    <w:rsid w:val="00104897"/>
    <w:rsid w:val="00104EDE"/>
    <w:rsid w:val="00105CDA"/>
    <w:rsid w:val="00106BEE"/>
    <w:rsid w:val="00107C74"/>
    <w:rsid w:val="0011091C"/>
    <w:rsid w:val="00111266"/>
    <w:rsid w:val="001112EB"/>
    <w:rsid w:val="00112768"/>
    <w:rsid w:val="00113678"/>
    <w:rsid w:val="00113C3E"/>
    <w:rsid w:val="00115E11"/>
    <w:rsid w:val="00115EEE"/>
    <w:rsid w:val="00115F56"/>
    <w:rsid w:val="00116CA9"/>
    <w:rsid w:val="00116F38"/>
    <w:rsid w:val="001170A4"/>
    <w:rsid w:val="00117AE7"/>
    <w:rsid w:val="00117CBD"/>
    <w:rsid w:val="0012006A"/>
    <w:rsid w:val="00121979"/>
    <w:rsid w:val="00122064"/>
    <w:rsid w:val="00124341"/>
    <w:rsid w:val="00124492"/>
    <w:rsid w:val="00124B12"/>
    <w:rsid w:val="001250A0"/>
    <w:rsid w:val="001263B8"/>
    <w:rsid w:val="0012763E"/>
    <w:rsid w:val="00130217"/>
    <w:rsid w:val="00130783"/>
    <w:rsid w:val="00130A47"/>
    <w:rsid w:val="00130D7C"/>
    <w:rsid w:val="00132B47"/>
    <w:rsid w:val="001337F8"/>
    <w:rsid w:val="001348B4"/>
    <w:rsid w:val="001351CB"/>
    <w:rsid w:val="00135530"/>
    <w:rsid w:val="00135947"/>
    <w:rsid w:val="001359A2"/>
    <w:rsid w:val="00135F92"/>
    <w:rsid w:val="00136020"/>
    <w:rsid w:val="00136445"/>
    <w:rsid w:val="00140132"/>
    <w:rsid w:val="00141C9C"/>
    <w:rsid w:val="0014277F"/>
    <w:rsid w:val="001434BE"/>
    <w:rsid w:val="00144050"/>
    <w:rsid w:val="0014479F"/>
    <w:rsid w:val="001452B4"/>
    <w:rsid w:val="00145320"/>
    <w:rsid w:val="001476D3"/>
    <w:rsid w:val="001509CF"/>
    <w:rsid w:val="00150D1D"/>
    <w:rsid w:val="001525AA"/>
    <w:rsid w:val="00152A87"/>
    <w:rsid w:val="00153BB5"/>
    <w:rsid w:val="00154518"/>
    <w:rsid w:val="00156359"/>
    <w:rsid w:val="001568F3"/>
    <w:rsid w:val="00156DD6"/>
    <w:rsid w:val="0016086E"/>
    <w:rsid w:val="00160D0C"/>
    <w:rsid w:val="00161172"/>
    <w:rsid w:val="00161998"/>
    <w:rsid w:val="00161E65"/>
    <w:rsid w:val="00162597"/>
    <w:rsid w:val="001629AF"/>
    <w:rsid w:val="001629FD"/>
    <w:rsid w:val="0016428A"/>
    <w:rsid w:val="001647C9"/>
    <w:rsid w:val="001655B2"/>
    <w:rsid w:val="00165627"/>
    <w:rsid w:val="00165929"/>
    <w:rsid w:val="001661A3"/>
    <w:rsid w:val="00167226"/>
    <w:rsid w:val="0016782B"/>
    <w:rsid w:val="0016784D"/>
    <w:rsid w:val="00172CA8"/>
    <w:rsid w:val="00173256"/>
    <w:rsid w:val="00173B0E"/>
    <w:rsid w:val="00173E03"/>
    <w:rsid w:val="00174182"/>
    <w:rsid w:val="0017512C"/>
    <w:rsid w:val="0017586A"/>
    <w:rsid w:val="00175BA6"/>
    <w:rsid w:val="00176CA7"/>
    <w:rsid w:val="00176F8E"/>
    <w:rsid w:val="001778C5"/>
    <w:rsid w:val="00177E56"/>
    <w:rsid w:val="00177F0A"/>
    <w:rsid w:val="00180DA0"/>
    <w:rsid w:val="00181EAD"/>
    <w:rsid w:val="00181F43"/>
    <w:rsid w:val="00182862"/>
    <w:rsid w:val="00184F57"/>
    <w:rsid w:val="00185544"/>
    <w:rsid w:val="00185617"/>
    <w:rsid w:val="00186823"/>
    <w:rsid w:val="00186FE1"/>
    <w:rsid w:val="00187A14"/>
    <w:rsid w:val="0019171E"/>
    <w:rsid w:val="00192368"/>
    <w:rsid w:val="001923A0"/>
    <w:rsid w:val="001928B1"/>
    <w:rsid w:val="00193537"/>
    <w:rsid w:val="00193846"/>
    <w:rsid w:val="00194EC8"/>
    <w:rsid w:val="00195424"/>
    <w:rsid w:val="001955FF"/>
    <w:rsid w:val="00196D6E"/>
    <w:rsid w:val="00197EDD"/>
    <w:rsid w:val="001A02B3"/>
    <w:rsid w:val="001A04BB"/>
    <w:rsid w:val="001A08D0"/>
    <w:rsid w:val="001A1B39"/>
    <w:rsid w:val="001A2120"/>
    <w:rsid w:val="001A28C6"/>
    <w:rsid w:val="001A2E69"/>
    <w:rsid w:val="001A3C34"/>
    <w:rsid w:val="001A3EDE"/>
    <w:rsid w:val="001A4222"/>
    <w:rsid w:val="001A50EA"/>
    <w:rsid w:val="001A5BA2"/>
    <w:rsid w:val="001A5E24"/>
    <w:rsid w:val="001A6B27"/>
    <w:rsid w:val="001A6D8B"/>
    <w:rsid w:val="001A6DAA"/>
    <w:rsid w:val="001A7717"/>
    <w:rsid w:val="001A793A"/>
    <w:rsid w:val="001B125A"/>
    <w:rsid w:val="001B1EBA"/>
    <w:rsid w:val="001B2142"/>
    <w:rsid w:val="001B2F2B"/>
    <w:rsid w:val="001B327A"/>
    <w:rsid w:val="001B35DE"/>
    <w:rsid w:val="001B3A13"/>
    <w:rsid w:val="001B3F5C"/>
    <w:rsid w:val="001B59FF"/>
    <w:rsid w:val="001B6512"/>
    <w:rsid w:val="001B65D7"/>
    <w:rsid w:val="001B6752"/>
    <w:rsid w:val="001B6768"/>
    <w:rsid w:val="001B6F1F"/>
    <w:rsid w:val="001B7CD7"/>
    <w:rsid w:val="001B7ECC"/>
    <w:rsid w:val="001C025B"/>
    <w:rsid w:val="001C115F"/>
    <w:rsid w:val="001C1EAB"/>
    <w:rsid w:val="001C25A7"/>
    <w:rsid w:val="001C318C"/>
    <w:rsid w:val="001C35C4"/>
    <w:rsid w:val="001C4287"/>
    <w:rsid w:val="001C4479"/>
    <w:rsid w:val="001C5190"/>
    <w:rsid w:val="001C6081"/>
    <w:rsid w:val="001C7B48"/>
    <w:rsid w:val="001D0CFB"/>
    <w:rsid w:val="001D1A0D"/>
    <w:rsid w:val="001D343C"/>
    <w:rsid w:val="001D34F5"/>
    <w:rsid w:val="001D56FC"/>
    <w:rsid w:val="001D58A1"/>
    <w:rsid w:val="001D58C2"/>
    <w:rsid w:val="001D5A8A"/>
    <w:rsid w:val="001D61CA"/>
    <w:rsid w:val="001D6E87"/>
    <w:rsid w:val="001D735E"/>
    <w:rsid w:val="001D73C8"/>
    <w:rsid w:val="001D7BC6"/>
    <w:rsid w:val="001E129E"/>
    <w:rsid w:val="001E175C"/>
    <w:rsid w:val="001E1B0E"/>
    <w:rsid w:val="001E3B63"/>
    <w:rsid w:val="001E522E"/>
    <w:rsid w:val="001E5A94"/>
    <w:rsid w:val="001E5F6F"/>
    <w:rsid w:val="001F0373"/>
    <w:rsid w:val="001F2A2E"/>
    <w:rsid w:val="001F3356"/>
    <w:rsid w:val="001F3C63"/>
    <w:rsid w:val="001F4460"/>
    <w:rsid w:val="001F4F4F"/>
    <w:rsid w:val="001F711A"/>
    <w:rsid w:val="001F75B0"/>
    <w:rsid w:val="00200CE5"/>
    <w:rsid w:val="00200F7C"/>
    <w:rsid w:val="002014DB"/>
    <w:rsid w:val="0020150B"/>
    <w:rsid w:val="00201E12"/>
    <w:rsid w:val="002033B5"/>
    <w:rsid w:val="0020382C"/>
    <w:rsid w:val="0020437A"/>
    <w:rsid w:val="0020454C"/>
    <w:rsid w:val="00204740"/>
    <w:rsid w:val="00205129"/>
    <w:rsid w:val="0020521F"/>
    <w:rsid w:val="0020532C"/>
    <w:rsid w:val="002114C7"/>
    <w:rsid w:val="0021302C"/>
    <w:rsid w:val="00213B1C"/>
    <w:rsid w:val="00214202"/>
    <w:rsid w:val="002148E3"/>
    <w:rsid w:val="0021552D"/>
    <w:rsid w:val="002156AE"/>
    <w:rsid w:val="00215E99"/>
    <w:rsid w:val="0022054D"/>
    <w:rsid w:val="00223DDB"/>
    <w:rsid w:val="00223FA4"/>
    <w:rsid w:val="00223FB0"/>
    <w:rsid w:val="00224067"/>
    <w:rsid w:val="0022421C"/>
    <w:rsid w:val="00224E83"/>
    <w:rsid w:val="00225664"/>
    <w:rsid w:val="0022663D"/>
    <w:rsid w:val="00227F2D"/>
    <w:rsid w:val="00230179"/>
    <w:rsid w:val="00231851"/>
    <w:rsid w:val="002319FB"/>
    <w:rsid w:val="00231B89"/>
    <w:rsid w:val="00231F11"/>
    <w:rsid w:val="00231F5E"/>
    <w:rsid w:val="002346B4"/>
    <w:rsid w:val="00234F6E"/>
    <w:rsid w:val="002355BE"/>
    <w:rsid w:val="002358EA"/>
    <w:rsid w:val="00236578"/>
    <w:rsid w:val="00236DE9"/>
    <w:rsid w:val="00237342"/>
    <w:rsid w:val="00237D5A"/>
    <w:rsid w:val="002415AE"/>
    <w:rsid w:val="00241D3C"/>
    <w:rsid w:val="00242109"/>
    <w:rsid w:val="00243189"/>
    <w:rsid w:val="002439AB"/>
    <w:rsid w:val="00243C19"/>
    <w:rsid w:val="00244AE8"/>
    <w:rsid w:val="00244DC9"/>
    <w:rsid w:val="00245587"/>
    <w:rsid w:val="00245F2B"/>
    <w:rsid w:val="00247F3A"/>
    <w:rsid w:val="00250122"/>
    <w:rsid w:val="00250755"/>
    <w:rsid w:val="00250A51"/>
    <w:rsid w:val="00251043"/>
    <w:rsid w:val="00251C4A"/>
    <w:rsid w:val="0025271C"/>
    <w:rsid w:val="002529E4"/>
    <w:rsid w:val="002533CD"/>
    <w:rsid w:val="002535EA"/>
    <w:rsid w:val="00254EAB"/>
    <w:rsid w:val="002557AF"/>
    <w:rsid w:val="0025589C"/>
    <w:rsid w:val="00255B62"/>
    <w:rsid w:val="002566B1"/>
    <w:rsid w:val="002575E3"/>
    <w:rsid w:val="00257A74"/>
    <w:rsid w:val="002603C1"/>
    <w:rsid w:val="002609A1"/>
    <w:rsid w:val="002612B1"/>
    <w:rsid w:val="00266165"/>
    <w:rsid w:val="002662FE"/>
    <w:rsid w:val="00266F2C"/>
    <w:rsid w:val="0027125E"/>
    <w:rsid w:val="00271767"/>
    <w:rsid w:val="00272293"/>
    <w:rsid w:val="002723C8"/>
    <w:rsid w:val="00273C2A"/>
    <w:rsid w:val="00273CBE"/>
    <w:rsid w:val="002746B1"/>
    <w:rsid w:val="00274BAD"/>
    <w:rsid w:val="002754D6"/>
    <w:rsid w:val="00282D56"/>
    <w:rsid w:val="002835B0"/>
    <w:rsid w:val="00283C74"/>
    <w:rsid w:val="0028407E"/>
    <w:rsid w:val="0028410F"/>
    <w:rsid w:val="00284572"/>
    <w:rsid w:val="00285221"/>
    <w:rsid w:val="00286FB5"/>
    <w:rsid w:val="00287763"/>
    <w:rsid w:val="00287FCB"/>
    <w:rsid w:val="00290606"/>
    <w:rsid w:val="002909B2"/>
    <w:rsid w:val="00291D6D"/>
    <w:rsid w:val="00291FF1"/>
    <w:rsid w:val="00292AA2"/>
    <w:rsid w:val="00293361"/>
    <w:rsid w:val="002952B1"/>
    <w:rsid w:val="00295D11"/>
    <w:rsid w:val="00296FB6"/>
    <w:rsid w:val="002A0001"/>
    <w:rsid w:val="002A0BD9"/>
    <w:rsid w:val="002A0C3A"/>
    <w:rsid w:val="002A1130"/>
    <w:rsid w:val="002A1880"/>
    <w:rsid w:val="002A23B7"/>
    <w:rsid w:val="002A3A57"/>
    <w:rsid w:val="002A4B4F"/>
    <w:rsid w:val="002A57A8"/>
    <w:rsid w:val="002A6DEF"/>
    <w:rsid w:val="002A6E42"/>
    <w:rsid w:val="002A770B"/>
    <w:rsid w:val="002B013E"/>
    <w:rsid w:val="002B058D"/>
    <w:rsid w:val="002B0C16"/>
    <w:rsid w:val="002B2AC5"/>
    <w:rsid w:val="002B3528"/>
    <w:rsid w:val="002B3539"/>
    <w:rsid w:val="002B4532"/>
    <w:rsid w:val="002B4625"/>
    <w:rsid w:val="002B5042"/>
    <w:rsid w:val="002B69CC"/>
    <w:rsid w:val="002B6D71"/>
    <w:rsid w:val="002C0C1C"/>
    <w:rsid w:val="002C54C2"/>
    <w:rsid w:val="002C5D34"/>
    <w:rsid w:val="002C5D7F"/>
    <w:rsid w:val="002C60BB"/>
    <w:rsid w:val="002C661A"/>
    <w:rsid w:val="002D0D6F"/>
    <w:rsid w:val="002D25FC"/>
    <w:rsid w:val="002D269B"/>
    <w:rsid w:val="002D4AC6"/>
    <w:rsid w:val="002D5BF5"/>
    <w:rsid w:val="002D5E95"/>
    <w:rsid w:val="002D5EE8"/>
    <w:rsid w:val="002D7360"/>
    <w:rsid w:val="002D7648"/>
    <w:rsid w:val="002D780A"/>
    <w:rsid w:val="002E109C"/>
    <w:rsid w:val="002E193E"/>
    <w:rsid w:val="002E1A94"/>
    <w:rsid w:val="002E1D55"/>
    <w:rsid w:val="002E26C4"/>
    <w:rsid w:val="002E30A5"/>
    <w:rsid w:val="002E47E4"/>
    <w:rsid w:val="002E4BF9"/>
    <w:rsid w:val="002E4D61"/>
    <w:rsid w:val="002E5FED"/>
    <w:rsid w:val="002E68A7"/>
    <w:rsid w:val="002E6E6C"/>
    <w:rsid w:val="002F0522"/>
    <w:rsid w:val="002F0B85"/>
    <w:rsid w:val="002F16DD"/>
    <w:rsid w:val="002F199D"/>
    <w:rsid w:val="002F213C"/>
    <w:rsid w:val="002F2453"/>
    <w:rsid w:val="002F352D"/>
    <w:rsid w:val="002F381E"/>
    <w:rsid w:val="002F4084"/>
    <w:rsid w:val="002F4A08"/>
    <w:rsid w:val="002F4ADB"/>
    <w:rsid w:val="002F531E"/>
    <w:rsid w:val="002F548D"/>
    <w:rsid w:val="002F5ACC"/>
    <w:rsid w:val="002F704B"/>
    <w:rsid w:val="002F72C3"/>
    <w:rsid w:val="002F768C"/>
    <w:rsid w:val="002F7D1E"/>
    <w:rsid w:val="00300201"/>
    <w:rsid w:val="0030025A"/>
    <w:rsid w:val="00301ADC"/>
    <w:rsid w:val="00302EFC"/>
    <w:rsid w:val="00303243"/>
    <w:rsid w:val="00303BCC"/>
    <w:rsid w:val="00303F2B"/>
    <w:rsid w:val="00303F8D"/>
    <w:rsid w:val="0030572D"/>
    <w:rsid w:val="0030586A"/>
    <w:rsid w:val="0030622D"/>
    <w:rsid w:val="00306811"/>
    <w:rsid w:val="00306F32"/>
    <w:rsid w:val="003074C5"/>
    <w:rsid w:val="00307A3C"/>
    <w:rsid w:val="00307FA4"/>
    <w:rsid w:val="00310290"/>
    <w:rsid w:val="0031083D"/>
    <w:rsid w:val="00310CC1"/>
    <w:rsid w:val="00311B60"/>
    <w:rsid w:val="00312504"/>
    <w:rsid w:val="00313026"/>
    <w:rsid w:val="00313913"/>
    <w:rsid w:val="0031421F"/>
    <w:rsid w:val="00314B31"/>
    <w:rsid w:val="00315A65"/>
    <w:rsid w:val="003165D7"/>
    <w:rsid w:val="00317BA7"/>
    <w:rsid w:val="00320BE2"/>
    <w:rsid w:val="00321886"/>
    <w:rsid w:val="00323694"/>
    <w:rsid w:val="00323BE7"/>
    <w:rsid w:val="00324C3A"/>
    <w:rsid w:val="00324D63"/>
    <w:rsid w:val="003255AF"/>
    <w:rsid w:val="003256EB"/>
    <w:rsid w:val="003259DB"/>
    <w:rsid w:val="003314D9"/>
    <w:rsid w:val="00331653"/>
    <w:rsid w:val="00331A48"/>
    <w:rsid w:val="00331BCC"/>
    <w:rsid w:val="003330C9"/>
    <w:rsid w:val="0033364C"/>
    <w:rsid w:val="00334415"/>
    <w:rsid w:val="00335EA1"/>
    <w:rsid w:val="0033691E"/>
    <w:rsid w:val="00336A6A"/>
    <w:rsid w:val="00336CCB"/>
    <w:rsid w:val="003411D1"/>
    <w:rsid w:val="003416BA"/>
    <w:rsid w:val="00342148"/>
    <w:rsid w:val="00342F99"/>
    <w:rsid w:val="0034575A"/>
    <w:rsid w:val="00345F57"/>
    <w:rsid w:val="00350458"/>
    <w:rsid w:val="00350E6C"/>
    <w:rsid w:val="003518A6"/>
    <w:rsid w:val="00351E7F"/>
    <w:rsid w:val="00352953"/>
    <w:rsid w:val="00354062"/>
    <w:rsid w:val="0035459E"/>
    <w:rsid w:val="00355C0D"/>
    <w:rsid w:val="003566A9"/>
    <w:rsid w:val="00356988"/>
    <w:rsid w:val="003569D3"/>
    <w:rsid w:val="00356CE9"/>
    <w:rsid w:val="003570BB"/>
    <w:rsid w:val="00357128"/>
    <w:rsid w:val="0035755E"/>
    <w:rsid w:val="00357A80"/>
    <w:rsid w:val="00361441"/>
    <w:rsid w:val="00361B8B"/>
    <w:rsid w:val="00363F39"/>
    <w:rsid w:val="0036445C"/>
    <w:rsid w:val="00364627"/>
    <w:rsid w:val="00364AB0"/>
    <w:rsid w:val="00364D71"/>
    <w:rsid w:val="003667B0"/>
    <w:rsid w:val="003667DD"/>
    <w:rsid w:val="00366B48"/>
    <w:rsid w:val="00367764"/>
    <w:rsid w:val="003701F7"/>
    <w:rsid w:val="00370316"/>
    <w:rsid w:val="00370DC7"/>
    <w:rsid w:val="00371CBD"/>
    <w:rsid w:val="00371F20"/>
    <w:rsid w:val="003721E3"/>
    <w:rsid w:val="00372B98"/>
    <w:rsid w:val="003737B7"/>
    <w:rsid w:val="003740CC"/>
    <w:rsid w:val="003745F4"/>
    <w:rsid w:val="00374E79"/>
    <w:rsid w:val="0037529A"/>
    <w:rsid w:val="00375388"/>
    <w:rsid w:val="00375FB9"/>
    <w:rsid w:val="00376170"/>
    <w:rsid w:val="00376851"/>
    <w:rsid w:val="00376FA2"/>
    <w:rsid w:val="00377A3B"/>
    <w:rsid w:val="00377E3C"/>
    <w:rsid w:val="00380BBE"/>
    <w:rsid w:val="00381D70"/>
    <w:rsid w:val="0038235E"/>
    <w:rsid w:val="003829D0"/>
    <w:rsid w:val="0038326A"/>
    <w:rsid w:val="0038444F"/>
    <w:rsid w:val="003861F0"/>
    <w:rsid w:val="00387051"/>
    <w:rsid w:val="00387ECF"/>
    <w:rsid w:val="0039021B"/>
    <w:rsid w:val="00390429"/>
    <w:rsid w:val="003906A0"/>
    <w:rsid w:val="0039366C"/>
    <w:rsid w:val="00393EC8"/>
    <w:rsid w:val="003950F5"/>
    <w:rsid w:val="0039538F"/>
    <w:rsid w:val="00395E42"/>
    <w:rsid w:val="00396409"/>
    <w:rsid w:val="00396A2D"/>
    <w:rsid w:val="00396FC3"/>
    <w:rsid w:val="003A1A94"/>
    <w:rsid w:val="003A204E"/>
    <w:rsid w:val="003A2D25"/>
    <w:rsid w:val="003A5728"/>
    <w:rsid w:val="003A60E7"/>
    <w:rsid w:val="003A7092"/>
    <w:rsid w:val="003A72A1"/>
    <w:rsid w:val="003A7611"/>
    <w:rsid w:val="003A7D1F"/>
    <w:rsid w:val="003B0B6A"/>
    <w:rsid w:val="003B22F7"/>
    <w:rsid w:val="003B29CF"/>
    <w:rsid w:val="003B3A90"/>
    <w:rsid w:val="003B534F"/>
    <w:rsid w:val="003B5E4F"/>
    <w:rsid w:val="003B7A79"/>
    <w:rsid w:val="003C0FE1"/>
    <w:rsid w:val="003C151A"/>
    <w:rsid w:val="003C350C"/>
    <w:rsid w:val="003C3903"/>
    <w:rsid w:val="003C3BA0"/>
    <w:rsid w:val="003C4580"/>
    <w:rsid w:val="003C5C5E"/>
    <w:rsid w:val="003C6746"/>
    <w:rsid w:val="003C7555"/>
    <w:rsid w:val="003C7898"/>
    <w:rsid w:val="003D0FF5"/>
    <w:rsid w:val="003D11A3"/>
    <w:rsid w:val="003D1537"/>
    <w:rsid w:val="003D183C"/>
    <w:rsid w:val="003D2D1B"/>
    <w:rsid w:val="003D48C7"/>
    <w:rsid w:val="003D4C27"/>
    <w:rsid w:val="003D7109"/>
    <w:rsid w:val="003D7CE8"/>
    <w:rsid w:val="003E0514"/>
    <w:rsid w:val="003E1032"/>
    <w:rsid w:val="003E1904"/>
    <w:rsid w:val="003E285E"/>
    <w:rsid w:val="003E3124"/>
    <w:rsid w:val="003E3300"/>
    <w:rsid w:val="003E43D3"/>
    <w:rsid w:val="003E48E1"/>
    <w:rsid w:val="003E59BB"/>
    <w:rsid w:val="003E6225"/>
    <w:rsid w:val="003E65AC"/>
    <w:rsid w:val="003E66AE"/>
    <w:rsid w:val="003E72B9"/>
    <w:rsid w:val="003E7ED4"/>
    <w:rsid w:val="003F0E52"/>
    <w:rsid w:val="003F0F6B"/>
    <w:rsid w:val="003F1FC6"/>
    <w:rsid w:val="003F1FE3"/>
    <w:rsid w:val="003F2359"/>
    <w:rsid w:val="003F3865"/>
    <w:rsid w:val="003F3D55"/>
    <w:rsid w:val="003F44E2"/>
    <w:rsid w:val="003F4632"/>
    <w:rsid w:val="003F47BA"/>
    <w:rsid w:val="003F4FE6"/>
    <w:rsid w:val="003F5638"/>
    <w:rsid w:val="003F6617"/>
    <w:rsid w:val="00402332"/>
    <w:rsid w:val="004025C2"/>
    <w:rsid w:val="00403195"/>
    <w:rsid w:val="004033A9"/>
    <w:rsid w:val="00403E55"/>
    <w:rsid w:val="0040407C"/>
    <w:rsid w:val="0040416C"/>
    <w:rsid w:val="00404681"/>
    <w:rsid w:val="00405AC1"/>
    <w:rsid w:val="00406923"/>
    <w:rsid w:val="0040763D"/>
    <w:rsid w:val="00410D17"/>
    <w:rsid w:val="00413442"/>
    <w:rsid w:val="00413821"/>
    <w:rsid w:val="00413BA5"/>
    <w:rsid w:val="004141A3"/>
    <w:rsid w:val="00414909"/>
    <w:rsid w:val="0041582F"/>
    <w:rsid w:val="00416112"/>
    <w:rsid w:val="00416AC8"/>
    <w:rsid w:val="00417AE0"/>
    <w:rsid w:val="00417BAA"/>
    <w:rsid w:val="0042042B"/>
    <w:rsid w:val="00420B45"/>
    <w:rsid w:val="00420D7A"/>
    <w:rsid w:val="00421257"/>
    <w:rsid w:val="00422193"/>
    <w:rsid w:val="004223DE"/>
    <w:rsid w:val="00422A10"/>
    <w:rsid w:val="00424D17"/>
    <w:rsid w:val="00425DFD"/>
    <w:rsid w:val="004263A3"/>
    <w:rsid w:val="00427713"/>
    <w:rsid w:val="00427CCC"/>
    <w:rsid w:val="0043013A"/>
    <w:rsid w:val="00430421"/>
    <w:rsid w:val="00430A36"/>
    <w:rsid w:val="00430B4F"/>
    <w:rsid w:val="00431084"/>
    <w:rsid w:val="004310D7"/>
    <w:rsid w:val="004322D6"/>
    <w:rsid w:val="00432589"/>
    <w:rsid w:val="00432A94"/>
    <w:rsid w:val="00432C95"/>
    <w:rsid w:val="00433827"/>
    <w:rsid w:val="00433A40"/>
    <w:rsid w:val="00434B70"/>
    <w:rsid w:val="004360C8"/>
    <w:rsid w:val="004371D5"/>
    <w:rsid w:val="0044006B"/>
    <w:rsid w:val="0044033F"/>
    <w:rsid w:val="00440630"/>
    <w:rsid w:val="00441F0F"/>
    <w:rsid w:val="00442965"/>
    <w:rsid w:val="00444157"/>
    <w:rsid w:val="0044417C"/>
    <w:rsid w:val="00444DB3"/>
    <w:rsid w:val="00445617"/>
    <w:rsid w:val="00445A2F"/>
    <w:rsid w:val="0044684E"/>
    <w:rsid w:val="00446F22"/>
    <w:rsid w:val="0045019F"/>
    <w:rsid w:val="004503A4"/>
    <w:rsid w:val="00450555"/>
    <w:rsid w:val="004506FA"/>
    <w:rsid w:val="00450DC6"/>
    <w:rsid w:val="004516A5"/>
    <w:rsid w:val="00451E9C"/>
    <w:rsid w:val="0045280F"/>
    <w:rsid w:val="004535AE"/>
    <w:rsid w:val="0045444D"/>
    <w:rsid w:val="0045463A"/>
    <w:rsid w:val="00454AC9"/>
    <w:rsid w:val="00455050"/>
    <w:rsid w:val="004554A3"/>
    <w:rsid w:val="00455A6E"/>
    <w:rsid w:val="00455EAD"/>
    <w:rsid w:val="00456783"/>
    <w:rsid w:val="004578EB"/>
    <w:rsid w:val="004604D5"/>
    <w:rsid w:val="00460697"/>
    <w:rsid w:val="0046117B"/>
    <w:rsid w:val="00464AB7"/>
    <w:rsid w:val="00465DE5"/>
    <w:rsid w:val="00467EF8"/>
    <w:rsid w:val="00472429"/>
    <w:rsid w:val="004725E5"/>
    <w:rsid w:val="00472751"/>
    <w:rsid w:val="00473128"/>
    <w:rsid w:val="00473263"/>
    <w:rsid w:val="00475078"/>
    <w:rsid w:val="00475767"/>
    <w:rsid w:val="004779A0"/>
    <w:rsid w:val="004808E3"/>
    <w:rsid w:val="00481016"/>
    <w:rsid w:val="0048204C"/>
    <w:rsid w:val="004821BB"/>
    <w:rsid w:val="004826FE"/>
    <w:rsid w:val="004827D5"/>
    <w:rsid w:val="00482AF2"/>
    <w:rsid w:val="004830C9"/>
    <w:rsid w:val="00483347"/>
    <w:rsid w:val="00483E2E"/>
    <w:rsid w:val="00484B69"/>
    <w:rsid w:val="00485406"/>
    <w:rsid w:val="0048590F"/>
    <w:rsid w:val="00486D60"/>
    <w:rsid w:val="00491FA1"/>
    <w:rsid w:val="00492A25"/>
    <w:rsid w:val="004938A3"/>
    <w:rsid w:val="0049558B"/>
    <w:rsid w:val="00496350"/>
    <w:rsid w:val="0049797C"/>
    <w:rsid w:val="004A00E1"/>
    <w:rsid w:val="004A0943"/>
    <w:rsid w:val="004A1405"/>
    <w:rsid w:val="004A1FC6"/>
    <w:rsid w:val="004A2E5F"/>
    <w:rsid w:val="004A38C2"/>
    <w:rsid w:val="004A3C03"/>
    <w:rsid w:val="004A3DB7"/>
    <w:rsid w:val="004A5088"/>
    <w:rsid w:val="004A5255"/>
    <w:rsid w:val="004A6CB0"/>
    <w:rsid w:val="004A70FF"/>
    <w:rsid w:val="004A7EDE"/>
    <w:rsid w:val="004B0D93"/>
    <w:rsid w:val="004B1FA4"/>
    <w:rsid w:val="004B29AC"/>
    <w:rsid w:val="004B35DF"/>
    <w:rsid w:val="004B3627"/>
    <w:rsid w:val="004B4922"/>
    <w:rsid w:val="004B57DF"/>
    <w:rsid w:val="004B5976"/>
    <w:rsid w:val="004B7137"/>
    <w:rsid w:val="004B722E"/>
    <w:rsid w:val="004B72E8"/>
    <w:rsid w:val="004C01A5"/>
    <w:rsid w:val="004C0412"/>
    <w:rsid w:val="004C1142"/>
    <w:rsid w:val="004C2138"/>
    <w:rsid w:val="004C3940"/>
    <w:rsid w:val="004C51FD"/>
    <w:rsid w:val="004C65A8"/>
    <w:rsid w:val="004C6689"/>
    <w:rsid w:val="004D139A"/>
    <w:rsid w:val="004D14DC"/>
    <w:rsid w:val="004D17C6"/>
    <w:rsid w:val="004D2858"/>
    <w:rsid w:val="004D2E49"/>
    <w:rsid w:val="004D35BA"/>
    <w:rsid w:val="004D38E5"/>
    <w:rsid w:val="004D3C5A"/>
    <w:rsid w:val="004D449A"/>
    <w:rsid w:val="004D4701"/>
    <w:rsid w:val="004D47C7"/>
    <w:rsid w:val="004D4F35"/>
    <w:rsid w:val="004D5D45"/>
    <w:rsid w:val="004D618D"/>
    <w:rsid w:val="004D62A9"/>
    <w:rsid w:val="004D6FC3"/>
    <w:rsid w:val="004D7476"/>
    <w:rsid w:val="004D7716"/>
    <w:rsid w:val="004E0306"/>
    <w:rsid w:val="004E0572"/>
    <w:rsid w:val="004E06D5"/>
    <w:rsid w:val="004E1641"/>
    <w:rsid w:val="004E1818"/>
    <w:rsid w:val="004E1990"/>
    <w:rsid w:val="004E25A8"/>
    <w:rsid w:val="004E3930"/>
    <w:rsid w:val="004E3ED9"/>
    <w:rsid w:val="004E43BF"/>
    <w:rsid w:val="004E5866"/>
    <w:rsid w:val="004E6097"/>
    <w:rsid w:val="004E61EF"/>
    <w:rsid w:val="004E63C6"/>
    <w:rsid w:val="004E76A7"/>
    <w:rsid w:val="004E7B03"/>
    <w:rsid w:val="004F0064"/>
    <w:rsid w:val="004F06AC"/>
    <w:rsid w:val="004F1D2A"/>
    <w:rsid w:val="004F243F"/>
    <w:rsid w:val="004F252C"/>
    <w:rsid w:val="004F36A3"/>
    <w:rsid w:val="004F3E0C"/>
    <w:rsid w:val="004F4308"/>
    <w:rsid w:val="004F7160"/>
    <w:rsid w:val="00500258"/>
    <w:rsid w:val="00500B2D"/>
    <w:rsid w:val="00501A99"/>
    <w:rsid w:val="00503180"/>
    <w:rsid w:val="005038A4"/>
    <w:rsid w:val="00505450"/>
    <w:rsid w:val="005100B7"/>
    <w:rsid w:val="005113C9"/>
    <w:rsid w:val="00512050"/>
    <w:rsid w:val="00512055"/>
    <w:rsid w:val="0051280C"/>
    <w:rsid w:val="00512842"/>
    <w:rsid w:val="005128BE"/>
    <w:rsid w:val="0051356F"/>
    <w:rsid w:val="00513E7C"/>
    <w:rsid w:val="005140BB"/>
    <w:rsid w:val="00514FBE"/>
    <w:rsid w:val="00514FD9"/>
    <w:rsid w:val="0051550A"/>
    <w:rsid w:val="0051608F"/>
    <w:rsid w:val="00520EF8"/>
    <w:rsid w:val="005210F7"/>
    <w:rsid w:val="00521753"/>
    <w:rsid w:val="0052239D"/>
    <w:rsid w:val="005224EE"/>
    <w:rsid w:val="005225F6"/>
    <w:rsid w:val="00522879"/>
    <w:rsid w:val="00523BB1"/>
    <w:rsid w:val="0052570E"/>
    <w:rsid w:val="005260CD"/>
    <w:rsid w:val="00526265"/>
    <w:rsid w:val="0052655D"/>
    <w:rsid w:val="005265E0"/>
    <w:rsid w:val="00526BC3"/>
    <w:rsid w:val="00531761"/>
    <w:rsid w:val="0053248F"/>
    <w:rsid w:val="0053332A"/>
    <w:rsid w:val="0053358A"/>
    <w:rsid w:val="00534668"/>
    <w:rsid w:val="00534DDD"/>
    <w:rsid w:val="00535291"/>
    <w:rsid w:val="00535A94"/>
    <w:rsid w:val="00537874"/>
    <w:rsid w:val="0053795F"/>
    <w:rsid w:val="00537D3D"/>
    <w:rsid w:val="00540511"/>
    <w:rsid w:val="00540578"/>
    <w:rsid w:val="00540808"/>
    <w:rsid w:val="0054080E"/>
    <w:rsid w:val="00540EA1"/>
    <w:rsid w:val="0054358E"/>
    <w:rsid w:val="00543AF4"/>
    <w:rsid w:val="00544191"/>
    <w:rsid w:val="0054440C"/>
    <w:rsid w:val="005448EC"/>
    <w:rsid w:val="00544C0A"/>
    <w:rsid w:val="00544F39"/>
    <w:rsid w:val="00546F90"/>
    <w:rsid w:val="00547EFB"/>
    <w:rsid w:val="005522F2"/>
    <w:rsid w:val="005531DF"/>
    <w:rsid w:val="00553874"/>
    <w:rsid w:val="00554577"/>
    <w:rsid w:val="00554AD8"/>
    <w:rsid w:val="00554F78"/>
    <w:rsid w:val="00555DA1"/>
    <w:rsid w:val="00556BF7"/>
    <w:rsid w:val="00557F60"/>
    <w:rsid w:val="00561730"/>
    <w:rsid w:val="00561B97"/>
    <w:rsid w:val="00562149"/>
    <w:rsid w:val="00567B5D"/>
    <w:rsid w:val="005706D5"/>
    <w:rsid w:val="00570757"/>
    <w:rsid w:val="00573733"/>
    <w:rsid w:val="00573F8B"/>
    <w:rsid w:val="00574554"/>
    <w:rsid w:val="00574E06"/>
    <w:rsid w:val="005751BB"/>
    <w:rsid w:val="00576089"/>
    <w:rsid w:val="005764B1"/>
    <w:rsid w:val="00576852"/>
    <w:rsid w:val="00576D06"/>
    <w:rsid w:val="00577287"/>
    <w:rsid w:val="005779E4"/>
    <w:rsid w:val="00577F9F"/>
    <w:rsid w:val="00580EC7"/>
    <w:rsid w:val="00581132"/>
    <w:rsid w:val="0058289C"/>
    <w:rsid w:val="005836C7"/>
    <w:rsid w:val="0058408E"/>
    <w:rsid w:val="00585374"/>
    <w:rsid w:val="005854CA"/>
    <w:rsid w:val="00585FAB"/>
    <w:rsid w:val="00590B77"/>
    <w:rsid w:val="00590D9A"/>
    <w:rsid w:val="005913A3"/>
    <w:rsid w:val="005940D4"/>
    <w:rsid w:val="00594A7B"/>
    <w:rsid w:val="0059580E"/>
    <w:rsid w:val="00595D90"/>
    <w:rsid w:val="00596A6F"/>
    <w:rsid w:val="00596FCE"/>
    <w:rsid w:val="005A11BC"/>
    <w:rsid w:val="005A1525"/>
    <w:rsid w:val="005A1E17"/>
    <w:rsid w:val="005A232F"/>
    <w:rsid w:val="005A252B"/>
    <w:rsid w:val="005A2A8F"/>
    <w:rsid w:val="005A3204"/>
    <w:rsid w:val="005A3341"/>
    <w:rsid w:val="005A3C3D"/>
    <w:rsid w:val="005A46EC"/>
    <w:rsid w:val="005A5EAE"/>
    <w:rsid w:val="005A6407"/>
    <w:rsid w:val="005A726C"/>
    <w:rsid w:val="005B07EC"/>
    <w:rsid w:val="005B2B11"/>
    <w:rsid w:val="005B32A4"/>
    <w:rsid w:val="005B3371"/>
    <w:rsid w:val="005B338D"/>
    <w:rsid w:val="005B36D7"/>
    <w:rsid w:val="005B3BAF"/>
    <w:rsid w:val="005B4DA3"/>
    <w:rsid w:val="005B5BEE"/>
    <w:rsid w:val="005B77D2"/>
    <w:rsid w:val="005C019B"/>
    <w:rsid w:val="005C08D0"/>
    <w:rsid w:val="005C1AED"/>
    <w:rsid w:val="005C30F5"/>
    <w:rsid w:val="005C51A5"/>
    <w:rsid w:val="005C557A"/>
    <w:rsid w:val="005C566F"/>
    <w:rsid w:val="005C5C47"/>
    <w:rsid w:val="005C61DD"/>
    <w:rsid w:val="005C6438"/>
    <w:rsid w:val="005C6B8B"/>
    <w:rsid w:val="005C727F"/>
    <w:rsid w:val="005D02E3"/>
    <w:rsid w:val="005D1F34"/>
    <w:rsid w:val="005D2C1F"/>
    <w:rsid w:val="005D2DE8"/>
    <w:rsid w:val="005D34B2"/>
    <w:rsid w:val="005D3B54"/>
    <w:rsid w:val="005D40CD"/>
    <w:rsid w:val="005D6B59"/>
    <w:rsid w:val="005D784B"/>
    <w:rsid w:val="005E03E4"/>
    <w:rsid w:val="005E0454"/>
    <w:rsid w:val="005E05F6"/>
    <w:rsid w:val="005E2442"/>
    <w:rsid w:val="005E3111"/>
    <w:rsid w:val="005E3F85"/>
    <w:rsid w:val="005E4A5F"/>
    <w:rsid w:val="005E57B0"/>
    <w:rsid w:val="005E5B01"/>
    <w:rsid w:val="005E6D3B"/>
    <w:rsid w:val="005F009E"/>
    <w:rsid w:val="005F0DF1"/>
    <w:rsid w:val="005F1516"/>
    <w:rsid w:val="005F229E"/>
    <w:rsid w:val="005F2564"/>
    <w:rsid w:val="005F2D0F"/>
    <w:rsid w:val="005F3822"/>
    <w:rsid w:val="005F4635"/>
    <w:rsid w:val="005F4900"/>
    <w:rsid w:val="005F4E52"/>
    <w:rsid w:val="005F6D58"/>
    <w:rsid w:val="005F7383"/>
    <w:rsid w:val="0060058E"/>
    <w:rsid w:val="00601F77"/>
    <w:rsid w:val="00602A3C"/>
    <w:rsid w:val="00603E47"/>
    <w:rsid w:val="00603EFD"/>
    <w:rsid w:val="0060475B"/>
    <w:rsid w:val="00604BED"/>
    <w:rsid w:val="00604FB6"/>
    <w:rsid w:val="00605387"/>
    <w:rsid w:val="00606302"/>
    <w:rsid w:val="006076FD"/>
    <w:rsid w:val="0061143F"/>
    <w:rsid w:val="006114D8"/>
    <w:rsid w:val="00613553"/>
    <w:rsid w:val="00613601"/>
    <w:rsid w:val="00613791"/>
    <w:rsid w:val="006150D6"/>
    <w:rsid w:val="00615245"/>
    <w:rsid w:val="0061590D"/>
    <w:rsid w:val="0061641E"/>
    <w:rsid w:val="00617EEE"/>
    <w:rsid w:val="00620A1F"/>
    <w:rsid w:val="006214DE"/>
    <w:rsid w:val="0062169D"/>
    <w:rsid w:val="0062181E"/>
    <w:rsid w:val="0062211B"/>
    <w:rsid w:val="00622BB7"/>
    <w:rsid w:val="00622C1E"/>
    <w:rsid w:val="00623389"/>
    <w:rsid w:val="00623DAA"/>
    <w:rsid w:val="00623FAF"/>
    <w:rsid w:val="006265C4"/>
    <w:rsid w:val="0062678A"/>
    <w:rsid w:val="006270AF"/>
    <w:rsid w:val="00634367"/>
    <w:rsid w:val="00640082"/>
    <w:rsid w:val="00640291"/>
    <w:rsid w:val="00640EFE"/>
    <w:rsid w:val="00641D6D"/>
    <w:rsid w:val="00641FAC"/>
    <w:rsid w:val="00643664"/>
    <w:rsid w:val="00643CAA"/>
    <w:rsid w:val="00644F16"/>
    <w:rsid w:val="006455EB"/>
    <w:rsid w:val="006456C2"/>
    <w:rsid w:val="00645A65"/>
    <w:rsid w:val="006477F0"/>
    <w:rsid w:val="006478E4"/>
    <w:rsid w:val="0065171A"/>
    <w:rsid w:val="00652680"/>
    <w:rsid w:val="00653CDE"/>
    <w:rsid w:val="00654585"/>
    <w:rsid w:val="00655AB6"/>
    <w:rsid w:val="00656281"/>
    <w:rsid w:val="0065636A"/>
    <w:rsid w:val="00657003"/>
    <w:rsid w:val="00660238"/>
    <w:rsid w:val="006602EF"/>
    <w:rsid w:val="00661277"/>
    <w:rsid w:val="006619E0"/>
    <w:rsid w:val="00663FEA"/>
    <w:rsid w:val="00664803"/>
    <w:rsid w:val="006657C5"/>
    <w:rsid w:val="006661A4"/>
    <w:rsid w:val="00666AC0"/>
    <w:rsid w:val="006670E0"/>
    <w:rsid w:val="006671B8"/>
    <w:rsid w:val="00667275"/>
    <w:rsid w:val="00667532"/>
    <w:rsid w:val="0066783E"/>
    <w:rsid w:val="00667E53"/>
    <w:rsid w:val="006711C4"/>
    <w:rsid w:val="006713AB"/>
    <w:rsid w:val="00672CA5"/>
    <w:rsid w:val="00673711"/>
    <w:rsid w:val="00673F82"/>
    <w:rsid w:val="00674F74"/>
    <w:rsid w:val="0067508F"/>
    <w:rsid w:val="00677576"/>
    <w:rsid w:val="0068051E"/>
    <w:rsid w:val="00680B9D"/>
    <w:rsid w:val="00681F13"/>
    <w:rsid w:val="0068231C"/>
    <w:rsid w:val="00682344"/>
    <w:rsid w:val="00682F28"/>
    <w:rsid w:val="00683515"/>
    <w:rsid w:val="00684842"/>
    <w:rsid w:val="006859AA"/>
    <w:rsid w:val="00685BD6"/>
    <w:rsid w:val="00687116"/>
    <w:rsid w:val="006878A6"/>
    <w:rsid w:val="00687D5F"/>
    <w:rsid w:val="00690437"/>
    <w:rsid w:val="00690DC3"/>
    <w:rsid w:val="00690E65"/>
    <w:rsid w:val="006911B7"/>
    <w:rsid w:val="00691387"/>
    <w:rsid w:val="0069188E"/>
    <w:rsid w:val="00691974"/>
    <w:rsid w:val="00692BF6"/>
    <w:rsid w:val="00692CE6"/>
    <w:rsid w:val="00693186"/>
    <w:rsid w:val="00693381"/>
    <w:rsid w:val="00693B6C"/>
    <w:rsid w:val="006942AE"/>
    <w:rsid w:val="00695421"/>
    <w:rsid w:val="00697BD3"/>
    <w:rsid w:val="00697DFA"/>
    <w:rsid w:val="006A16D5"/>
    <w:rsid w:val="006A1740"/>
    <w:rsid w:val="006A1772"/>
    <w:rsid w:val="006A1780"/>
    <w:rsid w:val="006A21DD"/>
    <w:rsid w:val="006A26C6"/>
    <w:rsid w:val="006A3302"/>
    <w:rsid w:val="006A3B28"/>
    <w:rsid w:val="006A4FEE"/>
    <w:rsid w:val="006A703E"/>
    <w:rsid w:val="006A7BE3"/>
    <w:rsid w:val="006A7D32"/>
    <w:rsid w:val="006B01D1"/>
    <w:rsid w:val="006B0DF4"/>
    <w:rsid w:val="006B0E2B"/>
    <w:rsid w:val="006B16EA"/>
    <w:rsid w:val="006B1780"/>
    <w:rsid w:val="006B224E"/>
    <w:rsid w:val="006B376E"/>
    <w:rsid w:val="006B4589"/>
    <w:rsid w:val="006B610E"/>
    <w:rsid w:val="006B643B"/>
    <w:rsid w:val="006B6805"/>
    <w:rsid w:val="006B6DE0"/>
    <w:rsid w:val="006C16C3"/>
    <w:rsid w:val="006C2187"/>
    <w:rsid w:val="006C32F4"/>
    <w:rsid w:val="006C3C54"/>
    <w:rsid w:val="006C4B6B"/>
    <w:rsid w:val="006C4F9F"/>
    <w:rsid w:val="006C71A2"/>
    <w:rsid w:val="006C73EC"/>
    <w:rsid w:val="006D0C1D"/>
    <w:rsid w:val="006D2A98"/>
    <w:rsid w:val="006D2E9D"/>
    <w:rsid w:val="006D4A4E"/>
    <w:rsid w:val="006D4C42"/>
    <w:rsid w:val="006D5389"/>
    <w:rsid w:val="006D5809"/>
    <w:rsid w:val="006D607E"/>
    <w:rsid w:val="006D6781"/>
    <w:rsid w:val="006D6E12"/>
    <w:rsid w:val="006D70CB"/>
    <w:rsid w:val="006D715C"/>
    <w:rsid w:val="006D7363"/>
    <w:rsid w:val="006D774E"/>
    <w:rsid w:val="006D7EA2"/>
    <w:rsid w:val="006E0754"/>
    <w:rsid w:val="006E10BB"/>
    <w:rsid w:val="006E2668"/>
    <w:rsid w:val="006E2D39"/>
    <w:rsid w:val="006E32B0"/>
    <w:rsid w:val="006E348E"/>
    <w:rsid w:val="006E396A"/>
    <w:rsid w:val="006E3D63"/>
    <w:rsid w:val="006E58BF"/>
    <w:rsid w:val="006E5DD8"/>
    <w:rsid w:val="006E5EA1"/>
    <w:rsid w:val="006E6DEE"/>
    <w:rsid w:val="006E7D4B"/>
    <w:rsid w:val="006F0760"/>
    <w:rsid w:val="006F11E2"/>
    <w:rsid w:val="006F2574"/>
    <w:rsid w:val="006F3221"/>
    <w:rsid w:val="006F3231"/>
    <w:rsid w:val="006F3DE3"/>
    <w:rsid w:val="006F4787"/>
    <w:rsid w:val="006F5C43"/>
    <w:rsid w:val="006F61D8"/>
    <w:rsid w:val="006F62B7"/>
    <w:rsid w:val="006F70BC"/>
    <w:rsid w:val="006F734B"/>
    <w:rsid w:val="006F7E7C"/>
    <w:rsid w:val="0070174E"/>
    <w:rsid w:val="007018DB"/>
    <w:rsid w:val="00701DE6"/>
    <w:rsid w:val="00702740"/>
    <w:rsid w:val="0070381B"/>
    <w:rsid w:val="007076DD"/>
    <w:rsid w:val="0070796C"/>
    <w:rsid w:val="007109BB"/>
    <w:rsid w:val="00710EBF"/>
    <w:rsid w:val="007110B8"/>
    <w:rsid w:val="0071209F"/>
    <w:rsid w:val="007125A2"/>
    <w:rsid w:val="00713DD9"/>
    <w:rsid w:val="00713F79"/>
    <w:rsid w:val="007148A8"/>
    <w:rsid w:val="00716AC8"/>
    <w:rsid w:val="00716E54"/>
    <w:rsid w:val="00717421"/>
    <w:rsid w:val="0072033C"/>
    <w:rsid w:val="00720B1B"/>
    <w:rsid w:val="00721062"/>
    <w:rsid w:val="00721E5D"/>
    <w:rsid w:val="007229D4"/>
    <w:rsid w:val="007230F8"/>
    <w:rsid w:val="007233F4"/>
    <w:rsid w:val="00724044"/>
    <w:rsid w:val="007248D3"/>
    <w:rsid w:val="00724DF8"/>
    <w:rsid w:val="00725137"/>
    <w:rsid w:val="00725378"/>
    <w:rsid w:val="00727A43"/>
    <w:rsid w:val="00727FF2"/>
    <w:rsid w:val="00730550"/>
    <w:rsid w:val="00730C2A"/>
    <w:rsid w:val="00731434"/>
    <w:rsid w:val="00731E59"/>
    <w:rsid w:val="007323E0"/>
    <w:rsid w:val="00732911"/>
    <w:rsid w:val="00733721"/>
    <w:rsid w:val="00733DE2"/>
    <w:rsid w:val="007352EA"/>
    <w:rsid w:val="0073625F"/>
    <w:rsid w:val="0073792F"/>
    <w:rsid w:val="00740C81"/>
    <w:rsid w:val="00740DA6"/>
    <w:rsid w:val="00741B4B"/>
    <w:rsid w:val="00741D1E"/>
    <w:rsid w:val="00741DD6"/>
    <w:rsid w:val="00741EE2"/>
    <w:rsid w:val="0074207F"/>
    <w:rsid w:val="00742367"/>
    <w:rsid w:val="00742EAA"/>
    <w:rsid w:val="00743360"/>
    <w:rsid w:val="00743818"/>
    <w:rsid w:val="00743857"/>
    <w:rsid w:val="007441FB"/>
    <w:rsid w:val="00744517"/>
    <w:rsid w:val="0074522A"/>
    <w:rsid w:val="00747295"/>
    <w:rsid w:val="00747829"/>
    <w:rsid w:val="00747DE2"/>
    <w:rsid w:val="007504BF"/>
    <w:rsid w:val="007506CD"/>
    <w:rsid w:val="0075267F"/>
    <w:rsid w:val="007526EC"/>
    <w:rsid w:val="007527F7"/>
    <w:rsid w:val="00753C48"/>
    <w:rsid w:val="00753ED8"/>
    <w:rsid w:val="00754250"/>
    <w:rsid w:val="00754FE4"/>
    <w:rsid w:val="00755216"/>
    <w:rsid w:val="00756236"/>
    <w:rsid w:val="00756271"/>
    <w:rsid w:val="00756348"/>
    <w:rsid w:val="00756521"/>
    <w:rsid w:val="00756AB7"/>
    <w:rsid w:val="0076106D"/>
    <w:rsid w:val="007623FB"/>
    <w:rsid w:val="00762517"/>
    <w:rsid w:val="00763240"/>
    <w:rsid w:val="0076376A"/>
    <w:rsid w:val="007648AD"/>
    <w:rsid w:val="0076504E"/>
    <w:rsid w:val="00767BFD"/>
    <w:rsid w:val="00767EA0"/>
    <w:rsid w:val="0077068F"/>
    <w:rsid w:val="00771EDF"/>
    <w:rsid w:val="00772A90"/>
    <w:rsid w:val="00772F8D"/>
    <w:rsid w:val="0077408D"/>
    <w:rsid w:val="00774270"/>
    <w:rsid w:val="007743F6"/>
    <w:rsid w:val="00775679"/>
    <w:rsid w:val="0077574F"/>
    <w:rsid w:val="00775823"/>
    <w:rsid w:val="00775EEA"/>
    <w:rsid w:val="007777CC"/>
    <w:rsid w:val="00777B32"/>
    <w:rsid w:val="0078051E"/>
    <w:rsid w:val="00780B59"/>
    <w:rsid w:val="00781089"/>
    <w:rsid w:val="007838F3"/>
    <w:rsid w:val="007856FE"/>
    <w:rsid w:val="00785F46"/>
    <w:rsid w:val="007865F4"/>
    <w:rsid w:val="00786D5C"/>
    <w:rsid w:val="00786E96"/>
    <w:rsid w:val="00787DFF"/>
    <w:rsid w:val="00787F93"/>
    <w:rsid w:val="00791E6D"/>
    <w:rsid w:val="00791EB5"/>
    <w:rsid w:val="00791FF2"/>
    <w:rsid w:val="00793696"/>
    <w:rsid w:val="007955DA"/>
    <w:rsid w:val="00796F65"/>
    <w:rsid w:val="007A11C2"/>
    <w:rsid w:val="007A18BB"/>
    <w:rsid w:val="007A27DD"/>
    <w:rsid w:val="007A41BF"/>
    <w:rsid w:val="007A490A"/>
    <w:rsid w:val="007A7B95"/>
    <w:rsid w:val="007B0297"/>
    <w:rsid w:val="007B02FA"/>
    <w:rsid w:val="007B0F53"/>
    <w:rsid w:val="007B21AE"/>
    <w:rsid w:val="007B2570"/>
    <w:rsid w:val="007B3113"/>
    <w:rsid w:val="007B3304"/>
    <w:rsid w:val="007B7490"/>
    <w:rsid w:val="007C0525"/>
    <w:rsid w:val="007C13F7"/>
    <w:rsid w:val="007C218D"/>
    <w:rsid w:val="007C2D28"/>
    <w:rsid w:val="007C3E22"/>
    <w:rsid w:val="007C5B90"/>
    <w:rsid w:val="007C6218"/>
    <w:rsid w:val="007C6484"/>
    <w:rsid w:val="007C67C6"/>
    <w:rsid w:val="007C78BE"/>
    <w:rsid w:val="007C7E59"/>
    <w:rsid w:val="007D0476"/>
    <w:rsid w:val="007D0B91"/>
    <w:rsid w:val="007D1386"/>
    <w:rsid w:val="007D1452"/>
    <w:rsid w:val="007D3DCB"/>
    <w:rsid w:val="007D460C"/>
    <w:rsid w:val="007D4996"/>
    <w:rsid w:val="007D4AD3"/>
    <w:rsid w:val="007D5D19"/>
    <w:rsid w:val="007D5FDC"/>
    <w:rsid w:val="007D6176"/>
    <w:rsid w:val="007D6D68"/>
    <w:rsid w:val="007E32DA"/>
    <w:rsid w:val="007E4998"/>
    <w:rsid w:val="007E4A9C"/>
    <w:rsid w:val="007E6914"/>
    <w:rsid w:val="007E7884"/>
    <w:rsid w:val="007E7F78"/>
    <w:rsid w:val="007F0179"/>
    <w:rsid w:val="007F2C13"/>
    <w:rsid w:val="007F2CEC"/>
    <w:rsid w:val="007F3435"/>
    <w:rsid w:val="007F4BBE"/>
    <w:rsid w:val="007F55DE"/>
    <w:rsid w:val="007F762D"/>
    <w:rsid w:val="007F78F0"/>
    <w:rsid w:val="007F78FF"/>
    <w:rsid w:val="008001C5"/>
    <w:rsid w:val="00800F6C"/>
    <w:rsid w:val="00801065"/>
    <w:rsid w:val="00802C0B"/>
    <w:rsid w:val="008051FC"/>
    <w:rsid w:val="008055A9"/>
    <w:rsid w:val="008056C4"/>
    <w:rsid w:val="008057FD"/>
    <w:rsid w:val="00805D8B"/>
    <w:rsid w:val="00810BB6"/>
    <w:rsid w:val="00810E8E"/>
    <w:rsid w:val="00812C44"/>
    <w:rsid w:val="008135E1"/>
    <w:rsid w:val="00813779"/>
    <w:rsid w:val="00813E26"/>
    <w:rsid w:val="0081481D"/>
    <w:rsid w:val="00814BE8"/>
    <w:rsid w:val="00814F6E"/>
    <w:rsid w:val="00815363"/>
    <w:rsid w:val="00815B84"/>
    <w:rsid w:val="00816BE9"/>
    <w:rsid w:val="0082027C"/>
    <w:rsid w:val="00822518"/>
    <w:rsid w:val="008226F5"/>
    <w:rsid w:val="00823FC6"/>
    <w:rsid w:val="00824306"/>
    <w:rsid w:val="00825C74"/>
    <w:rsid w:val="00825CFA"/>
    <w:rsid w:val="00826AB9"/>
    <w:rsid w:val="00826E0E"/>
    <w:rsid w:val="00827D11"/>
    <w:rsid w:val="00827E0F"/>
    <w:rsid w:val="00827F6E"/>
    <w:rsid w:val="00831758"/>
    <w:rsid w:val="008317D9"/>
    <w:rsid w:val="0083279F"/>
    <w:rsid w:val="008334DB"/>
    <w:rsid w:val="00833B7F"/>
    <w:rsid w:val="00833E8E"/>
    <w:rsid w:val="00834906"/>
    <w:rsid w:val="00836075"/>
    <w:rsid w:val="00836417"/>
    <w:rsid w:val="00836A3E"/>
    <w:rsid w:val="00837526"/>
    <w:rsid w:val="008407A7"/>
    <w:rsid w:val="0084322B"/>
    <w:rsid w:val="00843F81"/>
    <w:rsid w:val="00844087"/>
    <w:rsid w:val="00844526"/>
    <w:rsid w:val="008448F1"/>
    <w:rsid w:val="0084519E"/>
    <w:rsid w:val="00845CAE"/>
    <w:rsid w:val="00846370"/>
    <w:rsid w:val="008477E7"/>
    <w:rsid w:val="00847C2B"/>
    <w:rsid w:val="00850272"/>
    <w:rsid w:val="008506B9"/>
    <w:rsid w:val="00851822"/>
    <w:rsid w:val="008532BF"/>
    <w:rsid w:val="008539B2"/>
    <w:rsid w:val="00853BF4"/>
    <w:rsid w:val="00854294"/>
    <w:rsid w:val="0085572E"/>
    <w:rsid w:val="0085788B"/>
    <w:rsid w:val="00857A9E"/>
    <w:rsid w:val="00857DE2"/>
    <w:rsid w:val="00863A8E"/>
    <w:rsid w:val="0086407F"/>
    <w:rsid w:val="008645E3"/>
    <w:rsid w:val="00864E79"/>
    <w:rsid w:val="008655D2"/>
    <w:rsid w:val="0086661F"/>
    <w:rsid w:val="00866A0D"/>
    <w:rsid w:val="00866DB5"/>
    <w:rsid w:val="0086701D"/>
    <w:rsid w:val="0086702B"/>
    <w:rsid w:val="008672E2"/>
    <w:rsid w:val="0086784E"/>
    <w:rsid w:val="0087121C"/>
    <w:rsid w:val="00871FD2"/>
    <w:rsid w:val="00872084"/>
    <w:rsid w:val="00872827"/>
    <w:rsid w:val="00872A32"/>
    <w:rsid w:val="00874911"/>
    <w:rsid w:val="008754E4"/>
    <w:rsid w:val="00876EAE"/>
    <w:rsid w:val="00880106"/>
    <w:rsid w:val="00880F95"/>
    <w:rsid w:val="00882B44"/>
    <w:rsid w:val="008838AD"/>
    <w:rsid w:val="008864B3"/>
    <w:rsid w:val="008865E5"/>
    <w:rsid w:val="008871B0"/>
    <w:rsid w:val="00890B57"/>
    <w:rsid w:val="008916BA"/>
    <w:rsid w:val="0089217C"/>
    <w:rsid w:val="00892790"/>
    <w:rsid w:val="008931DA"/>
    <w:rsid w:val="00893671"/>
    <w:rsid w:val="008946DC"/>
    <w:rsid w:val="00895838"/>
    <w:rsid w:val="00895A1E"/>
    <w:rsid w:val="00895A72"/>
    <w:rsid w:val="00895CDF"/>
    <w:rsid w:val="00896679"/>
    <w:rsid w:val="00896D8C"/>
    <w:rsid w:val="008A05A7"/>
    <w:rsid w:val="008A0FC9"/>
    <w:rsid w:val="008A1956"/>
    <w:rsid w:val="008A1A7C"/>
    <w:rsid w:val="008A2CE2"/>
    <w:rsid w:val="008A40D3"/>
    <w:rsid w:val="008A469C"/>
    <w:rsid w:val="008A51D1"/>
    <w:rsid w:val="008A5DCE"/>
    <w:rsid w:val="008A75D3"/>
    <w:rsid w:val="008B00D4"/>
    <w:rsid w:val="008B05DD"/>
    <w:rsid w:val="008B07B8"/>
    <w:rsid w:val="008B17E8"/>
    <w:rsid w:val="008B2E7C"/>
    <w:rsid w:val="008B321A"/>
    <w:rsid w:val="008B399A"/>
    <w:rsid w:val="008B45F0"/>
    <w:rsid w:val="008B4A70"/>
    <w:rsid w:val="008B502F"/>
    <w:rsid w:val="008B6DFC"/>
    <w:rsid w:val="008B7227"/>
    <w:rsid w:val="008C02FB"/>
    <w:rsid w:val="008C04E0"/>
    <w:rsid w:val="008C191C"/>
    <w:rsid w:val="008C1DA4"/>
    <w:rsid w:val="008C29B0"/>
    <w:rsid w:val="008C2CD5"/>
    <w:rsid w:val="008C3618"/>
    <w:rsid w:val="008C39E7"/>
    <w:rsid w:val="008C43AD"/>
    <w:rsid w:val="008C6118"/>
    <w:rsid w:val="008C6341"/>
    <w:rsid w:val="008C731F"/>
    <w:rsid w:val="008C74D9"/>
    <w:rsid w:val="008D03C2"/>
    <w:rsid w:val="008D12FB"/>
    <w:rsid w:val="008D3B2D"/>
    <w:rsid w:val="008D58D9"/>
    <w:rsid w:val="008D5AD4"/>
    <w:rsid w:val="008D695E"/>
    <w:rsid w:val="008D6DD5"/>
    <w:rsid w:val="008D6E59"/>
    <w:rsid w:val="008D7155"/>
    <w:rsid w:val="008D76E0"/>
    <w:rsid w:val="008E09F2"/>
    <w:rsid w:val="008E0B29"/>
    <w:rsid w:val="008E141A"/>
    <w:rsid w:val="008E1A44"/>
    <w:rsid w:val="008E1E55"/>
    <w:rsid w:val="008E28E6"/>
    <w:rsid w:val="008E3232"/>
    <w:rsid w:val="008E3674"/>
    <w:rsid w:val="008E3B6C"/>
    <w:rsid w:val="008E3DE7"/>
    <w:rsid w:val="008E562C"/>
    <w:rsid w:val="008E6540"/>
    <w:rsid w:val="008E6D26"/>
    <w:rsid w:val="008E77D4"/>
    <w:rsid w:val="008E79DC"/>
    <w:rsid w:val="008E7ADD"/>
    <w:rsid w:val="008F091F"/>
    <w:rsid w:val="008F17B2"/>
    <w:rsid w:val="008F22B3"/>
    <w:rsid w:val="008F357B"/>
    <w:rsid w:val="008F44CA"/>
    <w:rsid w:val="008F49D3"/>
    <w:rsid w:val="008F62C1"/>
    <w:rsid w:val="008F6519"/>
    <w:rsid w:val="008F7012"/>
    <w:rsid w:val="008F7ADA"/>
    <w:rsid w:val="008F7B17"/>
    <w:rsid w:val="00900042"/>
    <w:rsid w:val="0090034B"/>
    <w:rsid w:val="00901121"/>
    <w:rsid w:val="00902623"/>
    <w:rsid w:val="00902A67"/>
    <w:rsid w:val="00902C5E"/>
    <w:rsid w:val="00904BE4"/>
    <w:rsid w:val="0090504A"/>
    <w:rsid w:val="009051F5"/>
    <w:rsid w:val="00905221"/>
    <w:rsid w:val="00905A7C"/>
    <w:rsid w:val="00905D7E"/>
    <w:rsid w:val="00907037"/>
    <w:rsid w:val="0091112C"/>
    <w:rsid w:val="0091160A"/>
    <w:rsid w:val="00912E04"/>
    <w:rsid w:val="00913258"/>
    <w:rsid w:val="00913851"/>
    <w:rsid w:val="00913BB0"/>
    <w:rsid w:val="0091456C"/>
    <w:rsid w:val="00914C58"/>
    <w:rsid w:val="0091564D"/>
    <w:rsid w:val="009156DA"/>
    <w:rsid w:val="00915774"/>
    <w:rsid w:val="00916BC5"/>
    <w:rsid w:val="0091726A"/>
    <w:rsid w:val="00917C01"/>
    <w:rsid w:val="00920184"/>
    <w:rsid w:val="00920EA4"/>
    <w:rsid w:val="00921792"/>
    <w:rsid w:val="00921BEA"/>
    <w:rsid w:val="009227BE"/>
    <w:rsid w:val="009238FD"/>
    <w:rsid w:val="00923998"/>
    <w:rsid w:val="00923DB4"/>
    <w:rsid w:val="0092420B"/>
    <w:rsid w:val="0092430E"/>
    <w:rsid w:val="00924570"/>
    <w:rsid w:val="00926112"/>
    <w:rsid w:val="0092625F"/>
    <w:rsid w:val="00926B28"/>
    <w:rsid w:val="00926D9C"/>
    <w:rsid w:val="00927028"/>
    <w:rsid w:val="00927763"/>
    <w:rsid w:val="00927A2D"/>
    <w:rsid w:val="00927B37"/>
    <w:rsid w:val="00931917"/>
    <w:rsid w:val="009321B1"/>
    <w:rsid w:val="00932ED7"/>
    <w:rsid w:val="009333CF"/>
    <w:rsid w:val="0093422D"/>
    <w:rsid w:val="0093483B"/>
    <w:rsid w:val="00934CF9"/>
    <w:rsid w:val="00934DD7"/>
    <w:rsid w:val="009369A9"/>
    <w:rsid w:val="00936CF7"/>
    <w:rsid w:val="00937783"/>
    <w:rsid w:val="00937EAD"/>
    <w:rsid w:val="00937F28"/>
    <w:rsid w:val="00940FE1"/>
    <w:rsid w:val="00942306"/>
    <w:rsid w:val="00942384"/>
    <w:rsid w:val="009424B8"/>
    <w:rsid w:val="00944668"/>
    <w:rsid w:val="00944DC6"/>
    <w:rsid w:val="009458B0"/>
    <w:rsid w:val="00945B52"/>
    <w:rsid w:val="00945B7A"/>
    <w:rsid w:val="00945F05"/>
    <w:rsid w:val="00946348"/>
    <w:rsid w:val="00947797"/>
    <w:rsid w:val="009478A2"/>
    <w:rsid w:val="00953808"/>
    <w:rsid w:val="009539A6"/>
    <w:rsid w:val="00954032"/>
    <w:rsid w:val="00954537"/>
    <w:rsid w:val="0095472D"/>
    <w:rsid w:val="00955FBB"/>
    <w:rsid w:val="0095694B"/>
    <w:rsid w:val="00956BD5"/>
    <w:rsid w:val="00956D84"/>
    <w:rsid w:val="009577B5"/>
    <w:rsid w:val="00960110"/>
    <w:rsid w:val="009608E6"/>
    <w:rsid w:val="00960F57"/>
    <w:rsid w:val="00961C90"/>
    <w:rsid w:val="00965443"/>
    <w:rsid w:val="00965954"/>
    <w:rsid w:val="00965A21"/>
    <w:rsid w:val="00965E55"/>
    <w:rsid w:val="0096608E"/>
    <w:rsid w:val="00966522"/>
    <w:rsid w:val="00966C33"/>
    <w:rsid w:val="00966FCB"/>
    <w:rsid w:val="00967285"/>
    <w:rsid w:val="00970F18"/>
    <w:rsid w:val="00971CF1"/>
    <w:rsid w:val="00971F5D"/>
    <w:rsid w:val="009721E9"/>
    <w:rsid w:val="00973772"/>
    <w:rsid w:val="0097471B"/>
    <w:rsid w:val="0097560A"/>
    <w:rsid w:val="00975E1E"/>
    <w:rsid w:val="00975E70"/>
    <w:rsid w:val="009761DE"/>
    <w:rsid w:val="009766FA"/>
    <w:rsid w:val="00977CD6"/>
    <w:rsid w:val="0098048B"/>
    <w:rsid w:val="00980DF9"/>
    <w:rsid w:val="00981150"/>
    <w:rsid w:val="00981520"/>
    <w:rsid w:val="0098243D"/>
    <w:rsid w:val="00982D26"/>
    <w:rsid w:val="00983B6E"/>
    <w:rsid w:val="00983FE5"/>
    <w:rsid w:val="009849E9"/>
    <w:rsid w:val="009859E4"/>
    <w:rsid w:val="00987812"/>
    <w:rsid w:val="00990225"/>
    <w:rsid w:val="00992A13"/>
    <w:rsid w:val="00994AAD"/>
    <w:rsid w:val="00994DE1"/>
    <w:rsid w:val="00995150"/>
    <w:rsid w:val="00995D67"/>
    <w:rsid w:val="009A013B"/>
    <w:rsid w:val="009A02F4"/>
    <w:rsid w:val="009A06BF"/>
    <w:rsid w:val="009A0D17"/>
    <w:rsid w:val="009A2494"/>
    <w:rsid w:val="009A32B1"/>
    <w:rsid w:val="009A33A3"/>
    <w:rsid w:val="009A36F2"/>
    <w:rsid w:val="009A40C3"/>
    <w:rsid w:val="009A40D5"/>
    <w:rsid w:val="009A57D0"/>
    <w:rsid w:val="009A6559"/>
    <w:rsid w:val="009A68FC"/>
    <w:rsid w:val="009A6CE4"/>
    <w:rsid w:val="009A7514"/>
    <w:rsid w:val="009A7E7A"/>
    <w:rsid w:val="009B1584"/>
    <w:rsid w:val="009B18F0"/>
    <w:rsid w:val="009B1F4C"/>
    <w:rsid w:val="009B2471"/>
    <w:rsid w:val="009B314F"/>
    <w:rsid w:val="009B439C"/>
    <w:rsid w:val="009B46BC"/>
    <w:rsid w:val="009B49A1"/>
    <w:rsid w:val="009B4A6C"/>
    <w:rsid w:val="009B4DA8"/>
    <w:rsid w:val="009B519A"/>
    <w:rsid w:val="009B620C"/>
    <w:rsid w:val="009B6753"/>
    <w:rsid w:val="009B676C"/>
    <w:rsid w:val="009B6A26"/>
    <w:rsid w:val="009C079D"/>
    <w:rsid w:val="009C0D70"/>
    <w:rsid w:val="009C13D1"/>
    <w:rsid w:val="009C2913"/>
    <w:rsid w:val="009C2BD4"/>
    <w:rsid w:val="009C5AFE"/>
    <w:rsid w:val="009C6606"/>
    <w:rsid w:val="009C6CE5"/>
    <w:rsid w:val="009C6D50"/>
    <w:rsid w:val="009C7547"/>
    <w:rsid w:val="009D05EC"/>
    <w:rsid w:val="009D18D4"/>
    <w:rsid w:val="009D2F60"/>
    <w:rsid w:val="009D3A2E"/>
    <w:rsid w:val="009D5ADE"/>
    <w:rsid w:val="009D5BAC"/>
    <w:rsid w:val="009D5C56"/>
    <w:rsid w:val="009D6265"/>
    <w:rsid w:val="009D64BD"/>
    <w:rsid w:val="009D6CB1"/>
    <w:rsid w:val="009E0286"/>
    <w:rsid w:val="009E153F"/>
    <w:rsid w:val="009E322A"/>
    <w:rsid w:val="009E393E"/>
    <w:rsid w:val="009E444E"/>
    <w:rsid w:val="009E4968"/>
    <w:rsid w:val="009E663C"/>
    <w:rsid w:val="009E684A"/>
    <w:rsid w:val="009E6BB1"/>
    <w:rsid w:val="009E6E14"/>
    <w:rsid w:val="009E794A"/>
    <w:rsid w:val="009E7C14"/>
    <w:rsid w:val="009F0494"/>
    <w:rsid w:val="009F0CD9"/>
    <w:rsid w:val="009F1A79"/>
    <w:rsid w:val="009F1F57"/>
    <w:rsid w:val="009F2DDD"/>
    <w:rsid w:val="009F3447"/>
    <w:rsid w:val="009F65F4"/>
    <w:rsid w:val="009F676B"/>
    <w:rsid w:val="009F6D2D"/>
    <w:rsid w:val="009F6D54"/>
    <w:rsid w:val="00A0010C"/>
    <w:rsid w:val="00A004DF"/>
    <w:rsid w:val="00A00FD5"/>
    <w:rsid w:val="00A012C0"/>
    <w:rsid w:val="00A019A8"/>
    <w:rsid w:val="00A01B03"/>
    <w:rsid w:val="00A01B89"/>
    <w:rsid w:val="00A02C66"/>
    <w:rsid w:val="00A02C84"/>
    <w:rsid w:val="00A03DFA"/>
    <w:rsid w:val="00A0464C"/>
    <w:rsid w:val="00A050BB"/>
    <w:rsid w:val="00A054E0"/>
    <w:rsid w:val="00A05D91"/>
    <w:rsid w:val="00A0740B"/>
    <w:rsid w:val="00A07ED3"/>
    <w:rsid w:val="00A10CA8"/>
    <w:rsid w:val="00A11042"/>
    <w:rsid w:val="00A12579"/>
    <w:rsid w:val="00A133D8"/>
    <w:rsid w:val="00A15655"/>
    <w:rsid w:val="00A160B0"/>
    <w:rsid w:val="00A1740C"/>
    <w:rsid w:val="00A20069"/>
    <w:rsid w:val="00A2244D"/>
    <w:rsid w:val="00A2253D"/>
    <w:rsid w:val="00A2267F"/>
    <w:rsid w:val="00A22CDB"/>
    <w:rsid w:val="00A247B8"/>
    <w:rsid w:val="00A2495A"/>
    <w:rsid w:val="00A24C7A"/>
    <w:rsid w:val="00A24D8F"/>
    <w:rsid w:val="00A25B8B"/>
    <w:rsid w:val="00A25C5D"/>
    <w:rsid w:val="00A2689F"/>
    <w:rsid w:val="00A26ECA"/>
    <w:rsid w:val="00A27461"/>
    <w:rsid w:val="00A27D67"/>
    <w:rsid w:val="00A30ABC"/>
    <w:rsid w:val="00A33B74"/>
    <w:rsid w:val="00A3467F"/>
    <w:rsid w:val="00A34B4C"/>
    <w:rsid w:val="00A35030"/>
    <w:rsid w:val="00A3551A"/>
    <w:rsid w:val="00A366A0"/>
    <w:rsid w:val="00A37209"/>
    <w:rsid w:val="00A37584"/>
    <w:rsid w:val="00A376E8"/>
    <w:rsid w:val="00A37F8E"/>
    <w:rsid w:val="00A41537"/>
    <w:rsid w:val="00A41737"/>
    <w:rsid w:val="00A42B8F"/>
    <w:rsid w:val="00A42D8E"/>
    <w:rsid w:val="00A43254"/>
    <w:rsid w:val="00A43896"/>
    <w:rsid w:val="00A43A26"/>
    <w:rsid w:val="00A447A0"/>
    <w:rsid w:val="00A459F5"/>
    <w:rsid w:val="00A45FC0"/>
    <w:rsid w:val="00A46B74"/>
    <w:rsid w:val="00A47ECC"/>
    <w:rsid w:val="00A50171"/>
    <w:rsid w:val="00A504FA"/>
    <w:rsid w:val="00A5102E"/>
    <w:rsid w:val="00A5132E"/>
    <w:rsid w:val="00A51375"/>
    <w:rsid w:val="00A51533"/>
    <w:rsid w:val="00A531D4"/>
    <w:rsid w:val="00A54572"/>
    <w:rsid w:val="00A55A76"/>
    <w:rsid w:val="00A575B8"/>
    <w:rsid w:val="00A60155"/>
    <w:rsid w:val="00A61C60"/>
    <w:rsid w:val="00A61ECB"/>
    <w:rsid w:val="00A6410C"/>
    <w:rsid w:val="00A647B1"/>
    <w:rsid w:val="00A64DEF"/>
    <w:rsid w:val="00A654D2"/>
    <w:rsid w:val="00A665DF"/>
    <w:rsid w:val="00A67928"/>
    <w:rsid w:val="00A67FCC"/>
    <w:rsid w:val="00A70AA5"/>
    <w:rsid w:val="00A70C03"/>
    <w:rsid w:val="00A71256"/>
    <w:rsid w:val="00A7217B"/>
    <w:rsid w:val="00A73861"/>
    <w:rsid w:val="00A739A6"/>
    <w:rsid w:val="00A740ED"/>
    <w:rsid w:val="00A74C29"/>
    <w:rsid w:val="00A74C62"/>
    <w:rsid w:val="00A75DF5"/>
    <w:rsid w:val="00A75EF9"/>
    <w:rsid w:val="00A8311C"/>
    <w:rsid w:val="00A835D0"/>
    <w:rsid w:val="00A84C5F"/>
    <w:rsid w:val="00A85930"/>
    <w:rsid w:val="00A863F7"/>
    <w:rsid w:val="00A86604"/>
    <w:rsid w:val="00A87519"/>
    <w:rsid w:val="00A9246D"/>
    <w:rsid w:val="00A92CCA"/>
    <w:rsid w:val="00A93BD0"/>
    <w:rsid w:val="00A93CC2"/>
    <w:rsid w:val="00A974CC"/>
    <w:rsid w:val="00AA1067"/>
    <w:rsid w:val="00AA2001"/>
    <w:rsid w:val="00AA2B5C"/>
    <w:rsid w:val="00AA32D2"/>
    <w:rsid w:val="00AA4016"/>
    <w:rsid w:val="00AA4C1F"/>
    <w:rsid w:val="00AA5328"/>
    <w:rsid w:val="00AA5393"/>
    <w:rsid w:val="00AA63D4"/>
    <w:rsid w:val="00AB03FD"/>
    <w:rsid w:val="00AB2000"/>
    <w:rsid w:val="00AB2E94"/>
    <w:rsid w:val="00AB38CB"/>
    <w:rsid w:val="00AB3BEC"/>
    <w:rsid w:val="00AB44E4"/>
    <w:rsid w:val="00AB4AEB"/>
    <w:rsid w:val="00AB4E5F"/>
    <w:rsid w:val="00AB5256"/>
    <w:rsid w:val="00AB5352"/>
    <w:rsid w:val="00AB56AE"/>
    <w:rsid w:val="00AB62D5"/>
    <w:rsid w:val="00AB65B5"/>
    <w:rsid w:val="00AB6DCD"/>
    <w:rsid w:val="00AB6EE0"/>
    <w:rsid w:val="00AC17A2"/>
    <w:rsid w:val="00AC3581"/>
    <w:rsid w:val="00AC40B7"/>
    <w:rsid w:val="00AC531F"/>
    <w:rsid w:val="00AC5B36"/>
    <w:rsid w:val="00AC6377"/>
    <w:rsid w:val="00AC66A4"/>
    <w:rsid w:val="00AC6CB1"/>
    <w:rsid w:val="00AC7D6D"/>
    <w:rsid w:val="00AD0091"/>
    <w:rsid w:val="00AD23EF"/>
    <w:rsid w:val="00AD2662"/>
    <w:rsid w:val="00AD307B"/>
    <w:rsid w:val="00AD4014"/>
    <w:rsid w:val="00AD41B3"/>
    <w:rsid w:val="00AD42F3"/>
    <w:rsid w:val="00AD5721"/>
    <w:rsid w:val="00AD5C4D"/>
    <w:rsid w:val="00AD69F0"/>
    <w:rsid w:val="00AD7127"/>
    <w:rsid w:val="00AD730C"/>
    <w:rsid w:val="00AD7795"/>
    <w:rsid w:val="00AE123A"/>
    <w:rsid w:val="00AE1539"/>
    <w:rsid w:val="00AE28A7"/>
    <w:rsid w:val="00AE2A98"/>
    <w:rsid w:val="00AE2CF2"/>
    <w:rsid w:val="00AE3012"/>
    <w:rsid w:val="00AE33A6"/>
    <w:rsid w:val="00AE3729"/>
    <w:rsid w:val="00AE4138"/>
    <w:rsid w:val="00AE4CCE"/>
    <w:rsid w:val="00AE5C6A"/>
    <w:rsid w:val="00AE6317"/>
    <w:rsid w:val="00AE6B62"/>
    <w:rsid w:val="00AE7280"/>
    <w:rsid w:val="00AF033A"/>
    <w:rsid w:val="00AF1699"/>
    <w:rsid w:val="00AF1FD3"/>
    <w:rsid w:val="00AF2910"/>
    <w:rsid w:val="00AF34B8"/>
    <w:rsid w:val="00AF3896"/>
    <w:rsid w:val="00AF3FC2"/>
    <w:rsid w:val="00B0098A"/>
    <w:rsid w:val="00B00A5F"/>
    <w:rsid w:val="00B00F89"/>
    <w:rsid w:val="00B029B8"/>
    <w:rsid w:val="00B02F60"/>
    <w:rsid w:val="00B032B8"/>
    <w:rsid w:val="00B04721"/>
    <w:rsid w:val="00B04B15"/>
    <w:rsid w:val="00B04B46"/>
    <w:rsid w:val="00B0534D"/>
    <w:rsid w:val="00B05685"/>
    <w:rsid w:val="00B05F9F"/>
    <w:rsid w:val="00B06368"/>
    <w:rsid w:val="00B068DA"/>
    <w:rsid w:val="00B06A00"/>
    <w:rsid w:val="00B06FC6"/>
    <w:rsid w:val="00B074C9"/>
    <w:rsid w:val="00B07D9D"/>
    <w:rsid w:val="00B11AE5"/>
    <w:rsid w:val="00B12FE6"/>
    <w:rsid w:val="00B1303F"/>
    <w:rsid w:val="00B1364A"/>
    <w:rsid w:val="00B13859"/>
    <w:rsid w:val="00B13EC9"/>
    <w:rsid w:val="00B14319"/>
    <w:rsid w:val="00B14A06"/>
    <w:rsid w:val="00B158E1"/>
    <w:rsid w:val="00B16715"/>
    <w:rsid w:val="00B1768E"/>
    <w:rsid w:val="00B17910"/>
    <w:rsid w:val="00B20F18"/>
    <w:rsid w:val="00B21516"/>
    <w:rsid w:val="00B21A37"/>
    <w:rsid w:val="00B21D23"/>
    <w:rsid w:val="00B21F62"/>
    <w:rsid w:val="00B22CE0"/>
    <w:rsid w:val="00B23738"/>
    <w:rsid w:val="00B23BEF"/>
    <w:rsid w:val="00B247BB"/>
    <w:rsid w:val="00B2504A"/>
    <w:rsid w:val="00B25EE6"/>
    <w:rsid w:val="00B3115A"/>
    <w:rsid w:val="00B31825"/>
    <w:rsid w:val="00B31A5C"/>
    <w:rsid w:val="00B33B06"/>
    <w:rsid w:val="00B33C19"/>
    <w:rsid w:val="00B35A15"/>
    <w:rsid w:val="00B35B45"/>
    <w:rsid w:val="00B36A99"/>
    <w:rsid w:val="00B42264"/>
    <w:rsid w:val="00B434B2"/>
    <w:rsid w:val="00B43D45"/>
    <w:rsid w:val="00B468F2"/>
    <w:rsid w:val="00B469DE"/>
    <w:rsid w:val="00B47286"/>
    <w:rsid w:val="00B50234"/>
    <w:rsid w:val="00B51BF4"/>
    <w:rsid w:val="00B52C68"/>
    <w:rsid w:val="00B5372B"/>
    <w:rsid w:val="00B542FE"/>
    <w:rsid w:val="00B55A1B"/>
    <w:rsid w:val="00B561DB"/>
    <w:rsid w:val="00B56DF9"/>
    <w:rsid w:val="00B600BD"/>
    <w:rsid w:val="00B61274"/>
    <w:rsid w:val="00B61DCE"/>
    <w:rsid w:val="00B62188"/>
    <w:rsid w:val="00B62F79"/>
    <w:rsid w:val="00B62F82"/>
    <w:rsid w:val="00B6306A"/>
    <w:rsid w:val="00B635E3"/>
    <w:rsid w:val="00B653D7"/>
    <w:rsid w:val="00B662FF"/>
    <w:rsid w:val="00B66679"/>
    <w:rsid w:val="00B70145"/>
    <w:rsid w:val="00B71A92"/>
    <w:rsid w:val="00B721D8"/>
    <w:rsid w:val="00B730CA"/>
    <w:rsid w:val="00B747C5"/>
    <w:rsid w:val="00B74F2F"/>
    <w:rsid w:val="00B753ED"/>
    <w:rsid w:val="00B769BC"/>
    <w:rsid w:val="00B77349"/>
    <w:rsid w:val="00B7761E"/>
    <w:rsid w:val="00B80A3D"/>
    <w:rsid w:val="00B80B04"/>
    <w:rsid w:val="00B8127B"/>
    <w:rsid w:val="00B819E5"/>
    <w:rsid w:val="00B821E4"/>
    <w:rsid w:val="00B823E0"/>
    <w:rsid w:val="00B8260D"/>
    <w:rsid w:val="00B82B78"/>
    <w:rsid w:val="00B845B4"/>
    <w:rsid w:val="00B84662"/>
    <w:rsid w:val="00B84C74"/>
    <w:rsid w:val="00B85191"/>
    <w:rsid w:val="00B858A1"/>
    <w:rsid w:val="00B85FEC"/>
    <w:rsid w:val="00B864A3"/>
    <w:rsid w:val="00B86C2A"/>
    <w:rsid w:val="00B878BE"/>
    <w:rsid w:val="00B902A5"/>
    <w:rsid w:val="00B90420"/>
    <w:rsid w:val="00B90848"/>
    <w:rsid w:val="00B91146"/>
    <w:rsid w:val="00B913E4"/>
    <w:rsid w:val="00B91DB9"/>
    <w:rsid w:val="00B91FF3"/>
    <w:rsid w:val="00B93EFE"/>
    <w:rsid w:val="00B944B9"/>
    <w:rsid w:val="00B94956"/>
    <w:rsid w:val="00B94C7F"/>
    <w:rsid w:val="00B94E93"/>
    <w:rsid w:val="00B956B5"/>
    <w:rsid w:val="00B96DF2"/>
    <w:rsid w:val="00B96E18"/>
    <w:rsid w:val="00B96F5A"/>
    <w:rsid w:val="00BA0B39"/>
    <w:rsid w:val="00BA0CB2"/>
    <w:rsid w:val="00BA0E26"/>
    <w:rsid w:val="00BA1310"/>
    <w:rsid w:val="00BA138B"/>
    <w:rsid w:val="00BA305B"/>
    <w:rsid w:val="00BA31BF"/>
    <w:rsid w:val="00BA3FC7"/>
    <w:rsid w:val="00BA478B"/>
    <w:rsid w:val="00BA5224"/>
    <w:rsid w:val="00BA575E"/>
    <w:rsid w:val="00BA76B7"/>
    <w:rsid w:val="00BA7E3B"/>
    <w:rsid w:val="00BB078D"/>
    <w:rsid w:val="00BB079C"/>
    <w:rsid w:val="00BB0D7A"/>
    <w:rsid w:val="00BB10E1"/>
    <w:rsid w:val="00BB2471"/>
    <w:rsid w:val="00BB25B8"/>
    <w:rsid w:val="00BB3035"/>
    <w:rsid w:val="00BB39C1"/>
    <w:rsid w:val="00BB3DF5"/>
    <w:rsid w:val="00BB5D16"/>
    <w:rsid w:val="00BB6180"/>
    <w:rsid w:val="00BB69E6"/>
    <w:rsid w:val="00BB7BE5"/>
    <w:rsid w:val="00BC08BD"/>
    <w:rsid w:val="00BC11E8"/>
    <w:rsid w:val="00BC1B7A"/>
    <w:rsid w:val="00BC2C17"/>
    <w:rsid w:val="00BC3ACD"/>
    <w:rsid w:val="00BC3B20"/>
    <w:rsid w:val="00BC3EE4"/>
    <w:rsid w:val="00BC588C"/>
    <w:rsid w:val="00BC62F4"/>
    <w:rsid w:val="00BC6E73"/>
    <w:rsid w:val="00BC74D3"/>
    <w:rsid w:val="00BD0014"/>
    <w:rsid w:val="00BD01D8"/>
    <w:rsid w:val="00BD255F"/>
    <w:rsid w:val="00BD2895"/>
    <w:rsid w:val="00BD4236"/>
    <w:rsid w:val="00BD483B"/>
    <w:rsid w:val="00BD5CD4"/>
    <w:rsid w:val="00BD65D9"/>
    <w:rsid w:val="00BD6DF3"/>
    <w:rsid w:val="00BD6E09"/>
    <w:rsid w:val="00BD6EF9"/>
    <w:rsid w:val="00BE0ACB"/>
    <w:rsid w:val="00BE2260"/>
    <w:rsid w:val="00BE3917"/>
    <w:rsid w:val="00BE50FD"/>
    <w:rsid w:val="00BE51CA"/>
    <w:rsid w:val="00BE537F"/>
    <w:rsid w:val="00BE5D77"/>
    <w:rsid w:val="00BE6D47"/>
    <w:rsid w:val="00BE7032"/>
    <w:rsid w:val="00BE7330"/>
    <w:rsid w:val="00BF01C5"/>
    <w:rsid w:val="00BF061A"/>
    <w:rsid w:val="00BF066A"/>
    <w:rsid w:val="00BF14CC"/>
    <w:rsid w:val="00BF1821"/>
    <w:rsid w:val="00BF4342"/>
    <w:rsid w:val="00BF4704"/>
    <w:rsid w:val="00BF4FFC"/>
    <w:rsid w:val="00BF5050"/>
    <w:rsid w:val="00BF50D1"/>
    <w:rsid w:val="00BF5422"/>
    <w:rsid w:val="00BF59B1"/>
    <w:rsid w:val="00BF6A78"/>
    <w:rsid w:val="00BF7695"/>
    <w:rsid w:val="00BF79B4"/>
    <w:rsid w:val="00BF7C61"/>
    <w:rsid w:val="00C00037"/>
    <w:rsid w:val="00C01427"/>
    <w:rsid w:val="00C014C7"/>
    <w:rsid w:val="00C047AB"/>
    <w:rsid w:val="00C058AF"/>
    <w:rsid w:val="00C075B6"/>
    <w:rsid w:val="00C124C1"/>
    <w:rsid w:val="00C128AE"/>
    <w:rsid w:val="00C12BA8"/>
    <w:rsid w:val="00C136D6"/>
    <w:rsid w:val="00C13902"/>
    <w:rsid w:val="00C13D5B"/>
    <w:rsid w:val="00C141D7"/>
    <w:rsid w:val="00C16F84"/>
    <w:rsid w:val="00C1711B"/>
    <w:rsid w:val="00C17AE2"/>
    <w:rsid w:val="00C17E00"/>
    <w:rsid w:val="00C20140"/>
    <w:rsid w:val="00C20F27"/>
    <w:rsid w:val="00C215CF"/>
    <w:rsid w:val="00C2244B"/>
    <w:rsid w:val="00C22711"/>
    <w:rsid w:val="00C2280A"/>
    <w:rsid w:val="00C22B0D"/>
    <w:rsid w:val="00C22BFF"/>
    <w:rsid w:val="00C23522"/>
    <w:rsid w:val="00C240C1"/>
    <w:rsid w:val="00C24AED"/>
    <w:rsid w:val="00C250D0"/>
    <w:rsid w:val="00C252AC"/>
    <w:rsid w:val="00C25C0F"/>
    <w:rsid w:val="00C26567"/>
    <w:rsid w:val="00C26923"/>
    <w:rsid w:val="00C27214"/>
    <w:rsid w:val="00C27597"/>
    <w:rsid w:val="00C27E5E"/>
    <w:rsid w:val="00C30382"/>
    <w:rsid w:val="00C30772"/>
    <w:rsid w:val="00C30D6F"/>
    <w:rsid w:val="00C31063"/>
    <w:rsid w:val="00C31B7E"/>
    <w:rsid w:val="00C322D1"/>
    <w:rsid w:val="00C3242A"/>
    <w:rsid w:val="00C33201"/>
    <w:rsid w:val="00C33A39"/>
    <w:rsid w:val="00C33B57"/>
    <w:rsid w:val="00C34619"/>
    <w:rsid w:val="00C35D01"/>
    <w:rsid w:val="00C360B3"/>
    <w:rsid w:val="00C37027"/>
    <w:rsid w:val="00C37B19"/>
    <w:rsid w:val="00C413CB"/>
    <w:rsid w:val="00C42752"/>
    <w:rsid w:val="00C42973"/>
    <w:rsid w:val="00C44C69"/>
    <w:rsid w:val="00C4712A"/>
    <w:rsid w:val="00C5034F"/>
    <w:rsid w:val="00C50830"/>
    <w:rsid w:val="00C52479"/>
    <w:rsid w:val="00C5266E"/>
    <w:rsid w:val="00C5280F"/>
    <w:rsid w:val="00C52C59"/>
    <w:rsid w:val="00C5349E"/>
    <w:rsid w:val="00C539FF"/>
    <w:rsid w:val="00C544BD"/>
    <w:rsid w:val="00C54D3D"/>
    <w:rsid w:val="00C55A30"/>
    <w:rsid w:val="00C56384"/>
    <w:rsid w:val="00C603FA"/>
    <w:rsid w:val="00C60F8C"/>
    <w:rsid w:val="00C61794"/>
    <w:rsid w:val="00C62A48"/>
    <w:rsid w:val="00C62AC4"/>
    <w:rsid w:val="00C62B59"/>
    <w:rsid w:val="00C62F96"/>
    <w:rsid w:val="00C631E1"/>
    <w:rsid w:val="00C638D8"/>
    <w:rsid w:val="00C63AE7"/>
    <w:rsid w:val="00C63D26"/>
    <w:rsid w:val="00C6540A"/>
    <w:rsid w:val="00C668A1"/>
    <w:rsid w:val="00C67223"/>
    <w:rsid w:val="00C707B8"/>
    <w:rsid w:val="00C712AC"/>
    <w:rsid w:val="00C71C15"/>
    <w:rsid w:val="00C71F3D"/>
    <w:rsid w:val="00C72F53"/>
    <w:rsid w:val="00C74035"/>
    <w:rsid w:val="00C748EA"/>
    <w:rsid w:val="00C77818"/>
    <w:rsid w:val="00C8063F"/>
    <w:rsid w:val="00C806ED"/>
    <w:rsid w:val="00C81282"/>
    <w:rsid w:val="00C827B4"/>
    <w:rsid w:val="00C83214"/>
    <w:rsid w:val="00C8329F"/>
    <w:rsid w:val="00C84F8A"/>
    <w:rsid w:val="00C85BA4"/>
    <w:rsid w:val="00C8618F"/>
    <w:rsid w:val="00C8625D"/>
    <w:rsid w:val="00C90372"/>
    <w:rsid w:val="00C9041F"/>
    <w:rsid w:val="00C90F54"/>
    <w:rsid w:val="00C9166B"/>
    <w:rsid w:val="00C91A45"/>
    <w:rsid w:val="00C91FB4"/>
    <w:rsid w:val="00C92150"/>
    <w:rsid w:val="00C92328"/>
    <w:rsid w:val="00C92D42"/>
    <w:rsid w:val="00C938C2"/>
    <w:rsid w:val="00C93F8A"/>
    <w:rsid w:val="00C94EA1"/>
    <w:rsid w:val="00C9511B"/>
    <w:rsid w:val="00C95745"/>
    <w:rsid w:val="00C95902"/>
    <w:rsid w:val="00C962E3"/>
    <w:rsid w:val="00C97246"/>
    <w:rsid w:val="00C978E2"/>
    <w:rsid w:val="00C97997"/>
    <w:rsid w:val="00CA10A2"/>
    <w:rsid w:val="00CA1D83"/>
    <w:rsid w:val="00CA25C0"/>
    <w:rsid w:val="00CA3451"/>
    <w:rsid w:val="00CA35C6"/>
    <w:rsid w:val="00CA4948"/>
    <w:rsid w:val="00CA52F9"/>
    <w:rsid w:val="00CA5368"/>
    <w:rsid w:val="00CA568B"/>
    <w:rsid w:val="00CA573A"/>
    <w:rsid w:val="00CA5C58"/>
    <w:rsid w:val="00CA7D80"/>
    <w:rsid w:val="00CB19D7"/>
    <w:rsid w:val="00CB19FE"/>
    <w:rsid w:val="00CB1C3F"/>
    <w:rsid w:val="00CB2364"/>
    <w:rsid w:val="00CB304C"/>
    <w:rsid w:val="00CB3933"/>
    <w:rsid w:val="00CB53E8"/>
    <w:rsid w:val="00CB594A"/>
    <w:rsid w:val="00CB5CB2"/>
    <w:rsid w:val="00CB6979"/>
    <w:rsid w:val="00CB7DDE"/>
    <w:rsid w:val="00CC0A3D"/>
    <w:rsid w:val="00CC1585"/>
    <w:rsid w:val="00CC3C53"/>
    <w:rsid w:val="00CC3D24"/>
    <w:rsid w:val="00CC3F91"/>
    <w:rsid w:val="00CC472A"/>
    <w:rsid w:val="00CC4ACD"/>
    <w:rsid w:val="00CC4B0A"/>
    <w:rsid w:val="00CC544A"/>
    <w:rsid w:val="00CC57EA"/>
    <w:rsid w:val="00CC5954"/>
    <w:rsid w:val="00CC629B"/>
    <w:rsid w:val="00CC6C4E"/>
    <w:rsid w:val="00CD009D"/>
    <w:rsid w:val="00CD05A2"/>
    <w:rsid w:val="00CD29D4"/>
    <w:rsid w:val="00CD2B5C"/>
    <w:rsid w:val="00CD2FF3"/>
    <w:rsid w:val="00CD3323"/>
    <w:rsid w:val="00CD38F5"/>
    <w:rsid w:val="00CD437E"/>
    <w:rsid w:val="00CD5DAD"/>
    <w:rsid w:val="00CD72C5"/>
    <w:rsid w:val="00CD79A7"/>
    <w:rsid w:val="00CE0789"/>
    <w:rsid w:val="00CE0E8D"/>
    <w:rsid w:val="00CE1A03"/>
    <w:rsid w:val="00CE2346"/>
    <w:rsid w:val="00CE25B2"/>
    <w:rsid w:val="00CE2687"/>
    <w:rsid w:val="00CE27B7"/>
    <w:rsid w:val="00CE3529"/>
    <w:rsid w:val="00CE35C8"/>
    <w:rsid w:val="00CE3962"/>
    <w:rsid w:val="00CE4D1A"/>
    <w:rsid w:val="00CE4E8A"/>
    <w:rsid w:val="00CE5105"/>
    <w:rsid w:val="00CE56BD"/>
    <w:rsid w:val="00CE5EC0"/>
    <w:rsid w:val="00CE6A0B"/>
    <w:rsid w:val="00CE6F9F"/>
    <w:rsid w:val="00CE781A"/>
    <w:rsid w:val="00CE7B08"/>
    <w:rsid w:val="00CE7D52"/>
    <w:rsid w:val="00CF1D74"/>
    <w:rsid w:val="00CF2BE2"/>
    <w:rsid w:val="00CF3DEB"/>
    <w:rsid w:val="00CF55F9"/>
    <w:rsid w:val="00CF7074"/>
    <w:rsid w:val="00CF7390"/>
    <w:rsid w:val="00CF7495"/>
    <w:rsid w:val="00D01CF9"/>
    <w:rsid w:val="00D0334D"/>
    <w:rsid w:val="00D0374D"/>
    <w:rsid w:val="00D06D7B"/>
    <w:rsid w:val="00D06DA5"/>
    <w:rsid w:val="00D07191"/>
    <w:rsid w:val="00D07F1D"/>
    <w:rsid w:val="00D10558"/>
    <w:rsid w:val="00D11D4D"/>
    <w:rsid w:val="00D126DC"/>
    <w:rsid w:val="00D12B03"/>
    <w:rsid w:val="00D13E70"/>
    <w:rsid w:val="00D15FCD"/>
    <w:rsid w:val="00D16C58"/>
    <w:rsid w:val="00D17019"/>
    <w:rsid w:val="00D17FC8"/>
    <w:rsid w:val="00D20B44"/>
    <w:rsid w:val="00D21168"/>
    <w:rsid w:val="00D2438C"/>
    <w:rsid w:val="00D2585A"/>
    <w:rsid w:val="00D259B0"/>
    <w:rsid w:val="00D26C3F"/>
    <w:rsid w:val="00D27026"/>
    <w:rsid w:val="00D27185"/>
    <w:rsid w:val="00D30EF8"/>
    <w:rsid w:val="00D32518"/>
    <w:rsid w:val="00D33488"/>
    <w:rsid w:val="00D33AB3"/>
    <w:rsid w:val="00D33F24"/>
    <w:rsid w:val="00D34160"/>
    <w:rsid w:val="00D346B8"/>
    <w:rsid w:val="00D34DCA"/>
    <w:rsid w:val="00D35AC8"/>
    <w:rsid w:val="00D36F87"/>
    <w:rsid w:val="00D37E4E"/>
    <w:rsid w:val="00D400A4"/>
    <w:rsid w:val="00D40DEF"/>
    <w:rsid w:val="00D417D8"/>
    <w:rsid w:val="00D41F78"/>
    <w:rsid w:val="00D42E6C"/>
    <w:rsid w:val="00D4351C"/>
    <w:rsid w:val="00D43B80"/>
    <w:rsid w:val="00D44988"/>
    <w:rsid w:val="00D45B4C"/>
    <w:rsid w:val="00D45BA4"/>
    <w:rsid w:val="00D471AF"/>
    <w:rsid w:val="00D4724F"/>
    <w:rsid w:val="00D50519"/>
    <w:rsid w:val="00D512C8"/>
    <w:rsid w:val="00D51601"/>
    <w:rsid w:val="00D51ECB"/>
    <w:rsid w:val="00D5264C"/>
    <w:rsid w:val="00D52BBC"/>
    <w:rsid w:val="00D537FE"/>
    <w:rsid w:val="00D53CC9"/>
    <w:rsid w:val="00D54A6A"/>
    <w:rsid w:val="00D54B8F"/>
    <w:rsid w:val="00D55951"/>
    <w:rsid w:val="00D559F0"/>
    <w:rsid w:val="00D57EB6"/>
    <w:rsid w:val="00D608C0"/>
    <w:rsid w:val="00D60D6D"/>
    <w:rsid w:val="00D6128C"/>
    <w:rsid w:val="00D66D8B"/>
    <w:rsid w:val="00D70849"/>
    <w:rsid w:val="00D72297"/>
    <w:rsid w:val="00D72A1C"/>
    <w:rsid w:val="00D7308F"/>
    <w:rsid w:val="00D7313E"/>
    <w:rsid w:val="00D73580"/>
    <w:rsid w:val="00D73802"/>
    <w:rsid w:val="00D73C2C"/>
    <w:rsid w:val="00D73D52"/>
    <w:rsid w:val="00D745E7"/>
    <w:rsid w:val="00D774ED"/>
    <w:rsid w:val="00D777C3"/>
    <w:rsid w:val="00D7797C"/>
    <w:rsid w:val="00D77C44"/>
    <w:rsid w:val="00D77F88"/>
    <w:rsid w:val="00D81AFA"/>
    <w:rsid w:val="00D81EAA"/>
    <w:rsid w:val="00D81FE2"/>
    <w:rsid w:val="00D8259F"/>
    <w:rsid w:val="00D825F2"/>
    <w:rsid w:val="00D8285C"/>
    <w:rsid w:val="00D828B1"/>
    <w:rsid w:val="00D82A55"/>
    <w:rsid w:val="00D83D49"/>
    <w:rsid w:val="00D84181"/>
    <w:rsid w:val="00D846AD"/>
    <w:rsid w:val="00D84754"/>
    <w:rsid w:val="00D84F27"/>
    <w:rsid w:val="00D853F0"/>
    <w:rsid w:val="00D85862"/>
    <w:rsid w:val="00D86D47"/>
    <w:rsid w:val="00D8710C"/>
    <w:rsid w:val="00D873C6"/>
    <w:rsid w:val="00D9012D"/>
    <w:rsid w:val="00D9074A"/>
    <w:rsid w:val="00D9099E"/>
    <w:rsid w:val="00D9193A"/>
    <w:rsid w:val="00D923B2"/>
    <w:rsid w:val="00D92463"/>
    <w:rsid w:val="00D93E64"/>
    <w:rsid w:val="00D93F64"/>
    <w:rsid w:val="00D94CA4"/>
    <w:rsid w:val="00D95E99"/>
    <w:rsid w:val="00D965D5"/>
    <w:rsid w:val="00D97DA2"/>
    <w:rsid w:val="00DA1A3A"/>
    <w:rsid w:val="00DA2351"/>
    <w:rsid w:val="00DA249E"/>
    <w:rsid w:val="00DA2D3D"/>
    <w:rsid w:val="00DA4C30"/>
    <w:rsid w:val="00DA7722"/>
    <w:rsid w:val="00DB145E"/>
    <w:rsid w:val="00DB1A94"/>
    <w:rsid w:val="00DB1D52"/>
    <w:rsid w:val="00DB1E2B"/>
    <w:rsid w:val="00DB1F62"/>
    <w:rsid w:val="00DB21E7"/>
    <w:rsid w:val="00DB2E03"/>
    <w:rsid w:val="00DB3742"/>
    <w:rsid w:val="00DB3E9B"/>
    <w:rsid w:val="00DB3F4B"/>
    <w:rsid w:val="00DB5375"/>
    <w:rsid w:val="00DB67C1"/>
    <w:rsid w:val="00DB6C0B"/>
    <w:rsid w:val="00DB70F4"/>
    <w:rsid w:val="00DB748A"/>
    <w:rsid w:val="00DC1056"/>
    <w:rsid w:val="00DC1442"/>
    <w:rsid w:val="00DC21D8"/>
    <w:rsid w:val="00DC282A"/>
    <w:rsid w:val="00DC34DC"/>
    <w:rsid w:val="00DC3780"/>
    <w:rsid w:val="00DC3ADA"/>
    <w:rsid w:val="00DC3CC6"/>
    <w:rsid w:val="00DC3F55"/>
    <w:rsid w:val="00DC4782"/>
    <w:rsid w:val="00DC514A"/>
    <w:rsid w:val="00DC67B1"/>
    <w:rsid w:val="00DC7FBC"/>
    <w:rsid w:val="00DD0019"/>
    <w:rsid w:val="00DD132B"/>
    <w:rsid w:val="00DD1725"/>
    <w:rsid w:val="00DD2159"/>
    <w:rsid w:val="00DD218B"/>
    <w:rsid w:val="00DD2A18"/>
    <w:rsid w:val="00DD3044"/>
    <w:rsid w:val="00DD3985"/>
    <w:rsid w:val="00DD61E8"/>
    <w:rsid w:val="00DD62C0"/>
    <w:rsid w:val="00DD64DE"/>
    <w:rsid w:val="00DD7859"/>
    <w:rsid w:val="00DD7B41"/>
    <w:rsid w:val="00DE0784"/>
    <w:rsid w:val="00DE0A1D"/>
    <w:rsid w:val="00DE15B2"/>
    <w:rsid w:val="00DE1A9A"/>
    <w:rsid w:val="00DE3D2C"/>
    <w:rsid w:val="00DE5E82"/>
    <w:rsid w:val="00DE5FA6"/>
    <w:rsid w:val="00DE6792"/>
    <w:rsid w:val="00DE6AA1"/>
    <w:rsid w:val="00DE795F"/>
    <w:rsid w:val="00DE7AAB"/>
    <w:rsid w:val="00DE7EF7"/>
    <w:rsid w:val="00DF015B"/>
    <w:rsid w:val="00DF02EC"/>
    <w:rsid w:val="00DF10FC"/>
    <w:rsid w:val="00DF1185"/>
    <w:rsid w:val="00DF1299"/>
    <w:rsid w:val="00DF1A70"/>
    <w:rsid w:val="00DF1E5F"/>
    <w:rsid w:val="00DF23A8"/>
    <w:rsid w:val="00DF2F27"/>
    <w:rsid w:val="00DF36B6"/>
    <w:rsid w:val="00DF4296"/>
    <w:rsid w:val="00DF53F0"/>
    <w:rsid w:val="00DF5F38"/>
    <w:rsid w:val="00DF6608"/>
    <w:rsid w:val="00DF6CCC"/>
    <w:rsid w:val="00DF6D0C"/>
    <w:rsid w:val="00DF6F64"/>
    <w:rsid w:val="00DF721E"/>
    <w:rsid w:val="00DF7B8A"/>
    <w:rsid w:val="00DF7C87"/>
    <w:rsid w:val="00E009B0"/>
    <w:rsid w:val="00E00A12"/>
    <w:rsid w:val="00E00C49"/>
    <w:rsid w:val="00E01C9C"/>
    <w:rsid w:val="00E0219D"/>
    <w:rsid w:val="00E04C0F"/>
    <w:rsid w:val="00E0570B"/>
    <w:rsid w:val="00E10343"/>
    <w:rsid w:val="00E10913"/>
    <w:rsid w:val="00E10B87"/>
    <w:rsid w:val="00E121CE"/>
    <w:rsid w:val="00E1478B"/>
    <w:rsid w:val="00E14FAC"/>
    <w:rsid w:val="00E15007"/>
    <w:rsid w:val="00E16277"/>
    <w:rsid w:val="00E16EC7"/>
    <w:rsid w:val="00E219CE"/>
    <w:rsid w:val="00E24071"/>
    <w:rsid w:val="00E24EBC"/>
    <w:rsid w:val="00E2522C"/>
    <w:rsid w:val="00E2552F"/>
    <w:rsid w:val="00E2599B"/>
    <w:rsid w:val="00E2710C"/>
    <w:rsid w:val="00E27428"/>
    <w:rsid w:val="00E305B4"/>
    <w:rsid w:val="00E31182"/>
    <w:rsid w:val="00E3197A"/>
    <w:rsid w:val="00E31AFA"/>
    <w:rsid w:val="00E31CB7"/>
    <w:rsid w:val="00E324EE"/>
    <w:rsid w:val="00E32990"/>
    <w:rsid w:val="00E34DB1"/>
    <w:rsid w:val="00E35931"/>
    <w:rsid w:val="00E359FF"/>
    <w:rsid w:val="00E36BD1"/>
    <w:rsid w:val="00E402C5"/>
    <w:rsid w:val="00E402F4"/>
    <w:rsid w:val="00E405F1"/>
    <w:rsid w:val="00E4178B"/>
    <w:rsid w:val="00E417DB"/>
    <w:rsid w:val="00E43054"/>
    <w:rsid w:val="00E43655"/>
    <w:rsid w:val="00E44440"/>
    <w:rsid w:val="00E46013"/>
    <w:rsid w:val="00E47099"/>
    <w:rsid w:val="00E47284"/>
    <w:rsid w:val="00E4730A"/>
    <w:rsid w:val="00E477C3"/>
    <w:rsid w:val="00E47E23"/>
    <w:rsid w:val="00E517A5"/>
    <w:rsid w:val="00E51E16"/>
    <w:rsid w:val="00E53730"/>
    <w:rsid w:val="00E5438D"/>
    <w:rsid w:val="00E54511"/>
    <w:rsid w:val="00E54E50"/>
    <w:rsid w:val="00E55288"/>
    <w:rsid w:val="00E57577"/>
    <w:rsid w:val="00E62043"/>
    <w:rsid w:val="00E626B9"/>
    <w:rsid w:val="00E627C9"/>
    <w:rsid w:val="00E630F3"/>
    <w:rsid w:val="00E6332F"/>
    <w:rsid w:val="00E637C9"/>
    <w:rsid w:val="00E6402D"/>
    <w:rsid w:val="00E6680A"/>
    <w:rsid w:val="00E66F0D"/>
    <w:rsid w:val="00E70615"/>
    <w:rsid w:val="00E7161E"/>
    <w:rsid w:val="00E7207B"/>
    <w:rsid w:val="00E7347A"/>
    <w:rsid w:val="00E75A47"/>
    <w:rsid w:val="00E75BB6"/>
    <w:rsid w:val="00E75D8C"/>
    <w:rsid w:val="00E777F2"/>
    <w:rsid w:val="00E802C9"/>
    <w:rsid w:val="00E80BFB"/>
    <w:rsid w:val="00E80F0A"/>
    <w:rsid w:val="00E815D4"/>
    <w:rsid w:val="00E8291B"/>
    <w:rsid w:val="00E82E70"/>
    <w:rsid w:val="00E82F92"/>
    <w:rsid w:val="00E8395F"/>
    <w:rsid w:val="00E8410F"/>
    <w:rsid w:val="00E849D7"/>
    <w:rsid w:val="00E85E41"/>
    <w:rsid w:val="00E85EA1"/>
    <w:rsid w:val="00E86703"/>
    <w:rsid w:val="00E91044"/>
    <w:rsid w:val="00E910D3"/>
    <w:rsid w:val="00E91257"/>
    <w:rsid w:val="00E92154"/>
    <w:rsid w:val="00E923CF"/>
    <w:rsid w:val="00E93685"/>
    <w:rsid w:val="00E93B65"/>
    <w:rsid w:val="00E93C8C"/>
    <w:rsid w:val="00E95111"/>
    <w:rsid w:val="00E95FDF"/>
    <w:rsid w:val="00EA14C8"/>
    <w:rsid w:val="00EA2110"/>
    <w:rsid w:val="00EA283A"/>
    <w:rsid w:val="00EA2C90"/>
    <w:rsid w:val="00EA2E07"/>
    <w:rsid w:val="00EA383B"/>
    <w:rsid w:val="00EA41E6"/>
    <w:rsid w:val="00EA48F3"/>
    <w:rsid w:val="00EA60BF"/>
    <w:rsid w:val="00EA7365"/>
    <w:rsid w:val="00EA763F"/>
    <w:rsid w:val="00EA77E9"/>
    <w:rsid w:val="00EB05D0"/>
    <w:rsid w:val="00EB1151"/>
    <w:rsid w:val="00EB1D49"/>
    <w:rsid w:val="00EB23D9"/>
    <w:rsid w:val="00EB39A0"/>
    <w:rsid w:val="00EB559F"/>
    <w:rsid w:val="00EB566C"/>
    <w:rsid w:val="00EB5F3D"/>
    <w:rsid w:val="00EB77E5"/>
    <w:rsid w:val="00EC1CEB"/>
    <w:rsid w:val="00EC1DC0"/>
    <w:rsid w:val="00EC1DC2"/>
    <w:rsid w:val="00EC21EC"/>
    <w:rsid w:val="00EC24B8"/>
    <w:rsid w:val="00EC268C"/>
    <w:rsid w:val="00EC3753"/>
    <w:rsid w:val="00EC4E71"/>
    <w:rsid w:val="00EC5F1C"/>
    <w:rsid w:val="00ED0365"/>
    <w:rsid w:val="00ED0865"/>
    <w:rsid w:val="00ED1C60"/>
    <w:rsid w:val="00ED2EB9"/>
    <w:rsid w:val="00ED32D5"/>
    <w:rsid w:val="00ED3722"/>
    <w:rsid w:val="00ED3A31"/>
    <w:rsid w:val="00ED4469"/>
    <w:rsid w:val="00ED5424"/>
    <w:rsid w:val="00ED5F23"/>
    <w:rsid w:val="00ED6DC0"/>
    <w:rsid w:val="00ED7A7A"/>
    <w:rsid w:val="00EE0327"/>
    <w:rsid w:val="00EE038C"/>
    <w:rsid w:val="00EE28C5"/>
    <w:rsid w:val="00EE2F09"/>
    <w:rsid w:val="00EE47C5"/>
    <w:rsid w:val="00EE4885"/>
    <w:rsid w:val="00EE490C"/>
    <w:rsid w:val="00EE4E57"/>
    <w:rsid w:val="00EE5738"/>
    <w:rsid w:val="00EE58BD"/>
    <w:rsid w:val="00EE5E59"/>
    <w:rsid w:val="00EE6549"/>
    <w:rsid w:val="00EE73D0"/>
    <w:rsid w:val="00EE7CB0"/>
    <w:rsid w:val="00EF08A8"/>
    <w:rsid w:val="00EF167B"/>
    <w:rsid w:val="00EF41A8"/>
    <w:rsid w:val="00EF44FB"/>
    <w:rsid w:val="00EF5122"/>
    <w:rsid w:val="00EF5554"/>
    <w:rsid w:val="00EF5AD8"/>
    <w:rsid w:val="00EF6B90"/>
    <w:rsid w:val="00EF7807"/>
    <w:rsid w:val="00EF79F7"/>
    <w:rsid w:val="00F006C0"/>
    <w:rsid w:val="00F0125F"/>
    <w:rsid w:val="00F019AA"/>
    <w:rsid w:val="00F0267E"/>
    <w:rsid w:val="00F02686"/>
    <w:rsid w:val="00F030C0"/>
    <w:rsid w:val="00F03291"/>
    <w:rsid w:val="00F0459B"/>
    <w:rsid w:val="00F04E15"/>
    <w:rsid w:val="00F05DF3"/>
    <w:rsid w:val="00F0692C"/>
    <w:rsid w:val="00F069EA"/>
    <w:rsid w:val="00F070E5"/>
    <w:rsid w:val="00F07DDE"/>
    <w:rsid w:val="00F11675"/>
    <w:rsid w:val="00F12557"/>
    <w:rsid w:val="00F13599"/>
    <w:rsid w:val="00F13B28"/>
    <w:rsid w:val="00F14E01"/>
    <w:rsid w:val="00F156A0"/>
    <w:rsid w:val="00F15730"/>
    <w:rsid w:val="00F176A6"/>
    <w:rsid w:val="00F202C2"/>
    <w:rsid w:val="00F211EF"/>
    <w:rsid w:val="00F212F6"/>
    <w:rsid w:val="00F22756"/>
    <w:rsid w:val="00F23248"/>
    <w:rsid w:val="00F23890"/>
    <w:rsid w:val="00F2504D"/>
    <w:rsid w:val="00F2637F"/>
    <w:rsid w:val="00F268F7"/>
    <w:rsid w:val="00F30B83"/>
    <w:rsid w:val="00F30BDB"/>
    <w:rsid w:val="00F30CF8"/>
    <w:rsid w:val="00F31EDF"/>
    <w:rsid w:val="00F32CDE"/>
    <w:rsid w:val="00F32D4C"/>
    <w:rsid w:val="00F3327E"/>
    <w:rsid w:val="00F338C3"/>
    <w:rsid w:val="00F34B14"/>
    <w:rsid w:val="00F34F58"/>
    <w:rsid w:val="00F35DA7"/>
    <w:rsid w:val="00F36A6A"/>
    <w:rsid w:val="00F40101"/>
    <w:rsid w:val="00F404F7"/>
    <w:rsid w:val="00F40CCA"/>
    <w:rsid w:val="00F42D97"/>
    <w:rsid w:val="00F436B2"/>
    <w:rsid w:val="00F43813"/>
    <w:rsid w:val="00F43FEE"/>
    <w:rsid w:val="00F45A72"/>
    <w:rsid w:val="00F46723"/>
    <w:rsid w:val="00F4706D"/>
    <w:rsid w:val="00F476E1"/>
    <w:rsid w:val="00F47D1D"/>
    <w:rsid w:val="00F47F29"/>
    <w:rsid w:val="00F50016"/>
    <w:rsid w:val="00F50058"/>
    <w:rsid w:val="00F5088F"/>
    <w:rsid w:val="00F5118A"/>
    <w:rsid w:val="00F51A21"/>
    <w:rsid w:val="00F52614"/>
    <w:rsid w:val="00F5276E"/>
    <w:rsid w:val="00F52E9F"/>
    <w:rsid w:val="00F53304"/>
    <w:rsid w:val="00F53B81"/>
    <w:rsid w:val="00F540FE"/>
    <w:rsid w:val="00F556FF"/>
    <w:rsid w:val="00F55D12"/>
    <w:rsid w:val="00F5687F"/>
    <w:rsid w:val="00F56D3F"/>
    <w:rsid w:val="00F575C7"/>
    <w:rsid w:val="00F57FD0"/>
    <w:rsid w:val="00F60305"/>
    <w:rsid w:val="00F61B12"/>
    <w:rsid w:val="00F63264"/>
    <w:rsid w:val="00F634E4"/>
    <w:rsid w:val="00F6379E"/>
    <w:rsid w:val="00F64047"/>
    <w:rsid w:val="00F65171"/>
    <w:rsid w:val="00F6560D"/>
    <w:rsid w:val="00F65C23"/>
    <w:rsid w:val="00F67844"/>
    <w:rsid w:val="00F70799"/>
    <w:rsid w:val="00F70A8B"/>
    <w:rsid w:val="00F70B8D"/>
    <w:rsid w:val="00F71936"/>
    <w:rsid w:val="00F724FB"/>
    <w:rsid w:val="00F726B8"/>
    <w:rsid w:val="00F72A26"/>
    <w:rsid w:val="00F733C3"/>
    <w:rsid w:val="00F746A1"/>
    <w:rsid w:val="00F74820"/>
    <w:rsid w:val="00F756DD"/>
    <w:rsid w:val="00F77F4E"/>
    <w:rsid w:val="00F80047"/>
    <w:rsid w:val="00F800C7"/>
    <w:rsid w:val="00F8104D"/>
    <w:rsid w:val="00F81587"/>
    <w:rsid w:val="00F8288F"/>
    <w:rsid w:val="00F84033"/>
    <w:rsid w:val="00F84802"/>
    <w:rsid w:val="00F85B72"/>
    <w:rsid w:val="00F86540"/>
    <w:rsid w:val="00F865CE"/>
    <w:rsid w:val="00F8766F"/>
    <w:rsid w:val="00F91082"/>
    <w:rsid w:val="00F9116D"/>
    <w:rsid w:val="00F91A9A"/>
    <w:rsid w:val="00F9203B"/>
    <w:rsid w:val="00F93ABB"/>
    <w:rsid w:val="00F94D79"/>
    <w:rsid w:val="00F963A2"/>
    <w:rsid w:val="00F9658C"/>
    <w:rsid w:val="00F97A7F"/>
    <w:rsid w:val="00FA0889"/>
    <w:rsid w:val="00FA16E7"/>
    <w:rsid w:val="00FA31C7"/>
    <w:rsid w:val="00FA472D"/>
    <w:rsid w:val="00FB0CBF"/>
    <w:rsid w:val="00FB18F6"/>
    <w:rsid w:val="00FB2A52"/>
    <w:rsid w:val="00FB3F92"/>
    <w:rsid w:val="00FB52C7"/>
    <w:rsid w:val="00FB57DC"/>
    <w:rsid w:val="00FB6E19"/>
    <w:rsid w:val="00FB71F6"/>
    <w:rsid w:val="00FC0AF8"/>
    <w:rsid w:val="00FC1483"/>
    <w:rsid w:val="00FC1C47"/>
    <w:rsid w:val="00FC3102"/>
    <w:rsid w:val="00FC3493"/>
    <w:rsid w:val="00FC39ED"/>
    <w:rsid w:val="00FC4419"/>
    <w:rsid w:val="00FC47E2"/>
    <w:rsid w:val="00FC4AA5"/>
    <w:rsid w:val="00FC4B88"/>
    <w:rsid w:val="00FC4BB8"/>
    <w:rsid w:val="00FC5148"/>
    <w:rsid w:val="00FC623A"/>
    <w:rsid w:val="00FC6524"/>
    <w:rsid w:val="00FC75AC"/>
    <w:rsid w:val="00FD01BF"/>
    <w:rsid w:val="00FD0525"/>
    <w:rsid w:val="00FD0AB7"/>
    <w:rsid w:val="00FD297D"/>
    <w:rsid w:val="00FD2D13"/>
    <w:rsid w:val="00FD374D"/>
    <w:rsid w:val="00FD6071"/>
    <w:rsid w:val="00FD633B"/>
    <w:rsid w:val="00FE0794"/>
    <w:rsid w:val="00FE1041"/>
    <w:rsid w:val="00FE24CB"/>
    <w:rsid w:val="00FE323F"/>
    <w:rsid w:val="00FE3473"/>
    <w:rsid w:val="00FE4049"/>
    <w:rsid w:val="00FE4794"/>
    <w:rsid w:val="00FE480F"/>
    <w:rsid w:val="00FE4998"/>
    <w:rsid w:val="00FE57DE"/>
    <w:rsid w:val="00FE7A68"/>
    <w:rsid w:val="00FF0231"/>
    <w:rsid w:val="00FF1C9B"/>
    <w:rsid w:val="00FF1D49"/>
    <w:rsid w:val="00FF203B"/>
    <w:rsid w:val="00FF2562"/>
    <w:rsid w:val="00FF3A41"/>
    <w:rsid w:val="00FF3E5B"/>
    <w:rsid w:val="00FF57E4"/>
    <w:rsid w:val="00FF78E5"/>
    <w:rsid w:val="0103398B"/>
    <w:rsid w:val="010A1426"/>
    <w:rsid w:val="01132522"/>
    <w:rsid w:val="013E4434"/>
    <w:rsid w:val="014C1D05"/>
    <w:rsid w:val="015201AD"/>
    <w:rsid w:val="015B4120"/>
    <w:rsid w:val="015B42E4"/>
    <w:rsid w:val="015C7AD5"/>
    <w:rsid w:val="01737C26"/>
    <w:rsid w:val="01907316"/>
    <w:rsid w:val="01946C70"/>
    <w:rsid w:val="01A331FC"/>
    <w:rsid w:val="01A433EB"/>
    <w:rsid w:val="01AF3D99"/>
    <w:rsid w:val="01B90B97"/>
    <w:rsid w:val="01B91D0C"/>
    <w:rsid w:val="01C96ED2"/>
    <w:rsid w:val="01DE5CAD"/>
    <w:rsid w:val="01E3453D"/>
    <w:rsid w:val="01E62509"/>
    <w:rsid w:val="01F01BD2"/>
    <w:rsid w:val="01FF4BEC"/>
    <w:rsid w:val="021741B2"/>
    <w:rsid w:val="021C29C7"/>
    <w:rsid w:val="02204683"/>
    <w:rsid w:val="023C2195"/>
    <w:rsid w:val="024A59CE"/>
    <w:rsid w:val="02511F9D"/>
    <w:rsid w:val="02585DD1"/>
    <w:rsid w:val="025F06CD"/>
    <w:rsid w:val="026737D7"/>
    <w:rsid w:val="02741CE4"/>
    <w:rsid w:val="02827C52"/>
    <w:rsid w:val="029B032D"/>
    <w:rsid w:val="02A0618D"/>
    <w:rsid w:val="02B7624C"/>
    <w:rsid w:val="02C76111"/>
    <w:rsid w:val="02CC0355"/>
    <w:rsid w:val="02CD1F13"/>
    <w:rsid w:val="02D50DC8"/>
    <w:rsid w:val="02D6235F"/>
    <w:rsid w:val="02F1741B"/>
    <w:rsid w:val="02FB5C9D"/>
    <w:rsid w:val="030532A9"/>
    <w:rsid w:val="03286A1E"/>
    <w:rsid w:val="032B79A4"/>
    <w:rsid w:val="03305A68"/>
    <w:rsid w:val="033F12EC"/>
    <w:rsid w:val="03407951"/>
    <w:rsid w:val="03535D6B"/>
    <w:rsid w:val="035F4ABA"/>
    <w:rsid w:val="03800D34"/>
    <w:rsid w:val="039A08B0"/>
    <w:rsid w:val="03A314B8"/>
    <w:rsid w:val="03A965F3"/>
    <w:rsid w:val="03B03D9B"/>
    <w:rsid w:val="03D66BA6"/>
    <w:rsid w:val="03D82B98"/>
    <w:rsid w:val="03D964F4"/>
    <w:rsid w:val="03F35283"/>
    <w:rsid w:val="03F83E8B"/>
    <w:rsid w:val="03FF56E1"/>
    <w:rsid w:val="04137DFA"/>
    <w:rsid w:val="041E4068"/>
    <w:rsid w:val="042E0790"/>
    <w:rsid w:val="04365F55"/>
    <w:rsid w:val="0453760B"/>
    <w:rsid w:val="04657F2A"/>
    <w:rsid w:val="04671EF4"/>
    <w:rsid w:val="048B3E34"/>
    <w:rsid w:val="049570A7"/>
    <w:rsid w:val="04BA414C"/>
    <w:rsid w:val="04C17856"/>
    <w:rsid w:val="04CD2CEE"/>
    <w:rsid w:val="04D0617E"/>
    <w:rsid w:val="04F358DC"/>
    <w:rsid w:val="04FA60EF"/>
    <w:rsid w:val="04FC24D4"/>
    <w:rsid w:val="05023BEB"/>
    <w:rsid w:val="05094D59"/>
    <w:rsid w:val="050E5E84"/>
    <w:rsid w:val="05102192"/>
    <w:rsid w:val="05266D56"/>
    <w:rsid w:val="05290F57"/>
    <w:rsid w:val="0541053E"/>
    <w:rsid w:val="054144F3"/>
    <w:rsid w:val="05480236"/>
    <w:rsid w:val="05557587"/>
    <w:rsid w:val="055D4CCC"/>
    <w:rsid w:val="055E4FDC"/>
    <w:rsid w:val="056326BB"/>
    <w:rsid w:val="057F4E2B"/>
    <w:rsid w:val="0585008B"/>
    <w:rsid w:val="058F6224"/>
    <w:rsid w:val="059C5421"/>
    <w:rsid w:val="05AF3B52"/>
    <w:rsid w:val="05C375FE"/>
    <w:rsid w:val="05C56868"/>
    <w:rsid w:val="05D2339D"/>
    <w:rsid w:val="05D74547"/>
    <w:rsid w:val="05F132AE"/>
    <w:rsid w:val="06040198"/>
    <w:rsid w:val="06083B9D"/>
    <w:rsid w:val="06211C5A"/>
    <w:rsid w:val="063026EF"/>
    <w:rsid w:val="063B3638"/>
    <w:rsid w:val="064D7BB5"/>
    <w:rsid w:val="065A158C"/>
    <w:rsid w:val="06633F3D"/>
    <w:rsid w:val="066E7569"/>
    <w:rsid w:val="06B25549"/>
    <w:rsid w:val="06B62CBE"/>
    <w:rsid w:val="06B96E5F"/>
    <w:rsid w:val="06C54CB0"/>
    <w:rsid w:val="06C91C0B"/>
    <w:rsid w:val="06D86BC4"/>
    <w:rsid w:val="072940AD"/>
    <w:rsid w:val="072E4C95"/>
    <w:rsid w:val="074C3ACA"/>
    <w:rsid w:val="07593D76"/>
    <w:rsid w:val="07633118"/>
    <w:rsid w:val="078627A3"/>
    <w:rsid w:val="078D3A1F"/>
    <w:rsid w:val="07937AA3"/>
    <w:rsid w:val="0795423F"/>
    <w:rsid w:val="07A33243"/>
    <w:rsid w:val="07A5201F"/>
    <w:rsid w:val="07B72767"/>
    <w:rsid w:val="07BA233A"/>
    <w:rsid w:val="07C23DE6"/>
    <w:rsid w:val="07E51AAD"/>
    <w:rsid w:val="07F901A3"/>
    <w:rsid w:val="07F97307"/>
    <w:rsid w:val="07FF744E"/>
    <w:rsid w:val="08077E72"/>
    <w:rsid w:val="080C0FE9"/>
    <w:rsid w:val="08203C28"/>
    <w:rsid w:val="083C419B"/>
    <w:rsid w:val="08464A1F"/>
    <w:rsid w:val="084C5E23"/>
    <w:rsid w:val="086B6DF8"/>
    <w:rsid w:val="08744F7A"/>
    <w:rsid w:val="08882DD0"/>
    <w:rsid w:val="08A63ECA"/>
    <w:rsid w:val="08AE00F1"/>
    <w:rsid w:val="08BE34E2"/>
    <w:rsid w:val="08F821C8"/>
    <w:rsid w:val="090A3F9B"/>
    <w:rsid w:val="093A0FE7"/>
    <w:rsid w:val="09596E65"/>
    <w:rsid w:val="096D6029"/>
    <w:rsid w:val="09783845"/>
    <w:rsid w:val="09852AD6"/>
    <w:rsid w:val="09860032"/>
    <w:rsid w:val="09866A95"/>
    <w:rsid w:val="0990373C"/>
    <w:rsid w:val="09921955"/>
    <w:rsid w:val="09CC2AAC"/>
    <w:rsid w:val="09CD0A4B"/>
    <w:rsid w:val="09D07DA9"/>
    <w:rsid w:val="09D26E76"/>
    <w:rsid w:val="09DE2A8F"/>
    <w:rsid w:val="09F60F31"/>
    <w:rsid w:val="0A171D19"/>
    <w:rsid w:val="0A20501F"/>
    <w:rsid w:val="0A232A84"/>
    <w:rsid w:val="0A331AD7"/>
    <w:rsid w:val="0A5B0CAF"/>
    <w:rsid w:val="0A5C3ECC"/>
    <w:rsid w:val="0A643BDF"/>
    <w:rsid w:val="0A652D3E"/>
    <w:rsid w:val="0A6A1AA6"/>
    <w:rsid w:val="0A767E3E"/>
    <w:rsid w:val="0A865AAC"/>
    <w:rsid w:val="0A9D4A5C"/>
    <w:rsid w:val="0AAB5F5D"/>
    <w:rsid w:val="0AB6063D"/>
    <w:rsid w:val="0AB80F56"/>
    <w:rsid w:val="0AC05EBA"/>
    <w:rsid w:val="0ACF6A23"/>
    <w:rsid w:val="0ADA366D"/>
    <w:rsid w:val="0AEA2F37"/>
    <w:rsid w:val="0AF67B2D"/>
    <w:rsid w:val="0B193B77"/>
    <w:rsid w:val="0B1A3243"/>
    <w:rsid w:val="0B1D155E"/>
    <w:rsid w:val="0B325243"/>
    <w:rsid w:val="0B326F2A"/>
    <w:rsid w:val="0B3D510B"/>
    <w:rsid w:val="0B6131F9"/>
    <w:rsid w:val="0B623221"/>
    <w:rsid w:val="0B6E5FE8"/>
    <w:rsid w:val="0B6E6353"/>
    <w:rsid w:val="0B73117E"/>
    <w:rsid w:val="0B987725"/>
    <w:rsid w:val="0BAB0918"/>
    <w:rsid w:val="0BDC31C7"/>
    <w:rsid w:val="0BE93715"/>
    <w:rsid w:val="0BEA3C78"/>
    <w:rsid w:val="0C1110C3"/>
    <w:rsid w:val="0C11238F"/>
    <w:rsid w:val="0C1E2888"/>
    <w:rsid w:val="0C2D753D"/>
    <w:rsid w:val="0C2E225D"/>
    <w:rsid w:val="0C3F7BB0"/>
    <w:rsid w:val="0C4502C0"/>
    <w:rsid w:val="0C452B1A"/>
    <w:rsid w:val="0C530F2E"/>
    <w:rsid w:val="0C5361CC"/>
    <w:rsid w:val="0C6F29D6"/>
    <w:rsid w:val="0C92213C"/>
    <w:rsid w:val="0C9F5D63"/>
    <w:rsid w:val="0CAB5D64"/>
    <w:rsid w:val="0CAF204C"/>
    <w:rsid w:val="0CC954FA"/>
    <w:rsid w:val="0CD304AC"/>
    <w:rsid w:val="0CD65E68"/>
    <w:rsid w:val="0D0114AE"/>
    <w:rsid w:val="0D134413"/>
    <w:rsid w:val="0D29001E"/>
    <w:rsid w:val="0D325EDF"/>
    <w:rsid w:val="0D38442D"/>
    <w:rsid w:val="0D414261"/>
    <w:rsid w:val="0D445D4C"/>
    <w:rsid w:val="0D4829AA"/>
    <w:rsid w:val="0D6D5644"/>
    <w:rsid w:val="0D84032B"/>
    <w:rsid w:val="0D953396"/>
    <w:rsid w:val="0D994191"/>
    <w:rsid w:val="0DA2594C"/>
    <w:rsid w:val="0DAB10A3"/>
    <w:rsid w:val="0DAD4E1B"/>
    <w:rsid w:val="0DBE5700"/>
    <w:rsid w:val="0DE15FD5"/>
    <w:rsid w:val="0DE53B38"/>
    <w:rsid w:val="0DED1503"/>
    <w:rsid w:val="0E215936"/>
    <w:rsid w:val="0E2B3D03"/>
    <w:rsid w:val="0E303356"/>
    <w:rsid w:val="0E4D215A"/>
    <w:rsid w:val="0E5F47DD"/>
    <w:rsid w:val="0E6B66E8"/>
    <w:rsid w:val="0E6E3645"/>
    <w:rsid w:val="0E7E40C2"/>
    <w:rsid w:val="0E8F2DCE"/>
    <w:rsid w:val="0EA55AF2"/>
    <w:rsid w:val="0EB36C82"/>
    <w:rsid w:val="0EBA38D6"/>
    <w:rsid w:val="0ED45624"/>
    <w:rsid w:val="0ED56BFB"/>
    <w:rsid w:val="0ED70174"/>
    <w:rsid w:val="0EE04BDF"/>
    <w:rsid w:val="0EE44AEB"/>
    <w:rsid w:val="0F150F54"/>
    <w:rsid w:val="0F2A74C4"/>
    <w:rsid w:val="0F421593"/>
    <w:rsid w:val="0F4E7F7D"/>
    <w:rsid w:val="0F553015"/>
    <w:rsid w:val="0F7C2CF7"/>
    <w:rsid w:val="0FA4224E"/>
    <w:rsid w:val="0FC53859"/>
    <w:rsid w:val="0FD146C5"/>
    <w:rsid w:val="0FE030CE"/>
    <w:rsid w:val="100706CE"/>
    <w:rsid w:val="10202CC1"/>
    <w:rsid w:val="1027040D"/>
    <w:rsid w:val="10284C2D"/>
    <w:rsid w:val="1034712E"/>
    <w:rsid w:val="104E486C"/>
    <w:rsid w:val="105276E7"/>
    <w:rsid w:val="106D5544"/>
    <w:rsid w:val="10A27F31"/>
    <w:rsid w:val="10A753AB"/>
    <w:rsid w:val="10AA5CB1"/>
    <w:rsid w:val="10B54EB2"/>
    <w:rsid w:val="10BF682C"/>
    <w:rsid w:val="10CB29C5"/>
    <w:rsid w:val="10CC3A02"/>
    <w:rsid w:val="10CC6281"/>
    <w:rsid w:val="10D87300"/>
    <w:rsid w:val="10E33AF2"/>
    <w:rsid w:val="110B438A"/>
    <w:rsid w:val="11164A85"/>
    <w:rsid w:val="1167339E"/>
    <w:rsid w:val="117479FE"/>
    <w:rsid w:val="117E09BE"/>
    <w:rsid w:val="11927058"/>
    <w:rsid w:val="11A02DC7"/>
    <w:rsid w:val="11AB0C22"/>
    <w:rsid w:val="11B22984"/>
    <w:rsid w:val="11D32B0F"/>
    <w:rsid w:val="11E15093"/>
    <w:rsid w:val="11EE4343"/>
    <w:rsid w:val="120F3D85"/>
    <w:rsid w:val="12171B57"/>
    <w:rsid w:val="121F1DDC"/>
    <w:rsid w:val="12573688"/>
    <w:rsid w:val="1260151C"/>
    <w:rsid w:val="127F4FEA"/>
    <w:rsid w:val="129C545E"/>
    <w:rsid w:val="12AA40AD"/>
    <w:rsid w:val="12BF0B46"/>
    <w:rsid w:val="12CC1E0B"/>
    <w:rsid w:val="12CD1ABC"/>
    <w:rsid w:val="12D6271E"/>
    <w:rsid w:val="12EF08E6"/>
    <w:rsid w:val="131E40C5"/>
    <w:rsid w:val="1326458A"/>
    <w:rsid w:val="133631BD"/>
    <w:rsid w:val="133E327C"/>
    <w:rsid w:val="134C478E"/>
    <w:rsid w:val="138653A8"/>
    <w:rsid w:val="138C43DE"/>
    <w:rsid w:val="139C5DE4"/>
    <w:rsid w:val="139D71F2"/>
    <w:rsid w:val="13AC3968"/>
    <w:rsid w:val="13AF4F03"/>
    <w:rsid w:val="13BA2040"/>
    <w:rsid w:val="140A4F68"/>
    <w:rsid w:val="14132899"/>
    <w:rsid w:val="14331E76"/>
    <w:rsid w:val="144401A2"/>
    <w:rsid w:val="14457ECD"/>
    <w:rsid w:val="145206F0"/>
    <w:rsid w:val="14670F31"/>
    <w:rsid w:val="146A5814"/>
    <w:rsid w:val="14736E66"/>
    <w:rsid w:val="147F458F"/>
    <w:rsid w:val="14811732"/>
    <w:rsid w:val="148954D3"/>
    <w:rsid w:val="1489783A"/>
    <w:rsid w:val="14911257"/>
    <w:rsid w:val="14916DF2"/>
    <w:rsid w:val="14AB7BDB"/>
    <w:rsid w:val="14CE7BA3"/>
    <w:rsid w:val="14D93E23"/>
    <w:rsid w:val="14D958EC"/>
    <w:rsid w:val="14DE3B0C"/>
    <w:rsid w:val="14FA3E00"/>
    <w:rsid w:val="1531036E"/>
    <w:rsid w:val="1534169A"/>
    <w:rsid w:val="153C3AA0"/>
    <w:rsid w:val="153E0105"/>
    <w:rsid w:val="154A11A2"/>
    <w:rsid w:val="154A79FC"/>
    <w:rsid w:val="154D3F83"/>
    <w:rsid w:val="156D25A1"/>
    <w:rsid w:val="15812F88"/>
    <w:rsid w:val="15911585"/>
    <w:rsid w:val="159513FB"/>
    <w:rsid w:val="159C0EE7"/>
    <w:rsid w:val="15A27358"/>
    <w:rsid w:val="15B14FA7"/>
    <w:rsid w:val="15B50D11"/>
    <w:rsid w:val="15C03E03"/>
    <w:rsid w:val="15EE508B"/>
    <w:rsid w:val="15F829AC"/>
    <w:rsid w:val="160F4148"/>
    <w:rsid w:val="16261842"/>
    <w:rsid w:val="162A25EB"/>
    <w:rsid w:val="1632283F"/>
    <w:rsid w:val="163E26D6"/>
    <w:rsid w:val="164258D1"/>
    <w:rsid w:val="164C5580"/>
    <w:rsid w:val="16726C02"/>
    <w:rsid w:val="16831A50"/>
    <w:rsid w:val="168C45E3"/>
    <w:rsid w:val="169F56FE"/>
    <w:rsid w:val="16A25067"/>
    <w:rsid w:val="16A44D20"/>
    <w:rsid w:val="16A60B8F"/>
    <w:rsid w:val="16B608CB"/>
    <w:rsid w:val="16BD6398"/>
    <w:rsid w:val="16C34C92"/>
    <w:rsid w:val="16D31DF9"/>
    <w:rsid w:val="16E350EE"/>
    <w:rsid w:val="16E832E7"/>
    <w:rsid w:val="16F05D79"/>
    <w:rsid w:val="16FD2A55"/>
    <w:rsid w:val="17067C1A"/>
    <w:rsid w:val="172045B4"/>
    <w:rsid w:val="172F08F7"/>
    <w:rsid w:val="17366761"/>
    <w:rsid w:val="17393A34"/>
    <w:rsid w:val="173A76F6"/>
    <w:rsid w:val="174979EB"/>
    <w:rsid w:val="176C49DB"/>
    <w:rsid w:val="17716EB9"/>
    <w:rsid w:val="177C01F0"/>
    <w:rsid w:val="177D3DCC"/>
    <w:rsid w:val="178167E0"/>
    <w:rsid w:val="178C3CF3"/>
    <w:rsid w:val="17996410"/>
    <w:rsid w:val="17A80401"/>
    <w:rsid w:val="17BF5EF1"/>
    <w:rsid w:val="17C50D78"/>
    <w:rsid w:val="17C74238"/>
    <w:rsid w:val="17CE6630"/>
    <w:rsid w:val="17D32A08"/>
    <w:rsid w:val="17DE7734"/>
    <w:rsid w:val="17DF2A99"/>
    <w:rsid w:val="17EB3722"/>
    <w:rsid w:val="17EF65A5"/>
    <w:rsid w:val="18016C3F"/>
    <w:rsid w:val="180E6351"/>
    <w:rsid w:val="185F4F64"/>
    <w:rsid w:val="1864257A"/>
    <w:rsid w:val="18750DB1"/>
    <w:rsid w:val="187B48A5"/>
    <w:rsid w:val="18A419CD"/>
    <w:rsid w:val="18A95791"/>
    <w:rsid w:val="18C852A5"/>
    <w:rsid w:val="18CF3339"/>
    <w:rsid w:val="18D90123"/>
    <w:rsid w:val="18EE2472"/>
    <w:rsid w:val="18EF25C1"/>
    <w:rsid w:val="18F77ED0"/>
    <w:rsid w:val="193F68F3"/>
    <w:rsid w:val="19434380"/>
    <w:rsid w:val="19491239"/>
    <w:rsid w:val="19621891"/>
    <w:rsid w:val="196A1E12"/>
    <w:rsid w:val="196D2E5D"/>
    <w:rsid w:val="196F096A"/>
    <w:rsid w:val="197A7D49"/>
    <w:rsid w:val="197D06B4"/>
    <w:rsid w:val="198F20D9"/>
    <w:rsid w:val="19A842D7"/>
    <w:rsid w:val="19AD5CB2"/>
    <w:rsid w:val="19C607E7"/>
    <w:rsid w:val="19D43730"/>
    <w:rsid w:val="19E8688F"/>
    <w:rsid w:val="19F6165F"/>
    <w:rsid w:val="1A0635F7"/>
    <w:rsid w:val="1A0B68A8"/>
    <w:rsid w:val="1A1B0F5C"/>
    <w:rsid w:val="1A232551"/>
    <w:rsid w:val="1A440A74"/>
    <w:rsid w:val="1A5F49C1"/>
    <w:rsid w:val="1A614813"/>
    <w:rsid w:val="1A782658"/>
    <w:rsid w:val="1A826A90"/>
    <w:rsid w:val="1A8573D4"/>
    <w:rsid w:val="1AAB4490"/>
    <w:rsid w:val="1AC3132A"/>
    <w:rsid w:val="1ADC3735"/>
    <w:rsid w:val="1AF65A4C"/>
    <w:rsid w:val="1AFF0AFE"/>
    <w:rsid w:val="1B0E67CD"/>
    <w:rsid w:val="1B34103B"/>
    <w:rsid w:val="1B39650C"/>
    <w:rsid w:val="1B4A093B"/>
    <w:rsid w:val="1B4F19F8"/>
    <w:rsid w:val="1B5C2F75"/>
    <w:rsid w:val="1B60171F"/>
    <w:rsid w:val="1B6A170F"/>
    <w:rsid w:val="1B6B7470"/>
    <w:rsid w:val="1B736F2A"/>
    <w:rsid w:val="1BAC6712"/>
    <w:rsid w:val="1BAE3D4C"/>
    <w:rsid w:val="1BBD3EBB"/>
    <w:rsid w:val="1BCA303C"/>
    <w:rsid w:val="1BD9327F"/>
    <w:rsid w:val="1BE10EA6"/>
    <w:rsid w:val="1BEE7729"/>
    <w:rsid w:val="1BF00B53"/>
    <w:rsid w:val="1C1A42E7"/>
    <w:rsid w:val="1C1D316C"/>
    <w:rsid w:val="1C226F03"/>
    <w:rsid w:val="1C2362A8"/>
    <w:rsid w:val="1C2954F1"/>
    <w:rsid w:val="1C387FA6"/>
    <w:rsid w:val="1C3F670D"/>
    <w:rsid w:val="1C6012AB"/>
    <w:rsid w:val="1C9A50D4"/>
    <w:rsid w:val="1CA823CD"/>
    <w:rsid w:val="1CB47446"/>
    <w:rsid w:val="1CDE1F2F"/>
    <w:rsid w:val="1CE44F73"/>
    <w:rsid w:val="1CE61E5F"/>
    <w:rsid w:val="1CE76EE2"/>
    <w:rsid w:val="1CF93E51"/>
    <w:rsid w:val="1CFC28BA"/>
    <w:rsid w:val="1D1C46B8"/>
    <w:rsid w:val="1D2C5AC6"/>
    <w:rsid w:val="1D3943AC"/>
    <w:rsid w:val="1D440BCC"/>
    <w:rsid w:val="1D701B0C"/>
    <w:rsid w:val="1D805CF0"/>
    <w:rsid w:val="1D855C9C"/>
    <w:rsid w:val="1D8F637F"/>
    <w:rsid w:val="1D996796"/>
    <w:rsid w:val="1DA07F2F"/>
    <w:rsid w:val="1DD106A3"/>
    <w:rsid w:val="1DE721F7"/>
    <w:rsid w:val="1DF20628"/>
    <w:rsid w:val="1DF4655A"/>
    <w:rsid w:val="1E0450B5"/>
    <w:rsid w:val="1E192F6A"/>
    <w:rsid w:val="1E350443"/>
    <w:rsid w:val="1E36026B"/>
    <w:rsid w:val="1E37428D"/>
    <w:rsid w:val="1E375346"/>
    <w:rsid w:val="1E587E79"/>
    <w:rsid w:val="1E601A36"/>
    <w:rsid w:val="1E657FE9"/>
    <w:rsid w:val="1E6D229A"/>
    <w:rsid w:val="1E72152A"/>
    <w:rsid w:val="1E842C7C"/>
    <w:rsid w:val="1E8C24F9"/>
    <w:rsid w:val="1EAC6AFA"/>
    <w:rsid w:val="1EB3600A"/>
    <w:rsid w:val="1EBE0ACE"/>
    <w:rsid w:val="1ECC44FA"/>
    <w:rsid w:val="1ECE7147"/>
    <w:rsid w:val="1EF26B32"/>
    <w:rsid w:val="1F063325"/>
    <w:rsid w:val="1F096018"/>
    <w:rsid w:val="1F206483"/>
    <w:rsid w:val="1F4D240C"/>
    <w:rsid w:val="1F50678E"/>
    <w:rsid w:val="1F6A3BA7"/>
    <w:rsid w:val="1F80168B"/>
    <w:rsid w:val="1F843156"/>
    <w:rsid w:val="1F861028"/>
    <w:rsid w:val="1F91158B"/>
    <w:rsid w:val="1FB75686"/>
    <w:rsid w:val="1FBC5DF5"/>
    <w:rsid w:val="1FC16863"/>
    <w:rsid w:val="1FD24FA2"/>
    <w:rsid w:val="1FE3647B"/>
    <w:rsid w:val="1FE50445"/>
    <w:rsid w:val="1FE87F35"/>
    <w:rsid w:val="1FEA075F"/>
    <w:rsid w:val="1FF61864"/>
    <w:rsid w:val="1FF90588"/>
    <w:rsid w:val="201167D2"/>
    <w:rsid w:val="20213923"/>
    <w:rsid w:val="20245062"/>
    <w:rsid w:val="204C04C4"/>
    <w:rsid w:val="204D2ACD"/>
    <w:rsid w:val="2060790C"/>
    <w:rsid w:val="20A35C0A"/>
    <w:rsid w:val="20A830A0"/>
    <w:rsid w:val="20B17B94"/>
    <w:rsid w:val="20BB6724"/>
    <w:rsid w:val="20C05A01"/>
    <w:rsid w:val="20C3623F"/>
    <w:rsid w:val="20C847C5"/>
    <w:rsid w:val="20D84C09"/>
    <w:rsid w:val="20F25B07"/>
    <w:rsid w:val="211041C1"/>
    <w:rsid w:val="21190222"/>
    <w:rsid w:val="21690C01"/>
    <w:rsid w:val="216E75E5"/>
    <w:rsid w:val="21781212"/>
    <w:rsid w:val="217E1E68"/>
    <w:rsid w:val="219E1A02"/>
    <w:rsid w:val="21B83F86"/>
    <w:rsid w:val="21CF315A"/>
    <w:rsid w:val="21DA0475"/>
    <w:rsid w:val="21E069CE"/>
    <w:rsid w:val="21F229A5"/>
    <w:rsid w:val="21FC6C72"/>
    <w:rsid w:val="21FE1453"/>
    <w:rsid w:val="220C7795"/>
    <w:rsid w:val="22106A4D"/>
    <w:rsid w:val="221178A8"/>
    <w:rsid w:val="221213CF"/>
    <w:rsid w:val="221943D6"/>
    <w:rsid w:val="221B28B1"/>
    <w:rsid w:val="22295B1A"/>
    <w:rsid w:val="22327A92"/>
    <w:rsid w:val="223942B3"/>
    <w:rsid w:val="226F3F88"/>
    <w:rsid w:val="227744D0"/>
    <w:rsid w:val="227C6712"/>
    <w:rsid w:val="22B54A03"/>
    <w:rsid w:val="22BB3EC7"/>
    <w:rsid w:val="22BB4743"/>
    <w:rsid w:val="22DB129D"/>
    <w:rsid w:val="22ED025E"/>
    <w:rsid w:val="22FA4C94"/>
    <w:rsid w:val="230436F8"/>
    <w:rsid w:val="231D53A2"/>
    <w:rsid w:val="23311EC9"/>
    <w:rsid w:val="23435214"/>
    <w:rsid w:val="234401DF"/>
    <w:rsid w:val="235477BA"/>
    <w:rsid w:val="236B5786"/>
    <w:rsid w:val="236D5383"/>
    <w:rsid w:val="23930F8A"/>
    <w:rsid w:val="23A203FB"/>
    <w:rsid w:val="23A41B75"/>
    <w:rsid w:val="23B134E6"/>
    <w:rsid w:val="23B7504C"/>
    <w:rsid w:val="23BA654A"/>
    <w:rsid w:val="23C509CD"/>
    <w:rsid w:val="23E446CF"/>
    <w:rsid w:val="240B274F"/>
    <w:rsid w:val="240D11B3"/>
    <w:rsid w:val="24205BC8"/>
    <w:rsid w:val="242B2542"/>
    <w:rsid w:val="24341072"/>
    <w:rsid w:val="24354590"/>
    <w:rsid w:val="24420388"/>
    <w:rsid w:val="24516B08"/>
    <w:rsid w:val="24571307"/>
    <w:rsid w:val="246A716A"/>
    <w:rsid w:val="247C7D19"/>
    <w:rsid w:val="24853335"/>
    <w:rsid w:val="2495378E"/>
    <w:rsid w:val="24B30B11"/>
    <w:rsid w:val="24B34021"/>
    <w:rsid w:val="24BE0ABD"/>
    <w:rsid w:val="24CB4B0D"/>
    <w:rsid w:val="25110A2A"/>
    <w:rsid w:val="251513DA"/>
    <w:rsid w:val="251569DF"/>
    <w:rsid w:val="252512E3"/>
    <w:rsid w:val="252E1F46"/>
    <w:rsid w:val="252F3220"/>
    <w:rsid w:val="253634F0"/>
    <w:rsid w:val="2536704D"/>
    <w:rsid w:val="25647DF0"/>
    <w:rsid w:val="256C0944"/>
    <w:rsid w:val="256C0CC0"/>
    <w:rsid w:val="25703F94"/>
    <w:rsid w:val="25773D5F"/>
    <w:rsid w:val="257E73F2"/>
    <w:rsid w:val="25A466AC"/>
    <w:rsid w:val="25B97554"/>
    <w:rsid w:val="25BE7679"/>
    <w:rsid w:val="25C00F8A"/>
    <w:rsid w:val="25C27580"/>
    <w:rsid w:val="25D53DA4"/>
    <w:rsid w:val="25D565A0"/>
    <w:rsid w:val="25EB42DB"/>
    <w:rsid w:val="25EC2CF7"/>
    <w:rsid w:val="260E7FC9"/>
    <w:rsid w:val="26170C2C"/>
    <w:rsid w:val="261F4447"/>
    <w:rsid w:val="262B2F0B"/>
    <w:rsid w:val="262F48F1"/>
    <w:rsid w:val="26446DE3"/>
    <w:rsid w:val="26754E25"/>
    <w:rsid w:val="267B0CDC"/>
    <w:rsid w:val="268F6D25"/>
    <w:rsid w:val="269669E7"/>
    <w:rsid w:val="269D6920"/>
    <w:rsid w:val="26A744DB"/>
    <w:rsid w:val="26B71CCE"/>
    <w:rsid w:val="26BE72FA"/>
    <w:rsid w:val="26CA2142"/>
    <w:rsid w:val="26D4005A"/>
    <w:rsid w:val="26D7699F"/>
    <w:rsid w:val="26E26183"/>
    <w:rsid w:val="26E36ACC"/>
    <w:rsid w:val="26F73A2A"/>
    <w:rsid w:val="26FF2BB8"/>
    <w:rsid w:val="27075144"/>
    <w:rsid w:val="27102C21"/>
    <w:rsid w:val="27227C57"/>
    <w:rsid w:val="27327263"/>
    <w:rsid w:val="2750171F"/>
    <w:rsid w:val="275C3465"/>
    <w:rsid w:val="2769156F"/>
    <w:rsid w:val="27790766"/>
    <w:rsid w:val="27793F5D"/>
    <w:rsid w:val="27912539"/>
    <w:rsid w:val="279462AC"/>
    <w:rsid w:val="27A2622E"/>
    <w:rsid w:val="27A504B9"/>
    <w:rsid w:val="27A60F83"/>
    <w:rsid w:val="27C154A3"/>
    <w:rsid w:val="27D24FCB"/>
    <w:rsid w:val="27FA6A57"/>
    <w:rsid w:val="27FC27CF"/>
    <w:rsid w:val="28124EAE"/>
    <w:rsid w:val="2823613F"/>
    <w:rsid w:val="282835C4"/>
    <w:rsid w:val="283C42D8"/>
    <w:rsid w:val="286839C1"/>
    <w:rsid w:val="28785F5E"/>
    <w:rsid w:val="28814A83"/>
    <w:rsid w:val="28BE38E2"/>
    <w:rsid w:val="28E374EB"/>
    <w:rsid w:val="28E626BF"/>
    <w:rsid w:val="28F14595"/>
    <w:rsid w:val="29063629"/>
    <w:rsid w:val="291137B2"/>
    <w:rsid w:val="29263D2E"/>
    <w:rsid w:val="292E6FEF"/>
    <w:rsid w:val="29343A82"/>
    <w:rsid w:val="293D6B2E"/>
    <w:rsid w:val="29462E61"/>
    <w:rsid w:val="29490B21"/>
    <w:rsid w:val="294C0340"/>
    <w:rsid w:val="295E2317"/>
    <w:rsid w:val="296B020D"/>
    <w:rsid w:val="296C02F7"/>
    <w:rsid w:val="297D3FFE"/>
    <w:rsid w:val="298E07AA"/>
    <w:rsid w:val="29AD0C8B"/>
    <w:rsid w:val="29BB39AC"/>
    <w:rsid w:val="29C5574F"/>
    <w:rsid w:val="29C67FA0"/>
    <w:rsid w:val="29CB62CA"/>
    <w:rsid w:val="29E509C9"/>
    <w:rsid w:val="29FE479A"/>
    <w:rsid w:val="2A1279FF"/>
    <w:rsid w:val="2A1C0F07"/>
    <w:rsid w:val="2A2D4EC2"/>
    <w:rsid w:val="2A385AB0"/>
    <w:rsid w:val="2A4D3396"/>
    <w:rsid w:val="2A541720"/>
    <w:rsid w:val="2A646A64"/>
    <w:rsid w:val="2A7C2741"/>
    <w:rsid w:val="2A973C48"/>
    <w:rsid w:val="2AD830F7"/>
    <w:rsid w:val="2AD908DC"/>
    <w:rsid w:val="2ADE7F6A"/>
    <w:rsid w:val="2AE241C5"/>
    <w:rsid w:val="2AF84D34"/>
    <w:rsid w:val="2B0100FD"/>
    <w:rsid w:val="2B157704"/>
    <w:rsid w:val="2B3043E2"/>
    <w:rsid w:val="2B305B1D"/>
    <w:rsid w:val="2B3E51A2"/>
    <w:rsid w:val="2B6111BC"/>
    <w:rsid w:val="2B6A0459"/>
    <w:rsid w:val="2B774624"/>
    <w:rsid w:val="2B8A5BDD"/>
    <w:rsid w:val="2B8C3FB1"/>
    <w:rsid w:val="2B8C5C18"/>
    <w:rsid w:val="2B913769"/>
    <w:rsid w:val="2BA2368E"/>
    <w:rsid w:val="2BAA42F0"/>
    <w:rsid w:val="2BC83AB9"/>
    <w:rsid w:val="2BE75544"/>
    <w:rsid w:val="2BEC4909"/>
    <w:rsid w:val="2BF5056F"/>
    <w:rsid w:val="2C0D0D9F"/>
    <w:rsid w:val="2C1152C7"/>
    <w:rsid w:val="2C1B56AB"/>
    <w:rsid w:val="2C392293"/>
    <w:rsid w:val="2C485860"/>
    <w:rsid w:val="2C7A72BE"/>
    <w:rsid w:val="2C8A7A52"/>
    <w:rsid w:val="2C99503A"/>
    <w:rsid w:val="2C9A7D75"/>
    <w:rsid w:val="2CAB1EE9"/>
    <w:rsid w:val="2CB734DA"/>
    <w:rsid w:val="2CBC587B"/>
    <w:rsid w:val="2CC17412"/>
    <w:rsid w:val="2CCB04B9"/>
    <w:rsid w:val="2CD40732"/>
    <w:rsid w:val="2CD95E24"/>
    <w:rsid w:val="2CED4AC4"/>
    <w:rsid w:val="2CF350E3"/>
    <w:rsid w:val="2CFF7BB9"/>
    <w:rsid w:val="2D04594C"/>
    <w:rsid w:val="2D09222D"/>
    <w:rsid w:val="2D0C5851"/>
    <w:rsid w:val="2D1759B5"/>
    <w:rsid w:val="2D1C1975"/>
    <w:rsid w:val="2D304824"/>
    <w:rsid w:val="2D412A32"/>
    <w:rsid w:val="2D446A9B"/>
    <w:rsid w:val="2D482013"/>
    <w:rsid w:val="2D594220"/>
    <w:rsid w:val="2DA120C4"/>
    <w:rsid w:val="2DA9047B"/>
    <w:rsid w:val="2DAC6336"/>
    <w:rsid w:val="2DB4709A"/>
    <w:rsid w:val="2DC65BA0"/>
    <w:rsid w:val="2DCD42C6"/>
    <w:rsid w:val="2DD85E2E"/>
    <w:rsid w:val="2DE23A89"/>
    <w:rsid w:val="2DE42613"/>
    <w:rsid w:val="2DEA2D77"/>
    <w:rsid w:val="2E41718B"/>
    <w:rsid w:val="2E5F03A4"/>
    <w:rsid w:val="2E717F8B"/>
    <w:rsid w:val="2E7D64D4"/>
    <w:rsid w:val="2E8E1E30"/>
    <w:rsid w:val="2E953036"/>
    <w:rsid w:val="2E9976CE"/>
    <w:rsid w:val="2ED85923"/>
    <w:rsid w:val="2F134027"/>
    <w:rsid w:val="2F245316"/>
    <w:rsid w:val="2F401D3C"/>
    <w:rsid w:val="2F455109"/>
    <w:rsid w:val="2F5B24E1"/>
    <w:rsid w:val="2F704EEA"/>
    <w:rsid w:val="2F8026D7"/>
    <w:rsid w:val="2F8F65C7"/>
    <w:rsid w:val="2F932130"/>
    <w:rsid w:val="2FA95C88"/>
    <w:rsid w:val="2FC31E25"/>
    <w:rsid w:val="2FC97926"/>
    <w:rsid w:val="2FD471C0"/>
    <w:rsid w:val="2FD7142C"/>
    <w:rsid w:val="2FF36512"/>
    <w:rsid w:val="2FF9770A"/>
    <w:rsid w:val="30242658"/>
    <w:rsid w:val="3025300D"/>
    <w:rsid w:val="302F4907"/>
    <w:rsid w:val="303B3107"/>
    <w:rsid w:val="3041370F"/>
    <w:rsid w:val="30506D05"/>
    <w:rsid w:val="30536D05"/>
    <w:rsid w:val="30546461"/>
    <w:rsid w:val="30653CC1"/>
    <w:rsid w:val="306D5836"/>
    <w:rsid w:val="30766E97"/>
    <w:rsid w:val="307B5B9A"/>
    <w:rsid w:val="3097349C"/>
    <w:rsid w:val="30C3032E"/>
    <w:rsid w:val="30C60521"/>
    <w:rsid w:val="30CC59E1"/>
    <w:rsid w:val="30D32298"/>
    <w:rsid w:val="30EC5E2A"/>
    <w:rsid w:val="30ED1946"/>
    <w:rsid w:val="310C524F"/>
    <w:rsid w:val="31166AF7"/>
    <w:rsid w:val="311B0A1E"/>
    <w:rsid w:val="311F0E80"/>
    <w:rsid w:val="31216B3F"/>
    <w:rsid w:val="312B50A3"/>
    <w:rsid w:val="312E32CE"/>
    <w:rsid w:val="317172BB"/>
    <w:rsid w:val="31783982"/>
    <w:rsid w:val="317B1459"/>
    <w:rsid w:val="318E6873"/>
    <w:rsid w:val="31921AAF"/>
    <w:rsid w:val="31926A3D"/>
    <w:rsid w:val="31B46ACE"/>
    <w:rsid w:val="31B95000"/>
    <w:rsid w:val="31C97E3A"/>
    <w:rsid w:val="31CC1204"/>
    <w:rsid w:val="31E93427"/>
    <w:rsid w:val="31EF3498"/>
    <w:rsid w:val="31F51115"/>
    <w:rsid w:val="31F70D0A"/>
    <w:rsid w:val="32003808"/>
    <w:rsid w:val="32144BB9"/>
    <w:rsid w:val="321A6930"/>
    <w:rsid w:val="322746E6"/>
    <w:rsid w:val="323460BD"/>
    <w:rsid w:val="32386084"/>
    <w:rsid w:val="32453A27"/>
    <w:rsid w:val="3263064A"/>
    <w:rsid w:val="3265766A"/>
    <w:rsid w:val="32760580"/>
    <w:rsid w:val="327B2543"/>
    <w:rsid w:val="32963820"/>
    <w:rsid w:val="329B4D38"/>
    <w:rsid w:val="32A43132"/>
    <w:rsid w:val="32A54D0E"/>
    <w:rsid w:val="32AC0C06"/>
    <w:rsid w:val="32AD0CCA"/>
    <w:rsid w:val="32AF09B7"/>
    <w:rsid w:val="32B02D54"/>
    <w:rsid w:val="32B53CA7"/>
    <w:rsid w:val="32C3297D"/>
    <w:rsid w:val="32C33CD3"/>
    <w:rsid w:val="32D63C1D"/>
    <w:rsid w:val="32D96FAB"/>
    <w:rsid w:val="32FD2138"/>
    <w:rsid w:val="33027836"/>
    <w:rsid w:val="330865C8"/>
    <w:rsid w:val="332C14E7"/>
    <w:rsid w:val="33344EF5"/>
    <w:rsid w:val="334F2212"/>
    <w:rsid w:val="335C4122"/>
    <w:rsid w:val="3378161D"/>
    <w:rsid w:val="33791132"/>
    <w:rsid w:val="33B22505"/>
    <w:rsid w:val="33B421B0"/>
    <w:rsid w:val="33DE58E0"/>
    <w:rsid w:val="33E85CE2"/>
    <w:rsid w:val="33FA4335"/>
    <w:rsid w:val="340B4EF1"/>
    <w:rsid w:val="341D0201"/>
    <w:rsid w:val="341E2485"/>
    <w:rsid w:val="3427058C"/>
    <w:rsid w:val="34272982"/>
    <w:rsid w:val="342B0F4F"/>
    <w:rsid w:val="34452E08"/>
    <w:rsid w:val="345B3B52"/>
    <w:rsid w:val="347B2D6D"/>
    <w:rsid w:val="34800FED"/>
    <w:rsid w:val="34802A56"/>
    <w:rsid w:val="348A6712"/>
    <w:rsid w:val="348E1C00"/>
    <w:rsid w:val="34983880"/>
    <w:rsid w:val="34B52163"/>
    <w:rsid w:val="34CD3CF5"/>
    <w:rsid w:val="34D72013"/>
    <w:rsid w:val="34EB7D5F"/>
    <w:rsid w:val="34EE1C44"/>
    <w:rsid w:val="34F55208"/>
    <w:rsid w:val="35245113"/>
    <w:rsid w:val="352C24DC"/>
    <w:rsid w:val="3537750C"/>
    <w:rsid w:val="3537798C"/>
    <w:rsid w:val="356924AC"/>
    <w:rsid w:val="357005A7"/>
    <w:rsid w:val="357A579A"/>
    <w:rsid w:val="358E312C"/>
    <w:rsid w:val="35C13FC9"/>
    <w:rsid w:val="35C313DD"/>
    <w:rsid w:val="35E91989"/>
    <w:rsid w:val="35EF4FE4"/>
    <w:rsid w:val="3608233F"/>
    <w:rsid w:val="36085EA6"/>
    <w:rsid w:val="36091134"/>
    <w:rsid w:val="36266D8A"/>
    <w:rsid w:val="36411800"/>
    <w:rsid w:val="364257B6"/>
    <w:rsid w:val="36457D31"/>
    <w:rsid w:val="364D2448"/>
    <w:rsid w:val="36575075"/>
    <w:rsid w:val="36923A28"/>
    <w:rsid w:val="369E4AB8"/>
    <w:rsid w:val="36B24676"/>
    <w:rsid w:val="36F303B8"/>
    <w:rsid w:val="37024FE0"/>
    <w:rsid w:val="37051811"/>
    <w:rsid w:val="3705788F"/>
    <w:rsid w:val="3715513B"/>
    <w:rsid w:val="3724059E"/>
    <w:rsid w:val="3748158D"/>
    <w:rsid w:val="374E4FB2"/>
    <w:rsid w:val="37725F65"/>
    <w:rsid w:val="37734E19"/>
    <w:rsid w:val="37851925"/>
    <w:rsid w:val="378620B5"/>
    <w:rsid w:val="379C734C"/>
    <w:rsid w:val="37B85195"/>
    <w:rsid w:val="37BD55E5"/>
    <w:rsid w:val="37DE378C"/>
    <w:rsid w:val="37E00F89"/>
    <w:rsid w:val="37EA5922"/>
    <w:rsid w:val="37F039D3"/>
    <w:rsid w:val="3802344A"/>
    <w:rsid w:val="380C2E7F"/>
    <w:rsid w:val="38134D6C"/>
    <w:rsid w:val="38276B93"/>
    <w:rsid w:val="382849B1"/>
    <w:rsid w:val="38336FC4"/>
    <w:rsid w:val="383E64EC"/>
    <w:rsid w:val="384D3BF2"/>
    <w:rsid w:val="385826FD"/>
    <w:rsid w:val="386A2AA2"/>
    <w:rsid w:val="38806B05"/>
    <w:rsid w:val="389430F0"/>
    <w:rsid w:val="38A00F55"/>
    <w:rsid w:val="38A75615"/>
    <w:rsid w:val="38AC3431"/>
    <w:rsid w:val="38C26745"/>
    <w:rsid w:val="38CD0AA7"/>
    <w:rsid w:val="38E67108"/>
    <w:rsid w:val="38F06097"/>
    <w:rsid w:val="38FE35D2"/>
    <w:rsid w:val="390B6245"/>
    <w:rsid w:val="390F1C37"/>
    <w:rsid w:val="391536F1"/>
    <w:rsid w:val="39226DE8"/>
    <w:rsid w:val="392F2E16"/>
    <w:rsid w:val="3931242B"/>
    <w:rsid w:val="39363D87"/>
    <w:rsid w:val="39406F09"/>
    <w:rsid w:val="39494261"/>
    <w:rsid w:val="394C4C39"/>
    <w:rsid w:val="396554F4"/>
    <w:rsid w:val="39791C92"/>
    <w:rsid w:val="399C2315"/>
    <w:rsid w:val="39B614C9"/>
    <w:rsid w:val="39D94185"/>
    <w:rsid w:val="39E00529"/>
    <w:rsid w:val="39E359C2"/>
    <w:rsid w:val="39E9733C"/>
    <w:rsid w:val="39FC7DA9"/>
    <w:rsid w:val="3A091644"/>
    <w:rsid w:val="3A0B6254"/>
    <w:rsid w:val="3A0B64A7"/>
    <w:rsid w:val="3A1846C8"/>
    <w:rsid w:val="3A1C7B1C"/>
    <w:rsid w:val="3A2F182B"/>
    <w:rsid w:val="3A36312B"/>
    <w:rsid w:val="3A3B5CDC"/>
    <w:rsid w:val="3A3F696B"/>
    <w:rsid w:val="3A520B7E"/>
    <w:rsid w:val="3A574DDA"/>
    <w:rsid w:val="3AA73CF1"/>
    <w:rsid w:val="3AD3075A"/>
    <w:rsid w:val="3AD5142D"/>
    <w:rsid w:val="3AD71232"/>
    <w:rsid w:val="3AEA755C"/>
    <w:rsid w:val="3AF74C02"/>
    <w:rsid w:val="3B1A17C0"/>
    <w:rsid w:val="3B255741"/>
    <w:rsid w:val="3B447208"/>
    <w:rsid w:val="3B5A2C29"/>
    <w:rsid w:val="3B605EC0"/>
    <w:rsid w:val="3B787F67"/>
    <w:rsid w:val="3B954BE0"/>
    <w:rsid w:val="3B9F1620"/>
    <w:rsid w:val="3BA14431"/>
    <w:rsid w:val="3BB05953"/>
    <w:rsid w:val="3BB84161"/>
    <w:rsid w:val="3BCE5DD9"/>
    <w:rsid w:val="3BD8694B"/>
    <w:rsid w:val="3C003C3E"/>
    <w:rsid w:val="3C0059A5"/>
    <w:rsid w:val="3C134E78"/>
    <w:rsid w:val="3C137C90"/>
    <w:rsid w:val="3C15518D"/>
    <w:rsid w:val="3C270B87"/>
    <w:rsid w:val="3C2D6B47"/>
    <w:rsid w:val="3C33057E"/>
    <w:rsid w:val="3C334EAF"/>
    <w:rsid w:val="3C3D49BD"/>
    <w:rsid w:val="3C3E10BB"/>
    <w:rsid w:val="3C623EED"/>
    <w:rsid w:val="3C6D16C6"/>
    <w:rsid w:val="3C7665F0"/>
    <w:rsid w:val="3C8F0D40"/>
    <w:rsid w:val="3C921FB2"/>
    <w:rsid w:val="3C9E1EBC"/>
    <w:rsid w:val="3CA134EE"/>
    <w:rsid w:val="3CF52957"/>
    <w:rsid w:val="3D09356D"/>
    <w:rsid w:val="3D0E0B83"/>
    <w:rsid w:val="3D147205"/>
    <w:rsid w:val="3D2E6923"/>
    <w:rsid w:val="3D324D36"/>
    <w:rsid w:val="3D393726"/>
    <w:rsid w:val="3D506996"/>
    <w:rsid w:val="3D5F4636"/>
    <w:rsid w:val="3D67163F"/>
    <w:rsid w:val="3D6871A7"/>
    <w:rsid w:val="3D817764"/>
    <w:rsid w:val="3D8458A9"/>
    <w:rsid w:val="3D873FCE"/>
    <w:rsid w:val="3DB159B2"/>
    <w:rsid w:val="3DEC0798"/>
    <w:rsid w:val="3DEC7285"/>
    <w:rsid w:val="3DF6345D"/>
    <w:rsid w:val="3E1C72D0"/>
    <w:rsid w:val="3E2B5515"/>
    <w:rsid w:val="3E377C66"/>
    <w:rsid w:val="3E3C050B"/>
    <w:rsid w:val="3E3E5EF1"/>
    <w:rsid w:val="3E4746B3"/>
    <w:rsid w:val="3E4D4F28"/>
    <w:rsid w:val="3E55633E"/>
    <w:rsid w:val="3E7F32DC"/>
    <w:rsid w:val="3E8B799A"/>
    <w:rsid w:val="3E916CCD"/>
    <w:rsid w:val="3E974BA8"/>
    <w:rsid w:val="3EA66778"/>
    <w:rsid w:val="3EB11AC7"/>
    <w:rsid w:val="3EC9706E"/>
    <w:rsid w:val="3ECA14CD"/>
    <w:rsid w:val="3ECF4342"/>
    <w:rsid w:val="3ED16D67"/>
    <w:rsid w:val="3ED818CD"/>
    <w:rsid w:val="3EE13701"/>
    <w:rsid w:val="3EE25742"/>
    <w:rsid w:val="3EE766E7"/>
    <w:rsid w:val="3EF82F39"/>
    <w:rsid w:val="3EF9316D"/>
    <w:rsid w:val="3F144FB4"/>
    <w:rsid w:val="3F177A97"/>
    <w:rsid w:val="3F1A4BB3"/>
    <w:rsid w:val="3F4343E8"/>
    <w:rsid w:val="3F4A64D9"/>
    <w:rsid w:val="3F4A7E6C"/>
    <w:rsid w:val="3F5D7BA0"/>
    <w:rsid w:val="3F60225A"/>
    <w:rsid w:val="3F934E86"/>
    <w:rsid w:val="3F942E96"/>
    <w:rsid w:val="3FDA11F0"/>
    <w:rsid w:val="3FEE07F8"/>
    <w:rsid w:val="3FF317AE"/>
    <w:rsid w:val="3FFA2455"/>
    <w:rsid w:val="4000420D"/>
    <w:rsid w:val="40190DDE"/>
    <w:rsid w:val="40192BA6"/>
    <w:rsid w:val="402A69BE"/>
    <w:rsid w:val="402C58F5"/>
    <w:rsid w:val="40330901"/>
    <w:rsid w:val="40484D68"/>
    <w:rsid w:val="405D772B"/>
    <w:rsid w:val="406C324E"/>
    <w:rsid w:val="40761BDC"/>
    <w:rsid w:val="40860A30"/>
    <w:rsid w:val="40963BF6"/>
    <w:rsid w:val="40991CAB"/>
    <w:rsid w:val="40A351EE"/>
    <w:rsid w:val="40A91259"/>
    <w:rsid w:val="40B15F11"/>
    <w:rsid w:val="40BE641C"/>
    <w:rsid w:val="40BE68D5"/>
    <w:rsid w:val="40CD43BD"/>
    <w:rsid w:val="40CF0629"/>
    <w:rsid w:val="40D43427"/>
    <w:rsid w:val="40D8646E"/>
    <w:rsid w:val="40F22C76"/>
    <w:rsid w:val="40FA31CC"/>
    <w:rsid w:val="41071387"/>
    <w:rsid w:val="410858E9"/>
    <w:rsid w:val="41184017"/>
    <w:rsid w:val="412E6FF1"/>
    <w:rsid w:val="41313092"/>
    <w:rsid w:val="413D6CFA"/>
    <w:rsid w:val="4151394D"/>
    <w:rsid w:val="415560AD"/>
    <w:rsid w:val="416D0A1A"/>
    <w:rsid w:val="41766EA9"/>
    <w:rsid w:val="41B95839"/>
    <w:rsid w:val="41E40D4D"/>
    <w:rsid w:val="41F92E32"/>
    <w:rsid w:val="42145CCA"/>
    <w:rsid w:val="4216476E"/>
    <w:rsid w:val="421A7D7F"/>
    <w:rsid w:val="422E6A20"/>
    <w:rsid w:val="423035D9"/>
    <w:rsid w:val="424356BE"/>
    <w:rsid w:val="4253716E"/>
    <w:rsid w:val="42550A18"/>
    <w:rsid w:val="425A4BD1"/>
    <w:rsid w:val="425C5EED"/>
    <w:rsid w:val="426104F4"/>
    <w:rsid w:val="427B1BBB"/>
    <w:rsid w:val="429D496A"/>
    <w:rsid w:val="42B60D1B"/>
    <w:rsid w:val="42BB1D1E"/>
    <w:rsid w:val="42CC751E"/>
    <w:rsid w:val="42E0276A"/>
    <w:rsid w:val="42E934F8"/>
    <w:rsid w:val="42EB6093"/>
    <w:rsid w:val="42F473A1"/>
    <w:rsid w:val="42F80FA5"/>
    <w:rsid w:val="42FA73ED"/>
    <w:rsid w:val="43030A5E"/>
    <w:rsid w:val="4305361D"/>
    <w:rsid w:val="431247FD"/>
    <w:rsid w:val="431C26D3"/>
    <w:rsid w:val="431F637C"/>
    <w:rsid w:val="432E43C4"/>
    <w:rsid w:val="43326C4D"/>
    <w:rsid w:val="434033E5"/>
    <w:rsid w:val="434E3AB8"/>
    <w:rsid w:val="43537F8A"/>
    <w:rsid w:val="435968D0"/>
    <w:rsid w:val="435B618D"/>
    <w:rsid w:val="436B1DF1"/>
    <w:rsid w:val="43773250"/>
    <w:rsid w:val="439B47F3"/>
    <w:rsid w:val="43BB4E95"/>
    <w:rsid w:val="43C91DFE"/>
    <w:rsid w:val="43D23EA1"/>
    <w:rsid w:val="43F317E6"/>
    <w:rsid w:val="440523CD"/>
    <w:rsid w:val="44107EE3"/>
    <w:rsid w:val="441E62C0"/>
    <w:rsid w:val="443E50E2"/>
    <w:rsid w:val="44406167"/>
    <w:rsid w:val="445B14BB"/>
    <w:rsid w:val="44860EF6"/>
    <w:rsid w:val="44967985"/>
    <w:rsid w:val="44974521"/>
    <w:rsid w:val="449835DD"/>
    <w:rsid w:val="44A57770"/>
    <w:rsid w:val="44CB77A7"/>
    <w:rsid w:val="44E65F41"/>
    <w:rsid w:val="44E73A68"/>
    <w:rsid w:val="44F3082D"/>
    <w:rsid w:val="44FB65C3"/>
    <w:rsid w:val="45101EB9"/>
    <w:rsid w:val="45192471"/>
    <w:rsid w:val="451B7728"/>
    <w:rsid w:val="452F1A92"/>
    <w:rsid w:val="45325D14"/>
    <w:rsid w:val="453566E5"/>
    <w:rsid w:val="454F4D0B"/>
    <w:rsid w:val="455C4456"/>
    <w:rsid w:val="456A1083"/>
    <w:rsid w:val="456A5852"/>
    <w:rsid w:val="457277D5"/>
    <w:rsid w:val="457338A3"/>
    <w:rsid w:val="45811C7C"/>
    <w:rsid w:val="45906116"/>
    <w:rsid w:val="45967968"/>
    <w:rsid w:val="45A0305D"/>
    <w:rsid w:val="45A03571"/>
    <w:rsid w:val="45B85A57"/>
    <w:rsid w:val="45F51AEF"/>
    <w:rsid w:val="460B016C"/>
    <w:rsid w:val="462C5BD6"/>
    <w:rsid w:val="463B007F"/>
    <w:rsid w:val="46672BDA"/>
    <w:rsid w:val="46830E83"/>
    <w:rsid w:val="468B3EFB"/>
    <w:rsid w:val="46916FD5"/>
    <w:rsid w:val="46AF075C"/>
    <w:rsid w:val="46B93127"/>
    <w:rsid w:val="46D5130D"/>
    <w:rsid w:val="46E15B1B"/>
    <w:rsid w:val="46F96F71"/>
    <w:rsid w:val="47046B53"/>
    <w:rsid w:val="470A6193"/>
    <w:rsid w:val="471B4E2C"/>
    <w:rsid w:val="472F3B49"/>
    <w:rsid w:val="47316652"/>
    <w:rsid w:val="47356E70"/>
    <w:rsid w:val="47385210"/>
    <w:rsid w:val="47402BAF"/>
    <w:rsid w:val="474D5830"/>
    <w:rsid w:val="475C3001"/>
    <w:rsid w:val="47653A95"/>
    <w:rsid w:val="47690E29"/>
    <w:rsid w:val="47961EA1"/>
    <w:rsid w:val="479A5F27"/>
    <w:rsid w:val="47A837E0"/>
    <w:rsid w:val="47B40579"/>
    <w:rsid w:val="47BC455B"/>
    <w:rsid w:val="47C567E9"/>
    <w:rsid w:val="47CF53B3"/>
    <w:rsid w:val="47D31E5D"/>
    <w:rsid w:val="47D60594"/>
    <w:rsid w:val="47D93B3C"/>
    <w:rsid w:val="47DC4F5C"/>
    <w:rsid w:val="47DD36B3"/>
    <w:rsid w:val="481A4543"/>
    <w:rsid w:val="481C7304"/>
    <w:rsid w:val="482C6A5C"/>
    <w:rsid w:val="485B09F4"/>
    <w:rsid w:val="485C6422"/>
    <w:rsid w:val="48B40671"/>
    <w:rsid w:val="48B469C5"/>
    <w:rsid w:val="48D8460A"/>
    <w:rsid w:val="48F73DFC"/>
    <w:rsid w:val="490C1B12"/>
    <w:rsid w:val="490D112E"/>
    <w:rsid w:val="49184B37"/>
    <w:rsid w:val="491868E5"/>
    <w:rsid w:val="493C2711"/>
    <w:rsid w:val="49462D46"/>
    <w:rsid w:val="495664BB"/>
    <w:rsid w:val="49773A63"/>
    <w:rsid w:val="49785EB7"/>
    <w:rsid w:val="49793828"/>
    <w:rsid w:val="498C3781"/>
    <w:rsid w:val="49970DE0"/>
    <w:rsid w:val="499B5738"/>
    <w:rsid w:val="499F244D"/>
    <w:rsid w:val="49AC2D8E"/>
    <w:rsid w:val="49BF07A0"/>
    <w:rsid w:val="49D61A36"/>
    <w:rsid w:val="49E012F6"/>
    <w:rsid w:val="49E54A1A"/>
    <w:rsid w:val="49EA64D4"/>
    <w:rsid w:val="49F7207A"/>
    <w:rsid w:val="4A105051"/>
    <w:rsid w:val="4A2D0198"/>
    <w:rsid w:val="4A420EE7"/>
    <w:rsid w:val="4A435BE4"/>
    <w:rsid w:val="4A7135B2"/>
    <w:rsid w:val="4A851D59"/>
    <w:rsid w:val="4A8C091B"/>
    <w:rsid w:val="4A973F3F"/>
    <w:rsid w:val="4AC629FC"/>
    <w:rsid w:val="4AC84139"/>
    <w:rsid w:val="4AE6282E"/>
    <w:rsid w:val="4AF4108E"/>
    <w:rsid w:val="4AF50338"/>
    <w:rsid w:val="4AF56EDE"/>
    <w:rsid w:val="4AF96BC7"/>
    <w:rsid w:val="4B052E99"/>
    <w:rsid w:val="4B101F6A"/>
    <w:rsid w:val="4B136101"/>
    <w:rsid w:val="4B1A06F3"/>
    <w:rsid w:val="4B1F3F5B"/>
    <w:rsid w:val="4B203103"/>
    <w:rsid w:val="4B221C9D"/>
    <w:rsid w:val="4B32607A"/>
    <w:rsid w:val="4B415A54"/>
    <w:rsid w:val="4B464533"/>
    <w:rsid w:val="4B496045"/>
    <w:rsid w:val="4B545C08"/>
    <w:rsid w:val="4B5A416B"/>
    <w:rsid w:val="4B667F55"/>
    <w:rsid w:val="4B7C6990"/>
    <w:rsid w:val="4B8352F7"/>
    <w:rsid w:val="4B862A85"/>
    <w:rsid w:val="4B8961D6"/>
    <w:rsid w:val="4B8B200B"/>
    <w:rsid w:val="4B98008D"/>
    <w:rsid w:val="4BA803F5"/>
    <w:rsid w:val="4BAC4867"/>
    <w:rsid w:val="4BAF3531"/>
    <w:rsid w:val="4BDE26E5"/>
    <w:rsid w:val="4BEB02E1"/>
    <w:rsid w:val="4BF417D4"/>
    <w:rsid w:val="4BF92147"/>
    <w:rsid w:val="4BFE211F"/>
    <w:rsid w:val="4C2F4672"/>
    <w:rsid w:val="4C3A28DD"/>
    <w:rsid w:val="4C6D30FC"/>
    <w:rsid w:val="4C72455F"/>
    <w:rsid w:val="4C7C7C27"/>
    <w:rsid w:val="4C8018E7"/>
    <w:rsid w:val="4C8624FC"/>
    <w:rsid w:val="4C8A38D4"/>
    <w:rsid w:val="4C8C73CE"/>
    <w:rsid w:val="4C975D73"/>
    <w:rsid w:val="4C9C27CC"/>
    <w:rsid w:val="4CA20A24"/>
    <w:rsid w:val="4CA50490"/>
    <w:rsid w:val="4CB755B1"/>
    <w:rsid w:val="4CBD44DF"/>
    <w:rsid w:val="4CD60F91"/>
    <w:rsid w:val="4CEF28C5"/>
    <w:rsid w:val="4CEF36E2"/>
    <w:rsid w:val="4CEF4DC5"/>
    <w:rsid w:val="4CF25996"/>
    <w:rsid w:val="4D171C3B"/>
    <w:rsid w:val="4D1B6B8E"/>
    <w:rsid w:val="4D1C2F35"/>
    <w:rsid w:val="4D313B49"/>
    <w:rsid w:val="4D482BAA"/>
    <w:rsid w:val="4D4873F2"/>
    <w:rsid w:val="4D4B53A1"/>
    <w:rsid w:val="4D54264D"/>
    <w:rsid w:val="4D5A127B"/>
    <w:rsid w:val="4D5F3D23"/>
    <w:rsid w:val="4D6A5813"/>
    <w:rsid w:val="4D922FBD"/>
    <w:rsid w:val="4D9A766C"/>
    <w:rsid w:val="4D9D385D"/>
    <w:rsid w:val="4DA44BEC"/>
    <w:rsid w:val="4DA62246"/>
    <w:rsid w:val="4DC17B81"/>
    <w:rsid w:val="4DDF3E76"/>
    <w:rsid w:val="4DEE41E3"/>
    <w:rsid w:val="4DF71805"/>
    <w:rsid w:val="4E17231F"/>
    <w:rsid w:val="4E257655"/>
    <w:rsid w:val="4E5A45A8"/>
    <w:rsid w:val="4E8E7871"/>
    <w:rsid w:val="4EBB3F9B"/>
    <w:rsid w:val="4EC4406A"/>
    <w:rsid w:val="4EC455C1"/>
    <w:rsid w:val="4ECF231D"/>
    <w:rsid w:val="4EF86E3C"/>
    <w:rsid w:val="4F06496B"/>
    <w:rsid w:val="4F0B18BC"/>
    <w:rsid w:val="4F0C1AC6"/>
    <w:rsid w:val="4F127C58"/>
    <w:rsid w:val="4F1D43F5"/>
    <w:rsid w:val="4F1F0D27"/>
    <w:rsid w:val="4F372380"/>
    <w:rsid w:val="4F372FFB"/>
    <w:rsid w:val="4F71142E"/>
    <w:rsid w:val="4F7A6CA5"/>
    <w:rsid w:val="4F7C7BCE"/>
    <w:rsid w:val="4F933B49"/>
    <w:rsid w:val="4FA7341A"/>
    <w:rsid w:val="4FE34F88"/>
    <w:rsid w:val="4FEF4AC6"/>
    <w:rsid w:val="4FFA4F97"/>
    <w:rsid w:val="5016589E"/>
    <w:rsid w:val="50195818"/>
    <w:rsid w:val="501B72A6"/>
    <w:rsid w:val="5025116D"/>
    <w:rsid w:val="503D7DBA"/>
    <w:rsid w:val="504F54ED"/>
    <w:rsid w:val="505563DC"/>
    <w:rsid w:val="509269D5"/>
    <w:rsid w:val="50BF67C9"/>
    <w:rsid w:val="50C32641"/>
    <w:rsid w:val="50ED7CC8"/>
    <w:rsid w:val="50F87FAC"/>
    <w:rsid w:val="50FB62A0"/>
    <w:rsid w:val="511E0283"/>
    <w:rsid w:val="51277770"/>
    <w:rsid w:val="515158DB"/>
    <w:rsid w:val="515406D7"/>
    <w:rsid w:val="516623C4"/>
    <w:rsid w:val="517843C5"/>
    <w:rsid w:val="51852020"/>
    <w:rsid w:val="51AE113E"/>
    <w:rsid w:val="51B05107"/>
    <w:rsid w:val="51B549B9"/>
    <w:rsid w:val="51DA39DC"/>
    <w:rsid w:val="51E0241A"/>
    <w:rsid w:val="51E53DF0"/>
    <w:rsid w:val="51E90E1F"/>
    <w:rsid w:val="51EB2462"/>
    <w:rsid w:val="51F1394A"/>
    <w:rsid w:val="51F64AEC"/>
    <w:rsid w:val="522024E6"/>
    <w:rsid w:val="522C6E00"/>
    <w:rsid w:val="52314419"/>
    <w:rsid w:val="52395ECD"/>
    <w:rsid w:val="525C788D"/>
    <w:rsid w:val="526D4E29"/>
    <w:rsid w:val="52735E8B"/>
    <w:rsid w:val="528B2778"/>
    <w:rsid w:val="52942A0F"/>
    <w:rsid w:val="52B44696"/>
    <w:rsid w:val="52BE482B"/>
    <w:rsid w:val="52C10D75"/>
    <w:rsid w:val="52C9005D"/>
    <w:rsid w:val="52D55821"/>
    <w:rsid w:val="52E95362"/>
    <w:rsid w:val="52EB2FB5"/>
    <w:rsid w:val="5320789E"/>
    <w:rsid w:val="533D513A"/>
    <w:rsid w:val="534D53DE"/>
    <w:rsid w:val="53511372"/>
    <w:rsid w:val="53655BA8"/>
    <w:rsid w:val="536F35A6"/>
    <w:rsid w:val="538057B3"/>
    <w:rsid w:val="53A303CC"/>
    <w:rsid w:val="53A5521A"/>
    <w:rsid w:val="53AB1EBF"/>
    <w:rsid w:val="53C27FF8"/>
    <w:rsid w:val="53CE5CAE"/>
    <w:rsid w:val="53EC03B2"/>
    <w:rsid w:val="541057A4"/>
    <w:rsid w:val="54447450"/>
    <w:rsid w:val="544E00F4"/>
    <w:rsid w:val="546D3F89"/>
    <w:rsid w:val="5475679C"/>
    <w:rsid w:val="547A66A6"/>
    <w:rsid w:val="548E485C"/>
    <w:rsid w:val="549332C4"/>
    <w:rsid w:val="549E1A80"/>
    <w:rsid w:val="54AB108A"/>
    <w:rsid w:val="54AC51AF"/>
    <w:rsid w:val="54B5148C"/>
    <w:rsid w:val="54C558E0"/>
    <w:rsid w:val="54C658F4"/>
    <w:rsid w:val="54CB45B1"/>
    <w:rsid w:val="54D07D9F"/>
    <w:rsid w:val="54E0494C"/>
    <w:rsid w:val="54E171CD"/>
    <w:rsid w:val="550C4BD7"/>
    <w:rsid w:val="55322669"/>
    <w:rsid w:val="5539470A"/>
    <w:rsid w:val="553B4087"/>
    <w:rsid w:val="554C1D56"/>
    <w:rsid w:val="554E0253"/>
    <w:rsid w:val="555230CF"/>
    <w:rsid w:val="55572986"/>
    <w:rsid w:val="555761AA"/>
    <w:rsid w:val="555E236D"/>
    <w:rsid w:val="558D05EC"/>
    <w:rsid w:val="559519EA"/>
    <w:rsid w:val="55A82C22"/>
    <w:rsid w:val="55C062DD"/>
    <w:rsid w:val="5607446A"/>
    <w:rsid w:val="56081243"/>
    <w:rsid w:val="561535A4"/>
    <w:rsid w:val="561C5443"/>
    <w:rsid w:val="56245CC2"/>
    <w:rsid w:val="5624708F"/>
    <w:rsid w:val="56330E85"/>
    <w:rsid w:val="564635D9"/>
    <w:rsid w:val="565340FA"/>
    <w:rsid w:val="565C3ECA"/>
    <w:rsid w:val="56636EEC"/>
    <w:rsid w:val="56790914"/>
    <w:rsid w:val="568E7490"/>
    <w:rsid w:val="569A7860"/>
    <w:rsid w:val="56A417B8"/>
    <w:rsid w:val="56AB08A5"/>
    <w:rsid w:val="56B25952"/>
    <w:rsid w:val="56DB3D0C"/>
    <w:rsid w:val="56F37AB8"/>
    <w:rsid w:val="56F426B7"/>
    <w:rsid w:val="56FC519F"/>
    <w:rsid w:val="571B3688"/>
    <w:rsid w:val="571F4860"/>
    <w:rsid w:val="5723343E"/>
    <w:rsid w:val="573D7EAB"/>
    <w:rsid w:val="575757AD"/>
    <w:rsid w:val="57580904"/>
    <w:rsid w:val="578057C8"/>
    <w:rsid w:val="578231ED"/>
    <w:rsid w:val="57856002"/>
    <w:rsid w:val="57893184"/>
    <w:rsid w:val="578A6C00"/>
    <w:rsid w:val="57AA18F7"/>
    <w:rsid w:val="57B95737"/>
    <w:rsid w:val="57DD34B9"/>
    <w:rsid w:val="57E6392C"/>
    <w:rsid w:val="57F706C9"/>
    <w:rsid w:val="58017793"/>
    <w:rsid w:val="582B03E3"/>
    <w:rsid w:val="58404706"/>
    <w:rsid w:val="585F0868"/>
    <w:rsid w:val="58685C59"/>
    <w:rsid w:val="58697500"/>
    <w:rsid w:val="587651AC"/>
    <w:rsid w:val="58843841"/>
    <w:rsid w:val="588753B0"/>
    <w:rsid w:val="5891308F"/>
    <w:rsid w:val="589236B1"/>
    <w:rsid w:val="58C86B99"/>
    <w:rsid w:val="58E65065"/>
    <w:rsid w:val="58ED38EB"/>
    <w:rsid w:val="58FD7D40"/>
    <w:rsid w:val="5904102E"/>
    <w:rsid w:val="590A564B"/>
    <w:rsid w:val="59413C36"/>
    <w:rsid w:val="59415D84"/>
    <w:rsid w:val="594554D5"/>
    <w:rsid w:val="594D2B53"/>
    <w:rsid w:val="59610B9F"/>
    <w:rsid w:val="5963595B"/>
    <w:rsid w:val="598813E0"/>
    <w:rsid w:val="5999679A"/>
    <w:rsid w:val="599C38F2"/>
    <w:rsid w:val="59A03BB4"/>
    <w:rsid w:val="59AA0FB1"/>
    <w:rsid w:val="59B91F8C"/>
    <w:rsid w:val="59C503C4"/>
    <w:rsid w:val="59CE513A"/>
    <w:rsid w:val="59EF6A42"/>
    <w:rsid w:val="59F20EF7"/>
    <w:rsid w:val="59F82547"/>
    <w:rsid w:val="5A047B48"/>
    <w:rsid w:val="5A1E1882"/>
    <w:rsid w:val="5A244BC6"/>
    <w:rsid w:val="5A2F2CC8"/>
    <w:rsid w:val="5A4C1946"/>
    <w:rsid w:val="5A522F08"/>
    <w:rsid w:val="5A5C6AE2"/>
    <w:rsid w:val="5A643739"/>
    <w:rsid w:val="5A673F93"/>
    <w:rsid w:val="5A723722"/>
    <w:rsid w:val="5A762FF3"/>
    <w:rsid w:val="5A7D02BC"/>
    <w:rsid w:val="5A81226C"/>
    <w:rsid w:val="5A8D20F7"/>
    <w:rsid w:val="5A971D60"/>
    <w:rsid w:val="5AAA4EE2"/>
    <w:rsid w:val="5AB10D16"/>
    <w:rsid w:val="5AB26B9A"/>
    <w:rsid w:val="5AC95C92"/>
    <w:rsid w:val="5AE60011"/>
    <w:rsid w:val="5B050AD9"/>
    <w:rsid w:val="5B214990"/>
    <w:rsid w:val="5B2B276E"/>
    <w:rsid w:val="5B436D5A"/>
    <w:rsid w:val="5B487697"/>
    <w:rsid w:val="5B570637"/>
    <w:rsid w:val="5B597015"/>
    <w:rsid w:val="5B6234AA"/>
    <w:rsid w:val="5B647768"/>
    <w:rsid w:val="5B79092D"/>
    <w:rsid w:val="5B7F28A2"/>
    <w:rsid w:val="5B9C3F03"/>
    <w:rsid w:val="5BA219EB"/>
    <w:rsid w:val="5BA26962"/>
    <w:rsid w:val="5BA85879"/>
    <w:rsid w:val="5BAE1FF5"/>
    <w:rsid w:val="5BC052E6"/>
    <w:rsid w:val="5BC1259B"/>
    <w:rsid w:val="5BC95544"/>
    <w:rsid w:val="5BFE4F6F"/>
    <w:rsid w:val="5C0F1DCA"/>
    <w:rsid w:val="5C10205B"/>
    <w:rsid w:val="5C10702D"/>
    <w:rsid w:val="5C14136F"/>
    <w:rsid w:val="5C152601"/>
    <w:rsid w:val="5C1874A6"/>
    <w:rsid w:val="5C191B77"/>
    <w:rsid w:val="5C1D32A4"/>
    <w:rsid w:val="5C20614F"/>
    <w:rsid w:val="5C3E0CC0"/>
    <w:rsid w:val="5C4C447D"/>
    <w:rsid w:val="5C58551F"/>
    <w:rsid w:val="5C591F03"/>
    <w:rsid w:val="5C5B1929"/>
    <w:rsid w:val="5C8A1B2F"/>
    <w:rsid w:val="5C9018ED"/>
    <w:rsid w:val="5C950521"/>
    <w:rsid w:val="5C96399E"/>
    <w:rsid w:val="5C9664F6"/>
    <w:rsid w:val="5C9A5B38"/>
    <w:rsid w:val="5CAC604F"/>
    <w:rsid w:val="5CAF3DCD"/>
    <w:rsid w:val="5D015BB7"/>
    <w:rsid w:val="5D043BDE"/>
    <w:rsid w:val="5D1E0652"/>
    <w:rsid w:val="5D2C1215"/>
    <w:rsid w:val="5D3C04A3"/>
    <w:rsid w:val="5D464695"/>
    <w:rsid w:val="5D857790"/>
    <w:rsid w:val="5D861815"/>
    <w:rsid w:val="5D8936D2"/>
    <w:rsid w:val="5D914004"/>
    <w:rsid w:val="5D962D72"/>
    <w:rsid w:val="5D9F0F2C"/>
    <w:rsid w:val="5DAB78D0"/>
    <w:rsid w:val="5DBF480E"/>
    <w:rsid w:val="5DD80331"/>
    <w:rsid w:val="5DD95E29"/>
    <w:rsid w:val="5DDD16DD"/>
    <w:rsid w:val="5DE63881"/>
    <w:rsid w:val="5DF41766"/>
    <w:rsid w:val="5DF47840"/>
    <w:rsid w:val="5DFB447D"/>
    <w:rsid w:val="5E015F08"/>
    <w:rsid w:val="5E392465"/>
    <w:rsid w:val="5E431B60"/>
    <w:rsid w:val="5E615889"/>
    <w:rsid w:val="5E727AB0"/>
    <w:rsid w:val="5E847BF7"/>
    <w:rsid w:val="5EAD73F2"/>
    <w:rsid w:val="5EC75A8B"/>
    <w:rsid w:val="5EC8520A"/>
    <w:rsid w:val="5EDD1D0C"/>
    <w:rsid w:val="5EE61D7E"/>
    <w:rsid w:val="5F0341A4"/>
    <w:rsid w:val="5F174D94"/>
    <w:rsid w:val="5F313E05"/>
    <w:rsid w:val="5F4F5E24"/>
    <w:rsid w:val="5F561B72"/>
    <w:rsid w:val="5F690AE7"/>
    <w:rsid w:val="5F811AD3"/>
    <w:rsid w:val="5F8E3288"/>
    <w:rsid w:val="5F92448C"/>
    <w:rsid w:val="5FA13309"/>
    <w:rsid w:val="5FA55EB8"/>
    <w:rsid w:val="5FBB0ADC"/>
    <w:rsid w:val="5FBE036F"/>
    <w:rsid w:val="5FC23025"/>
    <w:rsid w:val="5FE00927"/>
    <w:rsid w:val="5FE24EDD"/>
    <w:rsid w:val="5FE3393B"/>
    <w:rsid w:val="5FE437FC"/>
    <w:rsid w:val="5FED0446"/>
    <w:rsid w:val="5FED5F7E"/>
    <w:rsid w:val="5FF87C07"/>
    <w:rsid w:val="60014470"/>
    <w:rsid w:val="601401C0"/>
    <w:rsid w:val="602A626F"/>
    <w:rsid w:val="603E60FC"/>
    <w:rsid w:val="605040C4"/>
    <w:rsid w:val="60504C82"/>
    <w:rsid w:val="606007BB"/>
    <w:rsid w:val="606107BE"/>
    <w:rsid w:val="606163EC"/>
    <w:rsid w:val="606E3563"/>
    <w:rsid w:val="606F72DB"/>
    <w:rsid w:val="608508AD"/>
    <w:rsid w:val="60870181"/>
    <w:rsid w:val="608E10F9"/>
    <w:rsid w:val="60924102"/>
    <w:rsid w:val="60AC7F66"/>
    <w:rsid w:val="60B7767B"/>
    <w:rsid w:val="60C13070"/>
    <w:rsid w:val="60F03F78"/>
    <w:rsid w:val="60FB1B80"/>
    <w:rsid w:val="611E12A8"/>
    <w:rsid w:val="61226064"/>
    <w:rsid w:val="61293C2F"/>
    <w:rsid w:val="61497909"/>
    <w:rsid w:val="614F0CAD"/>
    <w:rsid w:val="617D6802"/>
    <w:rsid w:val="61821187"/>
    <w:rsid w:val="6189448A"/>
    <w:rsid w:val="61A66546"/>
    <w:rsid w:val="61A66D2D"/>
    <w:rsid w:val="61B20A9E"/>
    <w:rsid w:val="61BD42A4"/>
    <w:rsid w:val="61BF10D9"/>
    <w:rsid w:val="61DA3D4C"/>
    <w:rsid w:val="61F215C9"/>
    <w:rsid w:val="61FF1DD5"/>
    <w:rsid w:val="622D673C"/>
    <w:rsid w:val="623C62E9"/>
    <w:rsid w:val="6265481D"/>
    <w:rsid w:val="626A5412"/>
    <w:rsid w:val="62740BD9"/>
    <w:rsid w:val="628B71A8"/>
    <w:rsid w:val="629673D7"/>
    <w:rsid w:val="62AC22DC"/>
    <w:rsid w:val="62BF2D76"/>
    <w:rsid w:val="62D80B9A"/>
    <w:rsid w:val="62E27E4A"/>
    <w:rsid w:val="62E93375"/>
    <w:rsid w:val="62FA4283"/>
    <w:rsid w:val="630871F9"/>
    <w:rsid w:val="630A6917"/>
    <w:rsid w:val="63177FBC"/>
    <w:rsid w:val="63387553"/>
    <w:rsid w:val="633A66FF"/>
    <w:rsid w:val="633E67A6"/>
    <w:rsid w:val="634714B4"/>
    <w:rsid w:val="63483036"/>
    <w:rsid w:val="635251C8"/>
    <w:rsid w:val="635A3E88"/>
    <w:rsid w:val="635C1FFD"/>
    <w:rsid w:val="63606311"/>
    <w:rsid w:val="63607FA4"/>
    <w:rsid w:val="63724593"/>
    <w:rsid w:val="637833E8"/>
    <w:rsid w:val="638D6B5E"/>
    <w:rsid w:val="63DE0947"/>
    <w:rsid w:val="63F14628"/>
    <w:rsid w:val="63F30799"/>
    <w:rsid w:val="63F57857"/>
    <w:rsid w:val="63F634EE"/>
    <w:rsid w:val="64430278"/>
    <w:rsid w:val="64481274"/>
    <w:rsid w:val="646D1148"/>
    <w:rsid w:val="648743E5"/>
    <w:rsid w:val="64B10E28"/>
    <w:rsid w:val="64BB10E5"/>
    <w:rsid w:val="64C210FC"/>
    <w:rsid w:val="64CA0F84"/>
    <w:rsid w:val="64D8014C"/>
    <w:rsid w:val="64E45EF7"/>
    <w:rsid w:val="64E9087B"/>
    <w:rsid w:val="64EA5182"/>
    <w:rsid w:val="64F8789F"/>
    <w:rsid w:val="64FD3107"/>
    <w:rsid w:val="65075D34"/>
    <w:rsid w:val="650A312E"/>
    <w:rsid w:val="65123D2A"/>
    <w:rsid w:val="651240A3"/>
    <w:rsid w:val="6528541A"/>
    <w:rsid w:val="6544472C"/>
    <w:rsid w:val="65465871"/>
    <w:rsid w:val="654866C3"/>
    <w:rsid w:val="654E2D83"/>
    <w:rsid w:val="65546448"/>
    <w:rsid w:val="6555098E"/>
    <w:rsid w:val="65661796"/>
    <w:rsid w:val="6571289C"/>
    <w:rsid w:val="65850E7C"/>
    <w:rsid w:val="65971F8A"/>
    <w:rsid w:val="659B1574"/>
    <w:rsid w:val="659B26BD"/>
    <w:rsid w:val="65A20E73"/>
    <w:rsid w:val="65C53405"/>
    <w:rsid w:val="65CC501A"/>
    <w:rsid w:val="65D06BA5"/>
    <w:rsid w:val="65E2598A"/>
    <w:rsid w:val="65F12154"/>
    <w:rsid w:val="65F8526B"/>
    <w:rsid w:val="6630196A"/>
    <w:rsid w:val="665253D0"/>
    <w:rsid w:val="665F0ED1"/>
    <w:rsid w:val="66734E89"/>
    <w:rsid w:val="66873275"/>
    <w:rsid w:val="668F6FD2"/>
    <w:rsid w:val="6691014E"/>
    <w:rsid w:val="669C5E64"/>
    <w:rsid w:val="66A0080A"/>
    <w:rsid w:val="66C87CCE"/>
    <w:rsid w:val="66D045C0"/>
    <w:rsid w:val="66DE60D0"/>
    <w:rsid w:val="66E73D86"/>
    <w:rsid w:val="66EF6A80"/>
    <w:rsid w:val="66F97F7F"/>
    <w:rsid w:val="66FB490A"/>
    <w:rsid w:val="67000C8D"/>
    <w:rsid w:val="6703580B"/>
    <w:rsid w:val="674C7894"/>
    <w:rsid w:val="67592253"/>
    <w:rsid w:val="677435B2"/>
    <w:rsid w:val="6779688C"/>
    <w:rsid w:val="67814D8C"/>
    <w:rsid w:val="678801E7"/>
    <w:rsid w:val="678C77C7"/>
    <w:rsid w:val="678D2EAE"/>
    <w:rsid w:val="67A9489F"/>
    <w:rsid w:val="67DC179C"/>
    <w:rsid w:val="67E35B9E"/>
    <w:rsid w:val="67E4235D"/>
    <w:rsid w:val="67EF75F1"/>
    <w:rsid w:val="67F323FA"/>
    <w:rsid w:val="680253B8"/>
    <w:rsid w:val="682062DD"/>
    <w:rsid w:val="68327BBE"/>
    <w:rsid w:val="683673BF"/>
    <w:rsid w:val="688558EE"/>
    <w:rsid w:val="689736F8"/>
    <w:rsid w:val="68B166E3"/>
    <w:rsid w:val="68B35F15"/>
    <w:rsid w:val="68B72539"/>
    <w:rsid w:val="68C95C06"/>
    <w:rsid w:val="68D23047"/>
    <w:rsid w:val="68D36EDC"/>
    <w:rsid w:val="68E00D76"/>
    <w:rsid w:val="68E72104"/>
    <w:rsid w:val="69124F16"/>
    <w:rsid w:val="69280117"/>
    <w:rsid w:val="693022D8"/>
    <w:rsid w:val="694766FF"/>
    <w:rsid w:val="6949691B"/>
    <w:rsid w:val="694A5205"/>
    <w:rsid w:val="694A61CA"/>
    <w:rsid w:val="696A0697"/>
    <w:rsid w:val="699105B7"/>
    <w:rsid w:val="69AD518D"/>
    <w:rsid w:val="69BA15C7"/>
    <w:rsid w:val="69C523DE"/>
    <w:rsid w:val="69CD5C14"/>
    <w:rsid w:val="69CE068D"/>
    <w:rsid w:val="69CF0D33"/>
    <w:rsid w:val="69D8686C"/>
    <w:rsid w:val="69D96AC3"/>
    <w:rsid w:val="69F567A0"/>
    <w:rsid w:val="69FA7E9B"/>
    <w:rsid w:val="6A1A7186"/>
    <w:rsid w:val="6A326C4F"/>
    <w:rsid w:val="6A36068B"/>
    <w:rsid w:val="6A425452"/>
    <w:rsid w:val="6A434A35"/>
    <w:rsid w:val="6A471681"/>
    <w:rsid w:val="6A4B2209"/>
    <w:rsid w:val="6A5066CB"/>
    <w:rsid w:val="6A507B8C"/>
    <w:rsid w:val="6A512713"/>
    <w:rsid w:val="6A542D51"/>
    <w:rsid w:val="6A6030C4"/>
    <w:rsid w:val="6A7F05D0"/>
    <w:rsid w:val="6AA66AB5"/>
    <w:rsid w:val="6AB235AF"/>
    <w:rsid w:val="6ABD719F"/>
    <w:rsid w:val="6ACC26A1"/>
    <w:rsid w:val="6AE644C3"/>
    <w:rsid w:val="6AFD4928"/>
    <w:rsid w:val="6B050DFF"/>
    <w:rsid w:val="6B175FBC"/>
    <w:rsid w:val="6B297797"/>
    <w:rsid w:val="6B2F4D3E"/>
    <w:rsid w:val="6B303F71"/>
    <w:rsid w:val="6B374E7A"/>
    <w:rsid w:val="6B4317B4"/>
    <w:rsid w:val="6B4A10E4"/>
    <w:rsid w:val="6B4B624F"/>
    <w:rsid w:val="6B5C4B71"/>
    <w:rsid w:val="6B621F16"/>
    <w:rsid w:val="6B663E10"/>
    <w:rsid w:val="6B8F7255"/>
    <w:rsid w:val="6B9946B3"/>
    <w:rsid w:val="6B9B5061"/>
    <w:rsid w:val="6BA22313"/>
    <w:rsid w:val="6BAE6F0A"/>
    <w:rsid w:val="6BAF67DE"/>
    <w:rsid w:val="6BD34BC2"/>
    <w:rsid w:val="6BF5106A"/>
    <w:rsid w:val="6BFD481D"/>
    <w:rsid w:val="6C0124D1"/>
    <w:rsid w:val="6C024AE9"/>
    <w:rsid w:val="6C066D46"/>
    <w:rsid w:val="6C072825"/>
    <w:rsid w:val="6C134FBF"/>
    <w:rsid w:val="6C1F4726"/>
    <w:rsid w:val="6C241930"/>
    <w:rsid w:val="6C264CF2"/>
    <w:rsid w:val="6C2D0A9C"/>
    <w:rsid w:val="6C315445"/>
    <w:rsid w:val="6C3E52A3"/>
    <w:rsid w:val="6C4052D5"/>
    <w:rsid w:val="6C431EF3"/>
    <w:rsid w:val="6C4E6902"/>
    <w:rsid w:val="6C564DD5"/>
    <w:rsid w:val="6C575974"/>
    <w:rsid w:val="6C662189"/>
    <w:rsid w:val="6C6B22D7"/>
    <w:rsid w:val="6C6C2F38"/>
    <w:rsid w:val="6C7007C7"/>
    <w:rsid w:val="6C711CE5"/>
    <w:rsid w:val="6C8C2B67"/>
    <w:rsid w:val="6C8D38AF"/>
    <w:rsid w:val="6C8D7684"/>
    <w:rsid w:val="6C9B7BBF"/>
    <w:rsid w:val="6CA332C1"/>
    <w:rsid w:val="6CA67EBE"/>
    <w:rsid w:val="6CB04275"/>
    <w:rsid w:val="6CD97D2D"/>
    <w:rsid w:val="6CDC07DA"/>
    <w:rsid w:val="6CF92C55"/>
    <w:rsid w:val="6CF94E2F"/>
    <w:rsid w:val="6D413DAD"/>
    <w:rsid w:val="6D4C7D54"/>
    <w:rsid w:val="6D60703C"/>
    <w:rsid w:val="6D68310A"/>
    <w:rsid w:val="6D6D4330"/>
    <w:rsid w:val="6D6F0C29"/>
    <w:rsid w:val="6D8A6D38"/>
    <w:rsid w:val="6D8E6FF3"/>
    <w:rsid w:val="6D915D95"/>
    <w:rsid w:val="6D94625C"/>
    <w:rsid w:val="6D9B53CB"/>
    <w:rsid w:val="6D9D7236"/>
    <w:rsid w:val="6DA560EA"/>
    <w:rsid w:val="6DB602F7"/>
    <w:rsid w:val="6DB63374"/>
    <w:rsid w:val="6DE76850"/>
    <w:rsid w:val="6DF02BC2"/>
    <w:rsid w:val="6DF8337B"/>
    <w:rsid w:val="6E041063"/>
    <w:rsid w:val="6E0A53D1"/>
    <w:rsid w:val="6E1A3980"/>
    <w:rsid w:val="6E2B50E3"/>
    <w:rsid w:val="6E2E60E0"/>
    <w:rsid w:val="6E2F3C06"/>
    <w:rsid w:val="6E4F0B95"/>
    <w:rsid w:val="6E506EFF"/>
    <w:rsid w:val="6E7F3A9C"/>
    <w:rsid w:val="6E8059E4"/>
    <w:rsid w:val="6E9B0588"/>
    <w:rsid w:val="6E9E45BF"/>
    <w:rsid w:val="6EA34CC4"/>
    <w:rsid w:val="6EBD7464"/>
    <w:rsid w:val="6EC00BE3"/>
    <w:rsid w:val="6ED8429D"/>
    <w:rsid w:val="6EE13B87"/>
    <w:rsid w:val="6EE54F57"/>
    <w:rsid w:val="6F0350B8"/>
    <w:rsid w:val="6F055DD7"/>
    <w:rsid w:val="6F125A01"/>
    <w:rsid w:val="6F1B2A0D"/>
    <w:rsid w:val="6F412535"/>
    <w:rsid w:val="6F437969"/>
    <w:rsid w:val="6F4C28C0"/>
    <w:rsid w:val="6F572C2C"/>
    <w:rsid w:val="6F6B76CB"/>
    <w:rsid w:val="6F6E0ACF"/>
    <w:rsid w:val="6F753C1F"/>
    <w:rsid w:val="6F7723CE"/>
    <w:rsid w:val="6F9920B9"/>
    <w:rsid w:val="6FA006CC"/>
    <w:rsid w:val="6FAB748D"/>
    <w:rsid w:val="6FB20BD4"/>
    <w:rsid w:val="6FB650F7"/>
    <w:rsid w:val="6FB75277"/>
    <w:rsid w:val="6FBA59BE"/>
    <w:rsid w:val="6FC34F4E"/>
    <w:rsid w:val="6FD43B85"/>
    <w:rsid w:val="6FD7425E"/>
    <w:rsid w:val="6FE76904"/>
    <w:rsid w:val="6FF16C9A"/>
    <w:rsid w:val="6FF2418B"/>
    <w:rsid w:val="6FFC1A3E"/>
    <w:rsid w:val="702726F0"/>
    <w:rsid w:val="70296B3E"/>
    <w:rsid w:val="702C3243"/>
    <w:rsid w:val="702E686B"/>
    <w:rsid w:val="704255C1"/>
    <w:rsid w:val="70451ADA"/>
    <w:rsid w:val="704751B9"/>
    <w:rsid w:val="70497291"/>
    <w:rsid w:val="705B357E"/>
    <w:rsid w:val="70611204"/>
    <w:rsid w:val="70616C6C"/>
    <w:rsid w:val="70652415"/>
    <w:rsid w:val="70904E30"/>
    <w:rsid w:val="70992649"/>
    <w:rsid w:val="70BB5E2D"/>
    <w:rsid w:val="70BF0EE0"/>
    <w:rsid w:val="70C20C9C"/>
    <w:rsid w:val="70D01410"/>
    <w:rsid w:val="70D32204"/>
    <w:rsid w:val="70D746AC"/>
    <w:rsid w:val="70F15847"/>
    <w:rsid w:val="70F536BE"/>
    <w:rsid w:val="70FA40CB"/>
    <w:rsid w:val="710B2708"/>
    <w:rsid w:val="71163697"/>
    <w:rsid w:val="712F4EC1"/>
    <w:rsid w:val="713116FD"/>
    <w:rsid w:val="71370AC8"/>
    <w:rsid w:val="71411D50"/>
    <w:rsid w:val="71434E47"/>
    <w:rsid w:val="71486F7F"/>
    <w:rsid w:val="71662A10"/>
    <w:rsid w:val="716B2939"/>
    <w:rsid w:val="718362D5"/>
    <w:rsid w:val="71982A8B"/>
    <w:rsid w:val="71A60683"/>
    <w:rsid w:val="71B615C9"/>
    <w:rsid w:val="71B6178D"/>
    <w:rsid w:val="71CD3E62"/>
    <w:rsid w:val="720751EB"/>
    <w:rsid w:val="72204649"/>
    <w:rsid w:val="722872EA"/>
    <w:rsid w:val="722C5869"/>
    <w:rsid w:val="724B2AA1"/>
    <w:rsid w:val="724F0D1A"/>
    <w:rsid w:val="725956F5"/>
    <w:rsid w:val="72683B3E"/>
    <w:rsid w:val="727D6954"/>
    <w:rsid w:val="72825083"/>
    <w:rsid w:val="72844D41"/>
    <w:rsid w:val="72862C7E"/>
    <w:rsid w:val="728976DF"/>
    <w:rsid w:val="72B13AAA"/>
    <w:rsid w:val="72CF4F19"/>
    <w:rsid w:val="72DC25AE"/>
    <w:rsid w:val="72EC79FB"/>
    <w:rsid w:val="731E2B0E"/>
    <w:rsid w:val="73353469"/>
    <w:rsid w:val="733D16A9"/>
    <w:rsid w:val="73425548"/>
    <w:rsid w:val="73445350"/>
    <w:rsid w:val="734671BA"/>
    <w:rsid w:val="73514DB1"/>
    <w:rsid w:val="73530A61"/>
    <w:rsid w:val="736A73D7"/>
    <w:rsid w:val="736F5DF4"/>
    <w:rsid w:val="737C5261"/>
    <w:rsid w:val="73881F56"/>
    <w:rsid w:val="738A77D2"/>
    <w:rsid w:val="73927CFE"/>
    <w:rsid w:val="73A330CC"/>
    <w:rsid w:val="73AC15DC"/>
    <w:rsid w:val="73C73C53"/>
    <w:rsid w:val="73D03F93"/>
    <w:rsid w:val="73DD49A4"/>
    <w:rsid w:val="73DE5EB2"/>
    <w:rsid w:val="73F27930"/>
    <w:rsid w:val="740C453F"/>
    <w:rsid w:val="74121260"/>
    <w:rsid w:val="74122000"/>
    <w:rsid w:val="7416093F"/>
    <w:rsid w:val="743462D3"/>
    <w:rsid w:val="743E7D5E"/>
    <w:rsid w:val="7440091B"/>
    <w:rsid w:val="7441374C"/>
    <w:rsid w:val="744149C3"/>
    <w:rsid w:val="74822CE1"/>
    <w:rsid w:val="74891005"/>
    <w:rsid w:val="74A93E5A"/>
    <w:rsid w:val="74AB0875"/>
    <w:rsid w:val="74C633BB"/>
    <w:rsid w:val="74D47BEE"/>
    <w:rsid w:val="74EE691B"/>
    <w:rsid w:val="74FA2C30"/>
    <w:rsid w:val="74FC2929"/>
    <w:rsid w:val="75066EB4"/>
    <w:rsid w:val="75093403"/>
    <w:rsid w:val="751D1A0B"/>
    <w:rsid w:val="753B09F7"/>
    <w:rsid w:val="753D4E5A"/>
    <w:rsid w:val="754D5C4B"/>
    <w:rsid w:val="756C78B0"/>
    <w:rsid w:val="757E50F6"/>
    <w:rsid w:val="75855224"/>
    <w:rsid w:val="75A05064"/>
    <w:rsid w:val="75C02056"/>
    <w:rsid w:val="75CB60C0"/>
    <w:rsid w:val="75E1612D"/>
    <w:rsid w:val="75E76F6F"/>
    <w:rsid w:val="75EA323F"/>
    <w:rsid w:val="75EC127C"/>
    <w:rsid w:val="75EF348B"/>
    <w:rsid w:val="75F142DB"/>
    <w:rsid w:val="76041BD9"/>
    <w:rsid w:val="760B3F34"/>
    <w:rsid w:val="76200A04"/>
    <w:rsid w:val="76334397"/>
    <w:rsid w:val="76564426"/>
    <w:rsid w:val="765B4F30"/>
    <w:rsid w:val="766C4E79"/>
    <w:rsid w:val="767D07C6"/>
    <w:rsid w:val="76A143E8"/>
    <w:rsid w:val="76B31CA7"/>
    <w:rsid w:val="76C240A7"/>
    <w:rsid w:val="76C2648A"/>
    <w:rsid w:val="76C33714"/>
    <w:rsid w:val="76C8773D"/>
    <w:rsid w:val="76DC6424"/>
    <w:rsid w:val="76E011E8"/>
    <w:rsid w:val="77021501"/>
    <w:rsid w:val="770828C7"/>
    <w:rsid w:val="770F3331"/>
    <w:rsid w:val="772B58B2"/>
    <w:rsid w:val="77315AC4"/>
    <w:rsid w:val="7735228D"/>
    <w:rsid w:val="77514BED"/>
    <w:rsid w:val="775246B7"/>
    <w:rsid w:val="77530965"/>
    <w:rsid w:val="77534E09"/>
    <w:rsid w:val="77583C37"/>
    <w:rsid w:val="775974AF"/>
    <w:rsid w:val="77707769"/>
    <w:rsid w:val="77977DAD"/>
    <w:rsid w:val="779C230C"/>
    <w:rsid w:val="77CA234A"/>
    <w:rsid w:val="77E83245"/>
    <w:rsid w:val="77FA4C87"/>
    <w:rsid w:val="781E69D1"/>
    <w:rsid w:val="782A2DF7"/>
    <w:rsid w:val="782B17AC"/>
    <w:rsid w:val="782B3690"/>
    <w:rsid w:val="7849255A"/>
    <w:rsid w:val="785947FE"/>
    <w:rsid w:val="78615304"/>
    <w:rsid w:val="78654DF4"/>
    <w:rsid w:val="78707CEB"/>
    <w:rsid w:val="788027E3"/>
    <w:rsid w:val="788B039C"/>
    <w:rsid w:val="78DE4305"/>
    <w:rsid w:val="791807C9"/>
    <w:rsid w:val="79516EBF"/>
    <w:rsid w:val="797D13DF"/>
    <w:rsid w:val="797F0359"/>
    <w:rsid w:val="798B075D"/>
    <w:rsid w:val="79962040"/>
    <w:rsid w:val="799A2861"/>
    <w:rsid w:val="79A11E34"/>
    <w:rsid w:val="79A25882"/>
    <w:rsid w:val="79BC014A"/>
    <w:rsid w:val="79BC34FC"/>
    <w:rsid w:val="79C27010"/>
    <w:rsid w:val="79C95D86"/>
    <w:rsid w:val="79D042C8"/>
    <w:rsid w:val="79EE773C"/>
    <w:rsid w:val="7A1C7BE9"/>
    <w:rsid w:val="7A263B6B"/>
    <w:rsid w:val="7A2B7028"/>
    <w:rsid w:val="7A2D01BD"/>
    <w:rsid w:val="7A573C85"/>
    <w:rsid w:val="7A6D67DD"/>
    <w:rsid w:val="7A7106D0"/>
    <w:rsid w:val="7A715CD2"/>
    <w:rsid w:val="7A7F0907"/>
    <w:rsid w:val="7A822D20"/>
    <w:rsid w:val="7A8E7E6B"/>
    <w:rsid w:val="7A9F3904"/>
    <w:rsid w:val="7AA37E55"/>
    <w:rsid w:val="7AF46346"/>
    <w:rsid w:val="7AF753E6"/>
    <w:rsid w:val="7B0C77A9"/>
    <w:rsid w:val="7B0F5EBF"/>
    <w:rsid w:val="7B130FB9"/>
    <w:rsid w:val="7B14483E"/>
    <w:rsid w:val="7B160627"/>
    <w:rsid w:val="7B1C0A25"/>
    <w:rsid w:val="7B2611AB"/>
    <w:rsid w:val="7B430918"/>
    <w:rsid w:val="7B4B2CFB"/>
    <w:rsid w:val="7B4E6A0D"/>
    <w:rsid w:val="7B503B39"/>
    <w:rsid w:val="7B580C40"/>
    <w:rsid w:val="7B641BCE"/>
    <w:rsid w:val="7B687984"/>
    <w:rsid w:val="7B770612"/>
    <w:rsid w:val="7B826770"/>
    <w:rsid w:val="7B875F34"/>
    <w:rsid w:val="7BB0591F"/>
    <w:rsid w:val="7BB53956"/>
    <w:rsid w:val="7BC04950"/>
    <w:rsid w:val="7BCC4FA8"/>
    <w:rsid w:val="7BD227A0"/>
    <w:rsid w:val="7BDD6F19"/>
    <w:rsid w:val="7BF30969"/>
    <w:rsid w:val="7BF604ED"/>
    <w:rsid w:val="7BF64EDE"/>
    <w:rsid w:val="7BFE58F9"/>
    <w:rsid w:val="7C013085"/>
    <w:rsid w:val="7C0D6658"/>
    <w:rsid w:val="7C221C6B"/>
    <w:rsid w:val="7C2F624D"/>
    <w:rsid w:val="7C324FED"/>
    <w:rsid w:val="7C400C1E"/>
    <w:rsid w:val="7C4577FB"/>
    <w:rsid w:val="7C99714C"/>
    <w:rsid w:val="7CA07DE8"/>
    <w:rsid w:val="7CA331DB"/>
    <w:rsid w:val="7CA53FD5"/>
    <w:rsid w:val="7CB416DE"/>
    <w:rsid w:val="7CB50883"/>
    <w:rsid w:val="7CBE6D5D"/>
    <w:rsid w:val="7CC3658D"/>
    <w:rsid w:val="7CC61C8D"/>
    <w:rsid w:val="7CD323E4"/>
    <w:rsid w:val="7CDD1808"/>
    <w:rsid w:val="7CF577D7"/>
    <w:rsid w:val="7CF57CC1"/>
    <w:rsid w:val="7D0B5456"/>
    <w:rsid w:val="7D3134F6"/>
    <w:rsid w:val="7D352792"/>
    <w:rsid w:val="7D563551"/>
    <w:rsid w:val="7D6F6791"/>
    <w:rsid w:val="7D7F289D"/>
    <w:rsid w:val="7D830B9D"/>
    <w:rsid w:val="7D8A2C07"/>
    <w:rsid w:val="7D95172F"/>
    <w:rsid w:val="7DB23C3E"/>
    <w:rsid w:val="7DC974EE"/>
    <w:rsid w:val="7DCD42C8"/>
    <w:rsid w:val="7DD11708"/>
    <w:rsid w:val="7DD81BC4"/>
    <w:rsid w:val="7DD86068"/>
    <w:rsid w:val="7DE81DE3"/>
    <w:rsid w:val="7DF813B2"/>
    <w:rsid w:val="7E0763E6"/>
    <w:rsid w:val="7E1202A7"/>
    <w:rsid w:val="7E156055"/>
    <w:rsid w:val="7E2422FB"/>
    <w:rsid w:val="7E2D7213"/>
    <w:rsid w:val="7E2D7872"/>
    <w:rsid w:val="7E342E45"/>
    <w:rsid w:val="7E417307"/>
    <w:rsid w:val="7E483654"/>
    <w:rsid w:val="7E522C19"/>
    <w:rsid w:val="7E527BC8"/>
    <w:rsid w:val="7E5C0F61"/>
    <w:rsid w:val="7E8E6EBF"/>
    <w:rsid w:val="7EA2394E"/>
    <w:rsid w:val="7EB81164"/>
    <w:rsid w:val="7EBD579E"/>
    <w:rsid w:val="7EBE327E"/>
    <w:rsid w:val="7EC167BD"/>
    <w:rsid w:val="7ECB1518"/>
    <w:rsid w:val="7ED44A81"/>
    <w:rsid w:val="7ED56D33"/>
    <w:rsid w:val="7EFC345C"/>
    <w:rsid w:val="7F1A6960"/>
    <w:rsid w:val="7F272D9E"/>
    <w:rsid w:val="7F507488"/>
    <w:rsid w:val="7F687D9B"/>
    <w:rsid w:val="7F6E49EE"/>
    <w:rsid w:val="7F7848F6"/>
    <w:rsid w:val="7F912972"/>
    <w:rsid w:val="7FAC3308"/>
    <w:rsid w:val="7FC75C53"/>
    <w:rsid w:val="7FFE5939"/>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iPriority="0" w:semiHidden="0" w:name="heading 4"/>
    <w:lsdException w:qFormat="1" w:unhideWhenUsed="0" w:uiPriority="9" w:semiHidden="0" w:name="heading 5"/>
    <w:lsdException w:qFormat="1" w:uiPriority="9" w:name="heading 6"/>
    <w:lsdException w:qFormat="1" w:uiPriority="9" w:name="heading 7"/>
    <w:lsdException w:qFormat="1" w:unhideWhenUsed="0" w:uiPriority="9" w:semiHidden="0"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nhideWhenUsed="0" w:uiPriority="0" w:semiHidden="0"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nhideWhenUsed="0" w:uiPriority="99" w:semiHidden="0" w:name="annotation reference"/>
    <w:lsdException w:uiPriority="99" w:name="line number"/>
    <w:lsdException w:qFormat="1" w:unhideWhenUsed="0" w:uiPriority="0" w:semiHidden="0" w:name="page number"/>
    <w:lsdException w:qFormat="1" w:uiPriority="99" w:semiHidden="0" w:name="endnote reference"/>
    <w:lsdException w:uiPriority="99" w:name="endnote text"/>
    <w:lsdException w:uiPriority="99" w:name="table of authorities"/>
    <w:lsdException w:uiPriority="99" w:name="macro"/>
    <w:lsdException w:uiPriority="99" w:name="toa heading"/>
    <w:lsdException w:qFormat="1" w:uiPriority="99" w:semiHidden="0" w:name="List"/>
    <w:lsdException w:uiPriority="99" w:name="List Bullet"/>
    <w:lsdException w:qFormat="1" w:unhideWhenUsed="0" w:uiPriority="0" w:semiHidden="0" w:name="List Number"/>
    <w:lsdException w:qFormat="1" w:uiPriority="99"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semiHidden="0" w:name="Default Paragraph Font"/>
    <w:lsdException w:qFormat="1"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qFormat="1" w:uiPriority="99" w:semiHidden="0" w:name="Date"/>
    <w:lsdException w:uiPriority="99" w:name="Body Text First Indent"/>
    <w:lsdException w:qFormat="1" w:unhideWhenUsed="0" w:uiPriority="0" w:semiHidden="0" w:name="Body Text First Indent 2"/>
    <w:lsdException w:uiPriority="99" w:name="Note Heading"/>
    <w:lsdException w:uiPriority="99" w:name="Body Text 2"/>
    <w:lsdException w:qFormat="1" w:uiPriority="99" w:semiHidden="0" w:name="Body Text 3"/>
    <w:lsdException w:uiPriority="99" w:name="Body Text Indent 2"/>
    <w:lsdException w:uiPriority="99" w:name="Body Text Indent 3"/>
    <w:lsdException w:uiPriority="99" w:name="Block Text"/>
    <w:lsdException w:qFormat="1" w:uiPriority="99" w:semiHidden="0" w:name="Hyperlink"/>
    <w:lsdException w:qFormat="1" w:uiPriority="99" w:semiHidden="0" w:name="FollowedHyperlink"/>
    <w:lsdException w:qFormat="1" w:unhideWhenUsed="0" w:uiPriority="0" w:semiHidden="0" w:name="Strong"/>
    <w:lsdException w:qFormat="1" w:unhideWhenUsed="0" w:uiPriority="0" w:semiHidden="0" w:name="Emphasis"/>
    <w:lsdException w:uiPriority="99" w:name="Document Map"/>
    <w:lsdException w:qFormat="1" w:unhideWhenUsed="0" w:uiPriority="0"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semiHidden="0" w:name="Normal Table"/>
    <w:lsdException w:qFormat="1" w:unhideWhenUsed="0"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38"/>
    <w:qFormat/>
    <w:uiPriority w:val="9"/>
    <w:pPr>
      <w:keepNext/>
      <w:keepLines/>
      <w:spacing w:before="340" w:after="330" w:line="578" w:lineRule="auto"/>
      <w:outlineLvl w:val="0"/>
    </w:pPr>
    <w:rPr>
      <w:b/>
      <w:bCs/>
      <w:kern w:val="44"/>
      <w:sz w:val="44"/>
      <w:szCs w:val="44"/>
    </w:rPr>
  </w:style>
  <w:style w:type="paragraph" w:styleId="4">
    <w:name w:val="heading 2"/>
    <w:basedOn w:val="1"/>
    <w:next w:val="1"/>
    <w:link w:val="39"/>
    <w:qFormat/>
    <w:uiPriority w:val="9"/>
    <w:pPr>
      <w:keepNext/>
      <w:keepLines/>
      <w:spacing w:before="260" w:after="260" w:line="416" w:lineRule="auto"/>
      <w:outlineLvl w:val="1"/>
    </w:pPr>
    <w:rPr>
      <w:rFonts w:ascii="Cambria" w:hAnsi="Cambria"/>
      <w:b/>
      <w:bCs/>
      <w:sz w:val="32"/>
      <w:szCs w:val="32"/>
    </w:rPr>
  </w:style>
  <w:style w:type="paragraph" w:styleId="5">
    <w:name w:val="heading 3"/>
    <w:basedOn w:val="1"/>
    <w:next w:val="1"/>
    <w:link w:val="40"/>
    <w:qFormat/>
    <w:uiPriority w:val="9"/>
    <w:pPr>
      <w:keepNext/>
      <w:keepLines/>
      <w:spacing w:before="260" w:after="260" w:line="416" w:lineRule="auto"/>
      <w:outlineLvl w:val="2"/>
    </w:pPr>
    <w:rPr>
      <w:b/>
      <w:bCs/>
      <w:sz w:val="32"/>
      <w:szCs w:val="32"/>
    </w:rPr>
  </w:style>
  <w:style w:type="paragraph" w:styleId="2">
    <w:name w:val="heading 4"/>
    <w:basedOn w:val="1"/>
    <w:next w:val="1"/>
    <w:unhideWhenUsed/>
    <w:qFormat/>
    <w:uiPriority w:val="0"/>
    <w:pPr>
      <w:spacing w:before="100" w:beforeAutospacing="1" w:after="100" w:afterAutospacing="1"/>
      <w:jc w:val="left"/>
      <w:outlineLvl w:val="3"/>
    </w:pPr>
    <w:rPr>
      <w:rFonts w:hint="eastAsia" w:ascii="宋体" w:hAnsi="宋体" w:eastAsia="宋体" w:cs="宋体"/>
      <w:b/>
      <w:kern w:val="0"/>
      <w:sz w:val="24"/>
      <w:szCs w:val="24"/>
      <w:lang w:val="en-US" w:eastAsia="zh-CN" w:bidi="ar"/>
    </w:rPr>
  </w:style>
  <w:style w:type="paragraph" w:styleId="6">
    <w:name w:val="heading 5"/>
    <w:basedOn w:val="1"/>
    <w:next w:val="7"/>
    <w:link w:val="41"/>
    <w:qFormat/>
    <w:uiPriority w:val="9"/>
    <w:pPr>
      <w:keepNext/>
      <w:keepLines/>
      <w:spacing w:before="280" w:after="290" w:line="376" w:lineRule="auto"/>
      <w:outlineLvl w:val="4"/>
    </w:pPr>
    <w:rPr>
      <w:b/>
      <w:bCs/>
      <w:sz w:val="28"/>
      <w:szCs w:val="28"/>
    </w:rPr>
  </w:style>
  <w:style w:type="paragraph" w:styleId="8">
    <w:name w:val="heading 8"/>
    <w:basedOn w:val="1"/>
    <w:next w:val="1"/>
    <w:link w:val="42"/>
    <w:qFormat/>
    <w:uiPriority w:val="9"/>
    <w:pPr>
      <w:keepNext/>
      <w:keepLines/>
      <w:spacing w:before="240" w:after="64" w:line="320" w:lineRule="auto"/>
      <w:outlineLvl w:val="7"/>
    </w:pPr>
    <w:rPr>
      <w:rFonts w:ascii="等线 Light" w:hAnsi="等线 Light" w:eastAsia="等线 Light"/>
      <w:sz w:val="24"/>
    </w:rPr>
  </w:style>
  <w:style w:type="character" w:default="1" w:styleId="30">
    <w:name w:val="Default Paragraph Font"/>
    <w:unhideWhenUsed/>
    <w:qFormat/>
    <w:uiPriority w:val="1"/>
  </w:style>
  <w:style w:type="table" w:default="1" w:styleId="28">
    <w:name w:val="Normal Table"/>
    <w:unhideWhenUsed/>
    <w:qFormat/>
    <w:uiPriority w:val="99"/>
    <w:tblPr>
      <w:tblCellMar>
        <w:top w:w="0" w:type="dxa"/>
        <w:left w:w="108" w:type="dxa"/>
        <w:bottom w:w="0" w:type="dxa"/>
        <w:right w:w="108" w:type="dxa"/>
      </w:tblCellMar>
    </w:tblPr>
  </w:style>
  <w:style w:type="paragraph" w:styleId="7">
    <w:name w:val="Normal Indent"/>
    <w:basedOn w:val="1"/>
    <w:qFormat/>
    <w:uiPriority w:val="0"/>
    <w:pPr>
      <w:ind w:firstLine="420"/>
    </w:pPr>
    <w:rPr>
      <w:szCs w:val="20"/>
    </w:rPr>
  </w:style>
  <w:style w:type="paragraph" w:styleId="9">
    <w:name w:val="index 8"/>
    <w:basedOn w:val="1"/>
    <w:next w:val="1"/>
    <w:qFormat/>
    <w:uiPriority w:val="0"/>
    <w:pPr>
      <w:ind w:left="2940"/>
    </w:pPr>
  </w:style>
  <w:style w:type="paragraph" w:styleId="10">
    <w:name w:val="List Number"/>
    <w:basedOn w:val="1"/>
    <w:qFormat/>
    <w:uiPriority w:val="0"/>
    <w:pPr>
      <w:widowControl/>
      <w:tabs>
        <w:tab w:val="left" w:pos="454"/>
        <w:tab w:val="left" w:pos="720"/>
        <w:tab w:val="left" w:pos="840"/>
      </w:tabs>
      <w:spacing w:after="50" w:afterLines="50"/>
      <w:ind w:left="454" w:hanging="284"/>
      <w:jc w:val="left"/>
    </w:pPr>
    <w:rPr>
      <w:kern w:val="0"/>
      <w:sz w:val="24"/>
      <w:szCs w:val="20"/>
    </w:rPr>
  </w:style>
  <w:style w:type="paragraph" w:styleId="11">
    <w:name w:val="annotation text"/>
    <w:basedOn w:val="1"/>
    <w:link w:val="43"/>
    <w:qFormat/>
    <w:uiPriority w:val="0"/>
    <w:pPr>
      <w:jc w:val="left"/>
    </w:pPr>
  </w:style>
  <w:style w:type="paragraph" w:styleId="12">
    <w:name w:val="Body Text 3"/>
    <w:basedOn w:val="1"/>
    <w:link w:val="44"/>
    <w:unhideWhenUsed/>
    <w:qFormat/>
    <w:uiPriority w:val="99"/>
    <w:pPr>
      <w:spacing w:after="120"/>
    </w:pPr>
    <w:rPr>
      <w:sz w:val="16"/>
      <w:szCs w:val="16"/>
    </w:rPr>
  </w:style>
  <w:style w:type="paragraph" w:styleId="13">
    <w:name w:val="Body Text"/>
    <w:basedOn w:val="1"/>
    <w:link w:val="45"/>
    <w:unhideWhenUsed/>
    <w:qFormat/>
    <w:uiPriority w:val="0"/>
    <w:pPr>
      <w:spacing w:after="120"/>
    </w:pPr>
  </w:style>
  <w:style w:type="paragraph" w:styleId="14">
    <w:name w:val="Body Text Indent"/>
    <w:basedOn w:val="1"/>
    <w:link w:val="46"/>
    <w:qFormat/>
    <w:uiPriority w:val="0"/>
    <w:pPr>
      <w:ind w:firstLine="830" w:firstLineChars="352"/>
    </w:pPr>
    <w:rPr>
      <w:rFonts w:ascii="仿宋_GB2312" w:eastAsia="仿宋_GB2312"/>
      <w:kern w:val="0"/>
      <w:sz w:val="32"/>
      <w:szCs w:val="20"/>
    </w:rPr>
  </w:style>
  <w:style w:type="paragraph" w:styleId="15">
    <w:name w:val="List 2"/>
    <w:basedOn w:val="1"/>
    <w:unhideWhenUsed/>
    <w:qFormat/>
    <w:uiPriority w:val="99"/>
    <w:pPr>
      <w:ind w:left="100" w:leftChars="200" w:hanging="200" w:hangingChars="200"/>
      <w:contextualSpacing/>
    </w:pPr>
  </w:style>
  <w:style w:type="paragraph" w:styleId="16">
    <w:name w:val="toc 3"/>
    <w:basedOn w:val="1"/>
    <w:next w:val="1"/>
    <w:unhideWhenUsed/>
    <w:qFormat/>
    <w:uiPriority w:val="39"/>
    <w:pPr>
      <w:ind w:left="840" w:leftChars="400"/>
    </w:pPr>
  </w:style>
  <w:style w:type="paragraph" w:styleId="17">
    <w:name w:val="Plain Text"/>
    <w:basedOn w:val="1"/>
    <w:next w:val="9"/>
    <w:link w:val="47"/>
    <w:qFormat/>
    <w:uiPriority w:val="0"/>
    <w:rPr>
      <w:rFonts w:ascii="宋体" w:hAnsi="Courier New"/>
      <w:kern w:val="0"/>
      <w:sz w:val="20"/>
      <w:szCs w:val="21"/>
    </w:rPr>
  </w:style>
  <w:style w:type="paragraph" w:styleId="18">
    <w:name w:val="Date"/>
    <w:basedOn w:val="1"/>
    <w:next w:val="1"/>
    <w:link w:val="48"/>
    <w:unhideWhenUsed/>
    <w:qFormat/>
    <w:uiPriority w:val="99"/>
    <w:pPr>
      <w:ind w:left="100" w:leftChars="2500"/>
    </w:pPr>
  </w:style>
  <w:style w:type="paragraph" w:styleId="19">
    <w:name w:val="Balloon Text"/>
    <w:basedOn w:val="1"/>
    <w:semiHidden/>
    <w:qFormat/>
    <w:uiPriority w:val="0"/>
    <w:rPr>
      <w:sz w:val="18"/>
      <w:szCs w:val="18"/>
    </w:rPr>
  </w:style>
  <w:style w:type="paragraph" w:styleId="20">
    <w:name w:val="footer"/>
    <w:basedOn w:val="1"/>
    <w:next w:val="1"/>
    <w:link w:val="49"/>
    <w:unhideWhenUsed/>
    <w:qFormat/>
    <w:uiPriority w:val="99"/>
    <w:pPr>
      <w:tabs>
        <w:tab w:val="center" w:pos="4153"/>
        <w:tab w:val="right" w:pos="8306"/>
      </w:tabs>
      <w:snapToGrid w:val="0"/>
      <w:jc w:val="left"/>
    </w:pPr>
    <w:rPr>
      <w:kern w:val="0"/>
      <w:sz w:val="18"/>
      <w:szCs w:val="18"/>
    </w:rPr>
  </w:style>
  <w:style w:type="paragraph" w:styleId="21">
    <w:name w:val="header"/>
    <w:basedOn w:val="1"/>
    <w:link w:val="50"/>
    <w:unhideWhenUsed/>
    <w:qFormat/>
    <w:uiPriority w:val="99"/>
    <w:pPr>
      <w:pBdr>
        <w:bottom w:val="single" w:color="auto" w:sz="6" w:space="1"/>
      </w:pBdr>
      <w:tabs>
        <w:tab w:val="center" w:pos="4153"/>
        <w:tab w:val="right" w:pos="8306"/>
      </w:tabs>
      <w:snapToGrid w:val="0"/>
      <w:jc w:val="center"/>
    </w:pPr>
    <w:rPr>
      <w:kern w:val="0"/>
      <w:sz w:val="18"/>
      <w:szCs w:val="18"/>
    </w:rPr>
  </w:style>
  <w:style w:type="paragraph" w:styleId="22">
    <w:name w:val="toc 1"/>
    <w:basedOn w:val="1"/>
    <w:next w:val="1"/>
    <w:unhideWhenUsed/>
    <w:qFormat/>
    <w:uiPriority w:val="39"/>
  </w:style>
  <w:style w:type="paragraph" w:styleId="23">
    <w:name w:val="List"/>
    <w:basedOn w:val="1"/>
    <w:unhideWhenUsed/>
    <w:qFormat/>
    <w:uiPriority w:val="99"/>
    <w:pPr>
      <w:ind w:left="200" w:hanging="200" w:hangingChars="200"/>
      <w:contextualSpacing/>
    </w:pPr>
  </w:style>
  <w:style w:type="paragraph" w:styleId="24">
    <w:name w:val="toc 2"/>
    <w:basedOn w:val="1"/>
    <w:next w:val="1"/>
    <w:unhideWhenUsed/>
    <w:qFormat/>
    <w:uiPriority w:val="39"/>
    <w:pPr>
      <w:tabs>
        <w:tab w:val="right" w:leader="dot" w:pos="8296"/>
      </w:tabs>
      <w:ind w:left="420" w:leftChars="200"/>
    </w:pPr>
  </w:style>
  <w:style w:type="paragraph" w:styleId="25">
    <w:name w:val="Normal (Web)"/>
    <w:basedOn w:val="1"/>
    <w:unhideWhenUsed/>
    <w:qFormat/>
    <w:uiPriority w:val="99"/>
    <w:pPr>
      <w:spacing w:before="0" w:beforeAutospacing="0" w:after="0" w:afterAutospacing="0"/>
      <w:ind w:left="0" w:right="0"/>
      <w:jc w:val="both"/>
    </w:pPr>
    <w:rPr>
      <w:rFonts w:hint="default" w:ascii="Calibri" w:hAnsi="Calibri" w:cs="Calibri"/>
      <w:kern w:val="0"/>
      <w:sz w:val="24"/>
      <w:szCs w:val="24"/>
      <w:lang w:val="en-US" w:eastAsia="zh-CN" w:bidi="ar"/>
    </w:rPr>
  </w:style>
  <w:style w:type="paragraph" w:styleId="26">
    <w:name w:val="annotation subject"/>
    <w:basedOn w:val="11"/>
    <w:next w:val="11"/>
    <w:link w:val="51"/>
    <w:qFormat/>
    <w:uiPriority w:val="99"/>
    <w:rPr>
      <w:b/>
      <w:bCs/>
    </w:rPr>
  </w:style>
  <w:style w:type="paragraph" w:styleId="27">
    <w:name w:val="Body Text First Indent 2"/>
    <w:basedOn w:val="1"/>
    <w:qFormat/>
    <w:uiPriority w:val="0"/>
    <w:pPr>
      <w:autoSpaceDE w:val="0"/>
      <w:autoSpaceDN w:val="0"/>
      <w:spacing w:after="120" w:afterLines="0" w:line="360" w:lineRule="auto"/>
      <w:ind w:left="420" w:leftChars="200" w:firstLine="420" w:firstLineChars="200"/>
    </w:pPr>
    <w:rPr>
      <w:sz w:val="21"/>
      <w:szCs w:val="24"/>
    </w:rPr>
  </w:style>
  <w:style w:type="table" w:styleId="29">
    <w:name w:val="Table Grid"/>
    <w:basedOn w:val="28"/>
    <w:qFormat/>
    <w:uiPriority w:val="59"/>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styleId="31">
    <w:name w:val="Strong"/>
    <w:basedOn w:val="30"/>
    <w:qFormat/>
    <w:uiPriority w:val="0"/>
    <w:rPr>
      <w:b/>
    </w:rPr>
  </w:style>
  <w:style w:type="character" w:styleId="32">
    <w:name w:val="endnote reference"/>
    <w:unhideWhenUsed/>
    <w:qFormat/>
    <w:uiPriority w:val="99"/>
    <w:rPr>
      <w:vertAlign w:val="superscript"/>
    </w:rPr>
  </w:style>
  <w:style w:type="character" w:styleId="33">
    <w:name w:val="page number"/>
    <w:basedOn w:val="30"/>
    <w:qFormat/>
    <w:uiPriority w:val="0"/>
  </w:style>
  <w:style w:type="character" w:styleId="34">
    <w:name w:val="FollowedHyperlink"/>
    <w:basedOn w:val="30"/>
    <w:unhideWhenUsed/>
    <w:qFormat/>
    <w:uiPriority w:val="99"/>
    <w:rPr>
      <w:color w:val="800080"/>
      <w:u w:val="single"/>
    </w:rPr>
  </w:style>
  <w:style w:type="character" w:styleId="35">
    <w:name w:val="Emphasis"/>
    <w:basedOn w:val="30"/>
    <w:qFormat/>
    <w:uiPriority w:val="0"/>
    <w:rPr>
      <w:i/>
    </w:rPr>
  </w:style>
  <w:style w:type="character" w:styleId="36">
    <w:name w:val="Hyperlink"/>
    <w:unhideWhenUsed/>
    <w:qFormat/>
    <w:uiPriority w:val="99"/>
    <w:rPr>
      <w:color w:val="0000FF"/>
      <w:u w:val="single"/>
    </w:rPr>
  </w:style>
  <w:style w:type="character" w:styleId="37">
    <w:name w:val="annotation reference"/>
    <w:qFormat/>
    <w:uiPriority w:val="99"/>
    <w:rPr>
      <w:sz w:val="21"/>
      <w:szCs w:val="21"/>
    </w:rPr>
  </w:style>
  <w:style w:type="character" w:customStyle="1" w:styleId="38">
    <w:name w:val="标题 1 字符"/>
    <w:link w:val="3"/>
    <w:qFormat/>
    <w:uiPriority w:val="9"/>
    <w:rPr>
      <w:b/>
      <w:bCs/>
      <w:kern w:val="44"/>
      <w:sz w:val="44"/>
      <w:szCs w:val="44"/>
    </w:rPr>
  </w:style>
  <w:style w:type="character" w:customStyle="1" w:styleId="39">
    <w:name w:val="标题 2 字符"/>
    <w:link w:val="4"/>
    <w:qFormat/>
    <w:uiPriority w:val="9"/>
    <w:rPr>
      <w:rFonts w:ascii="Cambria" w:hAnsi="Cambria" w:eastAsia="宋体" w:cs="Times New Roman"/>
      <w:b/>
      <w:bCs/>
      <w:kern w:val="2"/>
      <w:sz w:val="32"/>
      <w:szCs w:val="32"/>
    </w:rPr>
  </w:style>
  <w:style w:type="character" w:customStyle="1" w:styleId="40">
    <w:name w:val="标题 3 字符"/>
    <w:link w:val="5"/>
    <w:semiHidden/>
    <w:qFormat/>
    <w:uiPriority w:val="9"/>
    <w:rPr>
      <w:b/>
      <w:bCs/>
      <w:kern w:val="2"/>
      <w:sz w:val="32"/>
      <w:szCs w:val="32"/>
    </w:rPr>
  </w:style>
  <w:style w:type="character" w:customStyle="1" w:styleId="41">
    <w:name w:val="标题 5 字符"/>
    <w:link w:val="6"/>
    <w:qFormat/>
    <w:uiPriority w:val="9"/>
    <w:rPr>
      <w:rFonts w:ascii="Times New Roman" w:hAnsi="Times New Roman"/>
      <w:b/>
      <w:bCs/>
      <w:kern w:val="2"/>
      <w:sz w:val="28"/>
      <w:szCs w:val="28"/>
    </w:rPr>
  </w:style>
  <w:style w:type="character" w:customStyle="1" w:styleId="42">
    <w:name w:val="标题 8 字符"/>
    <w:link w:val="8"/>
    <w:semiHidden/>
    <w:qFormat/>
    <w:uiPriority w:val="9"/>
    <w:rPr>
      <w:rFonts w:ascii="等线 Light" w:hAnsi="等线 Light" w:eastAsia="等线 Light" w:cs="Times New Roman"/>
      <w:kern w:val="2"/>
      <w:sz w:val="24"/>
      <w:szCs w:val="24"/>
    </w:rPr>
  </w:style>
  <w:style w:type="character" w:customStyle="1" w:styleId="43">
    <w:name w:val="批注文字 字符2"/>
    <w:link w:val="11"/>
    <w:qFormat/>
    <w:uiPriority w:val="0"/>
    <w:rPr>
      <w:rFonts w:ascii="Times New Roman" w:hAnsi="Times New Roman"/>
      <w:kern w:val="2"/>
      <w:sz w:val="21"/>
      <w:szCs w:val="24"/>
    </w:rPr>
  </w:style>
  <w:style w:type="character" w:customStyle="1" w:styleId="44">
    <w:name w:val="正文文本 3 字符"/>
    <w:link w:val="12"/>
    <w:semiHidden/>
    <w:qFormat/>
    <w:uiPriority w:val="99"/>
    <w:rPr>
      <w:kern w:val="2"/>
      <w:sz w:val="16"/>
      <w:szCs w:val="16"/>
    </w:rPr>
  </w:style>
  <w:style w:type="character" w:customStyle="1" w:styleId="45">
    <w:name w:val="正文文本 字符1"/>
    <w:link w:val="13"/>
    <w:qFormat/>
    <w:uiPriority w:val="0"/>
    <w:rPr>
      <w:rFonts w:ascii="Times New Roman" w:hAnsi="Times New Roman"/>
      <w:kern w:val="2"/>
      <w:sz w:val="21"/>
      <w:szCs w:val="24"/>
    </w:rPr>
  </w:style>
  <w:style w:type="character" w:customStyle="1" w:styleId="46">
    <w:name w:val="正文文本缩进 字符"/>
    <w:link w:val="14"/>
    <w:qFormat/>
    <w:uiPriority w:val="0"/>
    <w:rPr>
      <w:rFonts w:ascii="仿宋_GB2312" w:hAnsi="Times New Roman" w:eastAsia="仿宋_GB2312" w:cs="Times New Roman"/>
      <w:sz w:val="32"/>
      <w:szCs w:val="20"/>
    </w:rPr>
  </w:style>
  <w:style w:type="character" w:customStyle="1" w:styleId="47">
    <w:name w:val="纯文本 字符3"/>
    <w:link w:val="17"/>
    <w:qFormat/>
    <w:uiPriority w:val="0"/>
    <w:rPr>
      <w:rFonts w:ascii="宋体" w:hAnsi="Courier New" w:eastAsia="宋体" w:cs="Courier New"/>
      <w:szCs w:val="21"/>
    </w:rPr>
  </w:style>
  <w:style w:type="character" w:customStyle="1" w:styleId="48">
    <w:name w:val="日期 字符"/>
    <w:link w:val="18"/>
    <w:semiHidden/>
    <w:qFormat/>
    <w:uiPriority w:val="99"/>
    <w:rPr>
      <w:rFonts w:ascii="Times New Roman" w:hAnsi="Times New Roman"/>
      <w:kern w:val="2"/>
      <w:sz w:val="21"/>
      <w:szCs w:val="24"/>
    </w:rPr>
  </w:style>
  <w:style w:type="character" w:customStyle="1" w:styleId="49">
    <w:name w:val="页脚 字符"/>
    <w:link w:val="20"/>
    <w:qFormat/>
    <w:uiPriority w:val="99"/>
    <w:rPr>
      <w:sz w:val="18"/>
      <w:szCs w:val="18"/>
    </w:rPr>
  </w:style>
  <w:style w:type="character" w:customStyle="1" w:styleId="50">
    <w:name w:val="页眉 字符"/>
    <w:link w:val="21"/>
    <w:qFormat/>
    <w:uiPriority w:val="99"/>
    <w:rPr>
      <w:sz w:val="18"/>
      <w:szCs w:val="18"/>
    </w:rPr>
  </w:style>
  <w:style w:type="character" w:customStyle="1" w:styleId="51">
    <w:name w:val="批注主题 字符"/>
    <w:link w:val="26"/>
    <w:qFormat/>
    <w:uiPriority w:val="99"/>
    <w:rPr>
      <w:rFonts w:ascii="Times New Roman" w:hAnsi="Times New Roman"/>
      <w:b/>
      <w:bCs/>
      <w:kern w:val="2"/>
      <w:sz w:val="21"/>
      <w:szCs w:val="24"/>
    </w:rPr>
  </w:style>
  <w:style w:type="character" w:customStyle="1" w:styleId="52">
    <w:name w:val="正文文本 字符"/>
    <w:qFormat/>
    <w:uiPriority w:val="0"/>
    <w:rPr>
      <w:rFonts w:ascii="Times New Roman" w:hAnsi="Times New Roman"/>
      <w:kern w:val="2"/>
      <w:sz w:val="21"/>
      <w:szCs w:val="24"/>
    </w:rPr>
  </w:style>
  <w:style w:type="character" w:customStyle="1" w:styleId="53">
    <w:name w:val="标题 2 Char"/>
    <w:qFormat/>
    <w:uiPriority w:val="9"/>
    <w:rPr>
      <w:rFonts w:ascii="Cambria" w:hAnsi="Cambria" w:eastAsia="宋体" w:cs="Times New Roman"/>
      <w:b/>
      <w:bCs/>
      <w:kern w:val="2"/>
      <w:sz w:val="32"/>
      <w:szCs w:val="32"/>
    </w:rPr>
  </w:style>
  <w:style w:type="character" w:customStyle="1" w:styleId="54">
    <w:name w:val="纯文本 字符"/>
    <w:qFormat/>
    <w:uiPriority w:val="0"/>
    <w:rPr>
      <w:rFonts w:ascii="宋体" w:hAnsi="Courier New" w:eastAsia="宋体" w:cs="Courier New"/>
      <w:szCs w:val="21"/>
    </w:rPr>
  </w:style>
  <w:style w:type="character" w:customStyle="1" w:styleId="55">
    <w:name w:val="纯文本 字符1"/>
    <w:qFormat/>
    <w:uiPriority w:val="0"/>
    <w:rPr>
      <w:rFonts w:ascii="宋体" w:hAnsi="Courier New"/>
    </w:rPr>
  </w:style>
  <w:style w:type="character" w:customStyle="1" w:styleId="56">
    <w:name w:val="批注文字 字符"/>
    <w:qFormat/>
    <w:uiPriority w:val="0"/>
    <w:rPr>
      <w:rFonts w:ascii="Times New Roman" w:hAnsi="Times New Roman"/>
      <w:kern w:val="2"/>
      <w:sz w:val="21"/>
      <w:szCs w:val="24"/>
    </w:rPr>
  </w:style>
  <w:style w:type="character" w:customStyle="1" w:styleId="57">
    <w:name w:val="标题 1 字符1"/>
    <w:qFormat/>
    <w:uiPriority w:val="0"/>
    <w:rPr>
      <w:b/>
      <w:bCs/>
      <w:kern w:val="44"/>
      <w:sz w:val="44"/>
      <w:szCs w:val="44"/>
    </w:rPr>
  </w:style>
  <w:style w:type="character" w:customStyle="1" w:styleId="58">
    <w:name w:val="正文2 Char Char"/>
    <w:link w:val="59"/>
    <w:qFormat/>
    <w:uiPriority w:val="0"/>
    <w:rPr>
      <w:sz w:val="24"/>
    </w:rPr>
  </w:style>
  <w:style w:type="paragraph" w:customStyle="1" w:styleId="59">
    <w:name w:val="正文2"/>
    <w:basedOn w:val="1"/>
    <w:link w:val="58"/>
    <w:qFormat/>
    <w:uiPriority w:val="0"/>
    <w:pPr>
      <w:adjustRightInd w:val="0"/>
      <w:spacing w:before="156" w:line="360" w:lineRule="auto"/>
      <w:ind w:firstLine="510" w:firstLineChars="200"/>
    </w:pPr>
    <w:rPr>
      <w:kern w:val="0"/>
      <w:sz w:val="24"/>
      <w:szCs w:val="20"/>
    </w:rPr>
  </w:style>
  <w:style w:type="character" w:customStyle="1" w:styleId="60">
    <w:name w:val="纯文本 字符2"/>
    <w:qFormat/>
    <w:uiPriority w:val="0"/>
    <w:rPr>
      <w:rFonts w:ascii="宋体" w:hAnsi="Courier New" w:eastAsia="宋体" w:cs="Courier New"/>
      <w:szCs w:val="21"/>
    </w:rPr>
  </w:style>
  <w:style w:type="character" w:customStyle="1" w:styleId="61">
    <w:name w:val="apple-style-span"/>
    <w:qFormat/>
    <w:uiPriority w:val="0"/>
  </w:style>
  <w:style w:type="character" w:customStyle="1" w:styleId="62">
    <w:name w:val="正文文本 Char"/>
    <w:qFormat/>
    <w:uiPriority w:val="0"/>
    <w:rPr>
      <w:rFonts w:ascii="Times New Roman" w:hAnsi="Times New Roman"/>
      <w:kern w:val="2"/>
      <w:sz w:val="21"/>
      <w:szCs w:val="24"/>
    </w:rPr>
  </w:style>
  <w:style w:type="character" w:customStyle="1" w:styleId="63">
    <w:name w:val="正文文本 (26) + 间距 0 pt"/>
    <w:qFormat/>
    <w:uiPriority w:val="0"/>
    <w:rPr>
      <w:rFonts w:ascii="宋体" w:hAnsi="宋体" w:eastAsia="宋体" w:cs="宋体"/>
      <w:color w:val="000000"/>
      <w:spacing w:val="0"/>
      <w:w w:val="100"/>
      <w:position w:val="0"/>
      <w:sz w:val="22"/>
      <w:szCs w:val="22"/>
      <w:u w:val="none"/>
      <w:lang w:val="zh-CN" w:eastAsia="zh-CN" w:bidi="zh-CN"/>
    </w:rPr>
  </w:style>
  <w:style w:type="character" w:customStyle="1" w:styleId="64">
    <w:name w:val="标题 8 Char"/>
    <w:qFormat/>
    <w:uiPriority w:val="0"/>
    <w:rPr>
      <w:rFonts w:ascii="Arial" w:hAnsi="Arial" w:eastAsia="黑体"/>
      <w:kern w:val="2"/>
      <w:sz w:val="24"/>
      <w:szCs w:val="24"/>
    </w:rPr>
  </w:style>
  <w:style w:type="character" w:customStyle="1" w:styleId="65">
    <w:name w:val="_Style 64"/>
    <w:unhideWhenUsed/>
    <w:qFormat/>
    <w:uiPriority w:val="99"/>
    <w:rPr>
      <w:color w:val="605E5C"/>
      <w:shd w:val="clear" w:color="auto" w:fill="E1DFDD"/>
    </w:rPr>
  </w:style>
  <w:style w:type="character" w:customStyle="1" w:styleId="66">
    <w:name w:val="纯文本 Char"/>
    <w:qFormat/>
    <w:uiPriority w:val="0"/>
    <w:rPr>
      <w:rFonts w:ascii="宋体" w:hAnsi="Courier New" w:eastAsia="宋体" w:cs="Courier New"/>
      <w:szCs w:val="21"/>
    </w:rPr>
  </w:style>
  <w:style w:type="character" w:customStyle="1" w:styleId="67">
    <w:name w:val="批注文字 Char"/>
    <w:qFormat/>
    <w:uiPriority w:val="0"/>
    <w:rPr>
      <w:rFonts w:ascii="Times New Roman" w:hAnsi="Times New Roman"/>
      <w:kern w:val="2"/>
      <w:sz w:val="21"/>
      <w:szCs w:val="24"/>
    </w:rPr>
  </w:style>
  <w:style w:type="character" w:customStyle="1" w:styleId="68">
    <w:name w:val="textcontents"/>
    <w:qFormat/>
    <w:uiPriority w:val="0"/>
  </w:style>
  <w:style w:type="character" w:customStyle="1" w:styleId="69">
    <w:name w:val="批注文字 字符1"/>
    <w:qFormat/>
    <w:uiPriority w:val="0"/>
    <w:rPr>
      <w:rFonts w:ascii="Times New Roman" w:hAnsi="Times New Roman"/>
      <w:kern w:val="2"/>
      <w:sz w:val="21"/>
      <w:szCs w:val="24"/>
    </w:rPr>
  </w:style>
  <w:style w:type="paragraph" w:customStyle="1" w:styleId="70">
    <w:name w:val="列出段落2"/>
    <w:basedOn w:val="1"/>
    <w:unhideWhenUsed/>
    <w:qFormat/>
    <w:uiPriority w:val="99"/>
    <w:pPr>
      <w:spacing w:line="360" w:lineRule="auto"/>
      <w:ind w:firstLine="420" w:firstLineChars="200"/>
    </w:pPr>
    <w:rPr>
      <w:rFonts w:ascii="Calibri" w:hAnsi="Calibri" w:eastAsia="仿宋" w:cs="Times New Roman"/>
      <w:sz w:val="28"/>
      <w:szCs w:val="22"/>
    </w:rPr>
  </w:style>
  <w:style w:type="paragraph" w:customStyle="1" w:styleId="71">
    <w:name w:val="正文缩进1"/>
    <w:basedOn w:val="1"/>
    <w:next w:val="14"/>
    <w:qFormat/>
    <w:uiPriority w:val="0"/>
    <w:pPr>
      <w:autoSpaceDE w:val="0"/>
      <w:autoSpaceDN w:val="0"/>
      <w:adjustRightInd w:val="0"/>
      <w:snapToGrid w:val="0"/>
      <w:spacing w:after="120" w:line="360" w:lineRule="auto"/>
      <w:ind w:left="420" w:leftChars="200" w:firstLine="480" w:firstLineChars="200"/>
    </w:pPr>
    <w:rPr>
      <w:sz w:val="24"/>
      <w:szCs w:val="21"/>
    </w:rPr>
  </w:style>
  <w:style w:type="paragraph" w:styleId="72">
    <w:name w:val="List Paragraph"/>
    <w:basedOn w:val="1"/>
    <w:qFormat/>
    <w:uiPriority w:val="34"/>
    <w:pPr>
      <w:ind w:firstLine="420" w:firstLineChars="200"/>
    </w:pPr>
  </w:style>
  <w:style w:type="paragraph" w:customStyle="1" w:styleId="73">
    <w:name w:val="样式5"/>
    <w:basedOn w:val="1"/>
    <w:qFormat/>
    <w:uiPriority w:val="0"/>
    <w:pPr>
      <w:adjustRightInd w:val="0"/>
      <w:spacing w:line="440" w:lineRule="exact"/>
      <w:ind w:left="2" w:firstLine="480" w:firstLineChars="200"/>
    </w:pPr>
    <w:rPr>
      <w:rFonts w:ascii="仿宋_GB2312" w:hAnsi="仿宋" w:eastAsia="仿宋_GB2312"/>
      <w:sz w:val="24"/>
    </w:rPr>
  </w:style>
  <w:style w:type="paragraph" w:customStyle="1" w:styleId="74">
    <w:name w:val="Table Paragraph"/>
    <w:basedOn w:val="1"/>
    <w:qFormat/>
    <w:uiPriority w:val="1"/>
    <w:pPr>
      <w:jc w:val="left"/>
    </w:pPr>
    <w:rPr>
      <w:rFonts w:ascii="Calibri" w:hAnsi="Calibri"/>
      <w:kern w:val="0"/>
      <w:sz w:val="22"/>
      <w:szCs w:val="22"/>
      <w:lang w:eastAsia="en-US"/>
    </w:rPr>
  </w:style>
  <w:style w:type="paragraph" w:customStyle="1" w:styleId="75">
    <w:name w:val="Char Char Char Char"/>
    <w:basedOn w:val="1"/>
    <w:qFormat/>
    <w:uiPriority w:val="0"/>
    <w:pPr>
      <w:widowControl/>
      <w:spacing w:after="160" w:line="240" w:lineRule="exact"/>
      <w:jc w:val="left"/>
    </w:pPr>
  </w:style>
  <w:style w:type="paragraph" w:customStyle="1" w:styleId="76">
    <w:name w:val="_Style 75"/>
    <w:basedOn w:val="3"/>
    <w:next w:val="1"/>
    <w:qFormat/>
    <w:uiPriority w:val="39"/>
    <w:pPr>
      <w:widowControl/>
      <w:spacing w:before="240" w:after="0" w:line="259" w:lineRule="auto"/>
      <w:jc w:val="left"/>
      <w:outlineLvl w:val="9"/>
    </w:pPr>
    <w:rPr>
      <w:rFonts w:ascii="等线 Light" w:hAnsi="等线 Light" w:eastAsia="等线 Light" w:cs="Times New Roman"/>
      <w:b w:val="0"/>
      <w:bCs w:val="0"/>
      <w:color w:val="2F5496"/>
      <w:kern w:val="0"/>
      <w:sz w:val="32"/>
      <w:szCs w:val="32"/>
      <w:lang w:val="en-US" w:eastAsia="zh-CN"/>
    </w:rPr>
  </w:style>
  <w:style w:type="paragraph" w:customStyle="1" w:styleId="77">
    <w:name w:val="正文-2字符首行缩进"/>
    <w:basedOn w:val="1"/>
    <w:qFormat/>
    <w:uiPriority w:val="0"/>
    <w:pPr>
      <w:spacing w:line="360" w:lineRule="auto"/>
      <w:ind w:firstLine="200" w:firstLineChars="200"/>
    </w:pPr>
    <w:rPr>
      <w:rFonts w:ascii="仿宋_GB2312" w:hAnsi="宋体" w:eastAsia="仿宋_GB2312" w:cs="Times New Roman"/>
      <w:sz w:val="28"/>
      <w:szCs w:val="22"/>
    </w:rPr>
  </w:style>
  <w:style w:type="paragraph" w:customStyle="1" w:styleId="78">
    <w:name w:val="默认段落字体 Para Char Char Char Char Char Char Char Char Char1 Char Char Char Char"/>
    <w:basedOn w:val="1"/>
    <w:qFormat/>
    <w:uiPriority w:val="0"/>
    <w:rPr>
      <w:rFonts w:ascii="Tahoma" w:hAnsi="Tahoma"/>
      <w:sz w:val="24"/>
      <w:szCs w:val="20"/>
    </w:rPr>
  </w:style>
  <w:style w:type="paragraph" w:customStyle="1" w:styleId="79">
    <w:name w:val="表内文字"/>
    <w:basedOn w:val="1"/>
    <w:qFormat/>
    <w:uiPriority w:val="0"/>
    <w:pPr>
      <w:snapToGrid w:val="0"/>
      <w:spacing w:before="50" w:after="50"/>
      <w:jc w:val="center"/>
    </w:pPr>
    <w:rPr>
      <w:rFonts w:ascii="仿宋_GB2312" w:hAnsi="宋体" w:eastAsia="仿宋_GB2312"/>
      <w:b/>
      <w:color w:val="000000"/>
      <w:sz w:val="32"/>
      <w:szCs w:val="32"/>
    </w:rPr>
  </w:style>
  <w:style w:type="paragraph" w:customStyle="1" w:styleId="80">
    <w:name w:val="Default"/>
    <w:qFormat/>
    <w:uiPriority w:val="0"/>
    <w:pPr>
      <w:widowControl w:val="0"/>
      <w:autoSpaceDE w:val="0"/>
      <w:autoSpaceDN w:val="0"/>
      <w:adjustRightInd w:val="0"/>
    </w:pPr>
    <w:rPr>
      <w:rFonts w:ascii="Arial" w:hAnsi="Arial" w:eastAsia="宋体" w:cs="Arial"/>
      <w:color w:val="000000"/>
      <w:sz w:val="24"/>
      <w:szCs w:val="24"/>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numbering" Target="numbering.xml"/><Relationship Id="rId14" Type="http://schemas.openxmlformats.org/officeDocument/2006/relationships/customXml" Target="../customXml/item1.xml"/><Relationship Id="rId13" Type="http://schemas.openxmlformats.org/officeDocument/2006/relationships/theme" Target="theme/theme1.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footer" Target="footer5.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105</Pages>
  <Words>24124</Words>
  <Characters>25255</Characters>
  <Lines>506</Lines>
  <Paragraphs>142</Paragraphs>
  <TotalTime>64</TotalTime>
  <ScaleCrop>false</ScaleCrop>
  <LinksUpToDate>false</LinksUpToDate>
  <CharactersWithSpaces>25345</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2021-08-17T04:20:00Z</dcterms:created>
  <dc:creator>admin</dc:creator>
  <cp:lastModifiedBy>KL</cp:lastModifiedBy>
  <cp:lastPrinted>2021-08-26T02:26:00Z</cp:lastPrinted>
  <dcterms:modified xsi:type="dcterms:W3CDTF">2026-04-29T07:53:42Z</dcterms:modified>
  <cp:revision>34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ICV">
    <vt:lpwstr>6C78CE0ACAA94653A97DAE6D4032FA43_13</vt:lpwstr>
  </property>
  <property fmtid="{D5CDD505-2E9C-101B-9397-08002B2CF9AE}" pid="4" name="KSOTemplateDocerSaveRecord">
    <vt:lpwstr>eyJoZGlkIjoiODkyZTgyNWQ2OGRjOTRhYTYxYjU0NTBkODZkNmUxYmEiLCJ1c2VySWQiOiIxNTkyNzIwOTYwIn0=</vt:lpwstr>
  </property>
</Properties>
</file>