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C6BD36">
      <w:pPr>
        <w:spacing w:line="240" w:lineRule="atLeast"/>
        <w:jc w:val="center"/>
        <w:rPr>
          <w:rFonts w:hint="eastAsia" w:ascii="仿宋" w:hAnsi="仿宋" w:eastAsia="仿宋" w:cs="仿宋"/>
          <w:color w:val="auto"/>
          <w:sz w:val="52"/>
          <w:szCs w:val="52"/>
          <w:highlight w:val="none"/>
        </w:rPr>
      </w:pPr>
    </w:p>
    <w:p w14:paraId="13C8EA38">
      <w:pPr>
        <w:spacing w:line="360" w:lineRule="auto"/>
        <w:jc w:val="center"/>
        <w:rPr>
          <w:rFonts w:hint="eastAsia" w:ascii="仿宋" w:hAnsi="仿宋" w:eastAsia="仿宋" w:cs="仿宋"/>
          <w:color w:val="auto"/>
          <w:sz w:val="52"/>
          <w:szCs w:val="52"/>
          <w:highlight w:val="none"/>
        </w:rPr>
      </w:pPr>
      <w:r>
        <w:rPr>
          <w:rFonts w:hint="eastAsia" w:ascii="仿宋" w:hAnsi="仿宋" w:eastAsia="仿宋" w:cs="仿宋"/>
          <w:color w:val="auto"/>
          <w:highlight w:val="none"/>
        </w:rPr>
        <w:drawing>
          <wp:inline distT="0" distB="0" distL="0" distR="0">
            <wp:extent cx="895350" cy="933450"/>
            <wp:effectExtent l="0" t="0" r="0" b="0"/>
            <wp:docPr id="2" name="图片 2"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科文名片"/>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895350" cy="933450"/>
                    </a:xfrm>
                    <a:prstGeom prst="rect">
                      <a:avLst/>
                    </a:prstGeom>
                    <a:noFill/>
                    <a:ln>
                      <a:noFill/>
                    </a:ln>
                  </pic:spPr>
                </pic:pic>
              </a:graphicData>
            </a:graphic>
          </wp:inline>
        </w:drawing>
      </w:r>
    </w:p>
    <w:p w14:paraId="43DA04C5">
      <w:pPr>
        <w:pStyle w:val="28"/>
        <w:jc w:val="center"/>
        <w:rPr>
          <w:rFonts w:hint="eastAsia" w:ascii="仿宋" w:hAnsi="仿宋" w:eastAsia="仿宋" w:cs="仿宋"/>
          <w:color w:val="auto"/>
          <w:spacing w:val="30"/>
          <w:kern w:val="52"/>
          <w:sz w:val="64"/>
          <w:szCs w:val="64"/>
          <w:highlight w:val="none"/>
        </w:rPr>
      </w:pPr>
      <w:r>
        <w:rPr>
          <w:rFonts w:hint="eastAsia" w:ascii="仿宋" w:hAnsi="仿宋" w:eastAsia="仿宋" w:cs="仿宋"/>
          <w:color w:val="auto"/>
          <w:spacing w:val="30"/>
          <w:kern w:val="52"/>
          <w:sz w:val="64"/>
          <w:szCs w:val="64"/>
          <w:highlight w:val="none"/>
        </w:rPr>
        <w:t>广西科文招标有限公司</w:t>
      </w:r>
    </w:p>
    <w:p w14:paraId="42806AED">
      <w:pPr>
        <w:pStyle w:val="28"/>
        <w:jc w:val="center"/>
        <w:rPr>
          <w:rFonts w:hint="eastAsia" w:ascii="仿宋" w:hAnsi="仿宋" w:eastAsia="仿宋" w:cs="仿宋"/>
          <w:color w:val="auto"/>
          <w:spacing w:val="28"/>
          <w:sz w:val="64"/>
          <w:szCs w:val="64"/>
          <w:highlight w:val="none"/>
        </w:rPr>
      </w:pPr>
      <w:r>
        <w:rPr>
          <w:rFonts w:hint="eastAsia" w:ascii="仿宋" w:hAnsi="仿宋" w:eastAsia="仿宋" w:cs="仿宋"/>
          <w:b/>
          <w:color w:val="auto"/>
          <w:spacing w:val="-18"/>
          <w:sz w:val="64"/>
          <w:szCs w:val="64"/>
          <w:highlight w:val="none"/>
        </w:rPr>
        <mc:AlternateContent>
          <mc:Choice Requires="wps">
            <w:drawing>
              <wp:anchor distT="0" distB="0" distL="114300" distR="114300" simplePos="0" relativeHeight="251659264" behindDoc="0" locked="0" layoutInCell="1" allowOverlap="1">
                <wp:simplePos x="0" y="0"/>
                <wp:positionH relativeFrom="column">
                  <wp:posOffset>495300</wp:posOffset>
                </wp:positionH>
                <wp:positionV relativeFrom="paragraph">
                  <wp:posOffset>99060</wp:posOffset>
                </wp:positionV>
                <wp:extent cx="5486400" cy="0"/>
                <wp:effectExtent l="0" t="0" r="0" b="0"/>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2700" cmpd="sng">
                          <a:solidFill>
                            <a:srgbClr val="000000"/>
                          </a:solidFill>
                          <a:round/>
                        </a:ln>
                        <a:effectLst/>
                      </wps:spPr>
                      <wps:bodyPr/>
                    </wps:wsp>
                  </a:graphicData>
                </a:graphic>
              </wp:anchor>
            </w:drawing>
          </mc:Choice>
          <mc:Fallback>
            <w:pict>
              <v:line id="Line 2" o:spid="_x0000_s1026" o:spt="20" style="position:absolute;left:0pt;margin-left:39pt;margin-top:7.8pt;height:0pt;width:432pt;z-index:251659264;mso-width-relative:page;mso-height-relative:page;" filled="f" stroked="t" coordsize="21600,21600" o:gfxdata="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3ATEtYAAAAIAQAADwAAAAAAAAABACAAAAAi&#10;AAAAZHJzL2Rvd25yZXYueG1sUEsBAhQAFAAAAAgAh07iQOXrq47TAQAAuQMAAA4AAAAAAAAAAQAg&#10;AAAAJQEAAGRycy9lMm9Eb2MueG1sUEsFBgAAAAAGAAYAWQEAAGoFAAAAAA==&#10;">
                <v:fill on="f" focussize="0,0"/>
                <v:stroke weight="1pt" color="#000000" joinstyle="round"/>
                <v:imagedata o:title=""/>
                <o:lock v:ext="edit" aspectratio="f"/>
              </v:line>
            </w:pict>
          </mc:Fallback>
        </mc:AlternateContent>
      </w:r>
    </w:p>
    <w:p w14:paraId="085FC676">
      <w:pPr>
        <w:snapToGrid w:val="0"/>
        <w:spacing w:before="120" w:beforeLines="50" w:line="360" w:lineRule="auto"/>
        <w:jc w:val="center"/>
        <w:rPr>
          <w:rFonts w:hint="eastAsia" w:ascii="仿宋" w:hAnsi="仿宋" w:eastAsia="仿宋" w:cs="仿宋"/>
          <w:color w:val="auto"/>
          <w:sz w:val="120"/>
          <w:szCs w:val="120"/>
          <w:highlight w:val="none"/>
        </w:rPr>
      </w:pPr>
      <w:r>
        <w:rPr>
          <w:rFonts w:hint="eastAsia" w:ascii="仿宋" w:hAnsi="仿宋" w:eastAsia="仿宋" w:cs="仿宋"/>
          <w:color w:val="auto"/>
          <w:sz w:val="120"/>
          <w:szCs w:val="120"/>
          <w:highlight w:val="none"/>
        </w:rPr>
        <w:t>招 标 文 件</w:t>
      </w:r>
    </w:p>
    <w:p w14:paraId="1690D27B">
      <w:pPr>
        <w:pStyle w:val="28"/>
        <w:snapToGrid w:val="0"/>
        <w:spacing w:line="360" w:lineRule="auto"/>
        <w:ind w:firstLine="1977" w:firstLineChars="691"/>
        <w:rPr>
          <w:rFonts w:hint="eastAsia" w:ascii="仿宋" w:hAnsi="仿宋" w:eastAsia="仿宋" w:cs="仿宋"/>
          <w:b/>
          <w:bCs/>
          <w:color w:val="auto"/>
          <w:w w:val="95"/>
          <w:sz w:val="30"/>
          <w:szCs w:val="30"/>
          <w:highlight w:val="none"/>
        </w:rPr>
      </w:pPr>
    </w:p>
    <w:p w14:paraId="05360A17">
      <w:pPr>
        <w:pStyle w:val="28"/>
        <w:snapToGrid w:val="0"/>
        <w:spacing w:line="360" w:lineRule="auto"/>
        <w:ind w:firstLine="1977" w:firstLineChars="691"/>
        <w:rPr>
          <w:rFonts w:hint="eastAsia" w:ascii="仿宋" w:hAnsi="仿宋" w:eastAsia="仿宋" w:cs="仿宋"/>
          <w:b/>
          <w:bCs/>
          <w:color w:val="auto"/>
          <w:w w:val="95"/>
          <w:sz w:val="30"/>
          <w:szCs w:val="30"/>
          <w:highlight w:val="none"/>
        </w:rPr>
      </w:pPr>
    </w:p>
    <w:p w14:paraId="34B96764">
      <w:pPr>
        <w:pStyle w:val="28"/>
        <w:snapToGrid w:val="0"/>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项目名称：</w:t>
      </w:r>
      <w:r>
        <w:rPr>
          <w:rFonts w:hint="eastAsia" w:ascii="仿宋" w:hAnsi="仿宋" w:eastAsia="仿宋" w:cs="仿宋"/>
          <w:b/>
          <w:bCs/>
          <w:color w:val="auto"/>
          <w:sz w:val="30"/>
          <w:szCs w:val="30"/>
          <w:highlight w:val="none"/>
          <w:lang w:eastAsia="zh-CN"/>
        </w:rPr>
        <w:t>南溪山医院医疗设备一批（八）（高清腹腔镜系统、胃肠机）（重）</w:t>
      </w:r>
    </w:p>
    <w:p w14:paraId="626C7A83">
      <w:pPr>
        <w:pStyle w:val="28"/>
        <w:snapToGrid w:val="0"/>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项目编号：</w:t>
      </w:r>
      <w:bookmarkStart w:id="196" w:name="_GoBack"/>
      <w:bookmarkEnd w:id="196"/>
      <w:r>
        <w:rPr>
          <w:rFonts w:hint="eastAsia" w:ascii="仿宋" w:hAnsi="仿宋" w:eastAsia="仿宋" w:cs="仿宋"/>
          <w:b/>
          <w:bCs/>
          <w:color w:val="auto"/>
          <w:sz w:val="30"/>
          <w:szCs w:val="30"/>
          <w:highlight w:val="none"/>
          <w:lang w:eastAsia="zh-CN"/>
        </w:rPr>
        <w:t>GXZC2026-G1-002568-KWZB</w:t>
      </w:r>
    </w:p>
    <w:p w14:paraId="05CE2816">
      <w:pPr>
        <w:pStyle w:val="28"/>
        <w:snapToGrid w:val="0"/>
        <w:spacing w:line="360" w:lineRule="auto"/>
        <w:ind w:firstLine="1977" w:firstLineChars="691"/>
        <w:rPr>
          <w:rFonts w:hint="eastAsia" w:ascii="仿宋" w:hAnsi="仿宋" w:eastAsia="仿宋" w:cs="仿宋"/>
          <w:b/>
          <w:bCs/>
          <w:color w:val="auto"/>
          <w:w w:val="95"/>
          <w:sz w:val="30"/>
          <w:szCs w:val="30"/>
          <w:highlight w:val="none"/>
        </w:rPr>
      </w:pPr>
    </w:p>
    <w:p w14:paraId="62542004">
      <w:pPr>
        <w:pStyle w:val="28"/>
        <w:snapToGrid w:val="0"/>
        <w:spacing w:line="360" w:lineRule="auto"/>
        <w:ind w:firstLine="1977" w:firstLineChars="691"/>
        <w:rPr>
          <w:rFonts w:hint="eastAsia" w:ascii="仿宋" w:hAnsi="仿宋" w:eastAsia="仿宋" w:cs="仿宋"/>
          <w:b/>
          <w:bCs/>
          <w:color w:val="auto"/>
          <w:w w:val="95"/>
          <w:sz w:val="30"/>
          <w:szCs w:val="30"/>
          <w:highlight w:val="none"/>
        </w:rPr>
      </w:pPr>
    </w:p>
    <w:p w14:paraId="13BEB067">
      <w:pPr>
        <w:pStyle w:val="28"/>
        <w:snapToGrid w:val="0"/>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采购人：</w:t>
      </w:r>
      <w:r>
        <w:rPr>
          <w:rFonts w:hint="eastAsia" w:ascii="仿宋" w:hAnsi="仿宋" w:eastAsia="仿宋" w:cs="仿宋"/>
          <w:b/>
          <w:bCs/>
          <w:color w:val="auto"/>
          <w:sz w:val="30"/>
          <w:szCs w:val="30"/>
          <w:highlight w:val="none"/>
          <w:lang w:eastAsia="zh-CN"/>
        </w:rPr>
        <w:t>广西壮族自治区南溪山医院（广西壮族自治区第二人民医院）</w:t>
      </w:r>
    </w:p>
    <w:p w14:paraId="668CC279">
      <w:pPr>
        <w:pStyle w:val="28"/>
        <w:snapToGrid w:val="0"/>
        <w:spacing w:line="360" w:lineRule="auto"/>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采购代理机构：广西科文招标有限公司</w:t>
      </w:r>
    </w:p>
    <w:p w14:paraId="2281E572">
      <w:pPr>
        <w:pStyle w:val="28"/>
        <w:snapToGrid w:val="0"/>
        <w:spacing w:line="360" w:lineRule="auto"/>
        <w:jc w:val="center"/>
        <w:rPr>
          <w:rFonts w:hint="eastAsia" w:ascii="仿宋" w:hAnsi="仿宋" w:eastAsia="仿宋" w:cs="仿宋"/>
          <w:color w:val="auto"/>
          <w:szCs w:val="20"/>
          <w:highlight w:val="none"/>
          <w:lang w:eastAsia="zh-CN"/>
        </w:rPr>
      </w:pPr>
      <w:r>
        <w:rPr>
          <w:rFonts w:hint="eastAsia" w:ascii="仿宋" w:hAnsi="仿宋" w:eastAsia="仿宋" w:cs="仿宋"/>
          <w:b/>
          <w:bCs/>
          <w:color w:val="auto"/>
          <w:sz w:val="30"/>
          <w:szCs w:val="30"/>
          <w:highlight w:val="none"/>
          <w:lang w:eastAsia="zh-CN"/>
        </w:rPr>
        <w:t>2026年</w:t>
      </w:r>
      <w:r>
        <w:rPr>
          <w:rFonts w:hint="eastAsia" w:ascii="仿宋" w:hAnsi="仿宋" w:eastAsia="仿宋" w:cs="仿宋"/>
          <w:b/>
          <w:bCs/>
          <w:color w:val="auto"/>
          <w:sz w:val="30"/>
          <w:szCs w:val="30"/>
          <w:highlight w:val="none"/>
          <w:lang w:val="en-US" w:eastAsia="zh-CN"/>
        </w:rPr>
        <w:t>8</w:t>
      </w:r>
      <w:r>
        <w:rPr>
          <w:rFonts w:hint="eastAsia" w:ascii="仿宋" w:hAnsi="仿宋" w:eastAsia="仿宋" w:cs="仿宋"/>
          <w:b/>
          <w:bCs/>
          <w:color w:val="auto"/>
          <w:sz w:val="30"/>
          <w:szCs w:val="30"/>
          <w:highlight w:val="none"/>
          <w:lang w:eastAsia="zh-CN"/>
        </w:rPr>
        <w:t>月</w:t>
      </w:r>
    </w:p>
    <w:p w14:paraId="340A942E">
      <w:pPr>
        <w:pStyle w:val="28"/>
        <w:spacing w:before="120" w:after="120" w:line="360" w:lineRule="auto"/>
        <w:jc w:val="center"/>
        <w:rPr>
          <w:rFonts w:hint="eastAsia" w:ascii="仿宋" w:hAnsi="仿宋" w:eastAsia="仿宋" w:cs="仿宋"/>
          <w:color w:val="auto"/>
          <w:highlight w:val="none"/>
        </w:rPr>
      </w:pPr>
    </w:p>
    <w:p w14:paraId="5B21C0E5">
      <w:pPr>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p w14:paraId="7D02471D">
      <w:pPr>
        <w:pStyle w:val="36"/>
        <w:spacing w:line="360" w:lineRule="auto"/>
        <w:ind w:firstLine="320"/>
        <w:rPr>
          <w:rFonts w:hint="eastAsia" w:ascii="仿宋" w:hAnsi="仿宋" w:eastAsia="仿宋" w:cs="仿宋"/>
          <w:b w:val="0"/>
          <w:color w:val="auto"/>
          <w:sz w:val="32"/>
          <w:szCs w:val="32"/>
          <w:highlight w:val="none"/>
        </w:rPr>
      </w:pPr>
    </w:p>
    <w:p w14:paraId="7065E0F0">
      <w:pPr>
        <w:pStyle w:val="36"/>
        <w:tabs>
          <w:tab w:val="right" w:leader="dot" w:pos="9072"/>
          <w:tab w:val="clear" w:pos="8398"/>
        </w:tabs>
        <w:spacing w:before="0" w:after="0" w:line="480" w:lineRule="auto"/>
        <w:ind w:firstLine="0" w:firstLineChars="0"/>
        <w:jc w:val="center"/>
        <w:rPr>
          <w:rFonts w:hint="eastAsia" w:ascii="仿宋" w:hAnsi="仿宋" w:eastAsia="仿宋" w:cs="仿宋"/>
          <w:b w:val="0"/>
          <w:bCs w:val="0"/>
          <w:caps w:val="0"/>
          <w:color w:val="auto"/>
          <w:sz w:val="36"/>
          <w:szCs w:val="36"/>
          <w:highlight w:val="none"/>
        </w:rPr>
      </w:pPr>
      <w:r>
        <w:rPr>
          <w:rFonts w:hint="eastAsia" w:ascii="仿宋" w:hAnsi="仿宋" w:eastAsia="仿宋" w:cs="仿宋"/>
          <w:b w:val="0"/>
          <w:color w:val="auto"/>
          <w:sz w:val="36"/>
          <w:szCs w:val="36"/>
          <w:highlight w:val="none"/>
        </w:rPr>
        <w:fldChar w:fldCharType="begin"/>
      </w:r>
      <w:r>
        <w:rPr>
          <w:rFonts w:hint="eastAsia" w:ascii="仿宋" w:hAnsi="仿宋" w:eastAsia="仿宋" w:cs="仿宋"/>
          <w:b w:val="0"/>
          <w:color w:val="auto"/>
          <w:sz w:val="36"/>
          <w:szCs w:val="36"/>
          <w:highlight w:val="none"/>
        </w:rPr>
        <w:instrText xml:space="preserve">TOC \o "1-2" \h \z \u</w:instrText>
      </w:r>
      <w:r>
        <w:rPr>
          <w:rFonts w:hint="eastAsia" w:ascii="仿宋" w:hAnsi="仿宋" w:eastAsia="仿宋" w:cs="仿宋"/>
          <w:b w:val="0"/>
          <w:color w:val="auto"/>
          <w:sz w:val="36"/>
          <w:szCs w:val="36"/>
          <w:highlight w:val="none"/>
        </w:rPr>
        <w:fldChar w:fldCharType="separate"/>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"_Toc74320800"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第一章 招标公告</w:t>
      </w:r>
      <w:r>
        <w:rPr>
          <w:rFonts w:hint="eastAsia" w:ascii="仿宋" w:hAnsi="仿宋" w:eastAsia="仿宋" w:cs="仿宋"/>
          <w:b w:val="0"/>
          <w:color w:val="auto"/>
          <w:sz w:val="36"/>
          <w:szCs w:val="36"/>
          <w:highlight w:val="none"/>
        </w:rPr>
        <w:tab/>
      </w:r>
      <w:r>
        <w:rPr>
          <w:rFonts w:hint="eastAsia" w:ascii="仿宋" w:hAnsi="仿宋" w:eastAsia="仿宋" w:cs="仿宋"/>
          <w:b w:val="0"/>
          <w:color w:val="auto"/>
          <w:sz w:val="36"/>
          <w:szCs w:val="36"/>
          <w:highlight w:val="none"/>
        </w:rPr>
        <w:t>2</w:t>
      </w:r>
      <w:r>
        <w:rPr>
          <w:rFonts w:hint="eastAsia" w:ascii="仿宋" w:hAnsi="仿宋" w:eastAsia="仿宋" w:cs="仿宋"/>
          <w:b w:val="0"/>
          <w:color w:val="auto"/>
          <w:sz w:val="36"/>
          <w:szCs w:val="36"/>
          <w:highlight w:val="none"/>
        </w:rPr>
        <w:fldChar w:fldCharType="end"/>
      </w:r>
    </w:p>
    <w:p w14:paraId="49CD36F1">
      <w:pPr>
        <w:pStyle w:val="36"/>
        <w:tabs>
          <w:tab w:val="right" w:leader="dot" w:pos="9072"/>
          <w:tab w:val="clear" w:pos="8398"/>
        </w:tabs>
        <w:spacing w:before="0" w:after="0" w:line="480" w:lineRule="auto"/>
        <w:ind w:firstLine="0" w:firstLineChars="0"/>
        <w:jc w:val="center"/>
        <w:rPr>
          <w:rFonts w:hint="eastAsia" w:ascii="仿宋" w:hAnsi="仿宋" w:eastAsia="仿宋" w:cs="仿宋"/>
          <w:b w:val="0"/>
          <w:bCs w:val="0"/>
          <w:caps w:val="0"/>
          <w:color w:val="auto"/>
          <w:sz w:val="36"/>
          <w:szCs w:val="36"/>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"_Toc74320801"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第二章 采购需求</w:t>
      </w:r>
      <w:bookmarkStart w:id="0" w:name="_Hlt113479581"/>
      <w:bookmarkStart w:id="1" w:name="_Hlt112295812"/>
      <w:bookmarkStart w:id="2" w:name="_Hlt112372227"/>
      <w:bookmarkStart w:id="3" w:name="_Hlt115102512"/>
      <w:bookmarkStart w:id="4" w:name="_Hlt113479582"/>
      <w:r>
        <w:rPr>
          <w:rFonts w:hint="eastAsia" w:ascii="仿宋" w:hAnsi="仿宋" w:eastAsia="仿宋" w:cs="仿宋"/>
          <w:b w:val="0"/>
          <w:color w:val="auto"/>
          <w:sz w:val="36"/>
          <w:szCs w:val="36"/>
          <w:highlight w:val="none"/>
        </w:rPr>
        <w:tab/>
      </w:r>
      <w:bookmarkEnd w:id="0"/>
      <w:bookmarkEnd w:id="1"/>
      <w:bookmarkEnd w:id="2"/>
      <w:bookmarkEnd w:id="3"/>
      <w:bookmarkEnd w:id="4"/>
      <w:r>
        <w:rPr>
          <w:rFonts w:hint="eastAsia" w:ascii="仿宋" w:hAnsi="仿宋" w:eastAsia="仿宋" w:cs="仿宋"/>
          <w:b w:val="0"/>
          <w:color w:val="auto"/>
          <w:sz w:val="36"/>
          <w:szCs w:val="36"/>
          <w:highlight w:val="none"/>
          <w:lang w:val="en-US" w:eastAsia="zh-CN"/>
        </w:rPr>
        <w:t>7</w:t>
      </w:r>
      <w:r>
        <w:rPr>
          <w:rFonts w:hint="eastAsia" w:ascii="仿宋" w:hAnsi="仿宋" w:eastAsia="仿宋" w:cs="仿宋"/>
          <w:b w:val="0"/>
          <w:color w:val="auto"/>
          <w:sz w:val="36"/>
          <w:szCs w:val="36"/>
          <w:highlight w:val="none"/>
        </w:rPr>
        <w:fldChar w:fldCharType="end"/>
      </w:r>
    </w:p>
    <w:p w14:paraId="034E08F1">
      <w:pPr>
        <w:pStyle w:val="36"/>
        <w:tabs>
          <w:tab w:val="right" w:leader="dot" w:pos="9072"/>
          <w:tab w:val="clear" w:pos="8398"/>
        </w:tabs>
        <w:spacing w:before="0" w:after="0" w:line="480" w:lineRule="auto"/>
        <w:ind w:firstLine="0" w:firstLineChars="0"/>
        <w:jc w:val="center"/>
        <w:rPr>
          <w:rFonts w:hint="default" w:ascii="仿宋" w:hAnsi="仿宋" w:eastAsia="仿宋" w:cs="仿宋"/>
          <w:b w:val="0"/>
          <w:bCs w:val="0"/>
          <w:caps w:val="0"/>
          <w:color w:val="auto"/>
          <w:sz w:val="36"/>
          <w:szCs w:val="36"/>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"_Toc74320802"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第三章 投标人须</w:t>
      </w:r>
      <w:bookmarkStart w:id="5" w:name="_Hlt79572744"/>
      <w:bookmarkStart w:id="6" w:name="_Hlt79572745"/>
      <w:r>
        <w:rPr>
          <w:rStyle w:val="60"/>
          <w:rFonts w:hint="eastAsia" w:ascii="仿宋" w:hAnsi="仿宋" w:eastAsia="仿宋" w:cs="仿宋"/>
          <w:b w:val="0"/>
          <w:color w:val="auto"/>
          <w:sz w:val="36"/>
          <w:szCs w:val="36"/>
          <w:highlight w:val="none"/>
        </w:rPr>
        <w:t>知</w:t>
      </w:r>
      <w:bookmarkEnd w:id="5"/>
      <w:bookmarkEnd w:id="6"/>
      <w:bookmarkStart w:id="7" w:name="_Hlt115102046"/>
      <w:bookmarkStart w:id="8" w:name="_Hlt112290080"/>
      <w:bookmarkStart w:id="9" w:name="_Hlt115102045"/>
      <w:bookmarkStart w:id="10" w:name="_Hlt112295571"/>
      <w:bookmarkStart w:id="11" w:name="_Hlt112290079"/>
      <w:bookmarkStart w:id="12" w:name="_Hlt112372199"/>
      <w:r>
        <w:rPr>
          <w:rFonts w:hint="eastAsia" w:ascii="仿宋" w:hAnsi="仿宋" w:eastAsia="仿宋" w:cs="仿宋"/>
          <w:b w:val="0"/>
          <w:color w:val="auto"/>
          <w:sz w:val="36"/>
          <w:szCs w:val="36"/>
          <w:highlight w:val="none"/>
        </w:rPr>
        <w:tab/>
      </w:r>
      <w:bookmarkEnd w:id="7"/>
      <w:bookmarkEnd w:id="8"/>
      <w:bookmarkEnd w:id="9"/>
      <w:bookmarkEnd w:id="10"/>
      <w:bookmarkEnd w:id="11"/>
      <w:bookmarkEnd w:id="12"/>
      <w:r>
        <w:rPr>
          <w:rFonts w:hint="eastAsia" w:ascii="仿宋" w:hAnsi="仿宋" w:eastAsia="仿宋" w:cs="仿宋"/>
          <w:b w:val="0"/>
          <w:color w:val="auto"/>
          <w:sz w:val="36"/>
          <w:szCs w:val="36"/>
          <w:highlight w:val="none"/>
        </w:rPr>
        <w:fldChar w:fldCharType="end"/>
      </w:r>
      <w:r>
        <w:rPr>
          <w:rFonts w:hint="eastAsia" w:ascii="仿宋" w:hAnsi="仿宋" w:eastAsia="仿宋" w:cs="仿宋"/>
          <w:b w:val="0"/>
          <w:color w:val="auto"/>
          <w:sz w:val="36"/>
          <w:szCs w:val="36"/>
          <w:highlight w:val="none"/>
          <w:lang w:val="en-US" w:eastAsia="zh-CN"/>
        </w:rPr>
        <w:t>30</w:t>
      </w:r>
    </w:p>
    <w:p w14:paraId="59C2D610">
      <w:pPr>
        <w:pStyle w:val="36"/>
        <w:tabs>
          <w:tab w:val="right" w:leader="dot" w:pos="9072"/>
          <w:tab w:val="clear" w:pos="8398"/>
        </w:tabs>
        <w:spacing w:before="0" w:after="0" w:line="480" w:lineRule="auto"/>
        <w:ind w:firstLine="0" w:firstLineChars="0"/>
        <w:jc w:val="center"/>
        <w:rPr>
          <w:rFonts w:hint="default" w:ascii="仿宋" w:hAnsi="仿宋" w:eastAsia="仿宋" w:cs="仿宋"/>
          <w:b w:val="0"/>
          <w:bCs w:val="0"/>
          <w:caps w:val="0"/>
          <w:color w:val="auto"/>
          <w:sz w:val="36"/>
          <w:szCs w:val="36"/>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"_Toc74320803"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第四章 评标方</w:t>
      </w:r>
      <w:bookmarkStart w:id="13" w:name="_Hlt82186273"/>
      <w:bookmarkStart w:id="14" w:name="_Hlt82186274"/>
      <w:r>
        <w:rPr>
          <w:rStyle w:val="60"/>
          <w:rFonts w:hint="eastAsia" w:ascii="仿宋" w:hAnsi="仿宋" w:eastAsia="仿宋" w:cs="仿宋"/>
          <w:b w:val="0"/>
          <w:color w:val="auto"/>
          <w:sz w:val="36"/>
          <w:szCs w:val="36"/>
          <w:highlight w:val="none"/>
        </w:rPr>
        <w:t>法</w:t>
      </w:r>
      <w:bookmarkEnd w:id="13"/>
      <w:bookmarkEnd w:id="14"/>
      <w:r>
        <w:rPr>
          <w:rStyle w:val="60"/>
          <w:rFonts w:hint="eastAsia" w:ascii="仿宋" w:hAnsi="仿宋" w:eastAsia="仿宋" w:cs="仿宋"/>
          <w:b w:val="0"/>
          <w:color w:val="auto"/>
          <w:sz w:val="36"/>
          <w:szCs w:val="36"/>
          <w:highlight w:val="none"/>
        </w:rPr>
        <w:t>及</w:t>
      </w:r>
      <w:bookmarkStart w:id="15" w:name="_Hlt115102681"/>
      <w:bookmarkStart w:id="16" w:name="_Hlt115102492"/>
      <w:r>
        <w:rPr>
          <w:rStyle w:val="60"/>
          <w:rFonts w:hint="eastAsia" w:ascii="仿宋" w:hAnsi="仿宋" w:eastAsia="仿宋" w:cs="仿宋"/>
          <w:b w:val="0"/>
          <w:color w:val="auto"/>
          <w:sz w:val="36"/>
          <w:szCs w:val="36"/>
          <w:highlight w:val="none"/>
        </w:rPr>
        <w:t>评</w:t>
      </w:r>
      <w:bookmarkEnd w:id="15"/>
      <w:bookmarkEnd w:id="16"/>
      <w:bookmarkStart w:id="17" w:name="_Hlt112801462"/>
      <w:r>
        <w:rPr>
          <w:rStyle w:val="60"/>
          <w:rFonts w:hint="eastAsia" w:ascii="仿宋" w:hAnsi="仿宋" w:eastAsia="仿宋" w:cs="仿宋"/>
          <w:b w:val="0"/>
          <w:color w:val="auto"/>
          <w:sz w:val="36"/>
          <w:szCs w:val="36"/>
          <w:highlight w:val="none"/>
        </w:rPr>
        <w:t>标</w:t>
      </w:r>
      <w:bookmarkEnd w:id="17"/>
      <w:r>
        <w:rPr>
          <w:rStyle w:val="60"/>
          <w:rFonts w:hint="eastAsia" w:ascii="仿宋" w:hAnsi="仿宋" w:eastAsia="仿宋" w:cs="仿宋"/>
          <w:b w:val="0"/>
          <w:color w:val="auto"/>
          <w:sz w:val="36"/>
          <w:szCs w:val="36"/>
          <w:highlight w:val="none"/>
        </w:rPr>
        <w:t>标准</w:t>
      </w:r>
      <w:bookmarkStart w:id="18" w:name="_Hlt112801593"/>
      <w:r>
        <w:rPr>
          <w:rFonts w:hint="eastAsia" w:ascii="仿宋" w:hAnsi="仿宋" w:eastAsia="仿宋" w:cs="仿宋"/>
          <w:b w:val="0"/>
          <w:color w:val="auto"/>
          <w:sz w:val="36"/>
          <w:szCs w:val="36"/>
          <w:highlight w:val="none"/>
        </w:rPr>
        <w:tab/>
      </w:r>
      <w:bookmarkEnd w:id="18"/>
      <w:r>
        <w:rPr>
          <w:rFonts w:hint="eastAsia" w:ascii="仿宋" w:hAnsi="仿宋" w:eastAsia="仿宋" w:cs="仿宋"/>
          <w:b w:val="0"/>
          <w:color w:val="auto"/>
          <w:sz w:val="36"/>
          <w:szCs w:val="36"/>
          <w:highlight w:val="none"/>
        </w:rPr>
        <w:fldChar w:fldCharType="end"/>
      </w:r>
      <w:r>
        <w:rPr>
          <w:rFonts w:hint="eastAsia" w:ascii="仿宋" w:hAnsi="仿宋" w:eastAsia="仿宋" w:cs="仿宋"/>
          <w:b w:val="0"/>
          <w:color w:val="auto"/>
          <w:sz w:val="36"/>
          <w:szCs w:val="36"/>
          <w:highlight w:val="none"/>
          <w:lang w:val="en-US" w:eastAsia="zh-CN"/>
        </w:rPr>
        <w:t>55</w:t>
      </w:r>
    </w:p>
    <w:p w14:paraId="19CA480B">
      <w:pPr>
        <w:pStyle w:val="36"/>
        <w:tabs>
          <w:tab w:val="right" w:leader="dot" w:pos="9072"/>
          <w:tab w:val="clear" w:pos="8398"/>
        </w:tabs>
        <w:spacing w:before="0" w:after="0" w:line="480" w:lineRule="auto"/>
        <w:ind w:firstLine="0" w:firstLineChars="0"/>
        <w:jc w:val="center"/>
        <w:rPr>
          <w:rFonts w:hint="default" w:ascii="仿宋" w:hAnsi="仿宋" w:eastAsia="仿宋" w:cs="仿宋"/>
          <w:b w:val="0"/>
          <w:bCs w:val="0"/>
          <w:caps w:val="0"/>
          <w:color w:val="auto"/>
          <w:sz w:val="36"/>
          <w:szCs w:val="36"/>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"_Toc74320804"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第五章 拟签订的合同文本</w:t>
      </w:r>
      <w:r>
        <w:rPr>
          <w:rFonts w:hint="eastAsia" w:ascii="仿宋" w:hAnsi="仿宋" w:eastAsia="仿宋" w:cs="仿宋"/>
          <w:b w:val="0"/>
          <w:color w:val="auto"/>
          <w:sz w:val="36"/>
          <w:szCs w:val="36"/>
          <w:highlight w:val="none"/>
        </w:rPr>
        <w:tab/>
      </w:r>
      <w:r>
        <w:rPr>
          <w:rFonts w:hint="eastAsia" w:ascii="仿宋" w:hAnsi="仿宋" w:eastAsia="仿宋" w:cs="仿宋"/>
          <w:b w:val="0"/>
          <w:color w:val="auto"/>
          <w:sz w:val="36"/>
          <w:szCs w:val="36"/>
          <w:highlight w:val="none"/>
        </w:rPr>
        <w:fldChar w:fldCharType="end"/>
      </w:r>
      <w:r>
        <w:rPr>
          <w:rFonts w:hint="eastAsia" w:ascii="仿宋" w:hAnsi="仿宋" w:eastAsia="仿宋" w:cs="仿宋"/>
          <w:b w:val="0"/>
          <w:color w:val="auto"/>
          <w:sz w:val="36"/>
          <w:szCs w:val="36"/>
          <w:highlight w:val="none"/>
          <w:lang w:val="en-US" w:eastAsia="zh-CN"/>
        </w:rPr>
        <w:t>68</w:t>
      </w:r>
    </w:p>
    <w:p w14:paraId="0EE98722">
      <w:pPr>
        <w:pStyle w:val="36"/>
        <w:tabs>
          <w:tab w:val="right" w:leader="dot" w:pos="9072"/>
          <w:tab w:val="clear" w:pos="8398"/>
        </w:tabs>
        <w:spacing w:before="0" w:after="0" w:line="480" w:lineRule="auto"/>
        <w:ind w:firstLine="0" w:firstLineChars="0"/>
        <w:jc w:val="center"/>
        <w:rPr>
          <w:rFonts w:hint="default" w:ascii="仿宋" w:hAnsi="仿宋" w:eastAsia="仿宋" w:cs="仿宋"/>
          <w:b w:val="0"/>
          <w:bCs w:val="0"/>
          <w:caps w:val="0"/>
          <w:color w:val="auto"/>
          <w:sz w:val="36"/>
          <w:szCs w:val="36"/>
          <w:highlight w:val="none"/>
          <w:lang w:val="en-US" w:eastAsia="zh-CN"/>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\l "_Toc74320805" </w:instrText>
      </w:r>
      <w:r>
        <w:rPr>
          <w:rFonts w:hint="eastAsia" w:ascii="仿宋" w:hAnsi="仿宋" w:eastAsia="仿宋" w:cs="仿宋"/>
          <w:color w:val="auto"/>
          <w:highlight w:val="none"/>
        </w:rPr>
        <w:fldChar w:fldCharType="separate"/>
      </w:r>
      <w:r>
        <w:rPr>
          <w:rStyle w:val="60"/>
          <w:rFonts w:hint="eastAsia" w:ascii="仿宋" w:hAnsi="仿宋" w:eastAsia="仿宋" w:cs="仿宋"/>
          <w:b w:val="0"/>
          <w:color w:val="auto"/>
          <w:sz w:val="36"/>
          <w:szCs w:val="36"/>
          <w:highlight w:val="none"/>
        </w:rPr>
        <w:t>第六章 投标文件格式</w:t>
      </w:r>
      <w:bookmarkStart w:id="19" w:name="_Hlt112372474"/>
      <w:r>
        <w:rPr>
          <w:rFonts w:hint="eastAsia" w:ascii="仿宋" w:hAnsi="仿宋" w:eastAsia="仿宋" w:cs="仿宋"/>
          <w:b w:val="0"/>
          <w:color w:val="auto"/>
          <w:sz w:val="36"/>
          <w:szCs w:val="36"/>
          <w:highlight w:val="none"/>
        </w:rPr>
        <w:tab/>
      </w:r>
      <w:bookmarkEnd w:id="19"/>
      <w:r>
        <w:rPr>
          <w:rFonts w:hint="eastAsia" w:ascii="仿宋" w:hAnsi="仿宋" w:eastAsia="仿宋" w:cs="仿宋"/>
          <w:b w:val="0"/>
          <w:color w:val="auto"/>
          <w:sz w:val="36"/>
          <w:szCs w:val="36"/>
          <w:highlight w:val="none"/>
        </w:rPr>
        <w:fldChar w:fldCharType="end"/>
      </w:r>
      <w:r>
        <w:rPr>
          <w:rFonts w:hint="eastAsia" w:ascii="仿宋" w:hAnsi="仿宋" w:eastAsia="仿宋" w:cs="仿宋"/>
          <w:b w:val="0"/>
          <w:color w:val="auto"/>
          <w:sz w:val="36"/>
          <w:szCs w:val="36"/>
          <w:highlight w:val="none"/>
          <w:lang w:val="en-US" w:eastAsia="zh-CN"/>
        </w:rPr>
        <w:t>81</w:t>
      </w:r>
    </w:p>
    <w:p w14:paraId="2DC87FE3">
      <w:pPr>
        <w:spacing w:line="480" w:lineRule="auto"/>
        <w:jc w:val="center"/>
        <w:rPr>
          <w:rFonts w:hint="eastAsia" w:ascii="仿宋" w:hAnsi="仿宋" w:eastAsia="仿宋" w:cs="仿宋"/>
          <w:color w:val="auto"/>
          <w:sz w:val="24"/>
          <w:highlight w:val="none"/>
        </w:rPr>
      </w:pPr>
      <w:r>
        <w:rPr>
          <w:rFonts w:hint="eastAsia" w:ascii="仿宋" w:hAnsi="仿宋" w:eastAsia="仿宋" w:cs="仿宋"/>
          <w:color w:val="auto"/>
          <w:sz w:val="36"/>
          <w:szCs w:val="36"/>
          <w:highlight w:val="none"/>
        </w:rPr>
        <w:fldChar w:fldCharType="end"/>
      </w:r>
    </w:p>
    <w:p w14:paraId="2E339D65">
      <w:pPr>
        <w:spacing w:before="120" w:beforeLines="50" w:line="480" w:lineRule="exact"/>
        <w:rPr>
          <w:rFonts w:hint="eastAsia" w:ascii="仿宋" w:hAnsi="仿宋" w:eastAsia="仿宋" w:cs="仿宋"/>
          <w:color w:val="auto"/>
          <w:sz w:val="30"/>
          <w:highlight w:val="none"/>
        </w:rPr>
      </w:pPr>
    </w:p>
    <w:p w14:paraId="73D271D1">
      <w:pPr>
        <w:pStyle w:val="18"/>
        <w:rPr>
          <w:rFonts w:hint="eastAsia" w:ascii="仿宋" w:hAnsi="仿宋" w:eastAsia="仿宋" w:cs="仿宋"/>
          <w:b/>
          <w:bCs/>
          <w:color w:val="auto"/>
          <w:highlight w:val="none"/>
        </w:rPr>
      </w:pPr>
      <w:bookmarkStart w:id="20" w:name="_Toc254970630"/>
      <w:bookmarkStart w:id="21" w:name="_Toc254970489"/>
    </w:p>
    <w:p w14:paraId="684CB94E">
      <w:pPr>
        <w:pStyle w:val="3"/>
        <w:keepNext w:val="0"/>
        <w:keepLines w:val="0"/>
        <w:tabs>
          <w:tab w:val="left" w:pos="0"/>
          <w:tab w:val="left" w:pos="3165"/>
          <w:tab w:val="center" w:pos="4153"/>
        </w:tabs>
        <w:autoSpaceDE w:val="0"/>
        <w:autoSpaceDN w:val="0"/>
        <w:adjustRightInd w:val="0"/>
        <w:spacing w:before="0" w:after="0" w:line="500" w:lineRule="exact"/>
        <w:jc w:val="center"/>
        <w:rPr>
          <w:rFonts w:hint="eastAsia" w:ascii="仿宋" w:hAnsi="仿宋" w:eastAsia="仿宋" w:cs="仿宋"/>
          <w:b w:val="0"/>
          <w:bCs w:val="0"/>
          <w:color w:val="auto"/>
          <w:highlight w:val="none"/>
        </w:rPr>
      </w:pPr>
    </w:p>
    <w:p w14:paraId="28035DD0">
      <w:pPr>
        <w:rPr>
          <w:rFonts w:hint="eastAsia" w:ascii="仿宋" w:hAnsi="仿宋" w:eastAsia="仿宋" w:cs="仿宋"/>
          <w:color w:val="auto"/>
          <w:highlight w:val="none"/>
        </w:rPr>
      </w:pPr>
    </w:p>
    <w:p w14:paraId="11DB8F6E">
      <w:pPr>
        <w:rPr>
          <w:rFonts w:hint="eastAsia" w:ascii="仿宋" w:hAnsi="仿宋" w:eastAsia="仿宋" w:cs="仿宋"/>
          <w:color w:val="auto"/>
          <w:highlight w:val="none"/>
        </w:rPr>
      </w:pPr>
    </w:p>
    <w:p w14:paraId="7B53A7EB">
      <w:pPr>
        <w:rPr>
          <w:rFonts w:hint="eastAsia" w:ascii="仿宋" w:hAnsi="仿宋" w:eastAsia="仿宋" w:cs="仿宋"/>
          <w:color w:val="auto"/>
          <w:highlight w:val="none"/>
        </w:rPr>
      </w:pPr>
    </w:p>
    <w:p w14:paraId="3C10B6A3">
      <w:pPr>
        <w:rPr>
          <w:rFonts w:hint="eastAsia" w:ascii="仿宋" w:hAnsi="仿宋" w:eastAsia="仿宋" w:cs="仿宋"/>
          <w:color w:val="auto"/>
          <w:highlight w:val="none"/>
        </w:rPr>
      </w:pPr>
    </w:p>
    <w:p w14:paraId="58E8DA4F">
      <w:pPr>
        <w:rPr>
          <w:rFonts w:hint="eastAsia" w:ascii="仿宋" w:hAnsi="仿宋" w:eastAsia="仿宋" w:cs="仿宋"/>
          <w:color w:val="auto"/>
          <w:highlight w:val="none"/>
        </w:rPr>
      </w:pPr>
    </w:p>
    <w:p w14:paraId="3284B438">
      <w:pPr>
        <w:rPr>
          <w:rFonts w:hint="eastAsia" w:ascii="仿宋" w:hAnsi="仿宋" w:eastAsia="仿宋" w:cs="仿宋"/>
          <w:color w:val="auto"/>
          <w:highlight w:val="none"/>
        </w:rPr>
      </w:pPr>
    </w:p>
    <w:p w14:paraId="65EA7A96">
      <w:pPr>
        <w:pStyle w:val="3"/>
        <w:keepNext w:val="0"/>
        <w:keepLines w:val="0"/>
        <w:tabs>
          <w:tab w:val="left" w:pos="0"/>
          <w:tab w:val="left" w:pos="3165"/>
          <w:tab w:val="center" w:pos="4153"/>
        </w:tabs>
        <w:autoSpaceDE w:val="0"/>
        <w:autoSpaceDN w:val="0"/>
        <w:adjustRightInd w:val="0"/>
        <w:spacing w:before="0" w:after="0" w:line="500" w:lineRule="exact"/>
        <w:rPr>
          <w:rFonts w:hint="eastAsia" w:ascii="仿宋" w:hAnsi="仿宋" w:eastAsia="仿宋" w:cs="仿宋"/>
          <w:color w:val="auto"/>
          <w:highlight w:val="none"/>
        </w:rPr>
      </w:pPr>
    </w:p>
    <w:p w14:paraId="10CC905C">
      <w:pPr>
        <w:pStyle w:val="3"/>
        <w:keepNext w:val="0"/>
        <w:keepLines w:val="0"/>
        <w:tabs>
          <w:tab w:val="left" w:pos="0"/>
          <w:tab w:val="left" w:pos="3165"/>
          <w:tab w:val="center" w:pos="4153"/>
        </w:tabs>
        <w:autoSpaceDE w:val="0"/>
        <w:autoSpaceDN w:val="0"/>
        <w:adjustRightInd w:val="0"/>
        <w:spacing w:before="0" w:after="0" w:line="5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22" w:name="_Toc74320800"/>
      <w:bookmarkStart w:id="23" w:name="OLE_LINK3"/>
      <w:r>
        <w:rPr>
          <w:rFonts w:hint="eastAsia" w:ascii="仿宋" w:hAnsi="仿宋" w:eastAsia="仿宋" w:cs="仿宋"/>
          <w:color w:val="auto"/>
          <w:highlight w:val="none"/>
        </w:rPr>
        <w:t>第一章</w:t>
      </w:r>
      <w:bookmarkEnd w:id="20"/>
      <w:bookmarkEnd w:id="21"/>
      <w:bookmarkStart w:id="24" w:name="_Toc35393789"/>
      <w:bookmarkStart w:id="25" w:name="_Toc28359001"/>
      <w:r>
        <w:rPr>
          <w:rFonts w:hint="eastAsia" w:ascii="仿宋" w:hAnsi="仿宋" w:eastAsia="仿宋" w:cs="仿宋"/>
          <w:color w:val="auto"/>
          <w:highlight w:val="none"/>
        </w:rPr>
        <w:t>招标公告</w:t>
      </w:r>
      <w:bookmarkEnd w:id="22"/>
      <w:bookmarkEnd w:id="24"/>
      <w:bookmarkEnd w:id="25"/>
    </w:p>
    <w:p w14:paraId="7180DE77">
      <w:pPr>
        <w:pStyle w:val="3"/>
        <w:keepNext w:val="0"/>
        <w:keepLines w:val="0"/>
        <w:pageBreakBefore w:val="0"/>
        <w:tabs>
          <w:tab w:val="left" w:pos="0"/>
          <w:tab w:val="left" w:pos="3165"/>
          <w:tab w:val="center" w:pos="4153"/>
        </w:tabs>
        <w:kinsoku/>
        <w:wordWrap w:val="0"/>
        <w:overflowPunct/>
        <w:topLinePunct w:val="0"/>
        <w:autoSpaceDE w:val="0"/>
        <w:autoSpaceDN w:val="0"/>
        <w:bidi w:val="0"/>
        <w:adjustRightInd w:val="0"/>
        <w:snapToGrid/>
        <w:spacing w:before="120" w:beforeLines="50" w:after="0" w:line="500" w:lineRule="exact"/>
        <w:jc w:val="center"/>
        <w:textAlignment w:val="auto"/>
        <w:rPr>
          <w:rFonts w:hint="eastAsia" w:ascii="仿宋" w:hAnsi="仿宋" w:eastAsia="仿宋" w:cs="仿宋"/>
          <w:bCs w:val="0"/>
          <w:color w:val="auto"/>
          <w:kern w:val="2"/>
          <w:sz w:val="30"/>
          <w:szCs w:val="30"/>
          <w:highlight w:val="none"/>
        </w:rPr>
      </w:pPr>
      <w:r>
        <w:rPr>
          <w:rFonts w:hint="eastAsia" w:ascii="仿宋" w:hAnsi="仿宋" w:eastAsia="仿宋" w:cs="仿宋"/>
          <w:color w:val="auto"/>
          <w:sz w:val="30"/>
          <w:szCs w:val="30"/>
          <w:highlight w:val="none"/>
          <w:lang w:eastAsia="zh-CN"/>
        </w:rPr>
        <w:t>南溪山医院医疗设备一批（八）（高清腹腔镜系统、胃肠机）（重）</w:t>
      </w:r>
      <w:r>
        <w:rPr>
          <w:rFonts w:hint="eastAsia" w:ascii="仿宋" w:hAnsi="仿宋" w:eastAsia="仿宋" w:cs="仿宋"/>
          <w:bCs w:val="0"/>
          <w:color w:val="auto"/>
          <w:kern w:val="2"/>
          <w:sz w:val="30"/>
          <w:szCs w:val="30"/>
          <w:highlight w:val="none"/>
        </w:rPr>
        <w:t>（</w:t>
      </w:r>
      <w:r>
        <w:rPr>
          <w:rFonts w:hint="eastAsia" w:ascii="仿宋" w:hAnsi="仿宋" w:eastAsia="仿宋" w:cs="仿宋"/>
          <w:bCs w:val="0"/>
          <w:color w:val="auto"/>
          <w:kern w:val="2"/>
          <w:sz w:val="30"/>
          <w:szCs w:val="30"/>
          <w:highlight w:val="none"/>
          <w:lang w:eastAsia="zh-CN"/>
        </w:rPr>
        <w:t>GXZC2026-G1-002568-KWZB</w:t>
      </w:r>
      <w:r>
        <w:rPr>
          <w:rFonts w:hint="eastAsia" w:ascii="仿宋" w:hAnsi="仿宋" w:eastAsia="仿宋" w:cs="仿宋"/>
          <w:bCs w:val="0"/>
          <w:color w:val="auto"/>
          <w:kern w:val="2"/>
          <w:sz w:val="30"/>
          <w:szCs w:val="30"/>
          <w:highlight w:val="none"/>
        </w:rPr>
        <w:t>）招标公告</w:t>
      </w:r>
    </w:p>
    <w:p w14:paraId="32C257F3">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napToGrid/>
        <w:spacing w:line="40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685ABBE3">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napToGrid/>
        <w:spacing w:line="40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南溪山医院医疗设备一批（八）（高清腹腔镜系统、胃肠机）（重）</w:t>
      </w:r>
      <w:r>
        <w:rPr>
          <w:rFonts w:hint="eastAsia" w:ascii="仿宋" w:hAnsi="仿宋" w:eastAsia="仿宋" w:cs="仿宋"/>
          <w:color w:val="auto"/>
          <w:sz w:val="24"/>
          <w:highlight w:val="none"/>
        </w:rPr>
        <w:t>招标项目的潜在投标人应在</w:t>
      </w:r>
      <w:r>
        <w:rPr>
          <w:rFonts w:hint="eastAsia" w:ascii="仿宋" w:hAnsi="仿宋" w:eastAsia="仿宋" w:cs="仿宋"/>
          <w:color w:val="auto"/>
          <w:sz w:val="24"/>
          <w:highlight w:val="none"/>
          <w:u w:val="single"/>
        </w:rPr>
        <w:t>广西政府采购云平台（https://www.gcy.zfcg.gxzf.gov.cn/）</w:t>
      </w:r>
      <w:r>
        <w:rPr>
          <w:rFonts w:hint="eastAsia" w:ascii="仿宋" w:hAnsi="仿宋" w:eastAsia="仿宋" w:cs="仿宋"/>
          <w:color w:val="auto"/>
          <w:sz w:val="24"/>
          <w:highlight w:val="none"/>
        </w:rPr>
        <w:t>获取招标文件，并于</w:t>
      </w:r>
      <w:r>
        <w:rPr>
          <w:rFonts w:hint="eastAsia" w:ascii="仿宋" w:hAnsi="仿宋" w:eastAsia="仿宋" w:cs="仿宋"/>
          <w:color w:val="auto"/>
          <w:sz w:val="24"/>
          <w:highlight w:val="none"/>
          <w:lang w:eastAsia="zh-CN"/>
        </w:rPr>
        <w:t>2026年8月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rPr>
        <w:t>9：30（北京时间）前递交投标文件。</w:t>
      </w:r>
    </w:p>
    <w:p w14:paraId="31A7811E">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szCs w:val="24"/>
          <w:highlight w:val="none"/>
        </w:rPr>
      </w:pPr>
      <w:bookmarkStart w:id="26" w:name="_Toc35393790"/>
      <w:bookmarkStart w:id="27" w:name="_Toc28359002"/>
      <w:bookmarkStart w:id="28" w:name="_Toc35393621"/>
      <w:bookmarkStart w:id="29" w:name="_Toc28359079"/>
      <w:bookmarkStart w:id="30" w:name="_Hlk24379207"/>
      <w:r>
        <w:rPr>
          <w:rFonts w:hint="eastAsia" w:ascii="仿宋" w:hAnsi="仿宋" w:eastAsia="仿宋" w:cs="仿宋"/>
          <w:b/>
          <w:bCs/>
          <w:color w:val="auto"/>
          <w:sz w:val="24"/>
          <w:szCs w:val="24"/>
          <w:highlight w:val="none"/>
        </w:rPr>
        <w:t>一、项目基本情况</w:t>
      </w:r>
      <w:bookmarkEnd w:id="26"/>
      <w:bookmarkEnd w:id="27"/>
      <w:bookmarkEnd w:id="28"/>
      <w:bookmarkEnd w:id="29"/>
    </w:p>
    <w:bookmarkEnd w:id="30"/>
    <w:p w14:paraId="62B3C202">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Cs/>
          <w:color w:val="auto"/>
          <w:sz w:val="24"/>
          <w:szCs w:val="24"/>
          <w:highlight w:val="none"/>
          <w:lang w:eastAsia="zh-CN"/>
        </w:rPr>
      </w:pPr>
      <w:bookmarkStart w:id="31" w:name="_Toc28359081"/>
      <w:bookmarkStart w:id="32" w:name="_Toc35393623"/>
      <w:bookmarkStart w:id="33" w:name="_Toc28359004"/>
      <w:bookmarkStart w:id="34" w:name="_Toc35393792"/>
      <w:r>
        <w:rPr>
          <w:rFonts w:hint="eastAsia" w:ascii="仿宋" w:hAnsi="仿宋" w:eastAsia="仿宋" w:cs="仿宋"/>
          <w:bCs/>
          <w:color w:val="auto"/>
          <w:sz w:val="24"/>
          <w:szCs w:val="24"/>
          <w:highlight w:val="none"/>
        </w:rPr>
        <w:t>项目编号：</w:t>
      </w:r>
      <w:r>
        <w:rPr>
          <w:rFonts w:hint="eastAsia" w:ascii="仿宋" w:hAnsi="仿宋" w:eastAsia="仿宋" w:cs="仿宋"/>
          <w:bCs/>
          <w:color w:val="auto"/>
          <w:sz w:val="24"/>
          <w:szCs w:val="24"/>
          <w:highlight w:val="none"/>
          <w:lang w:eastAsia="zh-CN"/>
        </w:rPr>
        <w:t>GXZC2026-G1-002568-KWZB</w:t>
      </w:r>
    </w:p>
    <w:p w14:paraId="6C122218">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项目名称</w:t>
      </w:r>
      <w:r>
        <w:rPr>
          <w:rFonts w:hint="eastAsia" w:ascii="仿宋" w:hAnsi="仿宋" w:eastAsia="仿宋" w:cs="仿宋"/>
          <w:bCs/>
          <w:color w:val="auto"/>
          <w:sz w:val="24"/>
          <w:szCs w:val="24"/>
          <w:highlight w:val="none"/>
        </w:rPr>
        <w:t>：</w:t>
      </w:r>
      <w:bookmarkStart w:id="35" w:name="OLE_LINK41"/>
      <w:r>
        <w:rPr>
          <w:rFonts w:hint="eastAsia" w:ascii="仿宋" w:hAnsi="仿宋" w:eastAsia="仿宋" w:cs="仿宋"/>
          <w:bCs/>
          <w:color w:val="auto"/>
          <w:sz w:val="24"/>
          <w:szCs w:val="24"/>
          <w:highlight w:val="none"/>
          <w:lang w:eastAsia="zh-CN"/>
        </w:rPr>
        <w:t>南溪山医院医疗设备一批（八）（高清腹腔镜系统、胃肠机）（重）</w:t>
      </w:r>
      <w:r>
        <w:rPr>
          <w:rFonts w:hint="eastAsia" w:ascii="仿宋" w:hAnsi="仿宋" w:eastAsia="仿宋" w:cs="仿宋"/>
          <w:bCs/>
          <w:color w:val="auto"/>
          <w:sz w:val="24"/>
          <w:szCs w:val="24"/>
          <w:highlight w:val="none"/>
        </w:rPr>
        <w:t xml:space="preserve"> </w:t>
      </w:r>
      <w:bookmarkEnd w:id="35"/>
    </w:p>
    <w:p w14:paraId="3247DE5A">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预算金</w:t>
      </w:r>
      <w:r>
        <w:rPr>
          <w:rFonts w:hint="eastAsia" w:ascii="仿宋" w:hAnsi="仿宋" w:eastAsia="仿宋" w:cs="仿宋"/>
          <w:bCs/>
          <w:color w:val="auto"/>
          <w:sz w:val="24"/>
          <w:szCs w:val="24"/>
          <w:highlight w:val="none"/>
        </w:rPr>
        <w:t>额（元）：</w:t>
      </w:r>
      <w:r>
        <w:rPr>
          <w:rFonts w:hint="eastAsia" w:ascii="仿宋" w:hAnsi="仿宋" w:eastAsia="仿宋" w:cs="仿宋"/>
          <w:color w:val="auto"/>
          <w:sz w:val="24"/>
          <w:szCs w:val="24"/>
          <w:highlight w:val="none"/>
          <w:lang w:eastAsia="zh-CN"/>
        </w:rPr>
        <w:t>1450000</w:t>
      </w:r>
      <w:r>
        <w:rPr>
          <w:rFonts w:hint="eastAsia" w:ascii="仿宋" w:hAnsi="仿宋" w:eastAsia="仿宋" w:cs="仿宋"/>
          <w:bCs/>
          <w:color w:val="auto"/>
          <w:sz w:val="24"/>
          <w:szCs w:val="24"/>
          <w:highlight w:val="none"/>
          <w:lang w:val="en-US" w:eastAsia="zh-CN"/>
        </w:rPr>
        <w:t>.00</w:t>
      </w:r>
    </w:p>
    <w:p w14:paraId="233BD986">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最高限价（如有）：</w:t>
      </w:r>
      <w:r>
        <w:rPr>
          <w:rFonts w:hint="eastAsia" w:ascii="仿宋" w:hAnsi="仿宋" w:eastAsia="仿宋" w:cs="仿宋"/>
          <w:color w:val="auto"/>
          <w:sz w:val="24"/>
          <w:szCs w:val="24"/>
          <w:highlight w:val="none"/>
          <w:lang w:eastAsia="zh-CN"/>
        </w:rPr>
        <w:t>1450000.00</w:t>
      </w:r>
    </w:p>
    <w:p w14:paraId="7F0A67C6">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采购需求：</w:t>
      </w:r>
    </w:p>
    <w:p w14:paraId="179C3E37">
      <w:pPr>
        <w:keepNext w:val="0"/>
        <w:keepLines w:val="0"/>
        <w:pageBreakBefore w:val="0"/>
        <w:kinsoku/>
        <w:wordWrap w:val="0"/>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标项</w:t>
      </w:r>
      <w:r>
        <w:rPr>
          <w:rFonts w:hint="eastAsia" w:ascii="仿宋" w:hAnsi="仿宋" w:eastAsia="仿宋" w:cs="仿宋"/>
          <w:b/>
          <w:bCs/>
          <w:color w:val="auto"/>
          <w:sz w:val="24"/>
          <w:szCs w:val="24"/>
          <w:highlight w:val="none"/>
        </w:rPr>
        <w:t>名称：胃肠机</w:t>
      </w:r>
    </w:p>
    <w:p w14:paraId="48D1D9EF">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数量：</w:t>
      </w:r>
      <w:r>
        <w:rPr>
          <w:rFonts w:hint="eastAsia" w:ascii="仿宋" w:hAnsi="仿宋" w:eastAsia="仿宋" w:cs="仿宋"/>
          <w:color w:val="auto"/>
          <w:sz w:val="24"/>
          <w:szCs w:val="24"/>
          <w:highlight w:val="none"/>
          <w:lang w:val="en-US" w:eastAsia="zh-CN"/>
        </w:rPr>
        <w:t>1套</w:t>
      </w:r>
    </w:p>
    <w:p w14:paraId="2ABE57C4">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预算金额（元）：1450000.00</w:t>
      </w:r>
    </w:p>
    <w:p w14:paraId="47A5336E">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简要规格描述或项目基本概况介绍、用途：胃肠机</w:t>
      </w:r>
      <w:r>
        <w:rPr>
          <w:rFonts w:hint="eastAsia" w:ascii="仿宋" w:hAnsi="仿宋" w:eastAsia="仿宋" w:cs="仿宋"/>
          <w:color w:val="auto"/>
          <w:sz w:val="24"/>
          <w:szCs w:val="24"/>
          <w:highlight w:val="none"/>
          <w:lang w:val="en-US" w:eastAsia="zh-CN"/>
        </w:rPr>
        <w:t>1套</w:t>
      </w:r>
      <w:r>
        <w:rPr>
          <w:rFonts w:hint="eastAsia" w:ascii="仿宋" w:hAnsi="仿宋" w:eastAsia="仿宋" w:cs="仿宋"/>
          <w:color w:val="auto"/>
          <w:sz w:val="24"/>
          <w:szCs w:val="24"/>
          <w:highlight w:val="none"/>
          <w:lang w:eastAsia="zh-CN"/>
        </w:rPr>
        <w:t>。具体内容详见招标文件。</w:t>
      </w:r>
    </w:p>
    <w:p w14:paraId="4D31DE2D">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最高限价（如有）：1450000.00</w:t>
      </w:r>
    </w:p>
    <w:p w14:paraId="540977B8">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合同履行期限：采购合同签订后45个日历日内交货并完成安装调试</w:t>
      </w:r>
      <w:r>
        <w:rPr>
          <w:rFonts w:hint="eastAsia" w:ascii="仿宋" w:hAnsi="仿宋" w:eastAsia="仿宋" w:cs="仿宋"/>
          <w:color w:val="auto"/>
          <w:sz w:val="24"/>
          <w:szCs w:val="24"/>
          <w:highlight w:val="none"/>
          <w:lang w:eastAsia="zh-CN"/>
        </w:rPr>
        <w:t>。</w:t>
      </w:r>
    </w:p>
    <w:p w14:paraId="3F4D0C61">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w:t>
      </w:r>
      <w:r>
        <w:rPr>
          <w:rFonts w:hint="eastAsia" w:ascii="仿宋" w:hAnsi="仿宋" w:eastAsia="仿宋" w:cs="仿宋"/>
          <w:color w:val="auto"/>
          <w:sz w:val="24"/>
          <w:szCs w:val="24"/>
          <w:highlight w:val="none"/>
          <w:lang w:val="en-US" w:eastAsia="zh-CN"/>
        </w:rPr>
        <w:t>项目</w:t>
      </w:r>
      <w:r>
        <w:rPr>
          <w:rFonts w:hint="eastAsia" w:ascii="仿宋" w:hAnsi="仿宋" w:eastAsia="仿宋" w:cs="仿宋"/>
          <w:color w:val="auto"/>
          <w:sz w:val="24"/>
          <w:szCs w:val="24"/>
          <w:highlight w:val="none"/>
        </w:rPr>
        <w:t>（否）接受联合体投标。</w:t>
      </w:r>
    </w:p>
    <w:p w14:paraId="2691642B">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1AFE95FF">
      <w:pPr>
        <w:keepNext w:val="0"/>
        <w:keepLines w:val="0"/>
        <w:pageBreakBefore w:val="0"/>
        <w:kinsoku/>
        <w:wordWrap w:val="0"/>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二、申请人的资格要求：</w:t>
      </w:r>
    </w:p>
    <w:p w14:paraId="26BB9EF0">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1.满足《中华人民共和国政府采购法》第二十二条规定；</w:t>
      </w:r>
    </w:p>
    <w:p w14:paraId="78A3D129">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2.落实政府采购政策需满足的资格要求</w:t>
      </w:r>
      <w:r>
        <w:rPr>
          <w:rFonts w:hint="eastAsia" w:ascii="仿宋" w:hAnsi="仿宋" w:eastAsia="仿宋" w:cs="仿宋"/>
          <w:color w:val="auto"/>
          <w:sz w:val="24"/>
          <w:szCs w:val="24"/>
          <w:highlight w:val="none"/>
          <w:lang w:eastAsia="zh-CN"/>
        </w:rPr>
        <w:t>：分标</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：无</w:t>
      </w:r>
      <w:r>
        <w:rPr>
          <w:rFonts w:hint="eastAsia" w:ascii="仿宋" w:hAnsi="仿宋" w:eastAsia="仿宋" w:cs="仿宋"/>
          <w:color w:val="auto"/>
          <w:sz w:val="24"/>
          <w:szCs w:val="24"/>
          <w:highlight w:val="none"/>
        </w:rPr>
        <w:t>；</w:t>
      </w:r>
    </w:p>
    <w:p w14:paraId="523C4367">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3.本项目的特定资格要求：本项目</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按《医疗器械监督管理条例》（国务院令第739号）医疗器械分类管理要求，具备涵盖本次医疗器械采购标的且有效的医疗器械经营备案凭证或者经营许可证[符合《医疗器械监督管理条例》第四十一条第二款规定的除外]，或者投标人具有《医疗器械监督管理条例》第四十三条规定的注册人凭证。</w:t>
      </w:r>
    </w:p>
    <w:p w14:paraId="58A97A36">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三、获取招标文件</w:t>
      </w:r>
      <w:bookmarkEnd w:id="31"/>
      <w:bookmarkEnd w:id="32"/>
      <w:bookmarkEnd w:id="33"/>
      <w:bookmarkEnd w:id="34"/>
    </w:p>
    <w:p w14:paraId="5DF60585">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时间：</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日，每天上午00:00-12:00；下午12:01-23:59（北京时间，法定节假日除外）。</w:t>
      </w:r>
    </w:p>
    <w:p w14:paraId="42074EFC">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地点（网址）：</w:t>
      </w:r>
      <w:r>
        <w:rPr>
          <w:rFonts w:hint="eastAsia" w:ascii="仿宋" w:hAnsi="仿宋" w:eastAsia="仿宋" w:cs="仿宋"/>
          <w:color w:val="auto"/>
          <w:sz w:val="24"/>
          <w:highlight w:val="none"/>
          <w:u w:val="single"/>
        </w:rPr>
        <w:t>广西政府采购云平台（https://www.gcy.zfcg.gxzf.gov.cn/）</w:t>
      </w:r>
      <w:r>
        <w:rPr>
          <w:rFonts w:hint="eastAsia" w:ascii="仿宋" w:hAnsi="仿宋" w:eastAsia="仿宋" w:cs="仿宋"/>
          <w:bCs/>
          <w:color w:val="auto"/>
          <w:kern w:val="0"/>
          <w:sz w:val="24"/>
          <w:highlight w:val="none"/>
        </w:rPr>
        <w:t>。</w:t>
      </w:r>
    </w:p>
    <w:p w14:paraId="23168429">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方式：网上下载。供应商应自行登陆</w:t>
      </w:r>
      <w:r>
        <w:rPr>
          <w:rFonts w:hint="eastAsia" w:ascii="仿宋" w:hAnsi="仿宋" w:eastAsia="仿宋" w:cs="仿宋"/>
          <w:color w:val="auto"/>
          <w:sz w:val="24"/>
          <w:highlight w:val="none"/>
          <w:u w:val="single"/>
        </w:rPr>
        <w:t>广西政府采购云平台（https://www.gcy.zfcg.gxzf.gov.cn/）</w:t>
      </w:r>
      <w:r>
        <w:rPr>
          <w:rFonts w:hint="eastAsia" w:ascii="仿宋" w:hAnsi="仿宋" w:eastAsia="仿宋" w:cs="仿宋"/>
          <w:bCs/>
          <w:color w:val="auto"/>
          <w:kern w:val="0"/>
          <w:sz w:val="24"/>
          <w:highlight w:val="none"/>
        </w:rPr>
        <w:t>下载招标文件（操作路径：登录“广西政府采购云平台”-项目采购-获取采购文件-找到本项目-点击“申请获取采购文件”），电子投标文件制作需要基于“广西政府采购云平台”获取的招标文件编制。</w:t>
      </w:r>
    </w:p>
    <w:p w14:paraId="56588FCF">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bCs/>
          <w:color w:val="auto"/>
          <w:kern w:val="0"/>
          <w:sz w:val="24"/>
          <w:highlight w:val="none"/>
        </w:rPr>
        <w:t>售价：0元。</w:t>
      </w:r>
    </w:p>
    <w:p w14:paraId="037C29F7">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highlight w:val="none"/>
        </w:rPr>
      </w:pPr>
      <w:bookmarkStart w:id="36" w:name="_Toc28359082"/>
      <w:bookmarkStart w:id="37" w:name="_Toc28359005"/>
      <w:bookmarkStart w:id="38" w:name="_Toc35393793"/>
      <w:bookmarkStart w:id="39" w:name="_Toc35393624"/>
      <w:r>
        <w:rPr>
          <w:rFonts w:hint="eastAsia" w:ascii="仿宋" w:hAnsi="仿宋" w:eastAsia="仿宋" w:cs="仿宋"/>
          <w:b/>
          <w:bCs/>
          <w:color w:val="auto"/>
          <w:sz w:val="24"/>
          <w:highlight w:val="none"/>
        </w:rPr>
        <w:t>四、提交投标文件</w:t>
      </w:r>
      <w:bookmarkEnd w:id="36"/>
      <w:bookmarkEnd w:id="37"/>
      <w:r>
        <w:rPr>
          <w:rFonts w:hint="eastAsia" w:ascii="仿宋" w:hAnsi="仿宋" w:eastAsia="仿宋" w:cs="仿宋"/>
          <w:b/>
          <w:bCs/>
          <w:color w:val="auto"/>
          <w:sz w:val="24"/>
          <w:highlight w:val="none"/>
        </w:rPr>
        <w:t>截止时间、开标时间和地点</w:t>
      </w:r>
      <w:bookmarkEnd w:id="38"/>
      <w:bookmarkEnd w:id="39"/>
    </w:p>
    <w:p w14:paraId="3BB05D53">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bookmarkStart w:id="40" w:name="_Toc35393625"/>
      <w:bookmarkStart w:id="41" w:name="_Toc35393794"/>
      <w:bookmarkStart w:id="42" w:name="_Toc28359084"/>
      <w:bookmarkStart w:id="43" w:name="_Toc28359007"/>
      <w:r>
        <w:rPr>
          <w:rFonts w:hint="eastAsia" w:ascii="仿宋" w:hAnsi="仿宋" w:eastAsia="仿宋" w:cs="仿宋"/>
          <w:color w:val="auto"/>
          <w:sz w:val="24"/>
          <w:highlight w:val="none"/>
        </w:rPr>
        <w:t>1、提交投标文件截止时间：</w:t>
      </w:r>
      <w:r>
        <w:rPr>
          <w:rFonts w:hint="eastAsia" w:ascii="仿宋" w:hAnsi="仿宋" w:eastAsia="仿宋" w:cs="仿宋"/>
          <w:color w:val="auto"/>
          <w:sz w:val="24"/>
          <w:highlight w:val="none"/>
          <w:lang w:eastAsia="zh-CN"/>
        </w:rPr>
        <w:t>2026年8月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rPr>
        <w:t>09：30（北京时间）。</w:t>
      </w:r>
    </w:p>
    <w:p w14:paraId="526D9B8D">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2、投标地点（网址）：通过“广西政府采购云平台”在线提交投标文件。</w:t>
      </w:r>
    </w:p>
    <w:p w14:paraId="7B27637D">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3、开标时间：</w:t>
      </w:r>
      <w:r>
        <w:rPr>
          <w:rFonts w:hint="eastAsia" w:ascii="仿宋" w:hAnsi="仿宋" w:eastAsia="仿宋" w:cs="仿宋"/>
          <w:color w:val="auto"/>
          <w:sz w:val="24"/>
          <w:highlight w:val="none"/>
          <w:lang w:eastAsia="zh-CN"/>
        </w:rPr>
        <w:t>2026年8月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lang w:eastAsia="zh-CN"/>
        </w:rPr>
        <w:t>日</w:t>
      </w:r>
      <w:r>
        <w:rPr>
          <w:rFonts w:hint="eastAsia" w:ascii="仿宋" w:hAnsi="仿宋" w:eastAsia="仿宋" w:cs="仿宋"/>
          <w:color w:val="auto"/>
          <w:sz w:val="24"/>
          <w:highlight w:val="none"/>
        </w:rPr>
        <w:t>09:30。</w:t>
      </w:r>
    </w:p>
    <w:p w14:paraId="0AFFA1B6">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4、开标地点：通过“广西政府采购云平台”在线开启投标文件。</w:t>
      </w:r>
    </w:p>
    <w:p w14:paraId="49860A57">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五、公告期限</w:t>
      </w:r>
      <w:bookmarkEnd w:id="40"/>
      <w:bookmarkEnd w:id="41"/>
      <w:bookmarkEnd w:id="42"/>
      <w:bookmarkEnd w:id="43"/>
    </w:p>
    <w:p w14:paraId="06BCC953">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自本公告发布之日起5个工作日。</w:t>
      </w:r>
    </w:p>
    <w:p w14:paraId="39867373">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highlight w:val="none"/>
        </w:rPr>
      </w:pPr>
      <w:bookmarkStart w:id="44" w:name="_Toc35393626"/>
      <w:bookmarkStart w:id="45" w:name="_Toc35393795"/>
      <w:r>
        <w:rPr>
          <w:rFonts w:hint="eastAsia" w:ascii="仿宋" w:hAnsi="仿宋" w:eastAsia="仿宋" w:cs="仿宋"/>
          <w:b/>
          <w:bCs/>
          <w:color w:val="auto"/>
          <w:sz w:val="24"/>
          <w:highlight w:val="none"/>
        </w:rPr>
        <w:t>六、其他补充事宜</w:t>
      </w:r>
      <w:bookmarkEnd w:id="44"/>
      <w:bookmarkEnd w:id="45"/>
    </w:p>
    <w:p w14:paraId="3B29D98B">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bookmarkStart w:id="46" w:name="_Hlk37429674"/>
      <w:r>
        <w:rPr>
          <w:rFonts w:hint="eastAsia" w:ascii="仿宋" w:hAnsi="仿宋" w:eastAsia="仿宋" w:cs="仿宋"/>
          <w:color w:val="auto"/>
          <w:kern w:val="0"/>
          <w:sz w:val="24"/>
          <w:highlight w:val="none"/>
        </w:rPr>
        <w:t>1、投标保证金（人民币）：本项目无需缴纳投标保证金。</w:t>
      </w:r>
    </w:p>
    <w:p w14:paraId="1E93D6E9">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3602628">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根据财政部《关于在政府采购活动中查询及使用信用记录有关问题的通知》（财库〔2016〕125号）的规定，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D32B42F">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4、网上查询地址：中国政府采购网（www.ccgp.gov.cn）、广西政府采购网（zfcg.gxzf.gov.cn）。</w:t>
      </w:r>
    </w:p>
    <w:p w14:paraId="0A490604">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5、本项目需要落实的政府采购政策：</w:t>
      </w:r>
    </w:p>
    <w:p w14:paraId="398B7B36">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（1）政府采购促进中小企业发展政策。</w:t>
      </w:r>
    </w:p>
    <w:p w14:paraId="2CACB9B1">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（2）政府采购支持采用本国产品的政策。</w:t>
      </w:r>
    </w:p>
    <w:p w14:paraId="7C61F553">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（3）强制采购节能产品；优先采购节能产品、环境标志产品。</w:t>
      </w:r>
    </w:p>
    <w:p w14:paraId="1BA31450">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（4）政府采购促进残疾人就业政策。</w:t>
      </w:r>
    </w:p>
    <w:p w14:paraId="63C165AE">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（5）政府采购支持监狱企业发展政策。</w:t>
      </w:r>
    </w:p>
    <w:p w14:paraId="56C84ED2">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lang w:eastAsia="zh-CN"/>
        </w:rPr>
        <w:t>）对本国产品的支持等有关政策。</w:t>
      </w:r>
    </w:p>
    <w:p w14:paraId="22DBA1F2">
      <w:pPr>
        <w:keepNext w:val="0"/>
        <w:keepLines w:val="0"/>
        <w:pageBreakBefore w:val="0"/>
        <w:widowControl/>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6、投标注意事项：</w:t>
      </w:r>
    </w:p>
    <w:bookmarkEnd w:id="46"/>
    <w:p w14:paraId="5467193D">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bookmarkStart w:id="47" w:name="_Toc35393796"/>
      <w:bookmarkStart w:id="48" w:name="_Toc35393627"/>
      <w:bookmarkStart w:id="49" w:name="_Toc28359008"/>
      <w:bookmarkStart w:id="50" w:name="_Toc28359085"/>
      <w:r>
        <w:rPr>
          <w:rFonts w:hint="eastAsia" w:ascii="仿宋" w:hAnsi="仿宋" w:eastAsia="仿宋" w:cs="仿宋"/>
          <w:color w:val="auto"/>
          <w:sz w:val="24"/>
          <w:highlight w:val="none"/>
        </w:rPr>
        <w:t>（1）投标文件提交方式：本项目为全流程电子化政府采购项目，通过</w:t>
      </w:r>
      <w:r>
        <w:rPr>
          <w:rFonts w:hint="eastAsia" w:ascii="仿宋" w:hAnsi="仿宋" w:eastAsia="仿宋" w:cs="仿宋"/>
          <w:color w:val="auto"/>
          <w:sz w:val="24"/>
          <w:highlight w:val="none"/>
          <w:u w:val="single"/>
        </w:rPr>
        <w:t>广西政府采购云平台（https://www.gcy.zfcg.gxzf.gov.cn/）</w:t>
      </w:r>
      <w:r>
        <w:rPr>
          <w:rFonts w:hint="eastAsia" w:ascii="仿宋" w:hAnsi="仿宋" w:eastAsia="仿宋" w:cs="仿宋"/>
          <w:color w:val="auto"/>
          <w:sz w:val="24"/>
          <w:highlight w:val="none"/>
        </w:rPr>
        <w:t>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p>
    <w:p w14:paraId="0FEC9BDD">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应及时熟悉掌握电子标系统操作指南（见广西政府采购云平台电子卖场首页右上角—服务中心—帮助文档—项目采购）：https://service.zcygov.cn/#/knowledges/tree?tag=AG1DtGwBFdiHxlNdhY0r；及时完成CA申领和绑定（见广西壮族自治区政府采购网—办事服务—下载专区-广西政府采购云平台CA证书办理操作指南）。</w:t>
      </w:r>
    </w:p>
    <w:p w14:paraId="442B36B7">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3085D554">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（4）为确保网上操作合法、有效和安全，请投标人确保在电子投标过程中能够对相关数据电文进行加密和使用电子签章，妥善保管CA数字证书并使用有效的CA数字证书参与整个采购活动。</w:t>
      </w:r>
    </w:p>
    <w:p w14:paraId="031C7935">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09B7E3E0">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7、CA证书在线解密：供应商投标时，需携带制作投标文件时用来加密的有效数字证书（CA认证）登录“广西政府采购云平台”电子开标大厅现场按规定时间对加密的投标文件进行解密，否则后果自负。</w:t>
      </w:r>
    </w:p>
    <w:p w14:paraId="504E6C5F">
      <w:pPr>
        <w:keepNext w:val="0"/>
        <w:keepLines w:val="0"/>
        <w:pageBreakBefore w:val="0"/>
        <w:kinsoku/>
        <w:wordWrap w:val="0"/>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若对项目采购电子交易系统操作有疑问，可登录广西政府采购云平台（https://www.gcy.zfcg.gxzf.gov.cn/），点击右侧咨询小采，获取采小蜜智能服务管家帮助，或拨打广西政府采购云平台服务热线95763获取热线服务帮助。</w:t>
      </w:r>
    </w:p>
    <w:p w14:paraId="57DE4FE0">
      <w:pPr>
        <w:keepNext w:val="0"/>
        <w:keepLines w:val="0"/>
        <w:pageBreakBefore w:val="0"/>
        <w:kinsoku/>
        <w:wordWrap w:val="0"/>
        <w:overflowPunct/>
        <w:topLinePunct w:val="0"/>
        <w:bidi w:val="0"/>
        <w:snapToGrid/>
        <w:spacing w:line="360" w:lineRule="auto"/>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七、对本次招标提出询问，请按以下方式联系。</w:t>
      </w:r>
      <w:bookmarkEnd w:id="47"/>
      <w:bookmarkEnd w:id="48"/>
      <w:bookmarkEnd w:id="49"/>
      <w:bookmarkEnd w:id="50"/>
    </w:p>
    <w:p w14:paraId="4943DBEF">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1.采购人信息</w:t>
      </w:r>
    </w:p>
    <w:p w14:paraId="14CE75D2">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广西壮族自治区南溪山医院（广西壮族自治区第二人民医院）</w:t>
      </w:r>
    </w:p>
    <w:p w14:paraId="77C846CB">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lang w:eastAsia="zh-CN"/>
        </w:rPr>
        <w:t>广西桂林市崇信路46号</w:t>
      </w:r>
    </w:p>
    <w:p w14:paraId="4715E382">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lang w:eastAsia="zh-CN"/>
        </w:rPr>
      </w:pPr>
      <w:bookmarkStart w:id="51" w:name="_Toc28359009"/>
      <w:bookmarkStart w:id="52" w:name="_Toc28359086"/>
      <w:r>
        <w:rPr>
          <w:rFonts w:hint="eastAsia" w:ascii="仿宋" w:hAnsi="仿宋" w:eastAsia="仿宋" w:cs="仿宋"/>
          <w:color w:val="auto"/>
          <w:sz w:val="24"/>
          <w:highlight w:val="none"/>
        </w:rPr>
        <w:t>项目联系人：</w:t>
      </w:r>
      <w:r>
        <w:rPr>
          <w:rFonts w:hint="eastAsia" w:ascii="仿宋" w:hAnsi="仿宋" w:eastAsia="仿宋" w:cs="仿宋"/>
          <w:color w:val="auto"/>
          <w:sz w:val="24"/>
          <w:highlight w:val="none"/>
          <w:lang w:eastAsia="zh-CN"/>
        </w:rPr>
        <w:t>温老师</w:t>
      </w:r>
    </w:p>
    <w:p w14:paraId="1FB38BFE">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项目联系方式：0773-</w:t>
      </w:r>
      <w:r>
        <w:rPr>
          <w:rFonts w:hint="eastAsia" w:ascii="仿宋" w:hAnsi="仿宋" w:eastAsia="仿宋" w:cs="仿宋"/>
          <w:color w:val="auto"/>
          <w:sz w:val="24"/>
          <w:highlight w:val="none"/>
          <w:lang w:eastAsia="zh-CN"/>
        </w:rPr>
        <w:t>7592156</w:t>
      </w:r>
    </w:p>
    <w:p w14:paraId="41FAA2C7">
      <w:pPr>
        <w:keepNext w:val="0"/>
        <w:keepLines w:val="0"/>
        <w:pageBreakBefore w:val="0"/>
        <w:kinsoku/>
        <w:wordWrap w:val="0"/>
        <w:overflowPunct/>
        <w:topLinePunct w:val="0"/>
        <w:bidi w:val="0"/>
        <w:snapToGrid/>
        <w:spacing w:line="360" w:lineRule="auto"/>
        <w:ind w:firstLine="648" w:firstLineChars="27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2.采购代理机构信息</w:t>
      </w:r>
      <w:bookmarkEnd w:id="51"/>
      <w:bookmarkEnd w:id="52"/>
    </w:p>
    <w:p w14:paraId="38569F6D">
      <w:pPr>
        <w:keepNext w:val="0"/>
        <w:keepLines w:val="0"/>
        <w:pageBreakBefore w:val="0"/>
        <w:kinsoku/>
        <w:wordWrap w:val="0"/>
        <w:overflowPunct/>
        <w:topLinePunct w:val="0"/>
        <w:bidi w:val="0"/>
        <w:snapToGrid/>
        <w:spacing w:line="360" w:lineRule="auto"/>
        <w:ind w:firstLine="648" w:firstLineChars="27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称：广西科文招标有限公司</w:t>
      </w:r>
    </w:p>
    <w:p w14:paraId="6607235C">
      <w:pPr>
        <w:keepNext w:val="0"/>
        <w:keepLines w:val="0"/>
        <w:pageBreakBefore w:val="0"/>
        <w:kinsoku/>
        <w:wordWrap w:val="0"/>
        <w:overflowPunct/>
        <w:topLinePunct w:val="0"/>
        <w:bidi w:val="0"/>
        <w:snapToGrid/>
        <w:spacing w:line="360" w:lineRule="auto"/>
        <w:ind w:firstLine="648" w:firstLineChars="27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址：桂林市七星区穿山东路41号彰泰•天街V+国际中心1#楼八层802号</w:t>
      </w:r>
    </w:p>
    <w:p w14:paraId="217BD3D8">
      <w:pPr>
        <w:pStyle w:val="28"/>
        <w:keepNext w:val="0"/>
        <w:keepLines w:val="0"/>
        <w:pageBreakBefore w:val="0"/>
        <w:kinsoku/>
        <w:wordWrap w:val="0"/>
        <w:overflowPunct/>
        <w:topLinePunct w:val="0"/>
        <w:bidi w:val="0"/>
        <w:snapToGrid/>
        <w:spacing w:line="360" w:lineRule="auto"/>
        <w:ind w:firstLine="648" w:firstLineChars="27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项目联系人：</w:t>
      </w:r>
      <w:r>
        <w:rPr>
          <w:rFonts w:hint="eastAsia" w:ascii="仿宋" w:hAnsi="仿宋" w:eastAsia="仿宋" w:cs="仿宋"/>
          <w:color w:val="auto"/>
          <w:sz w:val="24"/>
          <w:szCs w:val="24"/>
          <w:highlight w:val="none"/>
          <w:lang w:eastAsia="zh-CN"/>
        </w:rPr>
        <w:t>李冰华、潘虹、谢敏聪</w:t>
      </w:r>
    </w:p>
    <w:p w14:paraId="7360DE83">
      <w:pPr>
        <w:keepNext w:val="0"/>
        <w:keepLines w:val="0"/>
        <w:pageBreakBefore w:val="0"/>
        <w:kinsoku/>
        <w:wordWrap w:val="0"/>
        <w:overflowPunct/>
        <w:topLinePunct w:val="0"/>
        <w:bidi w:val="0"/>
        <w:snapToGrid/>
        <w:spacing w:line="360" w:lineRule="auto"/>
        <w:ind w:firstLine="648" w:firstLineChars="27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电　话：</w:t>
      </w:r>
      <w:r>
        <w:rPr>
          <w:rFonts w:hint="eastAsia" w:ascii="仿宋" w:hAnsi="仿宋" w:eastAsia="仿宋" w:cs="仿宋"/>
          <w:color w:val="auto"/>
          <w:sz w:val="24"/>
          <w:highlight w:val="none"/>
          <w:lang w:eastAsia="zh-CN"/>
        </w:rPr>
        <w:t>0773-7593227</w:t>
      </w:r>
    </w:p>
    <w:p w14:paraId="25E42E36">
      <w:pPr>
        <w:wordWrap w:val="0"/>
        <w:spacing w:line="400" w:lineRule="exact"/>
        <w:jc w:val="right"/>
        <w:rPr>
          <w:rFonts w:hint="eastAsia" w:ascii="仿宋" w:hAnsi="仿宋" w:eastAsia="仿宋" w:cs="仿宋"/>
          <w:color w:val="auto"/>
          <w:sz w:val="24"/>
          <w:highlight w:val="none"/>
        </w:rPr>
      </w:pPr>
    </w:p>
    <w:p w14:paraId="44EB4CA8">
      <w:pPr>
        <w:pStyle w:val="3"/>
        <w:keepNext w:val="0"/>
        <w:keepLines w:val="0"/>
        <w:pageBreakBefore/>
        <w:numPr>
          <w:ilvl w:val="0"/>
          <w:numId w:val="3"/>
        </w:numPr>
        <w:spacing w:before="0" w:after="0" w:line="500" w:lineRule="exact"/>
        <w:jc w:val="center"/>
        <w:rPr>
          <w:rFonts w:hint="eastAsia" w:ascii="仿宋" w:hAnsi="仿宋" w:eastAsia="仿宋" w:cs="仿宋"/>
          <w:color w:val="auto"/>
          <w:highlight w:val="none"/>
        </w:rPr>
      </w:pPr>
      <w:bookmarkStart w:id="53" w:name="_Toc74320801"/>
      <w:r>
        <w:rPr>
          <w:rFonts w:hint="eastAsia" w:ascii="仿宋" w:hAnsi="仿宋" w:eastAsia="仿宋" w:cs="仿宋"/>
          <w:color w:val="auto"/>
          <w:highlight w:val="none"/>
        </w:rPr>
        <w:t xml:space="preserve"> 采购需求</w:t>
      </w:r>
      <w:bookmarkEnd w:id="53"/>
    </w:p>
    <w:p w14:paraId="2372BE1C">
      <w:pPr>
        <w:pStyle w:val="2"/>
        <w:kinsoku/>
        <w:spacing w:before="120" w:beforeLines="50" w:after="120" w:afterLines="50" w:line="400" w:lineRule="exact"/>
        <w:ind w:firstLine="482" w:firstLineChars="200"/>
        <w:rPr>
          <w:rFonts w:hint="eastAsia" w:ascii="仿宋" w:hAnsi="仿宋" w:eastAsia="仿宋" w:cs="仿宋"/>
          <w:color w:val="auto"/>
          <w:sz w:val="24"/>
          <w:szCs w:val="24"/>
          <w:highlight w:val="none"/>
          <w:lang w:eastAsia="zh-CN"/>
        </w:rPr>
      </w:pPr>
      <w:bookmarkStart w:id="54" w:name="_Toc19116"/>
      <w:r>
        <w:rPr>
          <w:rFonts w:hint="eastAsia" w:ascii="仿宋" w:hAnsi="仿宋" w:eastAsia="仿宋" w:cs="仿宋"/>
          <w:b/>
          <w:color w:val="auto"/>
          <w:sz w:val="24"/>
          <w:szCs w:val="24"/>
          <w:highlight w:val="none"/>
        </w:rPr>
        <w:t>一、本项目需实现的功能或者目标</w:t>
      </w:r>
    </w:p>
    <w:p w14:paraId="79A2FE81">
      <w:pPr>
        <w:pStyle w:val="2"/>
        <w:kinsoku/>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满足</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文件采购需求及采购合同约定需求，经验收达到合格标准。本项目如有国家相关标准、行业标准、地方标准或者其他标准、规范的，应执行相应的标准、规范。如具体采购需求与标准、规范不一致的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高于标准、规范的按具体采购需求执行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低于标准、规范的按标准、规范执行。投标人所投标货物或服务如国家有强制性要求的应按国家规定执行。</w:t>
      </w:r>
    </w:p>
    <w:p w14:paraId="7A807C9C">
      <w:pPr>
        <w:pStyle w:val="2"/>
        <w:kinsoku/>
        <w:spacing w:before="120" w:beforeLines="50" w:after="120" w:afterLines="50" w:line="400" w:lineRule="exact"/>
        <w:ind w:firstLine="480" w:firstLineChars="200"/>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lang w:eastAsia="zh-CN"/>
        </w:rPr>
        <w:t>二、</w:t>
      </w:r>
      <w:r>
        <w:rPr>
          <w:rFonts w:hint="eastAsia" w:ascii="仿宋" w:hAnsi="仿宋" w:eastAsia="仿宋" w:cs="仿宋"/>
          <w:b/>
          <w:bCs/>
          <w:color w:val="auto"/>
          <w:sz w:val="24"/>
          <w:szCs w:val="24"/>
          <w:highlight w:val="none"/>
        </w:rPr>
        <w:t>落实政府采购政策需满足的要求</w:t>
      </w:r>
    </w:p>
    <w:p w14:paraId="05B31708">
      <w:pPr>
        <w:kinsoku/>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1.</w:t>
      </w:r>
      <w:r>
        <w:rPr>
          <w:rFonts w:hint="eastAsia" w:ascii="仿宋" w:hAnsi="仿宋" w:eastAsia="仿宋" w:cs="仿宋"/>
          <w:color w:val="auto"/>
          <w:kern w:val="0"/>
          <w:sz w:val="24"/>
          <w:szCs w:val="24"/>
          <w:highlight w:val="none"/>
        </w:rPr>
        <w:t xml:space="preserve"> 需要落实的政府采购政策详见</w:t>
      </w:r>
      <w:r>
        <w:rPr>
          <w:rFonts w:hint="eastAsia" w:ascii="仿宋" w:hAnsi="仿宋" w:eastAsia="仿宋" w:cs="仿宋"/>
          <w:color w:val="auto"/>
          <w:kern w:val="0"/>
          <w:sz w:val="24"/>
          <w:szCs w:val="24"/>
          <w:highlight w:val="none"/>
          <w:lang w:eastAsia="zh-CN"/>
        </w:rPr>
        <w:t>招标</w:t>
      </w:r>
      <w:r>
        <w:rPr>
          <w:rFonts w:hint="eastAsia" w:ascii="仿宋" w:hAnsi="仿宋" w:eastAsia="仿宋" w:cs="仿宋"/>
          <w:color w:val="auto"/>
          <w:kern w:val="0"/>
          <w:sz w:val="24"/>
          <w:szCs w:val="24"/>
          <w:highlight w:val="none"/>
        </w:rPr>
        <w:t>公告，</w:t>
      </w:r>
      <w:r>
        <w:rPr>
          <w:rFonts w:hint="eastAsia" w:ascii="仿宋" w:hAnsi="仿宋" w:eastAsia="仿宋" w:cs="仿宋"/>
          <w:bCs/>
          <w:color w:val="auto"/>
          <w:sz w:val="24"/>
          <w:szCs w:val="24"/>
          <w:highlight w:val="none"/>
        </w:rPr>
        <w:t>本招标文件所称中小企业必须符合《政府采购促进中小企业发展管理办法》（财库〔2020〕46号）的规定。</w:t>
      </w:r>
    </w:p>
    <w:p w14:paraId="7BFE925D">
      <w:pPr>
        <w:kinsoku/>
        <w:adjustRightInd/>
        <w:snapToGrid/>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 xml:space="preserve">根据《财政部 发展改革委 </w:t>
      </w:r>
      <w:r>
        <w:rPr>
          <w:rFonts w:hint="eastAsia" w:ascii="仿宋" w:hAnsi="仿宋" w:eastAsia="仿宋" w:cs="仿宋"/>
          <w:bCs/>
          <w:color w:val="auto"/>
          <w:spacing w:val="-6"/>
          <w:sz w:val="24"/>
          <w:szCs w:val="24"/>
          <w:highlight w:val="none"/>
        </w:rPr>
        <w:t>生态环境部 市场监管总局关于调整优化节能产品</w:t>
      </w:r>
      <w:r>
        <w:rPr>
          <w:rFonts w:hint="eastAsia" w:ascii="仿宋" w:hAnsi="仿宋" w:eastAsia="仿宋" w:cs="仿宋"/>
          <w:bCs/>
          <w:color w:val="auto"/>
          <w:spacing w:val="-6"/>
          <w:sz w:val="24"/>
          <w:szCs w:val="24"/>
          <w:highlight w:val="none"/>
          <w:lang w:eastAsia="zh-CN"/>
        </w:rPr>
        <w:t>、</w:t>
      </w:r>
      <w:r>
        <w:rPr>
          <w:rFonts w:hint="eastAsia" w:ascii="仿宋" w:hAnsi="仿宋" w:eastAsia="仿宋" w:cs="仿宋"/>
          <w:bCs/>
          <w:color w:val="auto"/>
          <w:sz w:val="24"/>
          <w:szCs w:val="24"/>
          <w:highlight w:val="none"/>
        </w:rPr>
        <w:t>环境标志产品政府采购执行机制的通知》（财库〔2019〕9号）和《关于印发节能产品政府采购品目清单的通知》（财库〔2019〕19号）的规定，采购需求中的产品属于节能产品政府采购品目清单内标注“</w:t>
      </w: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rPr>
        <w:t>”的（详见本章后附的节能产品政府采购品目清单），投标人的投标货物必须使用政府强制采购的节能产品，投标人必须在投标文件中提供所投标产品的节能产品认证证书复印件（加盖投标人公章），否则按无效投标处理。如本项目包含的货物</w:t>
      </w:r>
      <w:r>
        <w:rPr>
          <w:rFonts w:hint="eastAsia" w:ascii="仿宋" w:hAnsi="仿宋" w:eastAsia="仿宋" w:cs="仿宋"/>
          <w:bCs/>
          <w:color w:val="auto"/>
          <w:sz w:val="24"/>
          <w:szCs w:val="24"/>
          <w:highlight w:val="none"/>
          <w:lang w:val="en-US" w:eastAsia="zh-CN"/>
        </w:rPr>
        <w:t>有</w:t>
      </w:r>
      <w:r>
        <w:rPr>
          <w:rFonts w:hint="eastAsia" w:ascii="仿宋" w:hAnsi="仿宋" w:eastAsia="仿宋" w:cs="仿宋"/>
          <w:bCs/>
          <w:color w:val="auto"/>
          <w:sz w:val="24"/>
          <w:szCs w:val="24"/>
          <w:highlight w:val="none"/>
        </w:rPr>
        <w:t>属于品目清单内非标注“</w:t>
      </w: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rPr>
        <w:t>”的产品时，应优先采购，具体详见“第四章 评标方法及评标标准”。</w:t>
      </w:r>
    </w:p>
    <w:p w14:paraId="4EC7CF4A">
      <w:pPr>
        <w:pStyle w:val="2"/>
        <w:kinsoku/>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bCs/>
          <w:color w:val="auto"/>
          <w:sz w:val="24"/>
          <w:szCs w:val="24"/>
          <w:highlight w:val="none"/>
          <w:lang w:eastAsia="zh-CN"/>
        </w:rPr>
        <w:t>3.</w:t>
      </w:r>
      <w:r>
        <w:rPr>
          <w:rFonts w:hint="eastAsia" w:ascii="仿宋" w:hAnsi="仿宋" w:eastAsia="仿宋" w:cs="仿宋"/>
          <w:color w:val="auto"/>
          <w:sz w:val="24"/>
          <w:szCs w:val="24"/>
          <w:highlight w:val="none"/>
        </w:rPr>
        <w:t>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共中央网络安全和信息化委员会办公室网站（</w:t>
      </w:r>
      <w:r>
        <w:rPr>
          <w:rFonts w:hint="eastAsia" w:ascii="仿宋" w:hAnsi="仿宋" w:eastAsia="仿宋" w:cs="仿宋"/>
          <w:color w:val="auto"/>
          <w:spacing w:val="-2"/>
          <w:sz w:val="24"/>
          <w:szCs w:val="24"/>
          <w:highlight w:val="none"/>
        </w:rPr>
        <w:t>http://www.cac.gov.cn/index.htm</w:t>
      </w:r>
      <w:r>
        <w:rPr>
          <w:rFonts w:hint="eastAsia" w:ascii="仿宋" w:hAnsi="仿宋" w:eastAsia="仿宋" w:cs="仿宋"/>
          <w:color w:val="auto"/>
          <w:sz w:val="24"/>
          <w:szCs w:val="24"/>
          <w:highlight w:val="none"/>
        </w:rPr>
        <w:t>）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如属于《网络关键设备和网络安全专用产品目录》中网络安全专用产品的类别，但不符合目录中所列“产品描述”的产品，应提供相应的说明及证明材料。</w:t>
      </w:r>
    </w:p>
    <w:p w14:paraId="08846B22">
      <w:pPr>
        <w:pStyle w:val="2"/>
        <w:kinsoku/>
        <w:spacing w:before="120" w:beforeLines="50" w:after="120" w:afterLines="50"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三、</w:t>
      </w:r>
      <w:r>
        <w:rPr>
          <w:rFonts w:hint="eastAsia" w:ascii="仿宋" w:hAnsi="仿宋" w:eastAsia="仿宋" w:cs="仿宋"/>
          <w:b/>
          <w:color w:val="auto"/>
          <w:sz w:val="24"/>
          <w:szCs w:val="24"/>
          <w:highlight w:val="none"/>
        </w:rPr>
        <w:t>是否接受进口产品</w:t>
      </w:r>
    </w:p>
    <w:p w14:paraId="2C45D60E">
      <w:pPr>
        <w:pStyle w:val="2"/>
        <w:kinsoku/>
        <w:spacing w:line="40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本项目</w:t>
      </w:r>
      <w:r>
        <w:rPr>
          <w:rFonts w:hint="eastAsia" w:ascii="仿宋" w:hAnsi="仿宋" w:eastAsia="仿宋" w:cs="仿宋"/>
          <w:b/>
          <w:bCs/>
          <w:color w:val="auto"/>
          <w:sz w:val="24"/>
          <w:szCs w:val="24"/>
          <w:highlight w:val="none"/>
          <w:lang w:eastAsia="zh-CN"/>
        </w:rPr>
        <w:t>不</w:t>
      </w:r>
      <w:r>
        <w:rPr>
          <w:rFonts w:hint="eastAsia" w:ascii="仿宋" w:hAnsi="仿宋" w:eastAsia="仿宋" w:cs="仿宋"/>
          <w:b/>
          <w:bCs/>
          <w:color w:val="auto"/>
          <w:sz w:val="24"/>
          <w:szCs w:val="24"/>
          <w:highlight w:val="none"/>
        </w:rPr>
        <w:t>接受进口产品参与投标。</w:t>
      </w:r>
    </w:p>
    <w:p w14:paraId="1492C4F4">
      <w:pPr>
        <w:widowControl w:val="0"/>
        <w:kinsoku/>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3948BC52">
      <w:pPr>
        <w:widowControl w:val="0"/>
        <w:kinsoku/>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1.允许接受进口产品的，投标人可以选用进口产品参与投标，但不排斥国内产品。</w:t>
      </w:r>
    </w:p>
    <w:p w14:paraId="083F902A">
      <w:pPr>
        <w:widowControl w:val="0"/>
        <w:kinsoku/>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2.如本项目接受进口产品，投标人选择提供进口产品的，则提供的必须为全套全新原装进口产品，报价中应包括关税等所有进口环节费用并由</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办理进口相关手续，投标人报价中应自行考虑海关关税政策变化带来的风险，招标人不承担该政策变化所造成的费用增加。</w:t>
      </w:r>
    </w:p>
    <w:p w14:paraId="030D4DD6">
      <w:pPr>
        <w:pStyle w:val="2"/>
        <w:widowControl w:val="0"/>
        <w:kinsoku/>
        <w:spacing w:line="400" w:lineRule="exact"/>
        <w:ind w:firstLine="480" w:firstLineChars="200"/>
        <w:rPr>
          <w:rFonts w:hint="eastAsia" w:ascii="仿宋" w:hAnsi="仿宋" w:eastAsia="仿宋" w:cs="仿宋"/>
          <w:b/>
          <w:color w:val="auto"/>
          <w:sz w:val="24"/>
          <w:szCs w:val="24"/>
          <w:highlight w:val="none"/>
          <w:lang w:eastAsia="zh-CN"/>
        </w:rPr>
      </w:pPr>
      <w:r>
        <w:rPr>
          <w:rFonts w:hint="eastAsia" w:ascii="仿宋" w:hAnsi="仿宋" w:eastAsia="仿宋" w:cs="仿宋"/>
          <w:color w:val="auto"/>
          <w:sz w:val="24"/>
          <w:szCs w:val="24"/>
          <w:highlight w:val="none"/>
        </w:rPr>
        <w:t>3.进口产品是指通过中国海关报关验放进入中国境内且产自关境外的产品。即所谓进口产品是指制造过程均在国外，如果产品在国内组装，其中的零部件（包括核心部件）是进口产品，则应当视为非进口产品。</w:t>
      </w:r>
    </w:p>
    <w:p w14:paraId="7C69E20D">
      <w:pPr>
        <w:pStyle w:val="2"/>
        <w:widowControl w:val="0"/>
        <w:kinsoku/>
        <w:spacing w:line="400" w:lineRule="exact"/>
        <w:ind w:firstLine="480" w:firstLineChars="200"/>
        <w:rPr>
          <w:rFonts w:hint="eastAsia" w:ascii="仿宋" w:hAnsi="仿宋" w:eastAsia="仿宋" w:cs="仿宋"/>
          <w:b/>
          <w:color w:val="auto"/>
          <w:sz w:val="24"/>
          <w:szCs w:val="24"/>
          <w:highlight w:val="none"/>
          <w:lang w:eastAsia="zh-CN"/>
        </w:rPr>
      </w:pPr>
      <w:r>
        <w:rPr>
          <w:rFonts w:hint="eastAsia" w:ascii="仿宋" w:hAnsi="仿宋" w:eastAsia="仿宋" w:cs="仿宋"/>
          <w:color w:val="auto"/>
          <w:sz w:val="24"/>
          <w:szCs w:val="24"/>
          <w:highlight w:val="none"/>
        </w:rPr>
        <w:t>4.其余内容以《政府采购进口产品管理办法》（财库〔2007〕119 号）和《关于政府采购进口产品管理有关问题的通知财办库》（财库[2008]248号）的相关规定为准。</w:t>
      </w:r>
    </w:p>
    <w:p w14:paraId="25DFB772">
      <w:pPr>
        <w:pStyle w:val="2"/>
        <w:kinsoku/>
        <w:spacing w:before="120" w:beforeLines="50" w:after="120" w:afterLines="50" w:line="400" w:lineRule="exact"/>
        <w:ind w:firstLine="482" w:firstLineChars="200"/>
        <w:rPr>
          <w:rFonts w:hint="eastAsia" w:ascii="仿宋" w:hAnsi="仿宋" w:eastAsia="仿宋" w:cs="仿宋"/>
          <w:color w:val="auto"/>
          <w:sz w:val="24"/>
          <w:szCs w:val="24"/>
          <w:highlight w:val="none"/>
          <w:lang w:eastAsia="zh-CN"/>
        </w:rPr>
      </w:pPr>
      <w:r>
        <w:rPr>
          <w:rFonts w:hint="eastAsia" w:ascii="仿宋" w:hAnsi="仿宋" w:eastAsia="仿宋" w:cs="仿宋"/>
          <w:b/>
          <w:color w:val="auto"/>
          <w:sz w:val="24"/>
          <w:szCs w:val="24"/>
          <w:highlight w:val="none"/>
          <w:lang w:eastAsia="zh-CN"/>
        </w:rPr>
        <w:t>四、其他</w:t>
      </w:r>
      <w:r>
        <w:rPr>
          <w:rFonts w:hint="eastAsia" w:ascii="仿宋" w:hAnsi="仿宋" w:eastAsia="仿宋" w:cs="仿宋"/>
          <w:b/>
          <w:color w:val="auto"/>
          <w:sz w:val="24"/>
          <w:szCs w:val="24"/>
          <w:highlight w:val="none"/>
        </w:rPr>
        <w:t>说明</w:t>
      </w:r>
    </w:p>
    <w:p w14:paraId="292C2298">
      <w:pPr>
        <w:widowControl w:val="0"/>
        <w:kinsoku/>
        <w:autoSpaceDE/>
        <w:autoSpaceDN/>
        <w:adjustRightInd/>
        <w:snapToGrid/>
        <w:spacing w:line="4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Cs/>
          <w:color w:val="auto"/>
          <w:sz w:val="24"/>
          <w:szCs w:val="24"/>
          <w:highlight w:val="none"/>
          <w:lang w:eastAsia="zh-CN"/>
        </w:rPr>
        <w:t>1.</w:t>
      </w:r>
      <w:r>
        <w:rPr>
          <w:rFonts w:hint="eastAsia" w:ascii="仿宋" w:hAnsi="仿宋" w:eastAsia="仿宋" w:cs="仿宋"/>
          <w:bCs/>
          <w:color w:val="auto"/>
          <w:sz w:val="24"/>
          <w:szCs w:val="24"/>
          <w:highlight w:val="none"/>
        </w:rPr>
        <w:t>“实质性要求”是指招标文件中已经指明不满足则投标无效的条款，或者不能负偏离的条款，或者采购需求中带“▲”的条款</w:t>
      </w:r>
      <w:r>
        <w:rPr>
          <w:rFonts w:hint="eastAsia" w:ascii="仿宋" w:hAnsi="仿宋" w:eastAsia="仿宋" w:cs="仿宋"/>
          <w:bCs/>
          <w:color w:val="auto"/>
          <w:sz w:val="24"/>
          <w:szCs w:val="24"/>
          <w:highlight w:val="none"/>
          <w:lang w:val="en-US" w:eastAsia="zh-CN"/>
        </w:rPr>
        <w:t>(如有)</w:t>
      </w:r>
      <w:r>
        <w:rPr>
          <w:rFonts w:hint="eastAsia" w:ascii="仿宋" w:hAnsi="仿宋" w:eastAsia="仿宋" w:cs="仿宋"/>
          <w:bCs/>
          <w:color w:val="auto"/>
          <w:sz w:val="24"/>
          <w:szCs w:val="24"/>
          <w:highlight w:val="none"/>
        </w:rPr>
        <w:t>，</w:t>
      </w:r>
      <w:r>
        <w:rPr>
          <w:rFonts w:hint="eastAsia" w:ascii="仿宋" w:hAnsi="仿宋" w:eastAsia="仿宋" w:cs="仿宋"/>
          <w:b/>
          <w:bCs w:val="0"/>
          <w:color w:val="auto"/>
          <w:sz w:val="24"/>
          <w:szCs w:val="24"/>
          <w:highlight w:val="none"/>
        </w:rPr>
        <w:t>不满足将作投标文件无效处理。</w:t>
      </w:r>
      <w:r>
        <w:rPr>
          <w:rFonts w:hint="eastAsia" w:ascii="仿宋" w:hAnsi="仿宋" w:eastAsia="仿宋" w:cs="仿宋"/>
          <w:bCs/>
          <w:color w:val="auto"/>
          <w:sz w:val="24"/>
          <w:szCs w:val="24"/>
          <w:highlight w:val="none"/>
        </w:rPr>
        <w:t>标注“●”的条款或要求（如有）系指重要技术参数或条款，未标注“▲”及“●”的条款或要求系指一般技术参数或条款，均允许负偏离，如存在负偏离将导致被扣分，具体详见“第四章 评分办法”。</w:t>
      </w:r>
    </w:p>
    <w:p w14:paraId="65E2335F">
      <w:pPr>
        <w:kinsoku/>
        <w:adjustRightInd/>
        <w:snapToGrid/>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2.本表中如提及品牌型号，仅起参考作用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eastAsia="zh-CN" w:bidi="ar"/>
        </w:rPr>
        <w:t>不属于指定品牌、型号或者生产厂家的情形。</w:t>
      </w:r>
      <w:r>
        <w:rPr>
          <w:rFonts w:hint="eastAsia" w:ascii="仿宋" w:hAnsi="仿宋" w:eastAsia="仿宋" w:cs="仿宋"/>
          <w:color w:val="auto"/>
          <w:sz w:val="24"/>
          <w:szCs w:val="24"/>
          <w:highlight w:val="none"/>
        </w:rPr>
        <w:t>供应商可选用其他品牌型号替代，但这些替代的品牌型号要实质上参照或相当于或优于参考品牌型号及其技术参数性能（配置）要求。</w:t>
      </w:r>
    </w:p>
    <w:p w14:paraId="495CD22B">
      <w:pPr>
        <w:kinsoku/>
        <w:adjustRightInd/>
        <w:snapToGrid/>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bidi="ar"/>
        </w:rPr>
        <w:t xml:space="preserve">3.投标人必须对投标文件中提供的证明材料和资质文件真实性负责，如出现虚假应标情况，投标人除了应接受有关部门的处罚外，还应依据《中华人民共和国民法典》的相关条款来确定赔偿金额。 </w:t>
      </w:r>
    </w:p>
    <w:p w14:paraId="30475155">
      <w:pPr>
        <w:tabs>
          <w:tab w:val="left" w:pos="1305"/>
        </w:tabs>
        <w:kinsoku/>
        <w:adjustRightInd/>
        <w:snapToGrid/>
        <w:spacing w:line="400" w:lineRule="exact"/>
        <w:ind w:firstLine="480" w:firstLineChars="200"/>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4.投标人应对投标内容所涉及的专利承担法律责任，并负责保护采购人的利益不受任何损害。一切由于文字、商标、技术和软件专利授权引起的法律裁决、诉讼和赔偿费用均由中标人负责。</w:t>
      </w:r>
    </w:p>
    <w:p w14:paraId="05306A3D">
      <w:pPr>
        <w:kinsoku/>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bidi="ar"/>
        </w:rPr>
        <w:t>5.</w:t>
      </w:r>
      <w:r>
        <w:rPr>
          <w:rFonts w:hint="eastAsia" w:ascii="仿宋" w:hAnsi="仿宋" w:eastAsia="仿宋" w:cs="仿宋"/>
          <w:color w:val="auto"/>
          <w:sz w:val="24"/>
          <w:szCs w:val="24"/>
          <w:highlight w:val="none"/>
        </w:rPr>
        <w:t>投标人应根据自身实际情况如实响应招标文件，对招标文件提出的要求和条件作出明确响应，</w:t>
      </w:r>
      <w:r>
        <w:rPr>
          <w:rFonts w:hint="eastAsia" w:ascii="仿宋" w:hAnsi="仿宋" w:eastAsia="仿宋" w:cs="仿宋"/>
          <w:b/>
          <w:bCs/>
          <w:color w:val="auto"/>
          <w:sz w:val="24"/>
          <w:szCs w:val="24"/>
          <w:highlight w:val="none"/>
        </w:rPr>
        <w:t>否则将作无效响应处理</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招标文件的技术参数如要求投标文件</w:t>
      </w:r>
      <w:r>
        <w:rPr>
          <w:rFonts w:hint="eastAsia" w:ascii="仿宋" w:hAnsi="仿宋" w:eastAsia="仿宋" w:cs="仿宋"/>
          <w:color w:val="auto"/>
          <w:sz w:val="24"/>
          <w:szCs w:val="24"/>
          <w:highlight w:val="none"/>
        </w:rPr>
        <w:t>提供技术支持资料</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技术支持资料以招标文件中规定的形式为准</w:t>
      </w:r>
      <w:r>
        <w:rPr>
          <w:rFonts w:hint="eastAsia" w:ascii="仿宋" w:hAnsi="仿宋" w:eastAsia="仿宋" w:cs="仿宋"/>
          <w:b/>
          <w:color w:val="auto"/>
          <w:sz w:val="24"/>
          <w:szCs w:val="24"/>
          <w:highlight w:val="none"/>
        </w:rPr>
        <w:t>，</w:t>
      </w:r>
      <w:r>
        <w:rPr>
          <w:rFonts w:hint="eastAsia" w:ascii="仿宋" w:hAnsi="仿宋" w:eastAsia="仿宋" w:cs="仿宋"/>
          <w:b/>
          <w:bCs/>
          <w:color w:val="auto"/>
          <w:sz w:val="24"/>
          <w:szCs w:val="24"/>
          <w:highlight w:val="none"/>
        </w:rPr>
        <w:t>否则将视为无效技术支持资料</w:t>
      </w:r>
      <w:r>
        <w:rPr>
          <w:rFonts w:hint="eastAsia" w:ascii="仿宋" w:hAnsi="仿宋" w:eastAsia="仿宋" w:cs="仿宋"/>
          <w:color w:val="auto"/>
          <w:sz w:val="24"/>
          <w:szCs w:val="24"/>
          <w:highlight w:val="none"/>
        </w:rPr>
        <w:t>。</w:t>
      </w:r>
    </w:p>
    <w:p w14:paraId="6A2FFB48">
      <w:pPr>
        <w:pStyle w:val="2"/>
        <w:kinsoku/>
        <w:spacing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6</w:t>
      </w:r>
      <w:r>
        <w:rPr>
          <w:rFonts w:hint="eastAsia" w:ascii="仿宋" w:hAnsi="仿宋" w:eastAsia="仿宋" w:cs="仿宋"/>
          <w:color w:val="auto"/>
          <w:sz w:val="24"/>
          <w:szCs w:val="24"/>
          <w:highlight w:val="none"/>
        </w:rPr>
        <w:t>.招标文件如要求提供检测报告、认证证书的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检测报告或认证报告内容中若涉及外文说明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必须同时提供对应中文翻译说明</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评标依据以中文翻译内容为准，外文说明仅供参考</w:t>
      </w:r>
      <w:r>
        <w:rPr>
          <w:rFonts w:hint="eastAsia" w:ascii="仿宋" w:hAnsi="仿宋" w:eastAsia="仿宋" w:cs="仿宋"/>
          <w:color w:val="auto"/>
          <w:sz w:val="24"/>
          <w:szCs w:val="24"/>
          <w:highlight w:val="none"/>
          <w:lang w:eastAsia="zh-CN"/>
        </w:rPr>
        <w:t>，如未提供中文翻译件，</w:t>
      </w:r>
      <w:r>
        <w:rPr>
          <w:rFonts w:hint="eastAsia" w:ascii="仿宋" w:hAnsi="仿宋" w:eastAsia="仿宋" w:cs="仿宋"/>
          <w:color w:val="auto"/>
          <w:sz w:val="24"/>
          <w:szCs w:val="24"/>
          <w:highlight w:val="none"/>
        </w:rPr>
        <w:t>其不利后果由</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自行承担。</w:t>
      </w:r>
    </w:p>
    <w:p w14:paraId="7EF13D31">
      <w:pPr>
        <w:pStyle w:val="2"/>
        <w:kinsoku/>
        <w:spacing w:before="120" w:beforeLines="50" w:after="120" w:afterLines="50" w:line="400" w:lineRule="exact"/>
        <w:ind w:firstLine="482" w:firstLineChars="200"/>
        <w:rPr>
          <w:rFonts w:hint="eastAsia" w:ascii="仿宋" w:hAnsi="仿宋" w:eastAsia="仿宋" w:cs="仿宋"/>
          <w:b/>
          <w:bCs/>
          <w:color w:val="auto"/>
          <w:kern w:val="0"/>
          <w:sz w:val="24"/>
          <w:szCs w:val="24"/>
          <w:highlight w:val="none"/>
          <w:lang w:eastAsia="zh-CN"/>
        </w:rPr>
      </w:pPr>
      <w:r>
        <w:rPr>
          <w:rFonts w:hint="eastAsia" w:ascii="仿宋" w:hAnsi="仿宋" w:eastAsia="仿宋" w:cs="仿宋"/>
          <w:b/>
          <w:bCs/>
          <w:color w:val="auto"/>
          <w:sz w:val="24"/>
          <w:szCs w:val="24"/>
          <w:highlight w:val="none"/>
          <w:lang w:eastAsia="zh-CN"/>
        </w:rPr>
        <w:t>五</w:t>
      </w:r>
      <w:r>
        <w:rPr>
          <w:rFonts w:hint="eastAsia" w:ascii="仿宋" w:hAnsi="仿宋" w:eastAsia="仿宋" w:cs="仿宋"/>
          <w:b/>
          <w:bCs/>
          <w:color w:val="auto"/>
          <w:sz w:val="24"/>
          <w:szCs w:val="24"/>
          <w:highlight w:val="none"/>
        </w:rPr>
        <w:t>、</w:t>
      </w:r>
      <w:r>
        <w:rPr>
          <w:rFonts w:hint="eastAsia" w:ascii="仿宋" w:hAnsi="仿宋" w:eastAsia="仿宋" w:cs="仿宋"/>
          <w:b/>
          <w:bCs/>
          <w:color w:val="auto"/>
          <w:kern w:val="0"/>
          <w:sz w:val="24"/>
          <w:szCs w:val="24"/>
          <w:highlight w:val="none"/>
        </w:rPr>
        <w:t>促进中小企业发展政策</w:t>
      </w:r>
    </w:p>
    <w:p w14:paraId="22E26765">
      <w:pPr>
        <w:pStyle w:val="48"/>
        <w:kinsoku/>
        <w:autoSpaceDE/>
        <w:autoSpaceDN/>
        <w:ind w:firstLine="420"/>
        <w:jc w:val="left"/>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本项目为</w:t>
      </w:r>
      <w:r>
        <w:rPr>
          <w:rFonts w:hint="eastAsia" w:ascii="仿宋" w:hAnsi="仿宋" w:eastAsia="仿宋" w:cs="仿宋"/>
          <w:b w:val="0"/>
          <w:bCs w:val="0"/>
          <w:color w:val="auto"/>
          <w:sz w:val="24"/>
          <w:szCs w:val="24"/>
          <w:highlight w:val="none"/>
          <w:u w:val="single"/>
        </w:rPr>
        <w:t>非专门面向中小企业采购的项目</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color w:val="auto"/>
          <w:sz w:val="24"/>
          <w:szCs w:val="24"/>
          <w:highlight w:val="none"/>
          <w:lang w:eastAsia="zh-CN"/>
        </w:rPr>
        <w:t>本项目中小企业划分标准所属为：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 xml:space="preserve">工业 </w:t>
      </w:r>
      <w:r>
        <w:rPr>
          <w:rFonts w:hint="eastAsia" w:ascii="仿宋" w:hAnsi="仿宋" w:eastAsia="仿宋" w:cs="仿宋"/>
          <w:color w:val="auto"/>
          <w:sz w:val="24"/>
          <w:szCs w:val="24"/>
          <w:highlight w:val="none"/>
        </w:rPr>
        <w:t>。</w:t>
      </w:r>
      <w:r>
        <w:rPr>
          <w:rFonts w:hint="eastAsia" w:ascii="仿宋" w:hAnsi="仿宋" w:eastAsia="仿宋" w:cs="仿宋"/>
          <w:b w:val="0"/>
          <w:color w:val="auto"/>
          <w:sz w:val="24"/>
          <w:szCs w:val="24"/>
          <w:highlight w:val="none"/>
        </w:rPr>
        <w:t>根据《政府采购促进中小企业发展管理办法》（财库〔2020〕46号）第九条以及《广西壮族自治区财政厅广西壮族自治区工业和信息化厅转发财政部工业和信息化部政府采购促进中小企业发展管理办法的通知》（桂财采〔2021〕70号）规定，价格评审优惠</w:t>
      </w:r>
      <w:r>
        <w:rPr>
          <w:rFonts w:hint="eastAsia" w:ascii="仿宋" w:hAnsi="仿宋" w:eastAsia="仿宋" w:cs="仿宋"/>
          <w:b w:val="0"/>
          <w:color w:val="auto"/>
          <w:sz w:val="24"/>
          <w:szCs w:val="24"/>
          <w:highlight w:val="none"/>
          <w:lang w:eastAsia="zh-CN"/>
        </w:rPr>
        <w:t>(</w:t>
      </w:r>
      <w:r>
        <w:rPr>
          <w:rFonts w:hint="eastAsia" w:ascii="仿宋" w:hAnsi="仿宋" w:eastAsia="仿宋" w:cs="仿宋"/>
          <w:b w:val="0"/>
          <w:color w:val="auto"/>
          <w:sz w:val="24"/>
          <w:szCs w:val="24"/>
          <w:highlight w:val="none"/>
        </w:rPr>
        <w:t>价格扣除比例</w:t>
      </w:r>
      <w:r>
        <w:rPr>
          <w:rFonts w:hint="eastAsia" w:ascii="仿宋" w:hAnsi="仿宋" w:eastAsia="仿宋" w:cs="仿宋"/>
          <w:b w:val="0"/>
          <w:color w:val="auto"/>
          <w:sz w:val="24"/>
          <w:szCs w:val="24"/>
          <w:highlight w:val="none"/>
          <w:lang w:eastAsia="zh-CN"/>
        </w:rPr>
        <w:t>)</w:t>
      </w:r>
      <w:r>
        <w:rPr>
          <w:rFonts w:hint="eastAsia" w:ascii="仿宋" w:hAnsi="仿宋" w:eastAsia="仿宋" w:cs="仿宋"/>
          <w:b w:val="0"/>
          <w:color w:val="auto"/>
          <w:sz w:val="24"/>
          <w:szCs w:val="24"/>
          <w:highlight w:val="none"/>
        </w:rPr>
        <w:t>在第四章评审方法及标准中规定，对小型企业和微型企业同等对待，不作区分。</w:t>
      </w:r>
    </w:p>
    <w:p w14:paraId="30FDE436">
      <w:pPr>
        <w:pStyle w:val="2"/>
        <w:kinsoku/>
        <w:spacing w:before="120" w:beforeLines="50" w:after="120" w:afterLines="50" w:line="400" w:lineRule="exact"/>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六</w:t>
      </w:r>
      <w:r>
        <w:rPr>
          <w:rFonts w:hint="eastAsia" w:ascii="仿宋" w:hAnsi="仿宋" w:eastAsia="仿宋" w:cs="仿宋"/>
          <w:b/>
          <w:color w:val="auto"/>
          <w:sz w:val="24"/>
          <w:szCs w:val="24"/>
          <w:highlight w:val="none"/>
        </w:rPr>
        <w:t>、</w:t>
      </w:r>
      <w:r>
        <w:rPr>
          <w:rFonts w:hint="eastAsia" w:ascii="仿宋" w:hAnsi="仿宋" w:eastAsia="仿宋" w:cs="仿宋"/>
          <w:b/>
          <w:bCs/>
          <w:color w:val="auto"/>
          <w:sz w:val="24"/>
          <w:szCs w:val="24"/>
          <w:highlight w:val="none"/>
        </w:rPr>
        <w:t>本国产品的支持政策</w:t>
      </w:r>
      <w:r>
        <w:rPr>
          <w:rFonts w:hint="eastAsia" w:ascii="仿宋" w:hAnsi="仿宋" w:eastAsia="仿宋" w:cs="仿宋"/>
          <w:b/>
          <w:color w:val="auto"/>
          <w:sz w:val="24"/>
          <w:szCs w:val="24"/>
          <w:highlight w:val="none"/>
        </w:rPr>
        <w:t xml:space="preserve"> </w:t>
      </w:r>
    </w:p>
    <w:p w14:paraId="4007FAED">
      <w:pPr>
        <w:pStyle w:val="2"/>
        <w:kinsoku/>
        <w:spacing w:before="120" w:beforeLines="50" w:after="120" w:afterLines="50"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适用</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不适用</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bCs/>
          <w:color w:val="auto"/>
          <w:sz w:val="24"/>
          <w:szCs w:val="24"/>
          <w:highlight w:val="none"/>
        </w:rPr>
        <w:t>本国产品的支持政策</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适用本国产品支持政策的项目</w:t>
      </w:r>
      <w:r>
        <w:rPr>
          <w:rFonts w:hint="eastAsia" w:ascii="仿宋" w:hAnsi="仿宋" w:eastAsia="仿宋" w:cs="仿宋"/>
          <w:color w:val="auto"/>
          <w:sz w:val="24"/>
          <w:szCs w:val="24"/>
          <w:highlight w:val="none"/>
        </w:rPr>
        <w:t>价格评审优惠扣除比例在第四章评审方法及标准中规定</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w:t>
      </w:r>
    </w:p>
    <w:p w14:paraId="17A18A93">
      <w:pPr>
        <w:pStyle w:val="2"/>
        <w:kinsoku/>
        <w:spacing w:before="120" w:beforeLines="50" w:after="120" w:afterLines="50" w:line="400" w:lineRule="exact"/>
        <w:ind w:firstLine="482" w:firstLineChars="200"/>
        <w:rPr>
          <w:rFonts w:hint="eastAsia" w:ascii="仿宋" w:hAnsi="仿宋" w:eastAsia="仿宋" w:cs="仿宋"/>
          <w:bCs/>
          <w:color w:val="auto"/>
          <w:sz w:val="24"/>
          <w:szCs w:val="24"/>
          <w:highlight w:val="none"/>
          <w:lang w:eastAsia="zh-CN"/>
        </w:rPr>
      </w:pPr>
      <w:r>
        <w:rPr>
          <w:rFonts w:hint="eastAsia" w:ascii="仿宋" w:hAnsi="仿宋" w:eastAsia="仿宋" w:cs="仿宋"/>
          <w:b/>
          <w:bCs/>
          <w:color w:val="auto"/>
          <w:sz w:val="24"/>
          <w:szCs w:val="24"/>
          <w:highlight w:val="none"/>
          <w:lang w:eastAsia="zh-CN"/>
        </w:rPr>
        <w:t>七、标项划分：</w:t>
      </w:r>
    </w:p>
    <w:p w14:paraId="3A2A3C2C">
      <w:pPr>
        <w:pStyle w:val="2"/>
        <w:spacing w:line="400" w:lineRule="exact"/>
        <w:ind w:firstLine="480" w:firstLineChars="200"/>
        <w:rPr>
          <w:rFonts w:hint="eastAsia" w:ascii="仿宋" w:hAnsi="仿宋" w:eastAsia="仿宋" w:cs="仿宋"/>
          <w:b/>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分标一：胃肠机</w:t>
      </w:r>
    </w:p>
    <w:p w14:paraId="44A3E22C">
      <w:pPr>
        <w:pStyle w:val="2"/>
        <w:kinsoku/>
        <w:spacing w:before="120" w:beforeLines="50" w:after="120" w:afterLines="50" w:line="400" w:lineRule="exact"/>
        <w:ind w:firstLine="482" w:firstLineChars="200"/>
        <w:rPr>
          <w:rFonts w:hint="eastAsia" w:ascii="仿宋" w:hAnsi="仿宋" w:eastAsia="仿宋" w:cs="仿宋"/>
          <w:bCs/>
          <w:color w:val="auto"/>
          <w:sz w:val="24"/>
          <w:szCs w:val="24"/>
          <w:highlight w:val="none"/>
          <w:lang w:eastAsia="zh-CN"/>
        </w:rPr>
      </w:pPr>
      <w:r>
        <w:rPr>
          <w:rFonts w:hint="eastAsia" w:ascii="仿宋" w:hAnsi="仿宋" w:eastAsia="仿宋" w:cs="仿宋"/>
          <w:b/>
          <w:bCs/>
          <w:color w:val="auto"/>
          <w:sz w:val="24"/>
          <w:szCs w:val="24"/>
          <w:highlight w:val="none"/>
          <w:lang w:eastAsia="zh-CN"/>
        </w:rPr>
        <w:t>八、本项目核心产品</w:t>
      </w:r>
    </w:p>
    <w:p w14:paraId="32DF88CF">
      <w:pPr>
        <w:pStyle w:val="2"/>
        <w:spacing w:line="400" w:lineRule="exact"/>
        <w:ind w:firstLine="480" w:firstLineChars="2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分标一：序号1“胃肠机”</w:t>
      </w:r>
    </w:p>
    <w:p w14:paraId="5E9F361B">
      <w:pPr>
        <w:pStyle w:val="7"/>
        <w:keepNext w:val="0"/>
        <w:keepLines w:val="0"/>
        <w:spacing w:before="0" w:after="0" w:line="40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b w:val="0"/>
          <w:color w:val="auto"/>
          <w:sz w:val="24"/>
          <w:szCs w:val="24"/>
          <w:highlight w:val="none"/>
          <w:lang w:eastAsia="zh-CN"/>
        </w:rPr>
        <w:t>注：根据《政府采购货物和服务招标投标管理办法》财政部令第87号第三十一条第二款规定，</w:t>
      </w:r>
      <w:r>
        <w:rPr>
          <w:rFonts w:hint="eastAsia" w:ascii="仿宋" w:hAnsi="仿宋" w:eastAsia="仿宋" w:cs="仿宋"/>
          <w:b w:val="0"/>
          <w:color w:val="auto"/>
          <w:sz w:val="24"/>
          <w:szCs w:val="24"/>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8897DAB">
      <w:pPr>
        <w:pStyle w:val="2"/>
        <w:spacing w:before="120" w:beforeLines="50" w:after="120" w:afterLines="50" w:line="400" w:lineRule="exact"/>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九、产品的注册与备案</w:t>
      </w:r>
    </w:p>
    <w:p w14:paraId="7D22BDA6">
      <w:pPr>
        <w:keepNext w:val="0"/>
        <w:keepLines w:val="0"/>
        <w:pageBreakBefore w:val="0"/>
        <w:widowControl/>
        <w:tabs>
          <w:tab w:val="left" w:pos="1305"/>
        </w:tabs>
        <w:kinsoku w:val="0"/>
        <w:wordWrap/>
        <w:overflowPunct/>
        <w:topLinePunct w:val="0"/>
        <w:autoSpaceDE w:val="0"/>
        <w:autoSpaceDN w:val="0"/>
        <w:bidi w:val="0"/>
        <w:adjustRightInd/>
        <w:snapToGrid/>
        <w:spacing w:line="400" w:lineRule="exact"/>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w:t>
      </w:r>
      <w:r>
        <w:rPr>
          <w:rFonts w:hint="eastAsia" w:ascii="仿宋" w:hAnsi="仿宋" w:eastAsia="仿宋" w:cs="仿宋"/>
          <w:b/>
          <w:bCs/>
          <w:color w:val="auto"/>
          <w:sz w:val="24"/>
          <w:szCs w:val="24"/>
          <w:highlight w:val="none"/>
        </w:rPr>
        <w:t>如投标产品中属</w:t>
      </w:r>
      <w:r>
        <w:rPr>
          <w:rFonts w:hint="eastAsia" w:ascii="仿宋" w:hAnsi="仿宋" w:eastAsia="仿宋" w:cs="仿宋"/>
          <w:b/>
          <w:bCs/>
          <w:color w:val="auto"/>
          <w:sz w:val="24"/>
          <w:szCs w:val="24"/>
          <w:highlight w:val="none"/>
          <w:lang w:eastAsia="zh-CN"/>
        </w:rPr>
        <w:t>于</w:t>
      </w:r>
      <w:r>
        <w:rPr>
          <w:rFonts w:hint="eastAsia" w:ascii="仿宋" w:hAnsi="仿宋" w:eastAsia="仿宋" w:cs="仿宋"/>
          <w:b/>
          <w:bCs/>
          <w:color w:val="auto"/>
          <w:sz w:val="24"/>
          <w:szCs w:val="24"/>
          <w:highlight w:val="none"/>
        </w:rPr>
        <w:t>医疗器械产品的，</w:t>
      </w:r>
      <w:r>
        <w:rPr>
          <w:rFonts w:hint="eastAsia" w:ascii="仿宋" w:hAnsi="仿宋" w:eastAsia="仿宋" w:cs="仿宋"/>
          <w:b/>
          <w:color w:val="auto"/>
          <w:sz w:val="24"/>
          <w:szCs w:val="24"/>
          <w:highlight w:val="none"/>
          <w:lang w:eastAsia="zh-CN"/>
        </w:rPr>
        <w:t>投标人须按以下要求</w:t>
      </w:r>
      <w:r>
        <w:rPr>
          <w:rFonts w:hint="eastAsia" w:ascii="仿宋" w:hAnsi="仿宋" w:eastAsia="仿宋" w:cs="仿宋"/>
          <w:b/>
          <w:color w:val="auto"/>
          <w:sz w:val="24"/>
          <w:szCs w:val="24"/>
          <w:highlight w:val="none"/>
        </w:rPr>
        <w:t>提供所投产品的医疗器械注册或备案有关证明材料复印件（或扫描件）</w:t>
      </w:r>
      <w:r>
        <w:rPr>
          <w:rFonts w:hint="eastAsia" w:ascii="仿宋" w:hAnsi="仿宋" w:eastAsia="仿宋" w:cs="仿宋"/>
          <w:b/>
          <w:color w:val="auto"/>
          <w:sz w:val="24"/>
          <w:szCs w:val="24"/>
          <w:highlight w:val="none"/>
          <w:lang w:eastAsia="zh-CN"/>
        </w:rPr>
        <w:t>，否则投标无效</w:t>
      </w:r>
      <w:r>
        <w:rPr>
          <w:rFonts w:hint="eastAsia" w:ascii="仿宋" w:hAnsi="仿宋" w:eastAsia="仿宋" w:cs="仿宋"/>
          <w:b/>
          <w:color w:val="auto"/>
          <w:sz w:val="24"/>
          <w:szCs w:val="24"/>
          <w:highlight w:val="none"/>
        </w:rPr>
        <w:t>：</w:t>
      </w:r>
    </w:p>
    <w:p w14:paraId="34DDA8AD">
      <w:pPr>
        <w:pStyle w:val="2"/>
        <w:keepNext w:val="0"/>
        <w:keepLines w:val="0"/>
        <w:pageBreakBefore w:val="0"/>
        <w:widowControl w:val="0"/>
        <w:kinsoku/>
        <w:wordWrap w:val="0"/>
        <w:overflowPunct/>
        <w:topLinePunct w:val="0"/>
        <w:autoSpaceDE w:val="0"/>
        <w:autoSpaceDN w:val="0"/>
        <w:bidi w:val="0"/>
        <w:adjustRightInd/>
        <w:snapToGrid/>
        <w:spacing w:line="400" w:lineRule="exact"/>
        <w:ind w:firstLine="480" w:firstLineChars="200"/>
        <w:textAlignment w:val="baseline"/>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lang w:eastAsia="zh-CN"/>
        </w:rPr>
        <w:t>1.</w:t>
      </w:r>
      <w:r>
        <w:rPr>
          <w:rFonts w:hint="eastAsia" w:ascii="仿宋" w:hAnsi="仿宋" w:eastAsia="仿宋" w:cs="仿宋"/>
          <w:bCs/>
          <w:color w:val="auto"/>
          <w:sz w:val="24"/>
          <w:szCs w:val="24"/>
          <w:highlight w:val="none"/>
        </w:rPr>
        <w:t>投标产品中属第一类医疗器械产品的，投标文件中须按《医疗器械注册与备案管理办法》（国家市场监督管理总局令第47号）提供该</w:t>
      </w:r>
      <w:r>
        <w:rPr>
          <w:rFonts w:hint="eastAsia" w:ascii="仿宋" w:hAnsi="仿宋" w:eastAsia="仿宋" w:cs="仿宋"/>
          <w:bCs/>
          <w:color w:val="auto"/>
          <w:sz w:val="24"/>
          <w:szCs w:val="24"/>
          <w:highlight w:val="none"/>
          <w:lang w:eastAsia="zh-CN"/>
        </w:rPr>
        <w:t>货物</w:t>
      </w:r>
      <w:r>
        <w:rPr>
          <w:rFonts w:hint="eastAsia" w:ascii="仿宋" w:hAnsi="仿宋" w:eastAsia="仿宋" w:cs="仿宋"/>
          <w:bCs/>
          <w:color w:val="auto"/>
          <w:sz w:val="24"/>
          <w:szCs w:val="24"/>
          <w:highlight w:val="none"/>
        </w:rPr>
        <w:t>有效的备案资料证明材料复印件（或扫描件）；</w:t>
      </w:r>
    </w:p>
    <w:p w14:paraId="35005E54">
      <w:pPr>
        <w:pStyle w:val="2"/>
        <w:keepNext w:val="0"/>
        <w:keepLines w:val="0"/>
        <w:pageBreakBefore w:val="0"/>
        <w:widowControl w:val="0"/>
        <w:kinsoku/>
        <w:wordWrap w:val="0"/>
        <w:overflowPunct/>
        <w:topLinePunct w:val="0"/>
        <w:autoSpaceDE w:val="0"/>
        <w:autoSpaceDN w:val="0"/>
        <w:bidi w:val="0"/>
        <w:adjustRightInd/>
        <w:snapToGrid/>
        <w:spacing w:line="400" w:lineRule="exact"/>
        <w:ind w:firstLine="480" w:firstLineChars="200"/>
        <w:textAlignment w:val="baseline"/>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2.</w:t>
      </w:r>
      <w:r>
        <w:rPr>
          <w:rFonts w:hint="eastAsia" w:ascii="仿宋" w:hAnsi="仿宋" w:eastAsia="仿宋" w:cs="仿宋"/>
          <w:bCs/>
          <w:color w:val="auto"/>
          <w:sz w:val="24"/>
          <w:szCs w:val="24"/>
          <w:highlight w:val="none"/>
        </w:rPr>
        <w:t>投标产品中属第二、三类医疗器械产品的，投标文件中须按《医疗器械注册与备案管理办法》（国家市场监督管理总局令第47号）提供该</w:t>
      </w:r>
      <w:r>
        <w:rPr>
          <w:rFonts w:hint="eastAsia" w:ascii="仿宋" w:hAnsi="仿宋" w:eastAsia="仿宋" w:cs="仿宋"/>
          <w:bCs/>
          <w:color w:val="auto"/>
          <w:sz w:val="24"/>
          <w:szCs w:val="24"/>
          <w:highlight w:val="none"/>
          <w:lang w:eastAsia="zh-CN"/>
        </w:rPr>
        <w:t>货物</w:t>
      </w:r>
      <w:r>
        <w:rPr>
          <w:rFonts w:hint="eastAsia" w:ascii="仿宋" w:hAnsi="仿宋" w:eastAsia="仿宋" w:cs="仿宋"/>
          <w:bCs/>
          <w:color w:val="auto"/>
          <w:sz w:val="24"/>
          <w:szCs w:val="24"/>
          <w:highlight w:val="none"/>
        </w:rPr>
        <w:t>有效的医疗器械注册证复印件（或扫描件）。</w:t>
      </w:r>
    </w:p>
    <w:p w14:paraId="0FE38EF4">
      <w:pPr>
        <w:pStyle w:val="2"/>
        <w:keepNext w:val="0"/>
        <w:keepLines w:val="0"/>
        <w:pageBreakBefore w:val="0"/>
        <w:widowControl w:val="0"/>
        <w:kinsoku/>
        <w:wordWrap w:val="0"/>
        <w:overflowPunct/>
        <w:topLinePunct w:val="0"/>
        <w:autoSpaceDE w:val="0"/>
        <w:autoSpaceDN w:val="0"/>
        <w:bidi w:val="0"/>
        <w:spacing w:line="400" w:lineRule="exact"/>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bCs/>
          <w:color w:val="auto"/>
          <w:sz w:val="24"/>
          <w:szCs w:val="24"/>
          <w:highlight w:val="none"/>
          <w:lang w:eastAsia="zh-CN"/>
        </w:rPr>
        <w:t>注：</w:t>
      </w:r>
      <w:r>
        <w:rPr>
          <w:rFonts w:hint="eastAsia" w:ascii="仿宋" w:hAnsi="仿宋" w:eastAsia="仿宋" w:cs="仿宋"/>
          <w:bCs/>
          <w:color w:val="auto"/>
          <w:sz w:val="24"/>
          <w:szCs w:val="24"/>
          <w:highlight w:val="none"/>
        </w:rPr>
        <w:t>标的名称与医疗器械注册与备案凭证名称不符的，以所投产品医疗器械注册与备案凭证名称为准。</w:t>
      </w:r>
      <w:bookmarkEnd w:id="54"/>
      <w:bookmarkStart w:id="55" w:name="_Toc21324"/>
      <w:bookmarkStart w:id="56" w:name="_Toc1663"/>
      <w:bookmarkStart w:id="57" w:name="_Toc10285"/>
      <w:bookmarkStart w:id="58" w:name="_Toc17189"/>
      <w:bookmarkStart w:id="59" w:name="_Toc20487"/>
      <w:bookmarkStart w:id="60" w:name="_Toc11441"/>
      <w:bookmarkStart w:id="61" w:name="_Toc8886"/>
      <w:bookmarkStart w:id="62" w:name="_Toc181632181"/>
      <w:bookmarkStart w:id="63" w:name="_Toc9857"/>
      <w:bookmarkStart w:id="64" w:name="_Toc12065"/>
    </w:p>
    <w:bookmarkEnd w:id="55"/>
    <w:tbl>
      <w:tblPr>
        <w:tblStyle w:val="52"/>
        <w:tblW w:w="10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313"/>
        <w:gridCol w:w="893"/>
        <w:gridCol w:w="5918"/>
        <w:gridCol w:w="1389"/>
        <w:gridCol w:w="4"/>
      </w:tblGrid>
      <w:tr w14:paraId="0000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232" w:type="dxa"/>
            <w:gridSpan w:val="6"/>
            <w:noWrap w:val="0"/>
            <w:vAlign w:val="center"/>
          </w:tcPr>
          <w:p w14:paraId="5E285EF4">
            <w:pPr>
              <w:keepNext w:val="0"/>
              <w:keepLines w:val="0"/>
              <w:pageBreakBefore w:val="0"/>
              <w:overflowPunct/>
              <w:topLinePunct w:val="0"/>
              <w:bidi w:val="0"/>
              <w:spacing w:line="440" w:lineRule="exact"/>
              <w:jc w:val="center"/>
              <w:rPr>
                <w:rStyle w:val="55"/>
                <w:rFonts w:hint="eastAsia" w:ascii="仿宋" w:hAnsi="仿宋" w:eastAsia="仿宋" w:cs="仿宋"/>
                <w:b w:val="0"/>
                <w:bCs/>
                <w:color w:val="auto"/>
                <w:sz w:val="24"/>
                <w:szCs w:val="24"/>
                <w:highlight w:val="none"/>
              </w:rPr>
            </w:pPr>
            <w:r>
              <w:rPr>
                <w:rStyle w:val="55"/>
                <w:rFonts w:hint="eastAsia" w:ascii="仿宋" w:hAnsi="仿宋" w:eastAsia="仿宋" w:cs="仿宋"/>
                <w:b/>
                <w:bCs w:val="0"/>
                <w:color w:val="auto"/>
                <w:sz w:val="24"/>
                <w:szCs w:val="24"/>
                <w:highlight w:val="none"/>
                <w:lang w:eastAsia="zh-CN"/>
              </w:rPr>
              <w:t>（</w:t>
            </w:r>
            <w:r>
              <w:rPr>
                <w:rStyle w:val="55"/>
                <w:rFonts w:hint="eastAsia" w:ascii="仿宋" w:hAnsi="仿宋" w:eastAsia="仿宋" w:cs="仿宋"/>
                <w:b/>
                <w:bCs w:val="0"/>
                <w:color w:val="auto"/>
                <w:sz w:val="24"/>
                <w:szCs w:val="24"/>
                <w:highlight w:val="none"/>
                <w:lang w:val="en-US" w:eastAsia="zh-CN"/>
              </w:rPr>
              <w:t>一）</w:t>
            </w:r>
            <w:r>
              <w:rPr>
                <w:rStyle w:val="55"/>
                <w:rFonts w:hint="eastAsia" w:ascii="仿宋" w:hAnsi="仿宋" w:eastAsia="仿宋" w:cs="仿宋"/>
                <w:b/>
                <w:bCs w:val="0"/>
                <w:color w:val="auto"/>
                <w:sz w:val="24"/>
                <w:szCs w:val="24"/>
                <w:highlight w:val="none"/>
              </w:rPr>
              <w:t>技术参数</w:t>
            </w:r>
          </w:p>
        </w:tc>
      </w:tr>
      <w:tr w14:paraId="7F1A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15" w:type="dxa"/>
            <w:noWrap w:val="0"/>
            <w:vAlign w:val="center"/>
          </w:tcPr>
          <w:p w14:paraId="6E532120">
            <w:pPr>
              <w:keepNext w:val="0"/>
              <w:keepLines w:val="0"/>
              <w:pageBreakBefore w:val="0"/>
              <w:overflowPunct/>
              <w:topLinePunct w:val="0"/>
              <w:bidi w:val="0"/>
              <w:spacing w:line="440" w:lineRule="exact"/>
              <w:jc w:val="center"/>
              <w:rPr>
                <w:rStyle w:val="55"/>
                <w:rFonts w:hint="eastAsia" w:ascii="仿宋" w:hAnsi="仿宋" w:eastAsia="仿宋" w:cs="仿宋"/>
                <w:b/>
                <w:bCs w:val="0"/>
                <w:color w:val="auto"/>
                <w:sz w:val="24"/>
                <w:szCs w:val="24"/>
                <w:highlight w:val="none"/>
              </w:rPr>
            </w:pPr>
            <w:r>
              <w:rPr>
                <w:rStyle w:val="55"/>
                <w:rFonts w:hint="eastAsia" w:ascii="仿宋" w:hAnsi="仿宋" w:eastAsia="仿宋" w:cs="仿宋"/>
                <w:b/>
                <w:bCs w:val="0"/>
                <w:color w:val="auto"/>
                <w:sz w:val="24"/>
                <w:szCs w:val="24"/>
                <w:highlight w:val="none"/>
              </w:rPr>
              <w:t>序号</w:t>
            </w:r>
          </w:p>
        </w:tc>
        <w:tc>
          <w:tcPr>
            <w:tcW w:w="1313" w:type="dxa"/>
            <w:noWrap w:val="0"/>
            <w:vAlign w:val="center"/>
          </w:tcPr>
          <w:p w14:paraId="073FB6E9">
            <w:pPr>
              <w:keepNext w:val="0"/>
              <w:keepLines w:val="0"/>
              <w:pageBreakBefore w:val="0"/>
              <w:overflowPunct/>
              <w:topLinePunct w:val="0"/>
              <w:bidi w:val="0"/>
              <w:spacing w:line="44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货物名称</w:t>
            </w:r>
          </w:p>
        </w:tc>
        <w:tc>
          <w:tcPr>
            <w:tcW w:w="893" w:type="dxa"/>
            <w:noWrap w:val="0"/>
            <w:vAlign w:val="center"/>
          </w:tcPr>
          <w:p w14:paraId="249E2933">
            <w:pPr>
              <w:keepNext w:val="0"/>
              <w:keepLines w:val="0"/>
              <w:pageBreakBefore w:val="0"/>
              <w:overflowPunct/>
              <w:topLinePunct w:val="0"/>
              <w:bidi w:val="0"/>
              <w:spacing w:line="440" w:lineRule="exact"/>
              <w:jc w:val="center"/>
              <w:rPr>
                <w:rFonts w:hint="eastAsia" w:ascii="仿宋" w:hAnsi="仿宋" w:eastAsia="仿宋" w:cs="仿宋"/>
                <w:b/>
                <w:bCs w:val="0"/>
                <w:color w:val="auto"/>
                <w:sz w:val="24"/>
                <w:szCs w:val="24"/>
                <w:highlight w:val="none"/>
                <w:shd w:val="clear" w:color="auto" w:fill="FFFFFF"/>
              </w:rPr>
            </w:pPr>
            <w:r>
              <w:rPr>
                <w:rFonts w:hint="eastAsia" w:ascii="仿宋" w:hAnsi="仿宋" w:eastAsia="仿宋" w:cs="仿宋"/>
                <w:b/>
                <w:bCs w:val="0"/>
                <w:color w:val="auto"/>
                <w:sz w:val="24"/>
                <w:szCs w:val="24"/>
                <w:highlight w:val="none"/>
                <w:shd w:val="clear" w:color="auto" w:fill="FFFFFF"/>
              </w:rPr>
              <w:t>数量及单位</w:t>
            </w:r>
          </w:p>
        </w:tc>
        <w:tc>
          <w:tcPr>
            <w:tcW w:w="5918" w:type="dxa"/>
            <w:noWrap w:val="0"/>
            <w:vAlign w:val="center"/>
          </w:tcPr>
          <w:p w14:paraId="6FDEF6C7">
            <w:pPr>
              <w:keepNext w:val="0"/>
              <w:keepLines w:val="0"/>
              <w:pageBreakBefore w:val="0"/>
              <w:overflowPunct/>
              <w:topLinePunct w:val="0"/>
              <w:bidi w:val="0"/>
              <w:spacing w:line="440" w:lineRule="exact"/>
              <w:jc w:val="center"/>
              <w:rPr>
                <w:rStyle w:val="55"/>
                <w:rFonts w:hint="eastAsia" w:ascii="仿宋" w:hAnsi="仿宋" w:eastAsia="仿宋" w:cs="仿宋"/>
                <w:b/>
                <w:bCs w:val="0"/>
                <w:color w:val="auto"/>
                <w:sz w:val="24"/>
                <w:szCs w:val="24"/>
                <w:highlight w:val="none"/>
              </w:rPr>
            </w:pPr>
            <w:r>
              <w:rPr>
                <w:rStyle w:val="55"/>
                <w:rFonts w:hint="eastAsia" w:ascii="仿宋" w:hAnsi="仿宋" w:eastAsia="仿宋" w:cs="仿宋"/>
                <w:b/>
                <w:bCs w:val="0"/>
                <w:color w:val="auto"/>
                <w:sz w:val="24"/>
                <w:szCs w:val="24"/>
                <w:highlight w:val="none"/>
              </w:rPr>
              <w:t>技术参数、性能（配置）及其他要求</w:t>
            </w:r>
          </w:p>
        </w:tc>
        <w:tc>
          <w:tcPr>
            <w:tcW w:w="1393" w:type="dxa"/>
            <w:gridSpan w:val="2"/>
            <w:noWrap w:val="0"/>
            <w:vAlign w:val="center"/>
          </w:tcPr>
          <w:p w14:paraId="0D82202D">
            <w:pPr>
              <w:keepNext w:val="0"/>
              <w:keepLines w:val="0"/>
              <w:pageBreakBefore w:val="0"/>
              <w:overflowPunct/>
              <w:topLinePunct w:val="0"/>
              <w:bidi w:val="0"/>
              <w:spacing w:line="440" w:lineRule="exact"/>
              <w:jc w:val="center"/>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各分项最高限价合计（元）</w:t>
            </w:r>
          </w:p>
        </w:tc>
      </w:tr>
      <w:tr w14:paraId="3E6F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715" w:type="dxa"/>
            <w:noWrap w:val="0"/>
            <w:vAlign w:val="center"/>
          </w:tcPr>
          <w:p w14:paraId="5732CC3C">
            <w:pPr>
              <w:keepNext w:val="0"/>
              <w:keepLines w:val="0"/>
              <w:pageBreakBefore w:val="0"/>
              <w:overflowPunct/>
              <w:topLinePunct w:val="0"/>
              <w:bidi w:val="0"/>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313" w:type="dxa"/>
            <w:noWrap w:val="0"/>
            <w:vAlign w:val="center"/>
          </w:tcPr>
          <w:p w14:paraId="2CE6E9CB">
            <w:pPr>
              <w:keepNext w:val="0"/>
              <w:keepLines w:val="0"/>
              <w:pageBreakBefore w:val="0"/>
              <w:overflowPunct/>
              <w:topLinePunct w:val="0"/>
              <w:bidi w:val="0"/>
              <w:spacing w:line="440" w:lineRule="exact"/>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sz w:val="24"/>
                <w:szCs w:val="24"/>
                <w:highlight w:val="none"/>
                <w:lang w:eastAsia="zh-CN"/>
              </w:rPr>
              <w:t>胃肠机</w:t>
            </w:r>
          </w:p>
        </w:tc>
        <w:tc>
          <w:tcPr>
            <w:tcW w:w="893" w:type="dxa"/>
            <w:noWrap w:val="0"/>
            <w:vAlign w:val="center"/>
          </w:tcPr>
          <w:p w14:paraId="42E7017E">
            <w:pPr>
              <w:keepNext w:val="0"/>
              <w:keepLines w:val="0"/>
              <w:pageBreakBefore w:val="0"/>
              <w:overflowPunct/>
              <w:topLinePunct w:val="0"/>
              <w:bidi w:val="0"/>
              <w:spacing w:line="440" w:lineRule="exact"/>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lang w:val="en-US" w:eastAsia="zh-CN"/>
              </w:rPr>
              <w:t>1套</w:t>
            </w:r>
          </w:p>
        </w:tc>
        <w:tc>
          <w:tcPr>
            <w:tcW w:w="5918" w:type="dxa"/>
            <w:noWrap w:val="0"/>
            <w:vAlign w:val="center"/>
          </w:tcPr>
          <w:p w14:paraId="1ED7A62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1.动态数字探测器</w:t>
            </w:r>
          </w:p>
          <w:p w14:paraId="1B8A58A3">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1.1探测器类型：动态平板探测器</w:t>
            </w:r>
          </w:p>
          <w:p w14:paraId="0966B42A">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1.2视野范围：≥17×17英寸</w:t>
            </w:r>
          </w:p>
          <w:p w14:paraId="7CFDE7C0">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1.3摄影像素：≥900万</w:t>
            </w:r>
          </w:p>
          <w:p w14:paraId="73B62FE6">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1.4透视最大像素：≥200万</w:t>
            </w:r>
          </w:p>
          <w:p w14:paraId="316CC461">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1.5连续点片最大采集矩阵：≥1500×1500</w:t>
            </w:r>
          </w:p>
          <w:p w14:paraId="044F9C6E">
            <w:pPr>
              <w:keepNext w:val="0"/>
              <w:keepLines w:val="0"/>
              <w:pageBreakBefore w:val="0"/>
              <w:widowControl/>
              <w:kinsoku/>
              <w:wordWrap/>
              <w:overflowPunct/>
              <w:topLinePunct w:val="0"/>
              <w:bidi w:val="0"/>
              <w:spacing w:line="400" w:lineRule="exact"/>
              <w:ind w:firstLine="14" w:firstLineChars="6"/>
              <w:jc w:val="both"/>
              <w:outlineLvl w:val="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1.6最高帧率：≥30f/s</w:t>
            </w:r>
          </w:p>
          <w:p w14:paraId="219CC00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2.高频高压发生器</w:t>
            </w:r>
          </w:p>
          <w:p w14:paraId="75F2B30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2.1最大输出功率：≥80kW</w:t>
            </w:r>
          </w:p>
          <w:p w14:paraId="723E2D7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2.2摄影最大管电压：≥150kV</w:t>
            </w:r>
          </w:p>
          <w:p w14:paraId="485D3896">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2.3透视最小管电流：≤1mA</w:t>
            </w:r>
          </w:p>
          <w:p w14:paraId="6A45440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Cs/>
                <w:color w:val="auto"/>
                <w:kern w:val="0"/>
                <w:sz w:val="24"/>
                <w:szCs w:val="24"/>
                <w:highlight w:val="none"/>
              </w:rPr>
              <w:t>▲</w:t>
            </w:r>
            <w:r>
              <w:rPr>
                <w:rFonts w:hint="eastAsia" w:ascii="仿宋" w:hAnsi="仿宋" w:eastAsia="仿宋" w:cs="仿宋"/>
                <w:b w:val="0"/>
                <w:bCs w:val="0"/>
                <w:color w:val="auto"/>
                <w:sz w:val="24"/>
                <w:szCs w:val="24"/>
                <w:highlight w:val="none"/>
                <w:u w:val="none"/>
                <w:vertAlign w:val="baseline"/>
                <w:lang w:val="en-US" w:eastAsia="zh-CN"/>
              </w:rPr>
              <w:t>2.4连续透视管电流调节范围：最小≤0.5mA，最大≥20mA</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740690C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Cs/>
                <w:color w:val="auto"/>
                <w:kern w:val="0"/>
                <w:sz w:val="24"/>
                <w:szCs w:val="24"/>
                <w:highlight w:val="none"/>
              </w:rPr>
              <w:t>▲</w:t>
            </w:r>
            <w:r>
              <w:rPr>
                <w:rFonts w:hint="eastAsia" w:ascii="仿宋" w:hAnsi="仿宋" w:eastAsia="仿宋" w:cs="仿宋"/>
                <w:b w:val="0"/>
                <w:bCs w:val="0"/>
                <w:color w:val="auto"/>
                <w:sz w:val="24"/>
                <w:szCs w:val="24"/>
                <w:highlight w:val="none"/>
                <w:u w:val="none"/>
                <w:vertAlign w:val="baseline"/>
                <w:lang w:val="en-US" w:eastAsia="zh-CN"/>
              </w:rPr>
              <w:t>2.5脉冲透视最大管电流：≥50mA</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验收时需提供第三方检测机构出具的有效产品检验报告。</w:t>
            </w:r>
          </w:p>
          <w:p w14:paraId="1B7FC63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2.6最大逆变频率：≥480kHz</w:t>
            </w:r>
          </w:p>
          <w:p w14:paraId="54E49CD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2.7摄影最大mAS值：≥1000mAS</w:t>
            </w:r>
          </w:p>
          <w:p w14:paraId="0637337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3.X射线管组件</w:t>
            </w:r>
          </w:p>
          <w:p w14:paraId="1049F154">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3.1双焦点设计：小焦≥0.6×0.6mm、大焦≤1.2×1.2mm</w:t>
            </w:r>
          </w:p>
          <w:p w14:paraId="5A83524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3.2球管热容量：≥400KHU</w:t>
            </w:r>
          </w:p>
          <w:p w14:paraId="1FB442F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3.3球管最大功率：≥100KW</w:t>
            </w:r>
          </w:p>
          <w:p w14:paraId="322E93D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3.4旋转阳极最高转速：≥10000 r/min</w:t>
            </w:r>
          </w:p>
          <w:p w14:paraId="5BCD64D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4.动态遥控床</w:t>
            </w:r>
          </w:p>
          <w:p w14:paraId="255FF05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4.1一体化可倾斜床面遥控检查床，带有消化系统造影专用压迫装置，可进行遥控操作，可实现动态成像及全数字化成像功能。</w:t>
            </w:r>
          </w:p>
          <w:p w14:paraId="28A6681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4.2床面横向移动距离：≥250mm</w:t>
            </w:r>
          </w:p>
          <w:p w14:paraId="09BC05A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4.3探测器移动行程：≥1250mm</w:t>
            </w:r>
          </w:p>
          <w:p w14:paraId="6DB4051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4.4床体90°时，照射野中心（照射野中心要和床下平板探测器中心一致）距离地面的最低高度≤450mm</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kern w:val="2"/>
                <w:sz w:val="24"/>
                <w:szCs w:val="24"/>
                <w:highlight w:val="none"/>
                <w:lang w:val="en-US" w:eastAsia="zh-CN"/>
              </w:rPr>
              <w:t xml:space="preserve"> </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22A7C9C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4.5床高：≤730mm</w:t>
            </w:r>
          </w:p>
          <w:p w14:paraId="7140676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4.6床身转动活动区间大于等于-15°～90°</w:t>
            </w:r>
          </w:p>
          <w:p w14:paraId="5E95774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4.7承重：≥200kg</w:t>
            </w:r>
          </w:p>
          <w:p w14:paraId="489F74B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4.8具有一键到位功能：一键控制床体运动到胸片位或卧位</w:t>
            </w:r>
          </w:p>
          <w:p w14:paraId="2777DB3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4.9球管可随立柱旋转角度活动区间大于等于-35°～35°</w:t>
            </w:r>
          </w:p>
          <w:p w14:paraId="39F3272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4.10球管可独立旋转：球管可旋转到0°，90°和180°三种体位</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4DCFDE1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4.11球管机头具备控制机架运动功能</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1ED5054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4.12限束器具备触摸屏控制功能</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035A23D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4.13限束器近病人端具备防撞结构</w:t>
            </w:r>
          </w:p>
          <w:p w14:paraId="7A989C0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4.14最大SID：≥1800mm</w:t>
            </w:r>
          </w:p>
          <w:p w14:paraId="018262C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 xml:space="preserve">4.15可手动移除式滤线栅 </w:t>
            </w:r>
          </w:p>
          <w:p w14:paraId="1505EE2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4.16一体化操控台支持系统一键开关机，床身近控按键具有防病人误触功能</w:t>
            </w:r>
          </w:p>
          <w:p w14:paraId="78BC1B4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4.17遥控台曝光透视开关：在遥控台上有防误触开关</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5E93982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4.18限束器装备有视频监控系统，室外可清晰观察摆位及照射野情况</w:t>
            </w:r>
          </w:p>
          <w:p w14:paraId="5D1D971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4.19限束器支持一键关闭监控保护患者隐私</w:t>
            </w:r>
          </w:p>
          <w:p w14:paraId="00B174C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4.20具备自定义双向语音对讲系统，并支持不少于3组语音的实时录音和播放功能</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3E8F1BF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5.图像处理系统:</w:t>
            </w:r>
          </w:p>
          <w:p w14:paraId="57906739">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5.1CPU≥四核3.2GHz，内存≥16G，硬盘≥2T，显示器像素：≥1280*1024像素</w:t>
            </w:r>
          </w:p>
          <w:p w14:paraId="72001AA4">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5.2具有透视视频的录制、保存、截取、抽帧和回放功能，且视频支持发送PACS、具备病人管理、病历报告、胶片打印、图像采集功能</w:t>
            </w:r>
          </w:p>
          <w:p w14:paraId="5E2DAD6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5.3DICOM传输：可发送图像和透视视频到任何遵循DICOM3.0标准的PACS服务器</w:t>
            </w:r>
          </w:p>
          <w:p w14:paraId="2B4D8F8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b w:val="0"/>
                <w:bCs w:val="0"/>
                <w:color w:val="auto"/>
                <w:sz w:val="24"/>
                <w:szCs w:val="24"/>
                <w:highlight w:val="none"/>
                <w:u w:val="none"/>
                <w:vertAlign w:val="baseline"/>
                <w:lang w:val="en-US" w:eastAsia="zh-CN"/>
              </w:rPr>
              <w:t>5.4具备全自动狭缝拼接功能，且狭缝拼接扫描最大成像范围的图像数≥24张</w:t>
            </w:r>
            <w:r>
              <w:rPr>
                <w:rFonts w:hint="eastAsia" w:ascii="仿宋" w:hAnsi="仿宋" w:eastAsia="仿宋" w:cs="仿宋"/>
                <w:b/>
                <w:bCs/>
                <w:color w:val="auto"/>
                <w:kern w:val="2"/>
                <w:sz w:val="24"/>
                <w:szCs w:val="24"/>
                <w:highlight w:val="none"/>
                <w:lang w:eastAsia="zh-CN"/>
              </w:rPr>
              <w:t>（投标时提供技术参数说明书或产品彩页</w:t>
            </w:r>
            <w:r>
              <w:rPr>
                <w:rFonts w:hint="eastAsia" w:ascii="仿宋" w:hAnsi="仿宋" w:eastAsia="仿宋" w:cs="仿宋"/>
                <w:b/>
                <w:bCs/>
                <w:color w:val="auto"/>
                <w:kern w:val="2"/>
                <w:sz w:val="24"/>
                <w:szCs w:val="24"/>
                <w:highlight w:val="none"/>
                <w:lang w:val="en-US" w:eastAsia="zh-CN"/>
              </w:rPr>
              <w:t>的</w:t>
            </w:r>
            <w:r>
              <w:rPr>
                <w:rFonts w:hint="eastAsia" w:ascii="仿宋" w:hAnsi="仿宋" w:eastAsia="仿宋" w:cs="仿宋"/>
                <w:b/>
                <w:bCs/>
                <w:color w:val="auto"/>
                <w:kern w:val="2"/>
                <w:sz w:val="24"/>
                <w:szCs w:val="24"/>
                <w:highlight w:val="none"/>
                <w:lang w:eastAsia="zh-CN"/>
              </w:rPr>
              <w:t>证明材料并加盖投标人公章）</w:t>
            </w:r>
            <w:r>
              <w:rPr>
                <w:rFonts w:hint="eastAsia" w:ascii="仿宋" w:hAnsi="仿宋" w:eastAsia="仿宋" w:cs="仿宋"/>
                <w:b/>
                <w:bCs/>
                <w:color w:val="auto"/>
                <w:sz w:val="24"/>
                <w:szCs w:val="24"/>
                <w:highlight w:val="none"/>
                <w:u w:val="none"/>
                <w:vertAlign w:val="baseline"/>
                <w:lang w:val="en-US" w:eastAsia="zh-CN"/>
              </w:rPr>
              <w:t>；</w:t>
            </w:r>
            <w:r>
              <w:rPr>
                <w:rFonts w:hint="eastAsia" w:ascii="仿宋" w:hAnsi="仿宋" w:eastAsia="仿宋" w:cs="仿宋"/>
                <w:b w:val="0"/>
                <w:bCs w:val="0"/>
                <w:color w:val="auto"/>
                <w:sz w:val="24"/>
                <w:szCs w:val="24"/>
                <w:highlight w:val="none"/>
                <w:u w:val="none"/>
                <w:vertAlign w:val="baseline"/>
                <w:lang w:val="en-US" w:eastAsia="zh-CN"/>
              </w:rPr>
              <w:t>验收时需提供第三方检测机构出具的</w:t>
            </w:r>
            <w:r>
              <w:rPr>
                <w:rFonts w:hint="eastAsia" w:ascii="仿宋" w:hAnsi="仿宋" w:eastAsia="仿宋" w:cs="仿宋"/>
                <w:b w:val="0"/>
                <w:bCs w:val="0"/>
                <w:color w:val="auto"/>
                <w:kern w:val="2"/>
                <w:sz w:val="24"/>
                <w:szCs w:val="24"/>
                <w:highlight w:val="none"/>
                <w:lang w:val="en-US" w:eastAsia="zh-CN" w:bidi="ar-SA"/>
              </w:rPr>
              <w:t>有效</w:t>
            </w:r>
            <w:r>
              <w:rPr>
                <w:rFonts w:hint="eastAsia" w:ascii="仿宋" w:hAnsi="仿宋" w:eastAsia="仿宋" w:cs="仿宋"/>
                <w:b w:val="0"/>
                <w:bCs w:val="0"/>
                <w:color w:val="auto"/>
                <w:sz w:val="24"/>
                <w:szCs w:val="24"/>
                <w:highlight w:val="none"/>
                <w:u w:val="none"/>
                <w:vertAlign w:val="baseline"/>
                <w:lang w:val="en-US" w:eastAsia="zh-CN"/>
              </w:rPr>
              <w:t>产品检验报告。</w:t>
            </w:r>
          </w:p>
          <w:p w14:paraId="361930F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5.5全自动狭缝拼接功能必须与设备同一品牌</w:t>
            </w:r>
          </w:p>
          <w:p w14:paraId="1104ED83">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5.6透视过程中图像局部放大显示功能，可三档放大。</w:t>
            </w:r>
          </w:p>
          <w:p w14:paraId="0029AD9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5.7具备组织均衡处理功能、自动增强功能、数字信号改进去噪功能和校正功能</w:t>
            </w:r>
          </w:p>
          <w:p w14:paraId="754BB2DB">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5.8具备配备尘肺专用软件</w:t>
            </w:r>
          </w:p>
          <w:p w14:paraId="4A72801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4"/>
                <w:szCs w:val="24"/>
                <w:highlight w:val="none"/>
                <w:u w:val="none"/>
                <w:vertAlign w:val="baseline"/>
                <w:lang w:val="en-US" w:eastAsia="zh-CN"/>
              </w:rPr>
            </w:pPr>
            <w:r>
              <w:rPr>
                <w:rFonts w:hint="eastAsia" w:ascii="仿宋" w:hAnsi="仿宋" w:eastAsia="仿宋" w:cs="仿宋"/>
                <w:b w:val="0"/>
                <w:bCs w:val="0"/>
                <w:color w:val="auto"/>
                <w:sz w:val="24"/>
                <w:szCs w:val="24"/>
                <w:highlight w:val="none"/>
                <w:u w:val="none"/>
                <w:vertAlign w:val="baseline"/>
                <w:lang w:val="en-US" w:eastAsia="zh-CN"/>
              </w:rPr>
              <w:t>5.9具备虚拟限束器功能，配合透视末帧保持功能使用有效降低检查中不必要的X光剂量</w:t>
            </w:r>
          </w:p>
          <w:p w14:paraId="4F86E21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4"/>
                <w:szCs w:val="24"/>
                <w:highlight w:val="none"/>
                <w:u w:val="none"/>
                <w:vertAlign w:val="baseline"/>
                <w:lang w:val="en-US" w:eastAsia="zh-CN"/>
              </w:rPr>
            </w:pPr>
            <w:r>
              <w:rPr>
                <w:rFonts w:hint="eastAsia" w:ascii="仿宋" w:hAnsi="仿宋" w:eastAsia="仿宋" w:cs="仿宋"/>
                <w:b/>
                <w:bCs/>
                <w:color w:val="auto"/>
                <w:sz w:val="24"/>
                <w:szCs w:val="24"/>
                <w:highlight w:val="none"/>
                <w:u w:val="none"/>
                <w:vertAlign w:val="baseline"/>
                <w:lang w:val="en-US" w:eastAsia="zh-CN"/>
              </w:rPr>
              <w:t>6.医用辐射防护用品</w:t>
            </w:r>
          </w:p>
          <w:p w14:paraId="6BCFB088">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u w:val="none"/>
                <w:vertAlign w:val="baseline"/>
                <w:lang w:val="en-US" w:eastAsia="zh-CN"/>
              </w:rPr>
              <w:t>铅衣、铅围脖、铅帽、长方巾、铅眼镜、短裙（性腺防护裙）共5套。</w:t>
            </w:r>
          </w:p>
        </w:tc>
        <w:tc>
          <w:tcPr>
            <w:tcW w:w="1393" w:type="dxa"/>
            <w:gridSpan w:val="2"/>
            <w:noWrap w:val="0"/>
            <w:vAlign w:val="center"/>
          </w:tcPr>
          <w:p w14:paraId="22E3641F">
            <w:pPr>
              <w:keepNext w:val="0"/>
              <w:keepLines w:val="0"/>
              <w:pageBreakBefore w:val="0"/>
              <w:tabs>
                <w:tab w:val="left" w:pos="3570"/>
              </w:tabs>
              <w:overflowPunct/>
              <w:topLinePunct w:val="0"/>
              <w:bidi w:val="0"/>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1450000</w:t>
            </w:r>
          </w:p>
        </w:tc>
      </w:tr>
      <w:tr w14:paraId="3FE4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10228" w:type="dxa"/>
            <w:gridSpan w:val="5"/>
            <w:noWrap w:val="0"/>
            <w:vAlign w:val="center"/>
          </w:tcPr>
          <w:p w14:paraId="787411AC">
            <w:pPr>
              <w:pStyle w:val="25"/>
              <w:keepNext w:val="0"/>
              <w:keepLines w:val="0"/>
              <w:pageBreakBefore w:val="0"/>
              <w:overflowPunct/>
              <w:topLinePunct w:val="0"/>
              <w:bidi w:val="0"/>
              <w:spacing w:line="440" w:lineRule="exact"/>
              <w:ind w:left="0" w:left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二、商务条款</w:t>
            </w:r>
          </w:p>
        </w:tc>
      </w:tr>
      <w:tr w14:paraId="6FE1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46C34768">
            <w:pPr>
              <w:keepNext w:val="0"/>
              <w:keepLines w:val="0"/>
              <w:pageBreakBefore w:val="0"/>
              <w:tabs>
                <w:tab w:val="center" w:pos="4153"/>
                <w:tab w:val="right" w:pos="8306"/>
              </w:tabs>
              <w:kinsoku w:val="0"/>
              <w:overflowPunct/>
              <w:topLinePunct w:val="0"/>
              <w:autoSpaceDE w:val="0"/>
              <w:autoSpaceDN w:val="0"/>
              <w:bidi w:val="0"/>
              <w:adjustRightInd w:val="0"/>
              <w:snapToGrid w:val="0"/>
              <w:spacing w:line="440" w:lineRule="exact"/>
              <w:jc w:val="center"/>
              <w:textAlignment w:val="baseline"/>
              <w:rPr>
                <w:rFonts w:hint="eastAsia" w:ascii="仿宋" w:hAnsi="仿宋" w:eastAsia="仿宋" w:cs="仿宋"/>
                <w:b/>
                <w:bCs/>
                <w:color w:val="auto"/>
                <w:sz w:val="24"/>
                <w:szCs w:val="24"/>
                <w:highlight w:val="none"/>
              </w:rPr>
            </w:pPr>
            <w:r>
              <w:rPr>
                <w:rFonts w:hint="eastAsia" w:ascii="仿宋" w:hAnsi="仿宋" w:eastAsia="仿宋" w:cs="仿宋"/>
                <w:b/>
                <w:color w:val="auto"/>
                <w:kern w:val="21"/>
                <w:sz w:val="24"/>
                <w:szCs w:val="24"/>
                <w:highlight w:val="none"/>
                <w:lang w:val="en-US" w:eastAsia="zh-CN" w:bidi="ar"/>
              </w:rPr>
              <w:t>交货期及地点</w:t>
            </w:r>
          </w:p>
        </w:tc>
        <w:tc>
          <w:tcPr>
            <w:tcW w:w="8200" w:type="dxa"/>
            <w:gridSpan w:val="3"/>
            <w:noWrap w:val="0"/>
            <w:vAlign w:val="center"/>
          </w:tcPr>
          <w:p w14:paraId="74A89321">
            <w:pPr>
              <w:keepNext w:val="0"/>
              <w:keepLines w:val="0"/>
              <w:pageBreakBefore w:val="0"/>
              <w:widowControl/>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1.交货期：</w:t>
            </w:r>
            <w:r>
              <w:rPr>
                <w:rFonts w:hint="eastAsia" w:ascii="仿宋" w:hAnsi="仿宋" w:eastAsia="仿宋" w:cs="仿宋"/>
                <w:color w:val="auto"/>
                <w:sz w:val="24"/>
                <w:szCs w:val="24"/>
                <w:highlight w:val="none"/>
                <w:lang w:eastAsia="zh-CN"/>
              </w:rPr>
              <w:t>采购合同签订后</w:t>
            </w:r>
            <w:r>
              <w:rPr>
                <w:rFonts w:hint="eastAsia" w:ascii="仿宋" w:hAnsi="仿宋" w:eastAsia="仿宋" w:cs="仿宋"/>
                <w:color w:val="auto"/>
                <w:sz w:val="24"/>
                <w:szCs w:val="24"/>
                <w:highlight w:val="none"/>
                <w:lang w:val="en-US" w:eastAsia="zh-CN"/>
              </w:rPr>
              <w:t>45</w:t>
            </w:r>
            <w:r>
              <w:rPr>
                <w:rFonts w:hint="eastAsia" w:ascii="仿宋" w:hAnsi="仿宋" w:eastAsia="仿宋" w:cs="仿宋"/>
                <w:color w:val="auto"/>
                <w:sz w:val="24"/>
                <w:szCs w:val="24"/>
                <w:highlight w:val="none"/>
                <w:lang w:eastAsia="zh-CN"/>
              </w:rPr>
              <w:t>个</w:t>
            </w:r>
            <w:r>
              <w:rPr>
                <w:rFonts w:hint="eastAsia" w:ascii="仿宋" w:hAnsi="仿宋" w:eastAsia="仿宋" w:cs="仿宋"/>
                <w:color w:val="auto"/>
                <w:sz w:val="24"/>
                <w:szCs w:val="24"/>
                <w:highlight w:val="none"/>
                <w:lang w:val="en-US" w:eastAsia="zh-CN"/>
              </w:rPr>
              <w:t>日历</w:t>
            </w:r>
            <w:r>
              <w:rPr>
                <w:rFonts w:hint="eastAsia" w:ascii="仿宋" w:hAnsi="仿宋" w:eastAsia="仿宋" w:cs="仿宋"/>
                <w:color w:val="auto"/>
                <w:sz w:val="24"/>
                <w:szCs w:val="24"/>
                <w:highlight w:val="none"/>
                <w:lang w:eastAsia="zh-CN"/>
              </w:rPr>
              <w:t>日内交货并完成安装调试</w:t>
            </w:r>
            <w:r>
              <w:rPr>
                <w:rFonts w:hint="eastAsia" w:ascii="仿宋" w:hAnsi="仿宋" w:eastAsia="仿宋" w:cs="仿宋"/>
                <w:bCs/>
                <w:color w:val="auto"/>
                <w:sz w:val="24"/>
                <w:szCs w:val="24"/>
                <w:highlight w:val="none"/>
              </w:rPr>
              <w:t>。</w:t>
            </w:r>
          </w:p>
          <w:p w14:paraId="0BB81374">
            <w:pPr>
              <w:keepNext w:val="0"/>
              <w:keepLines w:val="0"/>
              <w:pageBreakBefore w:val="0"/>
              <w:widowControl/>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2.交付地点：采购人指定地点。</w:t>
            </w:r>
          </w:p>
          <w:p w14:paraId="1C84B2FC">
            <w:pPr>
              <w:keepNext w:val="0"/>
              <w:keepLines w:val="0"/>
              <w:pageBreakBefore w:val="0"/>
              <w:widowControl/>
              <w:wordWrap/>
              <w:overflowPunct/>
              <w:topLinePunct w:val="0"/>
              <w:bidi w:val="0"/>
              <w:spacing w:line="440" w:lineRule="exact"/>
              <w:ind w:firstLine="14" w:firstLineChars="6"/>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3.交货方式：现场交货</w:t>
            </w:r>
          </w:p>
          <w:p w14:paraId="493EA103">
            <w:pPr>
              <w:keepNext w:val="0"/>
              <w:keepLines w:val="0"/>
              <w:pageBreakBefore w:val="0"/>
              <w:widowControl/>
              <w:wordWrap/>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w:t>
            </w:r>
          </w:p>
          <w:p w14:paraId="35716728">
            <w:pPr>
              <w:keepNext w:val="0"/>
              <w:keepLines w:val="0"/>
              <w:pageBreakBefore w:val="0"/>
              <w:widowControl/>
              <w:numPr>
                <w:ilvl w:val="0"/>
                <w:numId w:val="4"/>
              </w:numPr>
              <w:wordWrap/>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货物的价格；</w:t>
            </w:r>
          </w:p>
          <w:p w14:paraId="1B39BA38">
            <w:pPr>
              <w:keepNext w:val="0"/>
              <w:keepLines w:val="0"/>
              <w:pageBreakBefore w:val="0"/>
              <w:widowControl/>
              <w:numPr>
                <w:ilvl w:val="0"/>
                <w:numId w:val="4"/>
              </w:numPr>
              <w:wordWrap/>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货物的标准附件、备品备件、专用工具的价格、产品说明书；</w:t>
            </w:r>
          </w:p>
          <w:p w14:paraId="741DBCB9">
            <w:pPr>
              <w:keepNext w:val="0"/>
              <w:keepLines w:val="0"/>
              <w:pageBreakBefore w:val="0"/>
              <w:widowControl/>
              <w:numPr>
                <w:ilvl w:val="0"/>
                <w:numId w:val="4"/>
              </w:numPr>
              <w:wordWrap/>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运输、装卸、调试、培训、技术支持、售后服务等费用；</w:t>
            </w:r>
          </w:p>
          <w:p w14:paraId="50B30289">
            <w:pPr>
              <w:keepNext w:val="0"/>
              <w:keepLines w:val="0"/>
              <w:pageBreakBefore w:val="0"/>
              <w:widowControl/>
              <w:numPr>
                <w:ilvl w:val="0"/>
                <w:numId w:val="4"/>
              </w:numPr>
              <w:wordWrap/>
              <w:overflowPunct/>
              <w:topLinePunct w:val="0"/>
              <w:bidi w:val="0"/>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必要的保险费用和和各项税费；</w:t>
            </w:r>
          </w:p>
          <w:p w14:paraId="6D393B8A">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440" w:lineRule="exact"/>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21"/>
                <w:sz w:val="24"/>
                <w:szCs w:val="24"/>
                <w:highlight w:val="none"/>
                <w:lang w:val="en-US" w:eastAsia="en-US" w:bidi="ar-SA"/>
              </w:rPr>
              <w:t>（5）安装至调试正常使用发生所有费用，由供应商自行承担。</w:t>
            </w:r>
          </w:p>
        </w:tc>
      </w:tr>
      <w:tr w14:paraId="3AFA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5AAE1401">
            <w:pPr>
              <w:keepNext w:val="0"/>
              <w:keepLines w:val="0"/>
              <w:pageBreakBefore w:val="0"/>
              <w:kinsoku/>
              <w:overflowPunct/>
              <w:topLinePunct w:val="0"/>
              <w:bidi w:val="0"/>
              <w:spacing w:line="440" w:lineRule="exact"/>
              <w:ind w:firstLine="14" w:firstLineChars="6"/>
              <w:jc w:val="center"/>
              <w:outlineLvl w:val="0"/>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eastAsia="zh-CN" w:bidi="ar"/>
              </w:rPr>
              <w:t>投标报价</w:t>
            </w:r>
          </w:p>
        </w:tc>
        <w:tc>
          <w:tcPr>
            <w:tcW w:w="8200" w:type="dxa"/>
            <w:gridSpan w:val="3"/>
            <w:noWrap w:val="0"/>
            <w:vAlign w:val="center"/>
          </w:tcPr>
          <w:p w14:paraId="7109E04F">
            <w:pPr>
              <w:keepNext w:val="0"/>
              <w:keepLines w:val="0"/>
              <w:pageBreakBefore w:val="0"/>
              <w:widowControl/>
              <w:kinsoku/>
              <w:wordWrap/>
              <w:overflowPunct/>
              <w:topLinePunct w:val="0"/>
              <w:bidi w:val="0"/>
              <w:spacing w:line="440" w:lineRule="exact"/>
              <w:ind w:firstLine="15" w:firstLineChars="6"/>
              <w:jc w:val="both"/>
              <w:outlineLvl w:val="0"/>
              <w:rPr>
                <w:rFonts w:hint="eastAsia" w:ascii="仿宋" w:hAnsi="仿宋" w:eastAsia="仿宋" w:cs="仿宋"/>
                <w:color w:val="auto"/>
                <w:kern w:val="0"/>
                <w:sz w:val="24"/>
                <w:szCs w:val="24"/>
                <w:highlight w:val="none"/>
              </w:rPr>
            </w:pPr>
            <w:r>
              <w:rPr>
                <w:rFonts w:hint="eastAsia" w:ascii="仿宋" w:hAnsi="仿宋" w:eastAsia="仿宋" w:cs="仿宋"/>
                <w:color w:val="auto"/>
                <w:spacing w:val="6"/>
                <w:sz w:val="24"/>
                <w:szCs w:val="24"/>
                <w:highlight w:val="none"/>
                <w:lang w:eastAsia="zh-CN" w:bidi="ar"/>
              </w:rPr>
              <w:t>项目实行总承包报价，投标报价包含货物、货物标准附件、备品备件、专用工具、设备安装辅材、施工辅材、包装、运输、装卸、保险、货到就位的各种费用以及安装、调试等本招标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投标人综合考虑在报价中。</w:t>
            </w:r>
          </w:p>
        </w:tc>
      </w:tr>
      <w:tr w14:paraId="2F2A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4344618D">
            <w:pPr>
              <w:keepNext w:val="0"/>
              <w:keepLines w:val="0"/>
              <w:pageBreakBefore w:val="0"/>
              <w:kinsoku w:val="0"/>
              <w:overflowPunct/>
              <w:topLinePunct w:val="0"/>
              <w:autoSpaceDE w:val="0"/>
              <w:autoSpaceDN w:val="0"/>
              <w:bidi w:val="0"/>
              <w:adjustRightInd w:val="0"/>
              <w:snapToGrid w:val="0"/>
              <w:spacing w:line="440" w:lineRule="exact"/>
              <w:jc w:val="center"/>
              <w:textAlignment w:val="baseline"/>
              <w:rPr>
                <w:rFonts w:hint="eastAsia" w:ascii="仿宋" w:hAnsi="仿宋" w:eastAsia="仿宋" w:cs="仿宋"/>
                <w:color w:val="auto"/>
                <w:kern w:val="0"/>
                <w:sz w:val="24"/>
                <w:szCs w:val="24"/>
                <w:highlight w:val="none"/>
              </w:rPr>
            </w:pPr>
            <w:r>
              <w:rPr>
                <w:rFonts w:hint="eastAsia" w:ascii="仿宋" w:hAnsi="仿宋" w:eastAsia="仿宋" w:cs="仿宋"/>
                <w:b/>
                <w:color w:val="auto"/>
                <w:kern w:val="21"/>
                <w:sz w:val="24"/>
                <w:szCs w:val="24"/>
                <w:highlight w:val="none"/>
                <w:lang w:val="en-US" w:eastAsia="zh-CN" w:bidi="ar"/>
              </w:rPr>
              <w:t>付款方式</w:t>
            </w:r>
          </w:p>
        </w:tc>
        <w:tc>
          <w:tcPr>
            <w:tcW w:w="8200" w:type="dxa"/>
            <w:gridSpan w:val="3"/>
            <w:noWrap w:val="0"/>
            <w:vAlign w:val="center"/>
          </w:tcPr>
          <w:p w14:paraId="7563D032">
            <w:pPr>
              <w:keepNext w:val="0"/>
              <w:keepLines w:val="0"/>
              <w:pageBreakBefore w:val="0"/>
              <w:widowControl/>
              <w:kinsoku/>
              <w:wordWrap w:val="0"/>
              <w:overflowPunct/>
              <w:topLinePunct w:val="0"/>
              <w:autoSpaceDE w:val="0"/>
              <w:autoSpaceDN w:val="0"/>
              <w:bidi w:val="0"/>
              <w:adjustRightInd w:val="0"/>
              <w:snapToGrid w:val="0"/>
              <w:spacing w:line="440" w:lineRule="exact"/>
              <w:textAlignment w:val="baseline"/>
              <w:rPr>
                <w:rFonts w:hint="eastAsia" w:ascii="仿宋" w:hAnsi="仿宋" w:eastAsia="仿宋" w:cs="仿宋"/>
                <w:color w:val="auto"/>
                <w:kern w:val="21"/>
                <w:sz w:val="24"/>
                <w:szCs w:val="24"/>
                <w:highlight w:val="none"/>
                <w:lang w:val="en-US" w:eastAsia="zh-CN" w:bidi="ar"/>
              </w:rPr>
            </w:pPr>
            <w:r>
              <w:rPr>
                <w:rFonts w:hint="eastAsia" w:ascii="仿宋" w:hAnsi="仿宋" w:eastAsia="仿宋" w:cs="仿宋"/>
                <w:color w:val="auto"/>
                <w:kern w:val="21"/>
                <w:sz w:val="24"/>
                <w:szCs w:val="24"/>
                <w:highlight w:val="none"/>
                <w:lang w:val="en-US" w:eastAsia="zh-CN" w:bidi="ar"/>
              </w:rPr>
              <w:t>1.付款进度安排:签订合同后30个工作日内，支付合同价款的30%，设备安装验收合格正常使用后30个工作日内，支付合同价款的70%。乙方须在设备验收合格后及时向甲方提供符合国家规定及甲方要求的全额有效的税务发票，甲方未收到发票的，有权不予支付相应款项直至乙方提供合格发票，并不承担延迟付款责任。发票认证通过是付款的必要前提之一。</w:t>
            </w:r>
          </w:p>
          <w:p w14:paraId="2E56894A">
            <w:pPr>
              <w:keepNext w:val="0"/>
              <w:keepLines w:val="0"/>
              <w:pageBreakBefore w:val="0"/>
              <w:widowControl/>
              <w:kinsoku/>
              <w:wordWrap w:val="0"/>
              <w:overflowPunct/>
              <w:topLinePunct w:val="0"/>
              <w:autoSpaceDE w:val="0"/>
              <w:autoSpaceDN w:val="0"/>
              <w:bidi w:val="0"/>
              <w:adjustRightInd w:val="0"/>
              <w:snapToGrid w:val="0"/>
              <w:spacing w:line="440" w:lineRule="exact"/>
              <w:textAlignment w:val="baseline"/>
              <w:rPr>
                <w:rFonts w:hint="eastAsia" w:ascii="仿宋" w:hAnsi="仿宋" w:eastAsia="仿宋" w:cs="仿宋"/>
                <w:color w:val="auto"/>
                <w:kern w:val="21"/>
                <w:sz w:val="24"/>
                <w:szCs w:val="24"/>
                <w:highlight w:val="none"/>
                <w:lang w:val="en-US" w:eastAsia="zh-CN" w:bidi="ar"/>
              </w:rPr>
            </w:pPr>
            <w:r>
              <w:rPr>
                <w:rFonts w:hint="eastAsia" w:ascii="仿宋" w:hAnsi="仿宋" w:eastAsia="仿宋" w:cs="仿宋"/>
                <w:color w:val="auto"/>
                <w:kern w:val="21"/>
                <w:sz w:val="24"/>
                <w:szCs w:val="24"/>
                <w:highlight w:val="none"/>
                <w:lang w:val="en-US" w:eastAsia="zh-CN" w:bidi="ar"/>
              </w:rPr>
              <w:t>2．本合同执行中相关的一切税费均由乙方负担。</w:t>
            </w:r>
          </w:p>
          <w:p w14:paraId="01E67E4D">
            <w:pPr>
              <w:keepNext w:val="0"/>
              <w:keepLines w:val="0"/>
              <w:pageBreakBefore w:val="0"/>
              <w:widowControl/>
              <w:kinsoku/>
              <w:wordWrap w:val="0"/>
              <w:overflowPunct/>
              <w:topLinePunct w:val="0"/>
              <w:autoSpaceDE w:val="0"/>
              <w:autoSpaceDN w:val="0"/>
              <w:bidi w:val="0"/>
              <w:adjustRightInd w:val="0"/>
              <w:snapToGrid w:val="0"/>
              <w:spacing w:line="440" w:lineRule="exac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21"/>
                <w:sz w:val="24"/>
                <w:szCs w:val="24"/>
                <w:highlight w:val="none"/>
                <w:lang w:val="en-US" w:eastAsia="zh-CN" w:bidi="ar"/>
              </w:rPr>
              <w:t>3.资金支付方式：银行转账</w:t>
            </w:r>
          </w:p>
        </w:tc>
      </w:tr>
      <w:tr w14:paraId="1316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51B3B0E1">
            <w:pPr>
              <w:keepNext w:val="0"/>
              <w:keepLines w:val="0"/>
              <w:pageBreakBefore w:val="0"/>
              <w:kinsoku/>
              <w:overflowPunct/>
              <w:topLinePunct w:val="0"/>
              <w:bidi w:val="0"/>
              <w:spacing w:line="440" w:lineRule="exact"/>
              <w:ind w:firstLine="14" w:firstLineChars="6"/>
              <w:jc w:val="center"/>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eastAsia="zh-CN" w:bidi="ar"/>
              </w:rPr>
              <w:t>售后服务要求</w:t>
            </w:r>
          </w:p>
        </w:tc>
        <w:tc>
          <w:tcPr>
            <w:tcW w:w="8200" w:type="dxa"/>
            <w:gridSpan w:val="3"/>
            <w:noWrap w:val="0"/>
            <w:vAlign w:val="center"/>
          </w:tcPr>
          <w:p w14:paraId="2E12A226">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1.中标人应按照国家有关法律法规规定以及投标文件承诺，为采购人提供售后服务。</w:t>
            </w:r>
          </w:p>
          <w:p w14:paraId="3E3B6CF6">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2.质量保修范围:</w:t>
            </w:r>
            <w:r>
              <w:rPr>
                <w:rFonts w:hint="eastAsia" w:ascii="仿宋" w:hAnsi="仿宋" w:eastAsia="仿宋" w:cs="仿宋"/>
                <w:color w:val="auto"/>
                <w:sz w:val="24"/>
                <w:szCs w:val="24"/>
                <w:highlight w:val="none"/>
                <w:u w:val="single"/>
                <w:lang w:eastAsia="zh-CN" w:bidi="ar"/>
              </w:rPr>
              <w:t>本项目采购范围内的所有设备</w:t>
            </w:r>
            <w:r>
              <w:rPr>
                <w:rFonts w:hint="eastAsia" w:ascii="仿宋" w:hAnsi="仿宋" w:eastAsia="仿宋" w:cs="仿宋"/>
                <w:color w:val="auto"/>
                <w:sz w:val="24"/>
                <w:szCs w:val="24"/>
                <w:highlight w:val="none"/>
                <w:lang w:eastAsia="zh-CN" w:bidi="ar"/>
              </w:rPr>
              <w:t>。免费保修期内上门维修（维修费和元器件费包含在投标报价中）、更换零部件，软件终身免费升级服务，设备生产厂家提供远程联机维护服务，能对设备进行软件升级及故障分析；保修期：按中标人投标文件承诺（且不低于采购文件要求）执行。</w:t>
            </w:r>
          </w:p>
          <w:p w14:paraId="609A5C25">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val="en-US" w:eastAsia="zh-CN" w:bidi="ar"/>
              </w:rPr>
            </w:pPr>
            <w:r>
              <w:rPr>
                <w:rFonts w:hint="eastAsia" w:ascii="仿宋" w:hAnsi="仿宋" w:eastAsia="仿宋" w:cs="仿宋"/>
                <w:color w:val="auto"/>
                <w:sz w:val="24"/>
                <w:szCs w:val="24"/>
                <w:highlight w:val="none"/>
                <w:lang w:eastAsia="zh-CN" w:bidi="ar"/>
              </w:rPr>
              <w:t>3.免费保修期：按国家有关产品“三包”规定执行“三包”；免费保修期为不少于5年（免费保修期从设备验收合格之日起计算），免费保修期内上门维修不收取任何费用；</w:t>
            </w:r>
            <w:r>
              <w:rPr>
                <w:rFonts w:hint="eastAsia" w:ascii="仿宋" w:hAnsi="仿宋" w:eastAsia="仿宋" w:cs="仿宋"/>
                <w:color w:val="auto"/>
                <w:sz w:val="24"/>
                <w:szCs w:val="24"/>
                <w:highlight w:val="none"/>
                <w:lang w:val="en-US" w:eastAsia="zh-CN" w:bidi="ar"/>
              </w:rPr>
              <w:t>维保期后维保费≤6万元/年。</w:t>
            </w:r>
          </w:p>
          <w:p w14:paraId="4B05A1CA">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4.在免费保修期内因货物本身的质量问题发生故障，中标人应负责免费修理和更换零部件。对达不到技术要求者，根据实际情况，采购人有权按以下办法处理：</w:t>
            </w:r>
          </w:p>
          <w:p w14:paraId="67663625">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（1）更换：由中标人承担所发生的全部费用。</w:t>
            </w:r>
          </w:p>
          <w:p w14:paraId="31CA2B68">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（2）贬值处理：由采购人与中标人双方合议定价。</w:t>
            </w:r>
          </w:p>
          <w:p w14:paraId="70D7BAAF">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（3）退货处理：中标人应退还采购人支付的合同款，同时应承担该货物的直接费用（运输、保险、检验、货款利息及银行手续费等）。</w:t>
            </w:r>
          </w:p>
          <w:p w14:paraId="0CA728A0">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5.如在使用过程中发生质量问题，中标人在接到采购人通知后</w:t>
            </w:r>
            <w:r>
              <w:rPr>
                <w:rFonts w:hint="eastAsia" w:ascii="仿宋" w:hAnsi="仿宋" w:eastAsia="仿宋" w:cs="仿宋"/>
                <w:color w:val="auto"/>
                <w:sz w:val="24"/>
                <w:szCs w:val="24"/>
                <w:highlight w:val="none"/>
                <w:u w:val="single"/>
                <w:lang w:val="en-US" w:eastAsia="zh-CN" w:bidi="ar"/>
              </w:rPr>
              <w:t>4</w:t>
            </w:r>
            <w:r>
              <w:rPr>
                <w:rFonts w:hint="eastAsia" w:ascii="仿宋" w:hAnsi="仿宋" w:eastAsia="仿宋" w:cs="仿宋"/>
                <w:color w:val="auto"/>
                <w:sz w:val="24"/>
                <w:szCs w:val="24"/>
                <w:highlight w:val="none"/>
                <w:lang w:eastAsia="zh-CN" w:bidi="ar"/>
              </w:rPr>
              <w:t>小时内响应，</w:t>
            </w:r>
            <w:r>
              <w:rPr>
                <w:rFonts w:hint="eastAsia" w:ascii="仿宋" w:hAnsi="仿宋" w:eastAsia="仿宋" w:cs="仿宋"/>
                <w:color w:val="auto"/>
                <w:sz w:val="24"/>
                <w:szCs w:val="24"/>
                <w:highlight w:val="none"/>
                <w:u w:val="single"/>
                <w:lang w:eastAsia="zh-CN" w:bidi="ar"/>
              </w:rPr>
              <w:t>2</w:t>
            </w:r>
            <w:r>
              <w:rPr>
                <w:rFonts w:hint="eastAsia" w:ascii="仿宋" w:hAnsi="仿宋" w:eastAsia="仿宋" w:cs="仿宋"/>
                <w:color w:val="auto"/>
                <w:sz w:val="24"/>
                <w:szCs w:val="24"/>
                <w:highlight w:val="none"/>
                <w:u w:val="single"/>
                <w:lang w:val="en-US" w:eastAsia="zh-CN" w:bidi="ar"/>
              </w:rPr>
              <w:t>4</w:t>
            </w:r>
            <w:r>
              <w:rPr>
                <w:rFonts w:hint="eastAsia" w:ascii="仿宋" w:hAnsi="仿宋" w:eastAsia="仿宋" w:cs="仿宋"/>
                <w:color w:val="auto"/>
                <w:sz w:val="24"/>
                <w:szCs w:val="24"/>
                <w:highlight w:val="none"/>
                <w:lang w:eastAsia="zh-CN" w:bidi="ar"/>
              </w:rPr>
              <w:t>小时内到达现场进行处理，恢复正常使用。中标人逾期响应、到达现场、排除故障或者无法排除故障的，采购人有权自行或寻找第三方机构获得维修、维护等售后服务，全部费用由中标人承担，且无需经过中标人同意、确认。</w:t>
            </w:r>
          </w:p>
          <w:p w14:paraId="7EDC5C24">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6.在免费保修期内，中标人应对货物出现的质量及安全问题负责处理解决并承担一切费用。</w:t>
            </w:r>
          </w:p>
          <w:p w14:paraId="47419D4F">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7.本项目采购范围内的货物因人为因素出现的故障不在免费保修范围内。超过免费保修期的机器设备，提供终生维修服务。</w:t>
            </w:r>
          </w:p>
          <w:p w14:paraId="5FDC55FB">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8.中标人提供的货物在免费保修期内，因设计、工艺或材料的缺陷和其它质量原因造成的问题，由中标人负责，费用从最后一笔支付的合同价款当中扣除，不足以扣除的，由中标人另行支付。</w:t>
            </w:r>
          </w:p>
          <w:p w14:paraId="7A07C236">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bidi="ar"/>
              </w:rPr>
              <w:t>9.中标人提供的服务承诺和售后服务及免费保修期责任等其它具体约定事项。</w:t>
            </w:r>
          </w:p>
        </w:tc>
      </w:tr>
      <w:tr w14:paraId="51C6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682E7E86">
            <w:pPr>
              <w:keepNext w:val="0"/>
              <w:keepLines w:val="0"/>
              <w:pageBreakBefore w:val="0"/>
              <w:overflowPunct/>
              <w:topLinePunct w:val="0"/>
              <w:bidi w:val="0"/>
              <w:spacing w:line="440" w:lineRule="exact"/>
              <w:jc w:val="center"/>
              <w:rPr>
                <w:rFonts w:hint="eastAsia" w:ascii="仿宋" w:hAnsi="仿宋" w:eastAsia="仿宋" w:cs="仿宋"/>
                <w:b/>
                <w:color w:val="auto"/>
                <w:sz w:val="24"/>
                <w:szCs w:val="24"/>
                <w:highlight w:val="none"/>
                <w:lang w:eastAsia="zh-CN" w:bidi="ar"/>
              </w:rPr>
            </w:pPr>
            <w:r>
              <w:rPr>
                <w:rFonts w:hint="eastAsia" w:ascii="仿宋" w:hAnsi="仿宋" w:eastAsia="仿宋" w:cs="仿宋"/>
                <w:b/>
                <w:color w:val="auto"/>
                <w:sz w:val="24"/>
                <w:szCs w:val="24"/>
                <w:highlight w:val="none"/>
                <w:lang w:eastAsia="zh-CN" w:bidi="ar"/>
              </w:rPr>
              <w:t>合同签订时间及</w:t>
            </w:r>
          </w:p>
          <w:p w14:paraId="37C1EBDD">
            <w:pPr>
              <w:keepNext w:val="0"/>
              <w:keepLines w:val="0"/>
              <w:pageBreakBefore w:val="0"/>
              <w:kinsoku/>
              <w:overflowPunct/>
              <w:topLinePunct w:val="0"/>
              <w:autoSpaceDE/>
              <w:autoSpaceDN/>
              <w:bidi w:val="0"/>
              <w:adjustRightInd/>
              <w:snapToGrid/>
              <w:spacing w:line="440" w:lineRule="exact"/>
              <w:ind w:firstLine="14" w:firstLineChars="6"/>
              <w:jc w:val="center"/>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bidi="ar"/>
              </w:rPr>
              <w:t>地点</w:t>
            </w:r>
          </w:p>
        </w:tc>
        <w:tc>
          <w:tcPr>
            <w:tcW w:w="8200" w:type="dxa"/>
            <w:gridSpan w:val="3"/>
            <w:noWrap w:val="0"/>
            <w:vAlign w:val="center"/>
          </w:tcPr>
          <w:p w14:paraId="1519CB10">
            <w:pPr>
              <w:keepNext w:val="0"/>
              <w:keepLines w:val="0"/>
              <w:pageBreakBefore w:val="0"/>
              <w:widowControl/>
              <w:kinsoku/>
              <w:wordWrap/>
              <w:overflowPunct/>
              <w:topLinePunct w:val="0"/>
              <w:autoSpaceDE/>
              <w:autoSpaceDN/>
              <w:bidi w:val="0"/>
              <w:adjustRightInd/>
              <w:snapToGrid/>
              <w:spacing w:line="440" w:lineRule="exact"/>
              <w:ind w:firstLine="14" w:firstLineChars="6"/>
              <w:jc w:val="both"/>
              <w:textAlignment w:val="auto"/>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1</w:t>
            </w:r>
            <w:r>
              <w:rPr>
                <w:rFonts w:hint="eastAsia" w:ascii="仿宋" w:hAnsi="仿宋" w:eastAsia="仿宋" w:cs="仿宋"/>
                <w:color w:val="auto"/>
                <w:sz w:val="24"/>
                <w:szCs w:val="24"/>
                <w:highlight w:val="none"/>
                <w:lang w:val="en-US" w:eastAsia="zh-CN" w:bidi="ar"/>
              </w:rPr>
              <w:t>.</w:t>
            </w:r>
            <w:r>
              <w:rPr>
                <w:rFonts w:hint="eastAsia" w:ascii="仿宋" w:hAnsi="仿宋" w:eastAsia="仿宋" w:cs="仿宋"/>
                <w:color w:val="auto"/>
                <w:sz w:val="24"/>
                <w:szCs w:val="24"/>
                <w:highlight w:val="none"/>
                <w:lang w:eastAsia="zh-CN" w:bidi="ar"/>
              </w:rPr>
              <w:t>签订合同时间：自中标通知书发出之日25日内。</w:t>
            </w:r>
          </w:p>
          <w:p w14:paraId="7FD0B022">
            <w:pPr>
              <w:keepNext w:val="0"/>
              <w:keepLines w:val="0"/>
              <w:pageBreakBefore w:val="0"/>
              <w:widowControl/>
              <w:kinsoku/>
              <w:wordWrap/>
              <w:overflowPunct/>
              <w:topLinePunct w:val="0"/>
              <w:autoSpaceDE/>
              <w:autoSpaceDN/>
              <w:bidi w:val="0"/>
              <w:adjustRightInd/>
              <w:snapToGrid/>
              <w:spacing w:line="440" w:lineRule="exact"/>
              <w:ind w:firstLine="14" w:firstLineChars="6"/>
              <w:jc w:val="both"/>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eastAsia="zh-CN" w:bidi="ar"/>
              </w:rPr>
              <w:t>2</w:t>
            </w:r>
            <w:r>
              <w:rPr>
                <w:rFonts w:hint="eastAsia" w:ascii="仿宋" w:hAnsi="仿宋" w:eastAsia="仿宋" w:cs="仿宋"/>
                <w:color w:val="auto"/>
                <w:sz w:val="24"/>
                <w:szCs w:val="24"/>
                <w:highlight w:val="none"/>
                <w:lang w:val="en-US" w:eastAsia="zh-CN" w:bidi="ar"/>
              </w:rPr>
              <w:t>.</w:t>
            </w:r>
            <w:r>
              <w:rPr>
                <w:rFonts w:hint="eastAsia" w:ascii="仿宋" w:hAnsi="仿宋" w:eastAsia="仿宋" w:cs="仿宋"/>
                <w:color w:val="auto"/>
                <w:sz w:val="24"/>
                <w:szCs w:val="24"/>
                <w:highlight w:val="none"/>
                <w:lang w:eastAsia="zh-CN" w:bidi="ar"/>
              </w:rPr>
              <w:t>签订合同地点：广西壮族自治区南溪山医院（广西壮族自治区第二人民医院）指定地点。</w:t>
            </w:r>
          </w:p>
        </w:tc>
      </w:tr>
      <w:tr w14:paraId="3E01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52F16E9A">
            <w:pPr>
              <w:keepNext w:val="0"/>
              <w:keepLines w:val="0"/>
              <w:pageBreakBefore w:val="0"/>
              <w:kinsoku/>
              <w:overflowPunct/>
              <w:topLinePunct w:val="0"/>
              <w:bidi w:val="0"/>
              <w:spacing w:line="440" w:lineRule="exact"/>
              <w:ind w:left="13" w:leftChars="6"/>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bidi="ar"/>
              </w:rPr>
              <w:t>包装和运输</w:t>
            </w:r>
          </w:p>
        </w:tc>
        <w:tc>
          <w:tcPr>
            <w:tcW w:w="8200" w:type="dxa"/>
            <w:gridSpan w:val="3"/>
            <w:noWrap w:val="0"/>
            <w:vAlign w:val="center"/>
          </w:tcPr>
          <w:p w14:paraId="7CA05F18">
            <w:pPr>
              <w:keepNext w:val="0"/>
              <w:keepLines w:val="0"/>
              <w:pageBreakBefore w:val="0"/>
              <w:widowControl/>
              <w:kinsoku/>
              <w:wordWrap/>
              <w:overflowPunct/>
              <w:topLinePunct w:val="0"/>
              <w:bidi w:val="0"/>
              <w:spacing w:line="440" w:lineRule="exact"/>
              <w:ind w:left="13" w:left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1.原厂原包装，包装完好、完整无破损、未开封。</w:t>
            </w:r>
          </w:p>
          <w:p w14:paraId="6F52D89D">
            <w:pPr>
              <w:keepNext w:val="0"/>
              <w:keepLines w:val="0"/>
              <w:pageBreakBefore w:val="0"/>
              <w:widowControl/>
              <w:kinsoku/>
              <w:wordWrap/>
              <w:overflowPunct/>
              <w:topLinePunct w:val="0"/>
              <w:bidi w:val="0"/>
              <w:spacing w:line="440" w:lineRule="exact"/>
              <w:ind w:left="13" w:left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2.包装及运输方式应综合考虑运输距离、防潮、防震、防锈和防破损装卸等要求。</w:t>
            </w:r>
          </w:p>
          <w:p w14:paraId="47AEDBEE">
            <w:pPr>
              <w:keepNext w:val="0"/>
              <w:keepLines w:val="0"/>
              <w:pageBreakBefore w:val="0"/>
              <w:widowControl/>
              <w:kinsoku/>
              <w:wordWrap/>
              <w:overflowPunct/>
              <w:topLinePunct w:val="0"/>
              <w:bidi w:val="0"/>
              <w:spacing w:line="440" w:lineRule="exact"/>
              <w:ind w:left="13" w:leftChars="6"/>
              <w:rPr>
                <w:rFonts w:hint="eastAsia"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lang w:eastAsia="zh-CN" w:bidi="ar"/>
              </w:rPr>
              <w:t>3.国家对包装及运输有相关强制性标准或要求的，中标人应当执行。</w:t>
            </w:r>
          </w:p>
          <w:p w14:paraId="29DF494E">
            <w:pPr>
              <w:keepNext w:val="0"/>
              <w:keepLines w:val="0"/>
              <w:pageBreakBefore w:val="0"/>
              <w:widowControl/>
              <w:kinsoku/>
              <w:wordWrap/>
              <w:overflowPunct/>
              <w:topLinePunct w:val="0"/>
              <w:bidi w:val="0"/>
              <w:spacing w:line="440" w:lineRule="exact"/>
              <w:ind w:left="13" w:leftChars="6"/>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bidi="ar"/>
              </w:rPr>
              <w:t>4.产品（含包装）运抵采购人指定交付地点前发生损坏的，相关损失由中标人自行承担。</w:t>
            </w:r>
          </w:p>
        </w:tc>
      </w:tr>
      <w:tr w14:paraId="2C91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6416694F">
            <w:pPr>
              <w:keepNext w:val="0"/>
              <w:keepLines w:val="0"/>
              <w:pageBreakBefore w:val="0"/>
              <w:kinsoku/>
              <w:overflowPunct/>
              <w:topLinePunct w:val="0"/>
              <w:bidi w:val="0"/>
              <w:spacing w:line="440" w:lineRule="exact"/>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bidi="ar"/>
              </w:rPr>
              <w:t>保险</w:t>
            </w:r>
          </w:p>
        </w:tc>
        <w:tc>
          <w:tcPr>
            <w:tcW w:w="8200" w:type="dxa"/>
            <w:gridSpan w:val="3"/>
            <w:noWrap w:val="0"/>
            <w:vAlign w:val="center"/>
          </w:tcPr>
          <w:p w14:paraId="3F72C845">
            <w:pPr>
              <w:keepNext w:val="0"/>
              <w:keepLines w:val="0"/>
              <w:pageBreakBefore w:val="0"/>
              <w:widowControl/>
              <w:kinsoku/>
              <w:wordWrap/>
              <w:overflowPunct/>
              <w:topLinePunct w:val="0"/>
              <w:bidi w:val="0"/>
              <w:spacing w:line="440" w:lineRule="exact"/>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lang w:eastAsia="zh-CN" w:bidi="ar"/>
              </w:rPr>
              <w:t>若投标人为本项目标的及标的涉及的相关材料、设备、人员、运输等购买保险的，相关费用由投标人自行承担。</w:t>
            </w:r>
          </w:p>
        </w:tc>
      </w:tr>
      <w:tr w14:paraId="3506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0AB27FAB">
            <w:pPr>
              <w:keepNext w:val="0"/>
              <w:keepLines w:val="0"/>
              <w:pageBreakBefore w:val="0"/>
              <w:kinsoku/>
              <w:overflowPunct/>
              <w:topLinePunct w:val="0"/>
              <w:bidi w:val="0"/>
              <w:spacing w:line="440" w:lineRule="exact"/>
              <w:ind w:firstLine="14" w:firstLineChars="6"/>
              <w:jc w:val="center"/>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eastAsia="zh-CN" w:bidi="ar"/>
              </w:rPr>
              <w:t>验收标准</w:t>
            </w:r>
          </w:p>
        </w:tc>
        <w:tc>
          <w:tcPr>
            <w:tcW w:w="8200" w:type="dxa"/>
            <w:gridSpan w:val="3"/>
            <w:noWrap w:val="0"/>
            <w:vAlign w:val="center"/>
          </w:tcPr>
          <w:p w14:paraId="750D4C23">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（1）初步验收：</w:t>
            </w:r>
          </w:p>
          <w:p w14:paraId="3D53EB3E">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标的在规定的时间内到货，标的（含包装）完整、完好，与</w:t>
            </w:r>
            <w:r>
              <w:rPr>
                <w:rFonts w:hint="eastAsia" w:ascii="仿宋" w:hAnsi="仿宋" w:eastAsia="仿宋" w:cs="仿宋"/>
                <w:bCs/>
                <w:color w:val="auto"/>
                <w:sz w:val="24"/>
                <w:szCs w:val="24"/>
                <w:highlight w:val="none"/>
                <w:lang w:eastAsia="zh-CN"/>
              </w:rPr>
              <w:t>投标</w:t>
            </w:r>
            <w:r>
              <w:rPr>
                <w:rFonts w:hint="eastAsia" w:ascii="仿宋" w:hAnsi="仿宋" w:eastAsia="仿宋" w:cs="仿宋"/>
                <w:bCs/>
                <w:color w:val="auto"/>
                <w:sz w:val="24"/>
                <w:szCs w:val="24"/>
                <w:highlight w:val="none"/>
              </w:rPr>
              <w:t>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采购人在初步验收后七个工作日内以书面形式向</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提出，</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应自收到采购人书面异议后七个工作日内及时予以解决，否则，视为初步验收不合格，不予进行交付验收。</w:t>
            </w:r>
          </w:p>
          <w:p w14:paraId="287D9B9C">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（2）交付验收：</w:t>
            </w:r>
          </w:p>
          <w:p w14:paraId="210B1D74">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标的的技术指标与</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的</w:t>
            </w:r>
            <w:r>
              <w:rPr>
                <w:rFonts w:hint="eastAsia" w:ascii="仿宋" w:hAnsi="仿宋" w:eastAsia="仿宋" w:cs="仿宋"/>
                <w:bCs/>
                <w:color w:val="auto"/>
                <w:sz w:val="24"/>
                <w:szCs w:val="24"/>
                <w:highlight w:val="none"/>
                <w:lang w:eastAsia="zh-CN"/>
              </w:rPr>
              <w:t>投标</w:t>
            </w:r>
            <w:r>
              <w:rPr>
                <w:rFonts w:hint="eastAsia" w:ascii="仿宋" w:hAnsi="仿宋" w:eastAsia="仿宋" w:cs="仿宋"/>
                <w:bCs/>
                <w:color w:val="auto"/>
                <w:sz w:val="24"/>
                <w:szCs w:val="24"/>
                <w:highlight w:val="none"/>
              </w:rPr>
              <w:t>承诺一致或更高，且满足采购文件全部实质性要求，视为交付验收合格。标的不符合上述情形的，采购人在交付验收后七个工作日内以书面形式向</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提出，</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应自收到采购人书面异议后七个工作日内及时予以解决，否则，视为交付验收不合格。</w:t>
            </w:r>
          </w:p>
          <w:p w14:paraId="7E54E3A0">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（3）最终验收：</w:t>
            </w:r>
          </w:p>
          <w:p w14:paraId="58D92DB6">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标的交付验收合格投入使用后，</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提供的售后服务与其</w:t>
            </w:r>
            <w:r>
              <w:rPr>
                <w:rFonts w:hint="eastAsia" w:ascii="仿宋" w:hAnsi="仿宋" w:eastAsia="仿宋" w:cs="仿宋"/>
                <w:bCs/>
                <w:color w:val="auto"/>
                <w:sz w:val="24"/>
                <w:szCs w:val="24"/>
                <w:highlight w:val="none"/>
                <w:lang w:eastAsia="zh-CN"/>
              </w:rPr>
              <w:t>投标</w:t>
            </w:r>
            <w:r>
              <w:rPr>
                <w:rFonts w:hint="eastAsia" w:ascii="仿宋" w:hAnsi="仿宋" w:eastAsia="仿宋" w:cs="仿宋"/>
                <w:bCs/>
                <w:color w:val="auto"/>
                <w:sz w:val="24"/>
                <w:szCs w:val="24"/>
                <w:highlight w:val="none"/>
              </w:rPr>
              <w:t>承诺一致或更优，且</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履行完合同约定的应当由</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履行的全部事项之，视为最终验收合格。</w:t>
            </w:r>
          </w:p>
          <w:p w14:paraId="64E2D975">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（4）其他事项：</w:t>
            </w:r>
          </w:p>
          <w:p w14:paraId="3697AF22">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1）验收时，双方应当派员在场，并对验收结果签署意见，否则视为其同意验收结果。</w:t>
            </w:r>
          </w:p>
          <w:p w14:paraId="0AB6A6DA">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2）由于</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的原因造成采购人验收不合格、影响采购人正常使用的，由此造成的损失由</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承担。初步验收或交付验收不合格的，采购人有权终止合同并全部退货，同时报相关监督管理部门处理，由此造成甲方经济损失的由</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负责承担全部赔偿责任。</w:t>
            </w:r>
          </w:p>
          <w:p w14:paraId="0CA7820B">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3）对技术复杂的货物，采购人可请国家认可的专业检测机构参与初步验收及交付验收，并由其出具质量检测报告，费用由</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承担。</w:t>
            </w:r>
          </w:p>
          <w:p w14:paraId="79E2DAE4">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4）验收过程中所产生的一切费用均由</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承担，</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在</w:t>
            </w:r>
            <w:r>
              <w:rPr>
                <w:rFonts w:hint="eastAsia" w:ascii="仿宋" w:hAnsi="仿宋" w:eastAsia="仿宋" w:cs="仿宋"/>
                <w:bCs/>
                <w:color w:val="auto"/>
                <w:sz w:val="24"/>
                <w:szCs w:val="24"/>
                <w:highlight w:val="none"/>
                <w:lang w:eastAsia="zh-CN"/>
              </w:rPr>
              <w:t>投标报价</w:t>
            </w:r>
            <w:r>
              <w:rPr>
                <w:rFonts w:hint="eastAsia" w:ascii="仿宋" w:hAnsi="仿宋" w:eastAsia="仿宋" w:cs="仿宋"/>
                <w:bCs/>
                <w:color w:val="auto"/>
                <w:sz w:val="24"/>
                <w:szCs w:val="24"/>
                <w:highlight w:val="none"/>
              </w:rPr>
              <w:t>时应综合考虑相关费用。</w:t>
            </w:r>
          </w:p>
          <w:p w14:paraId="6323ADD8">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5）采购人对产品的验收不免除</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的质量保证责任。</w:t>
            </w:r>
          </w:p>
          <w:p w14:paraId="7A084447">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7182FFF0">
            <w:pPr>
              <w:keepNext w:val="0"/>
              <w:keepLines w:val="0"/>
              <w:pageBreakBefore w:val="0"/>
              <w:widowControl/>
              <w:kinsoku/>
              <w:wordWrap/>
              <w:overflowPunct/>
              <w:topLinePunct w:val="0"/>
              <w:bidi w:val="0"/>
              <w:spacing w:line="440" w:lineRule="exact"/>
              <w:ind w:firstLine="14" w:firstLineChars="6"/>
              <w:rPr>
                <w:rFonts w:hint="eastAsia" w:ascii="仿宋" w:hAnsi="仿宋" w:eastAsia="仿宋" w:cs="仿宋"/>
                <w:color w:val="auto"/>
                <w:kern w:val="0"/>
                <w:sz w:val="24"/>
                <w:szCs w:val="24"/>
                <w:highlight w:val="none"/>
              </w:rPr>
            </w:pPr>
            <w:r>
              <w:rPr>
                <w:rFonts w:hint="eastAsia" w:ascii="仿宋" w:hAnsi="仿宋" w:eastAsia="仿宋" w:cs="仿宋"/>
                <w:bCs/>
                <w:color w:val="auto"/>
                <w:sz w:val="24"/>
                <w:szCs w:val="24"/>
                <w:highlight w:val="none"/>
              </w:rPr>
              <w:t>7）验收产生的费用</w:t>
            </w:r>
            <w:r>
              <w:rPr>
                <w:rFonts w:hint="eastAsia" w:ascii="仿宋" w:hAnsi="仿宋" w:eastAsia="仿宋" w:cs="仿宋"/>
                <w:bCs/>
                <w:color w:val="auto"/>
                <w:sz w:val="24"/>
                <w:szCs w:val="24"/>
                <w:highlight w:val="none"/>
                <w:lang w:eastAsia="zh-CN"/>
              </w:rPr>
              <w:t>中标人</w:t>
            </w:r>
            <w:r>
              <w:rPr>
                <w:rFonts w:hint="eastAsia" w:ascii="仿宋" w:hAnsi="仿宋" w:eastAsia="仿宋" w:cs="仿宋"/>
                <w:bCs/>
                <w:color w:val="auto"/>
                <w:sz w:val="24"/>
                <w:szCs w:val="24"/>
                <w:highlight w:val="none"/>
              </w:rPr>
              <w:t>负责。</w:t>
            </w:r>
          </w:p>
        </w:tc>
      </w:tr>
      <w:tr w14:paraId="7409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0CD13F2D">
            <w:pPr>
              <w:keepNext w:val="0"/>
              <w:keepLines w:val="0"/>
              <w:pageBreakBefore w:val="0"/>
              <w:kinsoku/>
              <w:overflowPunct/>
              <w:topLinePunct w:val="0"/>
              <w:bidi w:val="0"/>
              <w:spacing w:line="440" w:lineRule="exact"/>
              <w:ind w:firstLine="14" w:firstLineChars="6"/>
              <w:jc w:val="center"/>
              <w:outlineLvl w:val="0"/>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eastAsia="zh-CN" w:bidi="ar"/>
              </w:rPr>
              <w:t>知识产权</w:t>
            </w:r>
          </w:p>
        </w:tc>
        <w:tc>
          <w:tcPr>
            <w:tcW w:w="8200" w:type="dxa"/>
            <w:gridSpan w:val="3"/>
            <w:noWrap w:val="0"/>
            <w:vAlign w:val="center"/>
          </w:tcPr>
          <w:p w14:paraId="68DE3A45">
            <w:pPr>
              <w:keepNext w:val="0"/>
              <w:keepLines w:val="0"/>
              <w:pageBreakBefore w:val="0"/>
              <w:widowControl/>
              <w:kinsoku/>
              <w:wordWrap/>
              <w:overflowPunct/>
              <w:topLinePunct w:val="0"/>
              <w:bidi w:val="0"/>
              <w:spacing w:line="440" w:lineRule="exact"/>
              <w:ind w:firstLine="15" w:firstLineChars="6"/>
              <w:jc w:val="both"/>
              <w:outlineLvl w:val="0"/>
              <w:rPr>
                <w:rFonts w:hint="eastAsia" w:ascii="仿宋" w:hAnsi="仿宋" w:eastAsia="仿宋" w:cs="仿宋"/>
                <w:color w:val="auto"/>
                <w:spacing w:val="6"/>
                <w:sz w:val="24"/>
                <w:szCs w:val="24"/>
                <w:highlight w:val="none"/>
                <w:lang w:eastAsia="zh-CN" w:bidi="ar"/>
              </w:rPr>
            </w:pPr>
            <w:r>
              <w:rPr>
                <w:rFonts w:hint="eastAsia" w:ascii="仿宋" w:hAnsi="仿宋" w:eastAsia="仿宋" w:cs="仿宋"/>
                <w:color w:val="auto"/>
                <w:spacing w:val="6"/>
                <w:sz w:val="24"/>
                <w:szCs w:val="24"/>
                <w:highlight w:val="none"/>
                <w:lang w:eastAsia="zh-CN" w:bidi="ar"/>
              </w:rPr>
              <w:t>1.采购人在履行合同过程中提供给中标人的全部图纸、文件和其他含有数据和信息的资料，其知识产权属于采购人。</w:t>
            </w:r>
          </w:p>
          <w:p w14:paraId="757E2D04">
            <w:pPr>
              <w:keepNext w:val="0"/>
              <w:keepLines w:val="0"/>
              <w:pageBreakBefore w:val="0"/>
              <w:widowControl/>
              <w:kinsoku/>
              <w:wordWrap/>
              <w:overflowPunct/>
              <w:topLinePunct w:val="0"/>
              <w:bidi w:val="0"/>
              <w:spacing w:line="440" w:lineRule="exact"/>
              <w:ind w:firstLine="15" w:firstLineChars="6"/>
              <w:jc w:val="both"/>
              <w:outlineLvl w:val="0"/>
              <w:rPr>
                <w:rFonts w:hint="eastAsia" w:ascii="仿宋" w:hAnsi="仿宋" w:eastAsia="仿宋" w:cs="仿宋"/>
                <w:color w:val="auto"/>
                <w:kern w:val="0"/>
                <w:sz w:val="24"/>
                <w:szCs w:val="24"/>
                <w:highlight w:val="none"/>
              </w:rPr>
            </w:pPr>
            <w:r>
              <w:rPr>
                <w:rFonts w:hint="eastAsia" w:ascii="仿宋" w:hAnsi="仿宋" w:eastAsia="仿宋" w:cs="仿宋"/>
                <w:color w:val="auto"/>
                <w:spacing w:val="6"/>
                <w:sz w:val="24"/>
                <w:szCs w:val="24"/>
                <w:highlight w:val="none"/>
                <w:lang w:eastAsia="zh-CN" w:bidi="ar"/>
              </w:rPr>
              <w:t>2.中标人应保证所提供货物在使用时不会侵犯任何第三方的知识产权或者其他权利。如合同货物涉及知识产权，则中标人保证采购人在使用合同货物过程中免于受到第三方提出的有关知识产权侵权的主张、索赔或诉讼的伤害。</w:t>
            </w:r>
          </w:p>
        </w:tc>
      </w:tr>
      <w:tr w14:paraId="1D38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dxa"/>
          <w:trHeight w:val="545" w:hRule="atLeast"/>
          <w:jc w:val="center"/>
        </w:trPr>
        <w:tc>
          <w:tcPr>
            <w:tcW w:w="2028" w:type="dxa"/>
            <w:gridSpan w:val="2"/>
            <w:noWrap w:val="0"/>
            <w:vAlign w:val="center"/>
          </w:tcPr>
          <w:p w14:paraId="3E2A0F8E">
            <w:pPr>
              <w:keepNext w:val="0"/>
              <w:keepLines w:val="0"/>
              <w:pageBreakBefore w:val="0"/>
              <w:kinsoku/>
              <w:overflowPunct/>
              <w:topLinePunct w:val="0"/>
              <w:bidi w:val="0"/>
              <w:spacing w:line="440" w:lineRule="exact"/>
              <w:ind w:firstLine="14" w:firstLineChars="6"/>
              <w:jc w:val="center"/>
              <w:outlineLvl w:val="0"/>
              <w:rPr>
                <w:rFonts w:hint="eastAsia" w:ascii="仿宋" w:hAnsi="仿宋" w:eastAsia="仿宋" w:cs="仿宋"/>
                <w:color w:val="auto"/>
                <w:kern w:val="0"/>
                <w:sz w:val="24"/>
                <w:szCs w:val="24"/>
                <w:highlight w:val="none"/>
              </w:rPr>
            </w:pPr>
            <w:r>
              <w:rPr>
                <w:rFonts w:hint="eastAsia" w:ascii="仿宋" w:hAnsi="仿宋" w:eastAsia="仿宋" w:cs="仿宋"/>
                <w:b/>
                <w:color w:val="auto"/>
                <w:sz w:val="24"/>
                <w:szCs w:val="24"/>
                <w:highlight w:val="none"/>
                <w:lang w:eastAsia="zh-CN" w:bidi="ar"/>
              </w:rPr>
              <w:t>其他要求</w:t>
            </w:r>
          </w:p>
        </w:tc>
        <w:tc>
          <w:tcPr>
            <w:tcW w:w="8200" w:type="dxa"/>
            <w:gridSpan w:val="3"/>
            <w:noWrap w:val="0"/>
            <w:vAlign w:val="center"/>
          </w:tcPr>
          <w:p w14:paraId="78E949CC">
            <w:pPr>
              <w:keepNext w:val="0"/>
              <w:keepLines w:val="0"/>
              <w:pageBreakBefore w:val="0"/>
              <w:widowControl/>
              <w:wordWrap/>
              <w:overflowPunct/>
              <w:topLinePunct w:val="0"/>
              <w:bidi w:val="0"/>
              <w:adjustRightInd/>
              <w:snapToGrid/>
              <w:spacing w:line="440" w:lineRule="exact"/>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本项目最高限价金额：1450000元</w:t>
            </w:r>
            <w:r>
              <w:rPr>
                <w:rFonts w:hint="eastAsia" w:ascii="仿宋" w:hAnsi="仿宋" w:eastAsia="仿宋" w:cs="仿宋"/>
                <w:color w:val="auto"/>
                <w:sz w:val="24"/>
                <w:szCs w:val="24"/>
                <w:highlight w:val="none"/>
                <w:lang w:val="en-US" w:eastAsia="zh-CN"/>
              </w:rPr>
              <w:t>，</w:t>
            </w:r>
            <w:r>
              <w:rPr>
                <w:rFonts w:hint="eastAsia" w:ascii="仿宋" w:hAnsi="仿宋" w:eastAsia="仿宋" w:cs="仿宋"/>
                <w:b/>
                <w:bCs/>
                <w:color w:val="auto"/>
                <w:sz w:val="24"/>
                <w:szCs w:val="24"/>
                <w:highlight w:val="none"/>
              </w:rPr>
              <w:t>投标报价超出最高限价金额的，投标文件作无效处理。</w:t>
            </w:r>
          </w:p>
          <w:p w14:paraId="68F656D5">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1</w:t>
            </w: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lang w:eastAsia="zh-CN"/>
              </w:rPr>
              <w:t>投标报价必须包括设备的所有费用，包括采购、运输、劳务、管理、利润、税金、保险、协调、布线、安装、调试、进场安装配合费、连接信息系统接口费、培训、售后服务以及所有的不定因素的风险等。</w:t>
            </w:r>
          </w:p>
          <w:p w14:paraId="5164FEF3">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投标人必须承诺设备验收合格后免费对采购人的使用人员进行操作及相关知识的培训，并确保设备有1～2人能熟练使用设备，并能排除简单的软硬件故障。</w:t>
            </w:r>
          </w:p>
          <w:p w14:paraId="654DF58B">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lang w:eastAsia="zh-CN"/>
              </w:rPr>
              <w:t>设备必须是全新、完整、未使用过的产品；设备到货后，供应商和购买方应在现场进行清点；清点过程中如果发现因包装或运输不当引起的仪器外观或内部的损坏，供应商应负责更换；若发现错发/漏发情况，供应商应负责更换和补发。</w:t>
            </w:r>
          </w:p>
          <w:p w14:paraId="5844B845">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4.</w:t>
            </w:r>
            <w:r>
              <w:rPr>
                <w:rFonts w:hint="eastAsia" w:ascii="仿宋" w:hAnsi="仿宋" w:eastAsia="仿宋" w:cs="仿宋"/>
                <w:b w:val="0"/>
                <w:bCs/>
                <w:color w:val="auto"/>
                <w:sz w:val="24"/>
                <w:szCs w:val="24"/>
                <w:highlight w:val="none"/>
                <w:lang w:eastAsia="zh-CN"/>
              </w:rPr>
              <w:t>安装标准及验收标准：符合我国国家有关技术规范和技术标准；设备安装后，医院按国际和国家标准及厂方标准进行质量验收；卖方应向买方提供详细的验收标准、验收手册。</w:t>
            </w:r>
          </w:p>
          <w:p w14:paraId="2844684F">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5.</w:t>
            </w:r>
            <w:r>
              <w:rPr>
                <w:rFonts w:hint="eastAsia" w:ascii="仿宋" w:hAnsi="仿宋" w:eastAsia="仿宋" w:cs="仿宋"/>
                <w:b w:val="0"/>
                <w:bCs/>
                <w:color w:val="auto"/>
                <w:sz w:val="24"/>
                <w:szCs w:val="24"/>
                <w:highlight w:val="none"/>
                <w:lang w:eastAsia="zh-CN"/>
              </w:rPr>
              <w:t>采购人在中华人民共和国境内使用中标人提供的产品及服务时免受第三方提出的侵犯其专利权或其它知识产权的起诉。如果第三方提出侵权指控，中标人应承担由此而引起的一切法律责任和费用。</w:t>
            </w:r>
          </w:p>
          <w:p w14:paraId="380EB3B9">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6.</w:t>
            </w:r>
            <w:r>
              <w:rPr>
                <w:rFonts w:hint="eastAsia" w:ascii="仿宋" w:hAnsi="仿宋" w:eastAsia="仿宋" w:cs="仿宋"/>
                <w:b w:val="0"/>
                <w:bCs/>
                <w:color w:val="auto"/>
                <w:sz w:val="24"/>
                <w:szCs w:val="24"/>
                <w:highlight w:val="none"/>
                <w:lang w:eastAsia="zh-CN"/>
              </w:rPr>
              <w:t>在货物验收时候，如发现存在虚假响应，采购人将终止合同，并上报监督管理部门进行处罚。</w:t>
            </w:r>
          </w:p>
          <w:p w14:paraId="6B764152">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7.</w:t>
            </w:r>
            <w:r>
              <w:rPr>
                <w:rFonts w:hint="eastAsia" w:ascii="仿宋" w:hAnsi="仿宋" w:eastAsia="仿宋" w:cs="仿宋"/>
                <w:b w:val="0"/>
                <w:bCs/>
                <w:color w:val="auto"/>
                <w:sz w:val="24"/>
                <w:szCs w:val="24"/>
                <w:highlight w:val="none"/>
                <w:lang w:eastAsia="zh-CN"/>
              </w:rPr>
              <w:t>交钥匙工程：中标人负责全部产品的安装调试后直接交付运行。在保修期内，中标人保证采购人能够合法应用该器械/服务。在此过程中，采购人应当提供一切必要支持。若可能出现的后续证件、手续，中标人必须提供办理的流程及方法。</w:t>
            </w:r>
          </w:p>
          <w:p w14:paraId="0648D0F5">
            <w:pPr>
              <w:keepNext w:val="0"/>
              <w:keepLines w:val="0"/>
              <w:pageBreakBefore w:val="0"/>
              <w:widowControl/>
              <w:kinsoku/>
              <w:wordWrap/>
              <w:overflowPunct/>
              <w:topLinePunct w:val="0"/>
              <w:bidi w:val="0"/>
              <w:spacing w:line="440" w:lineRule="exact"/>
              <w:ind w:firstLine="14" w:firstLineChars="6"/>
              <w:jc w:val="both"/>
              <w:outlineLvl w:val="0"/>
              <w:rPr>
                <w:rFonts w:hint="eastAsia" w:ascii="仿宋" w:hAnsi="仿宋" w:eastAsia="仿宋" w:cs="仿宋"/>
                <w:color w:val="auto"/>
                <w:kern w:val="0"/>
                <w:sz w:val="24"/>
                <w:szCs w:val="24"/>
                <w:highlight w:val="none"/>
              </w:rPr>
            </w:pPr>
            <w:r>
              <w:rPr>
                <w:rFonts w:hint="eastAsia" w:ascii="仿宋" w:hAnsi="仿宋" w:eastAsia="仿宋" w:cs="仿宋"/>
                <w:b w:val="0"/>
                <w:bCs/>
                <w:color w:val="auto"/>
                <w:sz w:val="24"/>
                <w:szCs w:val="24"/>
                <w:highlight w:val="none"/>
                <w:lang w:val="en-US" w:eastAsia="zh-CN"/>
              </w:rPr>
              <w:t>8.</w:t>
            </w:r>
            <w:r>
              <w:rPr>
                <w:rFonts w:hint="eastAsia" w:ascii="仿宋" w:hAnsi="仿宋" w:eastAsia="仿宋" w:cs="仿宋"/>
                <w:b w:val="0"/>
                <w:bCs/>
                <w:color w:val="auto"/>
                <w:sz w:val="24"/>
                <w:szCs w:val="24"/>
                <w:highlight w:val="none"/>
                <w:lang w:eastAsia="zh-CN"/>
              </w:rPr>
              <w:t>本项目采购标的需执行的国家相关标准、行业标准、地方标准或其他强制性标准、规范等要求。</w:t>
            </w:r>
          </w:p>
        </w:tc>
      </w:tr>
      <w:bookmarkEnd w:id="56"/>
      <w:bookmarkEnd w:id="57"/>
      <w:bookmarkEnd w:id="58"/>
      <w:bookmarkEnd w:id="59"/>
      <w:bookmarkEnd w:id="60"/>
      <w:bookmarkEnd w:id="61"/>
      <w:bookmarkEnd w:id="62"/>
      <w:bookmarkEnd w:id="63"/>
      <w:bookmarkEnd w:id="64"/>
    </w:tbl>
    <w:p w14:paraId="5D0A9FE6">
      <w:pPr>
        <w:rPr>
          <w:rFonts w:hint="eastAsia" w:ascii="仿宋" w:hAnsi="仿宋" w:eastAsia="仿宋" w:cs="仿宋"/>
          <w:color w:val="auto"/>
          <w:sz w:val="24"/>
          <w:szCs w:val="24"/>
          <w:highlight w:val="none"/>
        </w:rPr>
      </w:pPr>
    </w:p>
    <w:p w14:paraId="1B4C535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color w:val="auto"/>
          <w:sz w:val="32"/>
          <w:szCs w:val="32"/>
          <w:highlight w:val="none"/>
          <w:lang w:val="en-US" w:eastAsia="zh-CN"/>
        </w:rPr>
      </w:pPr>
    </w:p>
    <w:p w14:paraId="1CFA1D25">
      <w:pPr>
        <w:numPr>
          <w:ilvl w:val="0"/>
          <w:numId w:val="0"/>
        </w:numPr>
        <w:rPr>
          <w:rFonts w:hint="eastAsia" w:ascii="仿宋" w:hAnsi="仿宋" w:eastAsia="仿宋" w:cs="仿宋"/>
          <w:b/>
          <w:bCs/>
          <w:color w:val="auto"/>
          <w:sz w:val="24"/>
          <w:highlight w:val="none"/>
        </w:rPr>
      </w:pPr>
      <w:r>
        <w:rPr>
          <w:rFonts w:hint="eastAsia" w:ascii="仿宋" w:hAnsi="仿宋" w:eastAsia="仿宋" w:cs="仿宋"/>
          <w:b/>
          <w:bCs/>
          <w:color w:val="auto"/>
          <w:sz w:val="24"/>
          <w:szCs w:val="24"/>
          <w:highlight w:val="none"/>
        </w:rPr>
        <w:br w:type="page"/>
      </w:r>
      <w:bookmarkStart w:id="65" w:name="_Toc254970631"/>
      <w:bookmarkStart w:id="66" w:name="_Toc254970490"/>
      <w:r>
        <w:rPr>
          <w:rFonts w:hint="eastAsia" w:ascii="仿宋" w:hAnsi="仿宋" w:eastAsia="仿宋" w:cs="仿宋"/>
          <w:b/>
          <w:bCs/>
          <w:color w:val="auto"/>
          <w:sz w:val="24"/>
          <w:highlight w:val="none"/>
        </w:rPr>
        <w:t>附件1：</w:t>
      </w:r>
    </w:p>
    <w:bookmarkEnd w:id="65"/>
    <w:bookmarkEnd w:id="66"/>
    <w:p w14:paraId="58ED04FB">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中小微企业划型标准</w:t>
      </w:r>
    </w:p>
    <w:tbl>
      <w:tblPr>
        <w:tblStyle w:val="52"/>
        <w:tblW w:w="10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1502"/>
        <w:gridCol w:w="778"/>
        <w:gridCol w:w="1234"/>
        <w:gridCol w:w="1867"/>
        <w:gridCol w:w="1686"/>
        <w:gridCol w:w="966"/>
      </w:tblGrid>
      <w:tr w14:paraId="0485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blHeader/>
          <w:jc w:val="center"/>
        </w:trPr>
        <w:tc>
          <w:tcPr>
            <w:tcW w:w="2320" w:type="dxa"/>
            <w:shd w:val="clear" w:color="auto" w:fill="FFFFFF"/>
            <w:vAlign w:val="center"/>
          </w:tcPr>
          <w:p w14:paraId="1F48BE46">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02" w:type="dxa"/>
            <w:shd w:val="clear" w:color="auto" w:fill="FFFFFF"/>
            <w:vAlign w:val="center"/>
          </w:tcPr>
          <w:p w14:paraId="6AE3FA69">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778" w:type="dxa"/>
            <w:shd w:val="clear" w:color="auto" w:fill="FFFFFF"/>
            <w:vAlign w:val="center"/>
          </w:tcPr>
          <w:p w14:paraId="3AF39A32">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w:t>
            </w:r>
            <w:r>
              <w:rPr>
                <w:rFonts w:hint="eastAsia" w:ascii="仿宋" w:hAnsi="仿宋" w:eastAsia="仿宋" w:cs="仿宋"/>
                <w:b/>
                <w:bCs/>
                <w:color w:val="auto"/>
                <w:kern w:val="0"/>
                <w:szCs w:val="21"/>
                <w:highlight w:val="none"/>
              </w:rPr>
              <w:br w:type="textWrapping"/>
            </w:r>
            <w:r>
              <w:rPr>
                <w:rFonts w:hint="eastAsia" w:ascii="仿宋" w:hAnsi="仿宋" w:eastAsia="仿宋" w:cs="仿宋"/>
                <w:b/>
                <w:bCs/>
                <w:color w:val="auto"/>
                <w:kern w:val="0"/>
                <w:szCs w:val="21"/>
                <w:highlight w:val="none"/>
              </w:rPr>
              <w:t>单位</w:t>
            </w:r>
          </w:p>
        </w:tc>
        <w:tc>
          <w:tcPr>
            <w:tcW w:w="1234" w:type="dxa"/>
            <w:shd w:val="clear" w:color="auto" w:fill="FFFFFF"/>
            <w:vAlign w:val="center"/>
          </w:tcPr>
          <w:p w14:paraId="254132F4">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67" w:type="dxa"/>
            <w:shd w:val="clear" w:color="auto" w:fill="FFFFFF"/>
            <w:vAlign w:val="center"/>
          </w:tcPr>
          <w:p w14:paraId="742AF4D3">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686" w:type="dxa"/>
            <w:shd w:val="clear" w:color="auto" w:fill="FFFFFF"/>
            <w:vAlign w:val="center"/>
          </w:tcPr>
          <w:p w14:paraId="64951729">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966" w:type="dxa"/>
            <w:shd w:val="clear" w:color="auto" w:fill="FFFFFF"/>
            <w:vAlign w:val="center"/>
          </w:tcPr>
          <w:p w14:paraId="701B0750">
            <w:pPr>
              <w:widowControl/>
              <w:spacing w:line="240" w:lineRule="exact"/>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6F51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Align w:val="center"/>
          </w:tcPr>
          <w:p w14:paraId="4813D87A">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农、林、牧、渔业</w:t>
            </w:r>
          </w:p>
        </w:tc>
        <w:tc>
          <w:tcPr>
            <w:tcW w:w="1502" w:type="dxa"/>
            <w:vAlign w:val="center"/>
          </w:tcPr>
          <w:p w14:paraId="7182B2F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02CEF61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09E519E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Y≥20000</w:t>
            </w:r>
          </w:p>
        </w:tc>
        <w:tc>
          <w:tcPr>
            <w:tcW w:w="1867" w:type="dxa"/>
            <w:vAlign w:val="center"/>
          </w:tcPr>
          <w:p w14:paraId="01ADDC4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500≤Y＜20000</w:t>
            </w:r>
          </w:p>
        </w:tc>
        <w:tc>
          <w:tcPr>
            <w:tcW w:w="1686" w:type="dxa"/>
            <w:vAlign w:val="center"/>
          </w:tcPr>
          <w:p w14:paraId="58B5A76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50≤Y＜500</w:t>
            </w:r>
          </w:p>
        </w:tc>
        <w:tc>
          <w:tcPr>
            <w:tcW w:w="966" w:type="dxa"/>
            <w:vAlign w:val="center"/>
          </w:tcPr>
          <w:p w14:paraId="44FA5CA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Y＜50</w:t>
            </w:r>
          </w:p>
        </w:tc>
      </w:tr>
      <w:tr w14:paraId="6DE2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0FFD0818">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工业*</w:t>
            </w:r>
          </w:p>
        </w:tc>
        <w:tc>
          <w:tcPr>
            <w:tcW w:w="1502" w:type="dxa"/>
            <w:vAlign w:val="center"/>
          </w:tcPr>
          <w:p w14:paraId="0617C53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440F8BB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4C0CE73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X≥1000</w:t>
            </w:r>
          </w:p>
        </w:tc>
        <w:tc>
          <w:tcPr>
            <w:tcW w:w="1867" w:type="dxa"/>
            <w:vAlign w:val="center"/>
          </w:tcPr>
          <w:p w14:paraId="03E0D30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300≤X＜1000</w:t>
            </w:r>
          </w:p>
        </w:tc>
        <w:tc>
          <w:tcPr>
            <w:tcW w:w="1686" w:type="dxa"/>
            <w:vAlign w:val="center"/>
          </w:tcPr>
          <w:p w14:paraId="154B19D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20≤X＜300</w:t>
            </w:r>
          </w:p>
        </w:tc>
        <w:tc>
          <w:tcPr>
            <w:tcW w:w="966" w:type="dxa"/>
            <w:vAlign w:val="center"/>
          </w:tcPr>
          <w:p w14:paraId="3F5CF2D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w:t>
            </w:r>
          </w:p>
        </w:tc>
      </w:tr>
      <w:tr w14:paraId="62F1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2239D4F6">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6FE8C8C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1270AC2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72DFFEF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Y≥40000</w:t>
            </w:r>
          </w:p>
        </w:tc>
        <w:tc>
          <w:tcPr>
            <w:tcW w:w="1867" w:type="dxa"/>
            <w:vAlign w:val="center"/>
          </w:tcPr>
          <w:p w14:paraId="45706AF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2000≤Y＜40000</w:t>
            </w:r>
          </w:p>
        </w:tc>
        <w:tc>
          <w:tcPr>
            <w:tcW w:w="1686" w:type="dxa"/>
            <w:vAlign w:val="center"/>
          </w:tcPr>
          <w:p w14:paraId="3EA769B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300≤Y＜2000</w:t>
            </w:r>
          </w:p>
        </w:tc>
        <w:tc>
          <w:tcPr>
            <w:tcW w:w="966" w:type="dxa"/>
            <w:vAlign w:val="center"/>
          </w:tcPr>
          <w:p w14:paraId="3CAAB32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Y＜300</w:t>
            </w:r>
          </w:p>
        </w:tc>
      </w:tr>
      <w:tr w14:paraId="1F93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0C0B602C">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建筑业</w:t>
            </w:r>
          </w:p>
        </w:tc>
        <w:tc>
          <w:tcPr>
            <w:tcW w:w="1502" w:type="dxa"/>
            <w:vAlign w:val="center"/>
          </w:tcPr>
          <w:p w14:paraId="7118BC2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7066EAA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754CE40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Y≥80000</w:t>
            </w:r>
          </w:p>
        </w:tc>
        <w:tc>
          <w:tcPr>
            <w:tcW w:w="1867" w:type="dxa"/>
            <w:vAlign w:val="center"/>
          </w:tcPr>
          <w:p w14:paraId="3179BFC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6000≤Y＜80000</w:t>
            </w:r>
          </w:p>
        </w:tc>
        <w:tc>
          <w:tcPr>
            <w:tcW w:w="1686" w:type="dxa"/>
            <w:vAlign w:val="center"/>
          </w:tcPr>
          <w:p w14:paraId="1F5D51A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300≤Y＜6000</w:t>
            </w:r>
          </w:p>
        </w:tc>
        <w:tc>
          <w:tcPr>
            <w:tcW w:w="966" w:type="dxa"/>
            <w:vAlign w:val="center"/>
          </w:tcPr>
          <w:p w14:paraId="48131D1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Y＜300</w:t>
            </w:r>
          </w:p>
        </w:tc>
      </w:tr>
      <w:tr w14:paraId="73B3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22F19FEF">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223E304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资产总额(Z)</w:t>
            </w:r>
          </w:p>
        </w:tc>
        <w:tc>
          <w:tcPr>
            <w:tcW w:w="778" w:type="dxa"/>
            <w:vAlign w:val="center"/>
          </w:tcPr>
          <w:p w14:paraId="7E493C8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40F1E9A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Z≥80000</w:t>
            </w:r>
          </w:p>
        </w:tc>
        <w:tc>
          <w:tcPr>
            <w:tcW w:w="1867" w:type="dxa"/>
            <w:vAlign w:val="center"/>
          </w:tcPr>
          <w:p w14:paraId="170011B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5000≤Z＜80000</w:t>
            </w:r>
          </w:p>
        </w:tc>
        <w:tc>
          <w:tcPr>
            <w:tcW w:w="1686" w:type="dxa"/>
            <w:vAlign w:val="center"/>
          </w:tcPr>
          <w:p w14:paraId="515CD30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300≤Z＜5000</w:t>
            </w:r>
          </w:p>
        </w:tc>
        <w:tc>
          <w:tcPr>
            <w:tcW w:w="966" w:type="dxa"/>
            <w:vAlign w:val="center"/>
          </w:tcPr>
          <w:p w14:paraId="423993B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Z＜300</w:t>
            </w:r>
          </w:p>
        </w:tc>
      </w:tr>
      <w:tr w14:paraId="6DF3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2C3369F">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批发业</w:t>
            </w:r>
          </w:p>
        </w:tc>
        <w:tc>
          <w:tcPr>
            <w:tcW w:w="1502" w:type="dxa"/>
            <w:vAlign w:val="center"/>
          </w:tcPr>
          <w:p w14:paraId="1C50A4B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1F9C3B7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2595E92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X≥200</w:t>
            </w:r>
          </w:p>
        </w:tc>
        <w:tc>
          <w:tcPr>
            <w:tcW w:w="1867" w:type="dxa"/>
            <w:vAlign w:val="center"/>
          </w:tcPr>
          <w:p w14:paraId="316BCC1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20≤X＜200</w:t>
            </w:r>
          </w:p>
        </w:tc>
        <w:tc>
          <w:tcPr>
            <w:tcW w:w="1686" w:type="dxa"/>
            <w:vAlign w:val="center"/>
          </w:tcPr>
          <w:p w14:paraId="2413F9D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5≤X＜20</w:t>
            </w:r>
          </w:p>
        </w:tc>
        <w:tc>
          <w:tcPr>
            <w:tcW w:w="966" w:type="dxa"/>
            <w:vAlign w:val="center"/>
          </w:tcPr>
          <w:p w14:paraId="77D2FB9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X＜5</w:t>
            </w:r>
          </w:p>
        </w:tc>
      </w:tr>
      <w:tr w14:paraId="36FD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0B9037D4">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4BF4E8F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0D6BAA3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69AFB5D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Y≥40000</w:t>
            </w:r>
          </w:p>
        </w:tc>
        <w:tc>
          <w:tcPr>
            <w:tcW w:w="1867" w:type="dxa"/>
            <w:vAlign w:val="center"/>
          </w:tcPr>
          <w:p w14:paraId="77F7BD0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5000≤Y＜40000</w:t>
            </w:r>
          </w:p>
        </w:tc>
        <w:tc>
          <w:tcPr>
            <w:tcW w:w="1686" w:type="dxa"/>
            <w:vAlign w:val="center"/>
          </w:tcPr>
          <w:p w14:paraId="5E34D6D0">
            <w:pPr>
              <w:widowControl/>
              <w:spacing w:line="240" w:lineRule="exact"/>
              <w:ind w:left="-1" w:leftChars="-1" w:hanging="1"/>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1000≤Y＜5000</w:t>
            </w:r>
          </w:p>
        </w:tc>
        <w:tc>
          <w:tcPr>
            <w:tcW w:w="966" w:type="dxa"/>
            <w:vAlign w:val="center"/>
          </w:tcPr>
          <w:p w14:paraId="7CA57A1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Y＜1000</w:t>
            </w:r>
          </w:p>
        </w:tc>
      </w:tr>
      <w:tr w14:paraId="7ED1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57F417C">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零售业</w:t>
            </w:r>
          </w:p>
        </w:tc>
        <w:tc>
          <w:tcPr>
            <w:tcW w:w="1502" w:type="dxa"/>
            <w:vAlign w:val="center"/>
          </w:tcPr>
          <w:p w14:paraId="53BFD2A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2B27E73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231EB81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5F8D29C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50≤X＜300</w:t>
            </w:r>
          </w:p>
        </w:tc>
        <w:tc>
          <w:tcPr>
            <w:tcW w:w="1686" w:type="dxa"/>
            <w:vAlign w:val="center"/>
          </w:tcPr>
          <w:p w14:paraId="5515137D">
            <w:pPr>
              <w:widowControl/>
              <w:spacing w:line="240" w:lineRule="exact"/>
              <w:ind w:left="-1" w:leftChars="-1" w:hanging="1"/>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10≤X＜50 </w:t>
            </w:r>
          </w:p>
        </w:tc>
        <w:tc>
          <w:tcPr>
            <w:tcW w:w="966" w:type="dxa"/>
            <w:vAlign w:val="center"/>
          </w:tcPr>
          <w:p w14:paraId="4B71D9C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0CB3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637E6586">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739A075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777C637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292364B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Y≥20000</w:t>
            </w:r>
          </w:p>
        </w:tc>
        <w:tc>
          <w:tcPr>
            <w:tcW w:w="1867" w:type="dxa"/>
            <w:vAlign w:val="center"/>
          </w:tcPr>
          <w:p w14:paraId="2C68E81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500≤Y＜20000</w:t>
            </w:r>
          </w:p>
        </w:tc>
        <w:tc>
          <w:tcPr>
            <w:tcW w:w="1686" w:type="dxa"/>
            <w:vAlign w:val="center"/>
          </w:tcPr>
          <w:p w14:paraId="7BFFBE02">
            <w:pPr>
              <w:widowControl/>
              <w:spacing w:line="240" w:lineRule="exact"/>
              <w:ind w:left="-1" w:leftChars="-1" w:hanging="1"/>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100≤Y＜500</w:t>
            </w:r>
          </w:p>
        </w:tc>
        <w:tc>
          <w:tcPr>
            <w:tcW w:w="966" w:type="dxa"/>
            <w:vAlign w:val="center"/>
          </w:tcPr>
          <w:p w14:paraId="48828AC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507D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76E3FC0C">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交通运输业*</w:t>
            </w:r>
          </w:p>
        </w:tc>
        <w:tc>
          <w:tcPr>
            <w:tcW w:w="1502" w:type="dxa"/>
            <w:vAlign w:val="center"/>
          </w:tcPr>
          <w:p w14:paraId="751F6AC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3A77CEF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235D73D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X≥1000</w:t>
            </w:r>
          </w:p>
        </w:tc>
        <w:tc>
          <w:tcPr>
            <w:tcW w:w="1867" w:type="dxa"/>
            <w:vAlign w:val="center"/>
          </w:tcPr>
          <w:p w14:paraId="6722D5F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300≤X＜1000</w:t>
            </w:r>
          </w:p>
        </w:tc>
        <w:tc>
          <w:tcPr>
            <w:tcW w:w="1686" w:type="dxa"/>
            <w:vAlign w:val="center"/>
          </w:tcPr>
          <w:p w14:paraId="2BC02D7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20≤X＜300</w:t>
            </w:r>
          </w:p>
        </w:tc>
        <w:tc>
          <w:tcPr>
            <w:tcW w:w="966" w:type="dxa"/>
            <w:vAlign w:val="center"/>
          </w:tcPr>
          <w:p w14:paraId="5EBA4E5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w:t>
            </w:r>
          </w:p>
        </w:tc>
      </w:tr>
      <w:tr w14:paraId="07DC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7D0450CB">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1476914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0AD71C5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1F9C494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Y≥30000</w:t>
            </w:r>
          </w:p>
        </w:tc>
        <w:tc>
          <w:tcPr>
            <w:tcW w:w="1867" w:type="dxa"/>
            <w:vAlign w:val="center"/>
          </w:tcPr>
          <w:p w14:paraId="1A1F780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3000≤Y＜30000</w:t>
            </w:r>
          </w:p>
        </w:tc>
        <w:tc>
          <w:tcPr>
            <w:tcW w:w="1686" w:type="dxa"/>
            <w:vAlign w:val="center"/>
          </w:tcPr>
          <w:p w14:paraId="0995759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200≤Y＜3000</w:t>
            </w:r>
          </w:p>
        </w:tc>
        <w:tc>
          <w:tcPr>
            <w:tcW w:w="966" w:type="dxa"/>
            <w:vAlign w:val="center"/>
          </w:tcPr>
          <w:p w14:paraId="1E5CA2E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Y＜200</w:t>
            </w:r>
          </w:p>
        </w:tc>
      </w:tr>
      <w:tr w14:paraId="77F5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75A8AD7">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w:t>
            </w:r>
          </w:p>
        </w:tc>
        <w:tc>
          <w:tcPr>
            <w:tcW w:w="1502" w:type="dxa"/>
            <w:vAlign w:val="center"/>
          </w:tcPr>
          <w:p w14:paraId="482E142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154327B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778A091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X≥200</w:t>
            </w:r>
          </w:p>
        </w:tc>
        <w:tc>
          <w:tcPr>
            <w:tcW w:w="1867" w:type="dxa"/>
            <w:vAlign w:val="center"/>
          </w:tcPr>
          <w:p w14:paraId="297ADCA2">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100≤X＜200</w:t>
            </w:r>
          </w:p>
        </w:tc>
        <w:tc>
          <w:tcPr>
            <w:tcW w:w="1686" w:type="dxa"/>
            <w:vAlign w:val="center"/>
          </w:tcPr>
          <w:p w14:paraId="45B33DF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20≤X＜100</w:t>
            </w:r>
          </w:p>
        </w:tc>
        <w:tc>
          <w:tcPr>
            <w:tcW w:w="966" w:type="dxa"/>
            <w:vAlign w:val="center"/>
          </w:tcPr>
          <w:p w14:paraId="226614D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w:t>
            </w:r>
          </w:p>
        </w:tc>
      </w:tr>
      <w:tr w14:paraId="6B8D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7F10C136">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1E4B9C2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0FF1627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402CC4F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Y≥30000</w:t>
            </w:r>
          </w:p>
        </w:tc>
        <w:tc>
          <w:tcPr>
            <w:tcW w:w="1867" w:type="dxa"/>
            <w:vAlign w:val="center"/>
          </w:tcPr>
          <w:p w14:paraId="68C45F9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1000≤Y＜30000</w:t>
            </w:r>
          </w:p>
        </w:tc>
        <w:tc>
          <w:tcPr>
            <w:tcW w:w="1686" w:type="dxa"/>
            <w:vAlign w:val="center"/>
          </w:tcPr>
          <w:p w14:paraId="73DA0A7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100≤Y＜1000</w:t>
            </w:r>
          </w:p>
        </w:tc>
        <w:tc>
          <w:tcPr>
            <w:tcW w:w="966" w:type="dxa"/>
            <w:vAlign w:val="center"/>
          </w:tcPr>
          <w:p w14:paraId="323C206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278C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0BC76584">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邮政业</w:t>
            </w:r>
          </w:p>
        </w:tc>
        <w:tc>
          <w:tcPr>
            <w:tcW w:w="1502" w:type="dxa"/>
            <w:vAlign w:val="center"/>
          </w:tcPr>
          <w:p w14:paraId="0DB19AB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6AE7132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6DE4C6A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X≥1000</w:t>
            </w:r>
          </w:p>
        </w:tc>
        <w:tc>
          <w:tcPr>
            <w:tcW w:w="1867" w:type="dxa"/>
            <w:vAlign w:val="center"/>
          </w:tcPr>
          <w:p w14:paraId="27F1AAA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300≤X＜1000</w:t>
            </w:r>
          </w:p>
        </w:tc>
        <w:tc>
          <w:tcPr>
            <w:tcW w:w="1686" w:type="dxa"/>
            <w:vAlign w:val="center"/>
          </w:tcPr>
          <w:p w14:paraId="3D2CAB5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20≤X＜300</w:t>
            </w:r>
          </w:p>
        </w:tc>
        <w:tc>
          <w:tcPr>
            <w:tcW w:w="966" w:type="dxa"/>
            <w:vAlign w:val="center"/>
          </w:tcPr>
          <w:p w14:paraId="602592F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w:t>
            </w:r>
          </w:p>
        </w:tc>
      </w:tr>
      <w:tr w14:paraId="498C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370B25F3">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692D764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24EF7EA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1B1C566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Y≥30000</w:t>
            </w:r>
          </w:p>
        </w:tc>
        <w:tc>
          <w:tcPr>
            <w:tcW w:w="1867" w:type="dxa"/>
            <w:vAlign w:val="center"/>
          </w:tcPr>
          <w:p w14:paraId="7E0BDE0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2000≤Y＜30000</w:t>
            </w:r>
          </w:p>
        </w:tc>
        <w:tc>
          <w:tcPr>
            <w:tcW w:w="1686" w:type="dxa"/>
            <w:vAlign w:val="center"/>
          </w:tcPr>
          <w:p w14:paraId="15C1578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100≤Y＜2000</w:t>
            </w:r>
          </w:p>
        </w:tc>
        <w:tc>
          <w:tcPr>
            <w:tcW w:w="966" w:type="dxa"/>
            <w:vAlign w:val="center"/>
          </w:tcPr>
          <w:p w14:paraId="43A3357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5553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675A897A">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住宿业</w:t>
            </w:r>
          </w:p>
        </w:tc>
        <w:tc>
          <w:tcPr>
            <w:tcW w:w="1502" w:type="dxa"/>
            <w:vAlign w:val="center"/>
          </w:tcPr>
          <w:p w14:paraId="230B0DE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3106578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50A11DA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3AC102D1">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100≤X＜300</w:t>
            </w:r>
          </w:p>
        </w:tc>
        <w:tc>
          <w:tcPr>
            <w:tcW w:w="1686" w:type="dxa"/>
            <w:vAlign w:val="center"/>
          </w:tcPr>
          <w:p w14:paraId="7ADFD86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088A326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40B4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60033149">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0723BA1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2850415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7668890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Y≥10000</w:t>
            </w:r>
          </w:p>
        </w:tc>
        <w:tc>
          <w:tcPr>
            <w:tcW w:w="1867" w:type="dxa"/>
            <w:vAlign w:val="center"/>
          </w:tcPr>
          <w:p w14:paraId="4144C3A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2000≤Y＜10000</w:t>
            </w:r>
          </w:p>
        </w:tc>
        <w:tc>
          <w:tcPr>
            <w:tcW w:w="1686" w:type="dxa"/>
            <w:vAlign w:val="center"/>
          </w:tcPr>
          <w:p w14:paraId="384D84F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100≤Y＜2000</w:t>
            </w:r>
          </w:p>
        </w:tc>
        <w:tc>
          <w:tcPr>
            <w:tcW w:w="966" w:type="dxa"/>
            <w:vAlign w:val="center"/>
          </w:tcPr>
          <w:p w14:paraId="3F442F3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6523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1D145C2B">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餐饮业</w:t>
            </w:r>
          </w:p>
        </w:tc>
        <w:tc>
          <w:tcPr>
            <w:tcW w:w="1502" w:type="dxa"/>
            <w:vAlign w:val="center"/>
          </w:tcPr>
          <w:p w14:paraId="3598558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4265EBD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7C46B6E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243C65D4">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100≤X＜300 </w:t>
            </w:r>
          </w:p>
        </w:tc>
        <w:tc>
          <w:tcPr>
            <w:tcW w:w="1686" w:type="dxa"/>
            <w:vAlign w:val="center"/>
          </w:tcPr>
          <w:p w14:paraId="7952680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6263111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17B2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2D029A6E">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728C023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7370777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5B99416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Y≥10000</w:t>
            </w:r>
          </w:p>
        </w:tc>
        <w:tc>
          <w:tcPr>
            <w:tcW w:w="1867" w:type="dxa"/>
            <w:vAlign w:val="center"/>
          </w:tcPr>
          <w:p w14:paraId="46DE993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2000≤Y＜10000</w:t>
            </w:r>
          </w:p>
        </w:tc>
        <w:tc>
          <w:tcPr>
            <w:tcW w:w="1686" w:type="dxa"/>
            <w:vAlign w:val="center"/>
          </w:tcPr>
          <w:p w14:paraId="7825B6B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100≤Y＜2000</w:t>
            </w:r>
          </w:p>
        </w:tc>
        <w:tc>
          <w:tcPr>
            <w:tcW w:w="966" w:type="dxa"/>
            <w:vAlign w:val="center"/>
          </w:tcPr>
          <w:p w14:paraId="1ACB79B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7656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1C278835">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信息传输业*</w:t>
            </w:r>
          </w:p>
        </w:tc>
        <w:tc>
          <w:tcPr>
            <w:tcW w:w="1502" w:type="dxa"/>
            <w:vAlign w:val="center"/>
          </w:tcPr>
          <w:p w14:paraId="7FF26D3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18ADFC5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2D3D51A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X≥2000</w:t>
            </w:r>
          </w:p>
        </w:tc>
        <w:tc>
          <w:tcPr>
            <w:tcW w:w="1867" w:type="dxa"/>
            <w:vAlign w:val="center"/>
          </w:tcPr>
          <w:p w14:paraId="4968433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100≤X＜2000</w:t>
            </w:r>
          </w:p>
        </w:tc>
        <w:tc>
          <w:tcPr>
            <w:tcW w:w="1686" w:type="dxa"/>
            <w:vAlign w:val="center"/>
          </w:tcPr>
          <w:p w14:paraId="1B710EE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7763784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1AF1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69115B11">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69EAE3D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30CA56A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4977512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Y≥100000</w:t>
            </w:r>
          </w:p>
        </w:tc>
        <w:tc>
          <w:tcPr>
            <w:tcW w:w="1867" w:type="dxa"/>
            <w:vAlign w:val="center"/>
          </w:tcPr>
          <w:p w14:paraId="0035439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1000≤Y＜100000</w:t>
            </w:r>
          </w:p>
        </w:tc>
        <w:tc>
          <w:tcPr>
            <w:tcW w:w="1686" w:type="dxa"/>
            <w:vAlign w:val="center"/>
          </w:tcPr>
          <w:p w14:paraId="55489DDA">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100≤Y＜1000</w:t>
            </w:r>
          </w:p>
        </w:tc>
        <w:tc>
          <w:tcPr>
            <w:tcW w:w="966" w:type="dxa"/>
            <w:vAlign w:val="center"/>
          </w:tcPr>
          <w:p w14:paraId="639537F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651B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57C4F13B">
            <w:pPr>
              <w:widowControl/>
              <w:spacing w:line="240" w:lineRule="exact"/>
              <w:jc w:val="left"/>
              <w:rPr>
                <w:rFonts w:hint="eastAsia" w:ascii="仿宋" w:hAnsi="仿宋" w:eastAsia="仿宋" w:cs="仿宋"/>
                <w:color w:val="auto"/>
                <w:spacing w:val="-12"/>
                <w:kern w:val="0"/>
                <w:szCs w:val="21"/>
                <w:highlight w:val="none"/>
              </w:rPr>
            </w:pPr>
            <w:r>
              <w:rPr>
                <w:rFonts w:hint="eastAsia" w:ascii="仿宋" w:hAnsi="仿宋" w:eastAsia="仿宋" w:cs="仿宋"/>
                <w:color w:val="auto"/>
                <w:spacing w:val="-12"/>
                <w:kern w:val="0"/>
                <w:szCs w:val="21"/>
                <w:highlight w:val="none"/>
              </w:rPr>
              <w:t>软件和信息技术服</w:t>
            </w:r>
            <w:r>
              <w:rPr>
                <w:rFonts w:hint="eastAsia" w:ascii="仿宋" w:hAnsi="仿宋" w:eastAsia="仿宋" w:cs="仿宋"/>
                <w:color w:val="auto"/>
                <w:kern w:val="0"/>
                <w:szCs w:val="21"/>
                <w:highlight w:val="none"/>
              </w:rPr>
              <w:t>务业</w:t>
            </w:r>
          </w:p>
        </w:tc>
        <w:tc>
          <w:tcPr>
            <w:tcW w:w="1502" w:type="dxa"/>
            <w:vAlign w:val="center"/>
          </w:tcPr>
          <w:p w14:paraId="23C0CAC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39E377F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41CDFD0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363E396C">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100≤X＜300 </w:t>
            </w:r>
          </w:p>
        </w:tc>
        <w:tc>
          <w:tcPr>
            <w:tcW w:w="1686" w:type="dxa"/>
            <w:vAlign w:val="center"/>
          </w:tcPr>
          <w:p w14:paraId="3AC81BA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16C73B8F">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7D79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127525B9">
            <w:pPr>
              <w:widowControl/>
              <w:spacing w:line="240" w:lineRule="exact"/>
              <w:jc w:val="left"/>
              <w:rPr>
                <w:rFonts w:hint="eastAsia" w:ascii="仿宋" w:hAnsi="仿宋" w:eastAsia="仿宋" w:cs="仿宋"/>
                <w:color w:val="auto"/>
                <w:spacing w:val="-12"/>
                <w:kern w:val="0"/>
                <w:szCs w:val="21"/>
                <w:highlight w:val="none"/>
              </w:rPr>
            </w:pPr>
          </w:p>
        </w:tc>
        <w:tc>
          <w:tcPr>
            <w:tcW w:w="1502" w:type="dxa"/>
            <w:vAlign w:val="center"/>
          </w:tcPr>
          <w:p w14:paraId="6943F13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2AB1D19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4EEB5F4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Y≥10000</w:t>
            </w:r>
          </w:p>
        </w:tc>
        <w:tc>
          <w:tcPr>
            <w:tcW w:w="1867" w:type="dxa"/>
            <w:vAlign w:val="center"/>
          </w:tcPr>
          <w:p w14:paraId="53DC85A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1000≤Y＜10000</w:t>
            </w:r>
          </w:p>
        </w:tc>
        <w:tc>
          <w:tcPr>
            <w:tcW w:w="1686" w:type="dxa"/>
            <w:vAlign w:val="center"/>
          </w:tcPr>
          <w:p w14:paraId="0B08603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50≤Y＜1000</w:t>
            </w:r>
          </w:p>
        </w:tc>
        <w:tc>
          <w:tcPr>
            <w:tcW w:w="966" w:type="dxa"/>
            <w:vAlign w:val="center"/>
          </w:tcPr>
          <w:p w14:paraId="393A138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Y＜50</w:t>
            </w:r>
          </w:p>
        </w:tc>
      </w:tr>
      <w:tr w14:paraId="2115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431DC2CE">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房地产开发经营</w:t>
            </w:r>
          </w:p>
        </w:tc>
        <w:tc>
          <w:tcPr>
            <w:tcW w:w="1502" w:type="dxa"/>
            <w:vAlign w:val="center"/>
          </w:tcPr>
          <w:p w14:paraId="5C6082C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753DE48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11F30CF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Y≥200000</w:t>
            </w:r>
          </w:p>
        </w:tc>
        <w:tc>
          <w:tcPr>
            <w:tcW w:w="1867" w:type="dxa"/>
            <w:vAlign w:val="center"/>
          </w:tcPr>
          <w:p w14:paraId="2D9743A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1000≤Y＜200000</w:t>
            </w:r>
          </w:p>
        </w:tc>
        <w:tc>
          <w:tcPr>
            <w:tcW w:w="1686" w:type="dxa"/>
            <w:vAlign w:val="center"/>
          </w:tcPr>
          <w:p w14:paraId="481909A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100≤Y＜1000</w:t>
            </w:r>
          </w:p>
        </w:tc>
        <w:tc>
          <w:tcPr>
            <w:tcW w:w="966" w:type="dxa"/>
            <w:vAlign w:val="center"/>
          </w:tcPr>
          <w:p w14:paraId="7900C55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Y＜100</w:t>
            </w:r>
          </w:p>
        </w:tc>
      </w:tr>
      <w:tr w14:paraId="4E1D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jc w:val="center"/>
        </w:trPr>
        <w:tc>
          <w:tcPr>
            <w:tcW w:w="2320" w:type="dxa"/>
            <w:vMerge w:val="continue"/>
            <w:vAlign w:val="center"/>
          </w:tcPr>
          <w:p w14:paraId="5C25052A">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7E598F8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资产总额(Z)</w:t>
            </w:r>
          </w:p>
        </w:tc>
        <w:tc>
          <w:tcPr>
            <w:tcW w:w="778" w:type="dxa"/>
            <w:vAlign w:val="center"/>
          </w:tcPr>
          <w:p w14:paraId="728B695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5DA09B5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Z≥10000</w:t>
            </w:r>
          </w:p>
        </w:tc>
        <w:tc>
          <w:tcPr>
            <w:tcW w:w="1867" w:type="dxa"/>
            <w:vAlign w:val="center"/>
          </w:tcPr>
          <w:p w14:paraId="0D7B502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5000≤Z＜10000</w:t>
            </w:r>
          </w:p>
        </w:tc>
        <w:tc>
          <w:tcPr>
            <w:tcW w:w="1686" w:type="dxa"/>
            <w:vAlign w:val="center"/>
          </w:tcPr>
          <w:p w14:paraId="5DD6677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2000≤Z＜5000</w:t>
            </w:r>
          </w:p>
        </w:tc>
        <w:tc>
          <w:tcPr>
            <w:tcW w:w="966" w:type="dxa"/>
            <w:vAlign w:val="center"/>
          </w:tcPr>
          <w:p w14:paraId="70428AC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Z＜2000</w:t>
            </w:r>
          </w:p>
        </w:tc>
      </w:tr>
      <w:tr w14:paraId="04F8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06CA65AA">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物业管理</w:t>
            </w:r>
          </w:p>
        </w:tc>
        <w:tc>
          <w:tcPr>
            <w:tcW w:w="1502" w:type="dxa"/>
            <w:vAlign w:val="center"/>
          </w:tcPr>
          <w:p w14:paraId="67C0D1D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4EFEC6A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52820B5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X≥1000</w:t>
            </w:r>
          </w:p>
        </w:tc>
        <w:tc>
          <w:tcPr>
            <w:tcW w:w="1867" w:type="dxa"/>
            <w:vAlign w:val="center"/>
          </w:tcPr>
          <w:p w14:paraId="2BCF297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300≤X＜1000</w:t>
            </w:r>
          </w:p>
        </w:tc>
        <w:tc>
          <w:tcPr>
            <w:tcW w:w="1686" w:type="dxa"/>
            <w:vAlign w:val="center"/>
          </w:tcPr>
          <w:p w14:paraId="2EF9475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100≤X＜300</w:t>
            </w:r>
          </w:p>
        </w:tc>
        <w:tc>
          <w:tcPr>
            <w:tcW w:w="966" w:type="dxa"/>
            <w:vAlign w:val="center"/>
          </w:tcPr>
          <w:p w14:paraId="10E5477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X＜100</w:t>
            </w:r>
          </w:p>
        </w:tc>
      </w:tr>
      <w:tr w14:paraId="156B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623D70B7">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21367CD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营业收入(Y)</w:t>
            </w:r>
          </w:p>
        </w:tc>
        <w:tc>
          <w:tcPr>
            <w:tcW w:w="778" w:type="dxa"/>
            <w:vAlign w:val="center"/>
          </w:tcPr>
          <w:p w14:paraId="1E80C85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61DE7E4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Y≥5000</w:t>
            </w:r>
          </w:p>
        </w:tc>
        <w:tc>
          <w:tcPr>
            <w:tcW w:w="1867" w:type="dxa"/>
            <w:vAlign w:val="center"/>
          </w:tcPr>
          <w:p w14:paraId="554BB170">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1000≤Y＜5000</w:t>
            </w:r>
          </w:p>
        </w:tc>
        <w:tc>
          <w:tcPr>
            <w:tcW w:w="1686" w:type="dxa"/>
            <w:vAlign w:val="center"/>
          </w:tcPr>
          <w:p w14:paraId="020D90D6">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500≤Y＜1000</w:t>
            </w:r>
          </w:p>
        </w:tc>
        <w:tc>
          <w:tcPr>
            <w:tcW w:w="966" w:type="dxa"/>
            <w:vAlign w:val="center"/>
          </w:tcPr>
          <w:p w14:paraId="34080830">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Y＜500</w:t>
            </w:r>
          </w:p>
        </w:tc>
      </w:tr>
      <w:tr w14:paraId="011B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190A702E">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租赁和商务服务业</w:t>
            </w:r>
          </w:p>
        </w:tc>
        <w:tc>
          <w:tcPr>
            <w:tcW w:w="1502" w:type="dxa"/>
            <w:vAlign w:val="center"/>
          </w:tcPr>
          <w:p w14:paraId="7EFD378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3626E981">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7CA679C3">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79EB806D">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100≤X＜300</w:t>
            </w:r>
          </w:p>
        </w:tc>
        <w:tc>
          <w:tcPr>
            <w:tcW w:w="1686" w:type="dxa"/>
            <w:vAlign w:val="center"/>
          </w:tcPr>
          <w:p w14:paraId="72F04E39">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33499DD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r w14:paraId="6862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772928EB">
            <w:pPr>
              <w:widowControl/>
              <w:spacing w:line="240" w:lineRule="exact"/>
              <w:jc w:val="left"/>
              <w:rPr>
                <w:rFonts w:hint="eastAsia" w:ascii="仿宋" w:hAnsi="仿宋" w:eastAsia="仿宋" w:cs="仿宋"/>
                <w:color w:val="auto"/>
                <w:kern w:val="0"/>
                <w:szCs w:val="21"/>
                <w:highlight w:val="none"/>
              </w:rPr>
            </w:pPr>
          </w:p>
        </w:tc>
        <w:tc>
          <w:tcPr>
            <w:tcW w:w="1502" w:type="dxa"/>
            <w:vAlign w:val="center"/>
          </w:tcPr>
          <w:p w14:paraId="49F6BEAD">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资产总额(Z)</w:t>
            </w:r>
          </w:p>
        </w:tc>
        <w:tc>
          <w:tcPr>
            <w:tcW w:w="778" w:type="dxa"/>
            <w:vAlign w:val="center"/>
          </w:tcPr>
          <w:p w14:paraId="05E5B84B">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万元</w:t>
            </w:r>
          </w:p>
        </w:tc>
        <w:tc>
          <w:tcPr>
            <w:tcW w:w="1234" w:type="dxa"/>
            <w:vAlign w:val="center"/>
          </w:tcPr>
          <w:p w14:paraId="0BFC5CFE">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Z≥120000</w:t>
            </w:r>
          </w:p>
        </w:tc>
        <w:tc>
          <w:tcPr>
            <w:tcW w:w="1867" w:type="dxa"/>
            <w:vAlign w:val="center"/>
          </w:tcPr>
          <w:p w14:paraId="42543E3C">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8000≤Z＜120000</w:t>
            </w:r>
          </w:p>
        </w:tc>
        <w:tc>
          <w:tcPr>
            <w:tcW w:w="1686" w:type="dxa"/>
            <w:vAlign w:val="center"/>
          </w:tcPr>
          <w:p w14:paraId="28EF958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100≤Z＜8000</w:t>
            </w:r>
          </w:p>
        </w:tc>
        <w:tc>
          <w:tcPr>
            <w:tcW w:w="966" w:type="dxa"/>
            <w:vAlign w:val="center"/>
          </w:tcPr>
          <w:p w14:paraId="4D0BD7B8">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Z＜100</w:t>
            </w:r>
          </w:p>
        </w:tc>
      </w:tr>
      <w:tr w14:paraId="5EDF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Align w:val="center"/>
          </w:tcPr>
          <w:p w14:paraId="1DBAE2DE">
            <w:pPr>
              <w:widowControl/>
              <w:spacing w:line="240" w:lineRule="exact"/>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其他未列明行业*</w:t>
            </w:r>
          </w:p>
        </w:tc>
        <w:tc>
          <w:tcPr>
            <w:tcW w:w="1502" w:type="dxa"/>
            <w:vAlign w:val="center"/>
          </w:tcPr>
          <w:p w14:paraId="5E845647">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从业人员(X)</w:t>
            </w:r>
          </w:p>
        </w:tc>
        <w:tc>
          <w:tcPr>
            <w:tcW w:w="778" w:type="dxa"/>
            <w:vAlign w:val="center"/>
          </w:tcPr>
          <w:p w14:paraId="1CEEFE82">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人</w:t>
            </w:r>
          </w:p>
        </w:tc>
        <w:tc>
          <w:tcPr>
            <w:tcW w:w="1234" w:type="dxa"/>
            <w:vAlign w:val="center"/>
          </w:tcPr>
          <w:p w14:paraId="7E58AD1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X≥300</w:t>
            </w:r>
          </w:p>
        </w:tc>
        <w:tc>
          <w:tcPr>
            <w:tcW w:w="1867" w:type="dxa"/>
            <w:vAlign w:val="center"/>
          </w:tcPr>
          <w:p w14:paraId="5BB636DA">
            <w:pPr>
              <w:widowControl/>
              <w:spacing w:line="240" w:lineRule="exact"/>
              <w:ind w:left="19" w:leftChars="-51" w:hanging="126" w:hangingChars="6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100≤X＜300</w:t>
            </w:r>
          </w:p>
        </w:tc>
        <w:tc>
          <w:tcPr>
            <w:tcW w:w="1686" w:type="dxa"/>
            <w:vAlign w:val="center"/>
          </w:tcPr>
          <w:p w14:paraId="38070054">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10≤X＜100</w:t>
            </w:r>
          </w:p>
        </w:tc>
        <w:tc>
          <w:tcPr>
            <w:tcW w:w="966" w:type="dxa"/>
            <w:vAlign w:val="center"/>
          </w:tcPr>
          <w:p w14:paraId="6903D165">
            <w:pPr>
              <w:widowControl/>
              <w:spacing w:line="240" w:lineRule="exac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X＜10</w:t>
            </w:r>
          </w:p>
        </w:tc>
      </w:tr>
    </w:tbl>
    <w:p w14:paraId="5B7F2C82">
      <w:pPr>
        <w:keepNext w:val="0"/>
        <w:keepLines w:val="0"/>
        <w:pageBreakBefore w:val="0"/>
        <w:widowControl w:val="0"/>
        <w:kinsoku/>
        <w:wordWrap/>
        <w:overflowPunct/>
        <w:topLinePunct w:val="0"/>
        <w:autoSpaceDE/>
        <w:autoSpaceDN/>
        <w:bidi w:val="0"/>
        <w:adjustRightInd/>
        <w:snapToGrid/>
        <w:spacing w:line="260" w:lineRule="exact"/>
        <w:textAlignment w:val="auto"/>
        <w:outlineLvl w:val="9"/>
        <w:rPr>
          <w:rFonts w:hint="eastAsia" w:ascii="仿宋" w:hAnsi="仿宋" w:eastAsia="仿宋" w:cs="仿宋"/>
          <w:color w:val="auto"/>
          <w:spacing w:val="8"/>
          <w:szCs w:val="21"/>
          <w:highlight w:val="none"/>
        </w:rPr>
      </w:pPr>
      <w:r>
        <w:rPr>
          <w:rFonts w:hint="eastAsia" w:ascii="仿宋" w:hAnsi="仿宋" w:eastAsia="仿宋" w:cs="仿宋"/>
          <w:color w:val="auto"/>
          <w:spacing w:val="8"/>
          <w:kern w:val="0"/>
          <w:szCs w:val="21"/>
          <w:highlight w:val="none"/>
        </w:rPr>
        <w:t>说明：</w:t>
      </w:r>
      <w:r>
        <w:rPr>
          <w:rFonts w:hint="eastAsia" w:ascii="仿宋" w:hAnsi="仿宋" w:eastAsia="仿宋" w:cs="仿宋"/>
          <w:color w:val="auto"/>
          <w:spacing w:val="8"/>
          <w:szCs w:val="21"/>
          <w:highlight w:val="none"/>
        </w:rPr>
        <w:t>1.大型、中型和小型企业须同时满足所列指标的下限，否则下划一档；微型企业只须满足所列指标中的一项即可。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7742A3F">
      <w:pPr>
        <w:rPr>
          <w:rFonts w:hint="eastAsia" w:ascii="仿宋" w:hAnsi="仿宋" w:eastAsia="仿宋" w:cs="仿宋"/>
          <w:b/>
          <w:color w:val="auto"/>
          <w:sz w:val="44"/>
          <w:szCs w:val="44"/>
          <w:highlight w:val="none"/>
        </w:rPr>
      </w:pPr>
      <w:bookmarkStart w:id="67" w:name="_Toc74320802"/>
      <w:r>
        <w:rPr>
          <w:rFonts w:hint="eastAsia" w:ascii="仿宋" w:hAnsi="仿宋" w:eastAsia="仿宋" w:cs="仿宋"/>
          <w:b/>
          <w:color w:val="auto"/>
          <w:sz w:val="44"/>
          <w:szCs w:val="44"/>
          <w:highlight w:val="none"/>
        </w:rPr>
        <w:br w:type="page"/>
      </w:r>
    </w:p>
    <w:p w14:paraId="043FC59D">
      <w:pPr>
        <w:spacing w:line="360" w:lineRule="auto"/>
        <w:ind w:firstLine="482" w:firstLineChars="200"/>
        <w:jc w:val="left"/>
        <w:rPr>
          <w:rFonts w:hint="eastAsia" w:ascii="仿宋" w:hAnsi="仿宋" w:eastAsia="仿宋" w:cs="仿宋"/>
          <w:b/>
          <w:bCs/>
          <w:color w:val="auto"/>
          <w:sz w:val="24"/>
          <w:szCs w:val="32"/>
          <w:highlight w:val="none"/>
        </w:rPr>
      </w:pPr>
      <w:r>
        <w:rPr>
          <w:rFonts w:hint="eastAsia" w:ascii="仿宋" w:hAnsi="仿宋" w:eastAsia="仿宋" w:cs="仿宋"/>
          <w:b/>
          <w:bCs/>
          <w:color w:val="auto"/>
          <w:sz w:val="24"/>
          <w:szCs w:val="32"/>
          <w:highlight w:val="none"/>
        </w:rPr>
        <w:t>附表</w:t>
      </w:r>
      <w:r>
        <w:rPr>
          <w:rFonts w:hint="eastAsia" w:ascii="仿宋" w:hAnsi="仿宋" w:eastAsia="仿宋" w:cs="仿宋"/>
          <w:b/>
          <w:bCs/>
          <w:color w:val="auto"/>
          <w:sz w:val="24"/>
          <w:szCs w:val="32"/>
          <w:highlight w:val="none"/>
          <w:lang w:val="en-US" w:eastAsia="zh-CN"/>
        </w:rPr>
        <w:t>2</w:t>
      </w:r>
      <w:r>
        <w:rPr>
          <w:rFonts w:hint="eastAsia" w:ascii="仿宋" w:hAnsi="仿宋" w:eastAsia="仿宋" w:cs="仿宋"/>
          <w:b/>
          <w:bCs/>
          <w:color w:val="auto"/>
          <w:sz w:val="24"/>
          <w:szCs w:val="32"/>
          <w:highlight w:val="none"/>
        </w:rPr>
        <w:t>：节能产品政府采购品目清单</w:t>
      </w:r>
    </w:p>
    <w:p w14:paraId="00070B0E">
      <w:pPr>
        <w:pStyle w:val="63"/>
        <w:rPr>
          <w:rFonts w:hint="eastAsia" w:ascii="仿宋" w:hAnsi="仿宋" w:eastAsia="仿宋" w:cs="仿宋"/>
          <w:b/>
          <w:bCs/>
          <w:color w:val="auto"/>
          <w:highlight w:val="none"/>
        </w:rPr>
      </w:pPr>
      <w:r>
        <w:rPr>
          <w:rFonts w:hint="eastAsia" w:ascii="仿宋" w:hAnsi="仿宋" w:eastAsia="仿宋" w:cs="仿宋"/>
          <w:b/>
          <w:bCs/>
          <w:color w:val="auto"/>
          <w:highlight w:val="none"/>
        </w:rPr>
        <w:drawing>
          <wp:inline distT="0" distB="0" distL="114300" distR="114300">
            <wp:extent cx="6022975" cy="8517890"/>
            <wp:effectExtent l="0" t="0" r="15875" b="16510"/>
            <wp:docPr id="3" name="图片 1" descr="节能产品政府采购品目清单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节能产品政府采购品目清单_00"/>
                    <pic:cNvPicPr>
                      <a:picLocks noChangeAspect="1"/>
                    </pic:cNvPicPr>
                  </pic:nvPicPr>
                  <pic:blipFill>
                    <a:blip r:embed="rId15"/>
                    <a:stretch>
                      <a:fillRect/>
                    </a:stretch>
                  </pic:blipFill>
                  <pic:spPr>
                    <a:xfrm>
                      <a:off x="0" y="0"/>
                      <a:ext cx="6022975" cy="8517890"/>
                    </a:xfrm>
                    <a:prstGeom prst="rect">
                      <a:avLst/>
                    </a:prstGeom>
                    <a:noFill/>
                    <a:ln>
                      <a:noFill/>
                    </a:ln>
                  </pic:spPr>
                </pic:pic>
              </a:graphicData>
            </a:graphic>
          </wp:inline>
        </w:drawing>
      </w:r>
    </w:p>
    <w:p w14:paraId="472791A5">
      <w:pPr>
        <w:pStyle w:val="63"/>
        <w:rPr>
          <w:rFonts w:hint="eastAsia" w:ascii="仿宋" w:hAnsi="仿宋" w:eastAsia="仿宋" w:cs="仿宋"/>
          <w:b/>
          <w:bCs/>
          <w:color w:val="auto"/>
          <w:highlight w:val="none"/>
        </w:rPr>
      </w:pPr>
      <w:r>
        <w:rPr>
          <w:rFonts w:hint="eastAsia" w:ascii="仿宋" w:hAnsi="仿宋" w:eastAsia="仿宋" w:cs="仿宋"/>
          <w:b/>
          <w:bCs/>
          <w:color w:val="auto"/>
          <w:highlight w:val="none"/>
        </w:rPr>
        <w:drawing>
          <wp:inline distT="0" distB="0" distL="114300" distR="114300">
            <wp:extent cx="6117590" cy="8651240"/>
            <wp:effectExtent l="0" t="0" r="16510" b="16510"/>
            <wp:docPr id="4" name="图片 2" descr="节能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节能产品政府采购品目清单_01"/>
                    <pic:cNvPicPr>
                      <a:picLocks noChangeAspect="1"/>
                    </pic:cNvPicPr>
                  </pic:nvPicPr>
                  <pic:blipFill>
                    <a:blip r:embed="rId16"/>
                    <a:stretch>
                      <a:fillRect/>
                    </a:stretch>
                  </pic:blipFill>
                  <pic:spPr>
                    <a:xfrm>
                      <a:off x="0" y="0"/>
                      <a:ext cx="6117590" cy="8651240"/>
                    </a:xfrm>
                    <a:prstGeom prst="rect">
                      <a:avLst/>
                    </a:prstGeom>
                    <a:noFill/>
                    <a:ln>
                      <a:noFill/>
                    </a:ln>
                  </pic:spPr>
                </pic:pic>
              </a:graphicData>
            </a:graphic>
          </wp:inline>
        </w:drawing>
      </w:r>
    </w:p>
    <w:p w14:paraId="6DBF9FDE">
      <w:pPr>
        <w:rPr>
          <w:rFonts w:hint="eastAsia" w:ascii="仿宋" w:hAnsi="仿宋" w:eastAsia="仿宋" w:cs="仿宋"/>
          <w:b/>
          <w:color w:val="auto"/>
          <w:sz w:val="44"/>
          <w:szCs w:val="44"/>
          <w:highlight w:val="none"/>
        </w:rPr>
      </w:pPr>
      <w:r>
        <w:rPr>
          <w:rFonts w:hint="eastAsia" w:ascii="仿宋" w:hAnsi="仿宋" w:eastAsia="仿宋" w:cs="仿宋"/>
          <w:b/>
          <w:bCs/>
          <w:color w:val="auto"/>
          <w:highlight w:val="none"/>
        </w:rPr>
        <w:drawing>
          <wp:inline distT="0" distB="0" distL="114300" distR="114300">
            <wp:extent cx="6117590" cy="8651240"/>
            <wp:effectExtent l="0" t="0" r="16510" b="16510"/>
            <wp:docPr id="5" name="图片 3" descr="节能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节能产品政府采购品目清单_02"/>
                    <pic:cNvPicPr>
                      <a:picLocks noChangeAspect="1"/>
                    </pic:cNvPicPr>
                  </pic:nvPicPr>
                  <pic:blipFill>
                    <a:blip r:embed="rId17"/>
                    <a:stretch>
                      <a:fillRect/>
                    </a:stretch>
                  </pic:blipFill>
                  <pic:spPr>
                    <a:xfrm>
                      <a:off x="0" y="0"/>
                      <a:ext cx="6117590" cy="8651240"/>
                    </a:xfrm>
                    <a:prstGeom prst="rect">
                      <a:avLst/>
                    </a:prstGeom>
                    <a:noFill/>
                    <a:ln>
                      <a:noFill/>
                    </a:ln>
                  </pic:spPr>
                </pic:pic>
              </a:graphicData>
            </a:graphic>
          </wp:inline>
        </w:drawing>
      </w:r>
      <w:r>
        <w:rPr>
          <w:rFonts w:hint="eastAsia" w:ascii="仿宋" w:hAnsi="仿宋" w:eastAsia="仿宋" w:cs="仿宋"/>
          <w:b/>
          <w:color w:val="auto"/>
          <w:sz w:val="44"/>
          <w:szCs w:val="44"/>
          <w:highlight w:val="none"/>
        </w:rPr>
        <w:br w:type="page"/>
      </w:r>
    </w:p>
    <w:p w14:paraId="58CC9F21">
      <w:pPr>
        <w:pageBreakBefore/>
        <w:spacing w:line="428" w:lineRule="exact"/>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第三章  投标人须知</w:t>
      </w:r>
      <w:bookmarkEnd w:id="67"/>
    </w:p>
    <w:p w14:paraId="6460FC1A">
      <w:pPr>
        <w:spacing w:before="120" w:beforeLines="50"/>
        <w:jc w:val="center"/>
        <w:rPr>
          <w:rFonts w:hint="eastAsia" w:ascii="仿宋" w:hAnsi="仿宋" w:eastAsia="仿宋" w:cs="仿宋"/>
          <w:b/>
          <w:color w:val="auto"/>
          <w:sz w:val="28"/>
          <w:szCs w:val="28"/>
          <w:highlight w:val="none"/>
        </w:rPr>
      </w:pPr>
      <w:bookmarkStart w:id="68" w:name="_Toc254970667"/>
      <w:bookmarkStart w:id="69" w:name="_Toc254970526"/>
      <w:r>
        <w:rPr>
          <w:rFonts w:hint="eastAsia" w:ascii="仿宋" w:hAnsi="仿宋" w:eastAsia="仿宋" w:cs="仿宋"/>
          <w:b/>
          <w:color w:val="auto"/>
          <w:sz w:val="28"/>
          <w:szCs w:val="28"/>
          <w:highlight w:val="none"/>
        </w:rPr>
        <w:t>投标人须知前附表</w:t>
      </w:r>
      <w:bookmarkEnd w:id="68"/>
      <w:bookmarkEnd w:id="69"/>
    </w:p>
    <w:tbl>
      <w:tblPr>
        <w:tblStyle w:val="52"/>
        <w:tblW w:w="103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6"/>
        <w:gridCol w:w="9275"/>
      </w:tblGrid>
      <w:tr w14:paraId="6CF3B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ACEE2A1">
            <w:pPr>
              <w:snapToGrid w:val="0"/>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条款号</w:t>
            </w:r>
          </w:p>
        </w:tc>
        <w:tc>
          <w:tcPr>
            <w:tcW w:w="9275" w:type="dxa"/>
            <w:tcBorders>
              <w:top w:val="single" w:color="auto" w:sz="4" w:space="0"/>
              <w:left w:val="single" w:color="auto" w:sz="4" w:space="0"/>
              <w:bottom w:val="single" w:color="auto" w:sz="4" w:space="0"/>
              <w:right w:val="single" w:color="auto" w:sz="4" w:space="0"/>
            </w:tcBorders>
            <w:vAlign w:val="center"/>
          </w:tcPr>
          <w:p w14:paraId="664E3188">
            <w:pPr>
              <w:snapToGrid w:val="0"/>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编列内容</w:t>
            </w:r>
          </w:p>
        </w:tc>
      </w:tr>
      <w:tr w14:paraId="71E81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7C441C7A">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9275" w:type="dxa"/>
            <w:tcBorders>
              <w:top w:val="single" w:color="auto" w:sz="4" w:space="0"/>
              <w:left w:val="single" w:color="auto" w:sz="4" w:space="0"/>
              <w:bottom w:val="single" w:color="auto" w:sz="4" w:space="0"/>
              <w:right w:val="single" w:color="auto" w:sz="4" w:space="0"/>
            </w:tcBorders>
            <w:vAlign w:val="center"/>
          </w:tcPr>
          <w:p w14:paraId="4D46C056">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投标人的资格要求：详见招标公告。</w:t>
            </w:r>
          </w:p>
        </w:tc>
      </w:tr>
      <w:tr w14:paraId="3D1A8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58EFBB68">
            <w:pPr>
              <w:spacing w:line="390" w:lineRule="exact"/>
              <w:jc w:val="center"/>
              <w:rPr>
                <w:rFonts w:hint="eastAsia" w:ascii="仿宋" w:hAnsi="仿宋" w:eastAsia="仿宋" w:cs="仿宋"/>
                <w:color w:val="auto"/>
                <w:sz w:val="24"/>
                <w:highlight w:val="none"/>
              </w:rPr>
            </w:pPr>
            <w:bookmarkStart w:id="70" w:name="_5"/>
            <w:bookmarkEnd w:id="70"/>
            <w:bookmarkStart w:id="71" w:name="_8.1"/>
            <w:bookmarkEnd w:id="71"/>
            <w:bookmarkStart w:id="72" w:name="_9.2"/>
            <w:bookmarkEnd w:id="72"/>
            <w:r>
              <w:rPr>
                <w:rFonts w:hint="eastAsia" w:ascii="仿宋" w:hAnsi="仿宋" w:eastAsia="仿宋" w:cs="仿宋"/>
                <w:color w:val="auto"/>
                <w:sz w:val="24"/>
                <w:highlight w:val="none"/>
              </w:rPr>
              <w:t>6.1</w:t>
            </w:r>
          </w:p>
        </w:tc>
        <w:tc>
          <w:tcPr>
            <w:tcW w:w="9275" w:type="dxa"/>
            <w:tcBorders>
              <w:top w:val="single" w:color="auto" w:sz="4" w:space="0"/>
              <w:left w:val="single" w:color="auto" w:sz="4" w:space="0"/>
              <w:bottom w:val="single" w:color="auto" w:sz="4" w:space="0"/>
              <w:right w:val="single" w:color="auto" w:sz="4" w:space="0"/>
            </w:tcBorders>
            <w:vAlign w:val="center"/>
          </w:tcPr>
          <w:p w14:paraId="5DF9F378">
            <w:pPr>
              <w:pStyle w:val="18"/>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本项目是否接受联合体投标：详见招标公告。</w:t>
            </w:r>
          </w:p>
        </w:tc>
      </w:tr>
      <w:tr w14:paraId="1B2B1A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BF526A3">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6.2</w:t>
            </w:r>
          </w:p>
        </w:tc>
        <w:tc>
          <w:tcPr>
            <w:tcW w:w="9275" w:type="dxa"/>
            <w:tcBorders>
              <w:top w:val="single" w:color="auto" w:sz="4" w:space="0"/>
              <w:left w:val="single" w:color="auto" w:sz="4" w:space="0"/>
              <w:bottom w:val="single" w:color="auto" w:sz="4" w:space="0"/>
              <w:right w:val="single" w:color="auto" w:sz="4" w:space="0"/>
            </w:tcBorders>
            <w:vAlign w:val="center"/>
          </w:tcPr>
          <w:p w14:paraId="53350118">
            <w:pPr>
              <w:autoSpaceDE w:val="0"/>
              <w:autoSpaceDN w:val="0"/>
              <w:snapToGrid w:val="0"/>
              <w:spacing w:line="390" w:lineRule="exact"/>
              <w:textAlignment w:val="bottom"/>
              <w:rPr>
                <w:rFonts w:hint="eastAsia" w:ascii="仿宋" w:hAnsi="仿宋" w:eastAsia="仿宋" w:cs="仿宋"/>
                <w:color w:val="auto"/>
                <w:sz w:val="24"/>
                <w:highlight w:val="none"/>
              </w:rPr>
            </w:pPr>
            <w:bookmarkStart w:id="73" w:name="_Hlk54105293"/>
            <w:r>
              <w:rPr>
                <w:rFonts w:hint="eastAsia" w:ascii="仿宋" w:hAnsi="仿宋" w:eastAsia="仿宋" w:cs="仿宋"/>
                <w:color w:val="auto"/>
                <w:sz w:val="24"/>
                <w:highlight w:val="none"/>
              </w:rPr>
              <w:t>如接受联合体投标，</w:t>
            </w:r>
            <w:bookmarkEnd w:id="73"/>
            <w:r>
              <w:rPr>
                <w:rFonts w:hint="eastAsia" w:ascii="仿宋" w:hAnsi="仿宋" w:eastAsia="仿宋" w:cs="仿宋"/>
                <w:color w:val="auto"/>
                <w:sz w:val="24"/>
                <w:highlight w:val="none"/>
              </w:rPr>
              <w:t>联合体投标要求如下：</w:t>
            </w:r>
          </w:p>
          <w:p w14:paraId="675EF2DF">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1、两个以上投标人可以组成一个投标联合体，以一个投标人的身份共同参加投标，联合体投标人的名称应统一按“XXX 公司与 XXX 公司的联合体”的规则填写。</w:t>
            </w:r>
            <w:r>
              <w:rPr>
                <w:rFonts w:hint="eastAsia" w:ascii="仿宋" w:hAnsi="仿宋" w:eastAsia="仿宋" w:cs="仿宋"/>
                <w:color w:val="auto"/>
                <w:sz w:val="24"/>
                <w:highlight w:val="none"/>
              </w:rPr>
              <w:tab/>
            </w:r>
          </w:p>
          <w:p w14:paraId="1C5BACD0">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本项目招标公告“申请人的资格要求”第3点“3、本项目的特定资格要求”的要求。</w:t>
            </w:r>
          </w:p>
          <w:p w14:paraId="68FB7DAC">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3、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69AFB6B">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4、以联合体形式参加政府采购活动的，联合体各方不得再单独参加或者与其他投标人另外组成联合体参加同一合同项下的政府采购活动，否则与之相关的投标文件作废。</w:t>
            </w:r>
          </w:p>
          <w:p w14:paraId="76B76705">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5、联合体中有同类资质的投标人按照联合体分工承担相同工作的，应当按照资质等级较低的投标人确定资质等级。</w:t>
            </w:r>
          </w:p>
          <w:p w14:paraId="3E7DD6E6">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6、联合体投标业绩、履约能力按照联合体各方其中较高的一方认定并计算（招标文件另有规定的除外）。</w:t>
            </w:r>
          </w:p>
          <w:p w14:paraId="285E9AEA">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7、联合体各方均应按照招标文件的规定提交资格证明文件。</w:t>
            </w:r>
          </w:p>
        </w:tc>
      </w:tr>
      <w:tr w14:paraId="574A7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A4BAFB1">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7.2</w:t>
            </w:r>
          </w:p>
        </w:tc>
        <w:tc>
          <w:tcPr>
            <w:tcW w:w="9275" w:type="dxa"/>
            <w:tcBorders>
              <w:top w:val="single" w:color="auto" w:sz="4" w:space="0"/>
              <w:left w:val="single" w:color="auto" w:sz="4" w:space="0"/>
              <w:bottom w:val="single" w:color="auto" w:sz="4" w:space="0"/>
              <w:right w:val="single" w:color="auto" w:sz="4" w:space="0"/>
            </w:tcBorders>
            <w:vAlign w:val="center"/>
          </w:tcPr>
          <w:p w14:paraId="44D39D2E">
            <w:pPr>
              <w:pStyle w:val="18"/>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本项目不允许分包。</w:t>
            </w:r>
          </w:p>
          <w:p w14:paraId="63B07742">
            <w:pPr>
              <w:pStyle w:val="18"/>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□本项目允许分包：</w:t>
            </w:r>
          </w:p>
          <w:p w14:paraId="1757EDE8">
            <w:pPr>
              <w:pStyle w:val="18"/>
              <w:spacing w:line="39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分包内容：</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3B270153">
            <w:pPr>
              <w:pStyle w:val="18"/>
              <w:spacing w:line="390" w:lineRule="exact"/>
              <w:jc w:val="both"/>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分包金额或者比例：</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w:t>
            </w:r>
          </w:p>
        </w:tc>
      </w:tr>
      <w:tr w14:paraId="5DEAC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75D1100D">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8.1</w:t>
            </w:r>
          </w:p>
        </w:tc>
        <w:tc>
          <w:tcPr>
            <w:tcW w:w="9275" w:type="dxa"/>
            <w:tcBorders>
              <w:top w:val="single" w:color="auto" w:sz="4" w:space="0"/>
              <w:left w:val="single" w:color="auto" w:sz="4" w:space="0"/>
              <w:bottom w:val="single" w:color="auto" w:sz="4" w:space="0"/>
              <w:right w:val="single" w:color="auto" w:sz="4" w:space="0"/>
            </w:tcBorders>
            <w:vAlign w:val="center"/>
          </w:tcPr>
          <w:p w14:paraId="16379BD1">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采用最低评标价法的采购项目，通过资格审查、符合性审查的不同投标人参加同一合同项下投标的，投标人评标价相同时，按照下列方式确定投标人获得中标人推荐资格：评标委员会随机抽取/按投标报价低的原则确定，投标报价相同的按服务方案好优先、拟指派参与服务人数多优先、同类业绩多优先的顺序依次确定。</w:t>
            </w:r>
          </w:p>
          <w:p w14:paraId="2BC2822F">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2、采用综合评分法的采购项目，不同投标人评审得分相同时，按照下列方式确定投标人获得中标人推荐资格：□评标委员会随机抽取/</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按投标报价低的原则确定，投标报价相同的按技术、商务得分高低依次确定。</w:t>
            </w:r>
          </w:p>
        </w:tc>
      </w:tr>
      <w:tr w14:paraId="7A65B2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 w:hRule="atLeast"/>
          <w:jc w:val="center"/>
        </w:trPr>
        <w:tc>
          <w:tcPr>
            <w:tcW w:w="1056" w:type="dxa"/>
            <w:vMerge w:val="restart"/>
            <w:tcBorders>
              <w:top w:val="single" w:color="auto" w:sz="4" w:space="0"/>
              <w:left w:val="single" w:color="auto" w:sz="4" w:space="0"/>
              <w:right w:val="single" w:color="auto" w:sz="4" w:space="0"/>
            </w:tcBorders>
            <w:vAlign w:val="center"/>
          </w:tcPr>
          <w:p w14:paraId="70DF4A57">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11.5</w:t>
            </w:r>
          </w:p>
        </w:tc>
        <w:tc>
          <w:tcPr>
            <w:tcW w:w="9275" w:type="dxa"/>
            <w:tcBorders>
              <w:top w:val="single" w:color="auto" w:sz="4" w:space="0"/>
              <w:left w:val="single" w:color="auto" w:sz="4" w:space="0"/>
              <w:bottom w:val="single" w:color="auto" w:sz="4" w:space="0"/>
              <w:right w:val="single" w:color="auto" w:sz="4" w:space="0"/>
            </w:tcBorders>
            <w:vAlign w:val="center"/>
          </w:tcPr>
          <w:p w14:paraId="2DBB111E">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本项目不组织现场考察。</w:t>
            </w:r>
          </w:p>
          <w:p w14:paraId="7D9911BB">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本项目组织现场考察：</w:t>
            </w:r>
            <w:r>
              <w:rPr>
                <w:rFonts w:hint="eastAsia" w:ascii="仿宋" w:hAnsi="仿宋" w:eastAsia="仿宋" w:cs="仿宋"/>
                <w:color w:val="auto"/>
                <w:sz w:val="24"/>
                <w:highlight w:val="none"/>
                <w:u w:val="single"/>
              </w:rPr>
              <w:t xml:space="preserve"> 具体内容详见第二章“采购需求”</w:t>
            </w:r>
          </w:p>
        </w:tc>
      </w:tr>
      <w:tr w14:paraId="3EA3C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56" w:type="dxa"/>
            <w:vMerge w:val="continue"/>
            <w:tcBorders>
              <w:left w:val="single" w:color="auto" w:sz="4" w:space="0"/>
              <w:bottom w:val="single" w:color="auto" w:sz="4" w:space="0"/>
              <w:right w:val="single" w:color="auto" w:sz="4" w:space="0"/>
            </w:tcBorders>
            <w:vAlign w:val="center"/>
          </w:tcPr>
          <w:p w14:paraId="01A2CD15">
            <w:pPr>
              <w:spacing w:line="390" w:lineRule="exact"/>
              <w:jc w:val="center"/>
              <w:rPr>
                <w:rFonts w:hint="eastAsia" w:ascii="仿宋" w:hAnsi="仿宋" w:eastAsia="仿宋" w:cs="仿宋"/>
                <w:color w:val="auto"/>
                <w:sz w:val="24"/>
                <w:highlight w:val="none"/>
              </w:rPr>
            </w:pPr>
          </w:p>
        </w:tc>
        <w:tc>
          <w:tcPr>
            <w:tcW w:w="9275" w:type="dxa"/>
            <w:tcBorders>
              <w:top w:val="single" w:color="auto" w:sz="4" w:space="0"/>
              <w:left w:val="single" w:color="auto" w:sz="4" w:space="0"/>
              <w:bottom w:val="single" w:color="auto" w:sz="4" w:space="0"/>
              <w:right w:val="single" w:color="auto" w:sz="4" w:space="0"/>
            </w:tcBorders>
            <w:vAlign w:val="center"/>
          </w:tcPr>
          <w:p w14:paraId="2A56BBA8">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不组织召开开标前答疑会/□组织召开开标前答疑会</w:t>
            </w:r>
          </w:p>
          <w:p w14:paraId="1FB4D2FF">
            <w:pPr>
              <w:snapToGrid w:val="0"/>
              <w:spacing w:line="39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会议开始时间：</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分，逾期后果自负。会议地点：</w:t>
            </w:r>
            <w:r>
              <w:rPr>
                <w:rFonts w:hint="eastAsia" w:ascii="仿宋" w:hAnsi="仿宋" w:eastAsia="仿宋" w:cs="仿宋"/>
                <w:color w:val="auto"/>
                <w:sz w:val="24"/>
                <w:highlight w:val="none"/>
                <w:u w:val="single"/>
              </w:rPr>
              <w:t xml:space="preserve">    /    </w:t>
            </w:r>
          </w:p>
          <w:p w14:paraId="3C32C2D3">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single"/>
              </w:rPr>
              <w:t xml:space="preserve">         /       </w:t>
            </w:r>
          </w:p>
        </w:tc>
      </w:tr>
      <w:tr w14:paraId="0C37EE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restart"/>
            <w:tcBorders>
              <w:top w:val="single" w:color="auto" w:sz="4" w:space="0"/>
              <w:left w:val="single" w:color="auto" w:sz="4" w:space="0"/>
              <w:right w:val="single" w:color="auto" w:sz="4" w:space="0"/>
            </w:tcBorders>
            <w:vAlign w:val="center"/>
          </w:tcPr>
          <w:p w14:paraId="7ED381B4">
            <w:pPr>
              <w:spacing w:line="390" w:lineRule="exact"/>
              <w:jc w:val="center"/>
              <w:rPr>
                <w:rFonts w:hint="eastAsia" w:ascii="仿宋" w:hAnsi="仿宋" w:eastAsia="仿宋" w:cs="仿宋"/>
                <w:color w:val="auto"/>
                <w:sz w:val="24"/>
                <w:highlight w:val="none"/>
              </w:rPr>
            </w:pPr>
            <w:bookmarkStart w:id="74" w:name="_13.1"/>
            <w:bookmarkEnd w:id="74"/>
            <w:r>
              <w:rPr>
                <w:rFonts w:hint="eastAsia" w:ascii="仿宋" w:hAnsi="仿宋" w:eastAsia="仿宋" w:cs="仿宋"/>
                <w:color w:val="auto"/>
                <w:sz w:val="24"/>
                <w:highlight w:val="none"/>
              </w:rPr>
              <w:t>13.</w:t>
            </w:r>
            <w:bookmarkStart w:id="75" w:name="_Hlt19632543"/>
            <w:r>
              <w:rPr>
                <w:rFonts w:hint="eastAsia" w:ascii="仿宋" w:hAnsi="仿宋" w:eastAsia="仿宋" w:cs="仿宋"/>
                <w:color w:val="auto"/>
                <w:sz w:val="24"/>
                <w:highlight w:val="none"/>
              </w:rPr>
              <w:t>1</w:t>
            </w:r>
            <w:bookmarkEnd w:id="75"/>
          </w:p>
        </w:tc>
        <w:tc>
          <w:tcPr>
            <w:tcW w:w="9275" w:type="dxa"/>
            <w:tcBorders>
              <w:top w:val="single" w:color="auto" w:sz="4" w:space="0"/>
              <w:left w:val="single" w:color="auto" w:sz="4" w:space="0"/>
              <w:bottom w:val="single" w:color="auto" w:sz="4" w:space="0"/>
              <w:right w:val="single" w:color="auto" w:sz="4" w:space="0"/>
            </w:tcBorders>
            <w:vAlign w:val="center"/>
          </w:tcPr>
          <w:p w14:paraId="3F861D9A">
            <w:pPr>
              <w:snapToGrid w:val="0"/>
              <w:spacing w:line="39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报价文件: </w:t>
            </w:r>
          </w:p>
          <w:p w14:paraId="5FCEA440">
            <w:pPr>
              <w:tabs>
                <w:tab w:val="left" w:pos="459"/>
              </w:tabs>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1、投标函（格式详见第六章）；</w:t>
            </w:r>
            <w:r>
              <w:rPr>
                <w:rFonts w:hint="eastAsia" w:ascii="仿宋" w:hAnsi="仿宋" w:eastAsia="仿宋" w:cs="仿宋"/>
                <w:b/>
                <w:color w:val="auto"/>
                <w:sz w:val="24"/>
                <w:highlight w:val="none"/>
              </w:rPr>
              <w:t>（必须提供，否则投标文件按无效投标处理）</w:t>
            </w:r>
          </w:p>
          <w:p w14:paraId="6776F429">
            <w:pPr>
              <w:tabs>
                <w:tab w:val="left" w:pos="459"/>
              </w:tabs>
              <w:snapToGrid w:val="0"/>
              <w:spacing w:line="390" w:lineRule="exact"/>
              <w:jc w:val="left"/>
              <w:rPr>
                <w:rFonts w:hint="eastAsia" w:ascii="仿宋" w:hAnsi="仿宋" w:eastAsia="仿宋" w:cs="仿宋"/>
                <w:color w:val="auto"/>
                <w:sz w:val="24"/>
                <w:highlight w:val="none"/>
              </w:rPr>
            </w:pPr>
            <w:bookmarkStart w:id="76" w:name="_Hlk71299233"/>
            <w:r>
              <w:rPr>
                <w:rFonts w:hint="eastAsia" w:ascii="仿宋" w:hAnsi="仿宋" w:eastAsia="仿宋" w:cs="仿宋"/>
                <w:color w:val="auto"/>
                <w:sz w:val="24"/>
                <w:highlight w:val="none"/>
              </w:rPr>
              <w:t>2、开标一览表</w:t>
            </w:r>
            <w:bookmarkEnd w:id="76"/>
            <w:r>
              <w:rPr>
                <w:rFonts w:hint="eastAsia" w:ascii="仿宋" w:hAnsi="仿宋" w:eastAsia="仿宋" w:cs="仿宋"/>
                <w:color w:val="auto"/>
                <w:sz w:val="24"/>
                <w:highlight w:val="none"/>
              </w:rPr>
              <w:t>（格式详见第六章）；</w:t>
            </w:r>
            <w:r>
              <w:rPr>
                <w:rFonts w:hint="eastAsia" w:ascii="仿宋" w:hAnsi="仿宋" w:eastAsia="仿宋" w:cs="仿宋"/>
                <w:b/>
                <w:color w:val="auto"/>
                <w:sz w:val="24"/>
                <w:highlight w:val="none"/>
              </w:rPr>
              <w:t>（必须提供，否则投标文件按无效投标处理）</w:t>
            </w:r>
          </w:p>
          <w:p w14:paraId="53C9EC42">
            <w:pPr>
              <w:tabs>
                <w:tab w:val="left" w:pos="459"/>
              </w:tabs>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3、投标人针对报价需要说明的其他文件和说明（格式自拟）。</w:t>
            </w:r>
            <w:r>
              <w:rPr>
                <w:rFonts w:hint="eastAsia" w:ascii="仿宋" w:hAnsi="仿宋" w:eastAsia="仿宋" w:cs="仿宋"/>
                <w:b/>
                <w:color w:val="auto"/>
                <w:sz w:val="24"/>
                <w:highlight w:val="none"/>
              </w:rPr>
              <w:t>（如有，请提供）</w:t>
            </w:r>
          </w:p>
          <w:p w14:paraId="54F9D4BF">
            <w:pPr>
              <w:snapToGrid w:val="0"/>
              <w:spacing w:line="39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注：投标函、开标一览表必须由法定代表人或者委托代理人在规定签章处逐一签字并加盖投标人公章，否则按无效投标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w:t>
            </w:r>
          </w:p>
        </w:tc>
      </w:tr>
      <w:tr w14:paraId="1FC1D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right w:val="single" w:color="auto" w:sz="4" w:space="0"/>
            </w:tcBorders>
            <w:vAlign w:val="center"/>
          </w:tcPr>
          <w:p w14:paraId="481D3799">
            <w:pPr>
              <w:spacing w:line="390" w:lineRule="exact"/>
              <w:rPr>
                <w:rFonts w:hint="eastAsia" w:ascii="仿宋" w:hAnsi="仿宋" w:eastAsia="仿宋" w:cs="仿宋"/>
                <w:color w:val="auto"/>
                <w:sz w:val="24"/>
                <w:highlight w:val="none"/>
              </w:rPr>
            </w:pPr>
            <w:bookmarkStart w:id="77" w:name="_13.2"/>
            <w:bookmarkEnd w:id="77"/>
          </w:p>
        </w:tc>
        <w:tc>
          <w:tcPr>
            <w:tcW w:w="9275" w:type="dxa"/>
            <w:tcBorders>
              <w:top w:val="single" w:color="auto" w:sz="4" w:space="0"/>
              <w:left w:val="single" w:color="auto" w:sz="4" w:space="0"/>
              <w:bottom w:val="single" w:color="auto" w:sz="4" w:space="0"/>
              <w:right w:val="single" w:color="auto" w:sz="4" w:space="0"/>
            </w:tcBorders>
            <w:vAlign w:val="center"/>
          </w:tcPr>
          <w:p w14:paraId="3C3FD755">
            <w:pPr>
              <w:snapToGrid w:val="0"/>
              <w:spacing w:line="39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资格证明文件：</w:t>
            </w:r>
          </w:p>
          <w:p w14:paraId="5A124451">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1、供应商为法人或者其他组织的，证明文件为其营业执照复印件（如营业执照或者事业单位法人证书或者执业许可证等）；供应商为自然人的，证明文件为其身份证复印件；</w:t>
            </w:r>
            <w:r>
              <w:rPr>
                <w:rFonts w:hint="eastAsia" w:ascii="仿宋" w:hAnsi="仿宋" w:eastAsia="仿宋" w:cs="仿宋"/>
                <w:b/>
                <w:color w:val="auto"/>
                <w:sz w:val="24"/>
                <w:highlight w:val="none"/>
              </w:rPr>
              <w:t>（必须提供，否则投标文件按无效响应处理）</w:t>
            </w:r>
          </w:p>
          <w:p w14:paraId="6E342669">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2、投标人依法缴纳税收的相关材料（</w:t>
            </w:r>
            <w:r>
              <w:rPr>
                <w:rFonts w:hint="eastAsia" w:ascii="仿宋" w:hAnsi="仿宋" w:eastAsia="仿宋" w:cs="仿宋"/>
                <w:color w:val="auto"/>
                <w:sz w:val="24"/>
                <w:highlight w:val="none"/>
                <w:lang w:eastAsia="zh-CN"/>
              </w:rPr>
              <w:t>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年</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rPr>
              <w:t>至投标截止时间内任意连续三个月的依法缴纳税收的完税凭证复印件；依法免税的供应商，必须提供相应文件证明其依法免税。从成立之日起到投标文件提交截止时间止不足要求月数的，只需提供从成立之日起的依法缴纳税收相应证明文件）；</w:t>
            </w:r>
            <w:r>
              <w:rPr>
                <w:rFonts w:hint="eastAsia" w:ascii="仿宋" w:hAnsi="仿宋" w:eastAsia="仿宋" w:cs="仿宋"/>
                <w:b/>
                <w:color w:val="auto"/>
                <w:sz w:val="24"/>
                <w:highlight w:val="none"/>
              </w:rPr>
              <w:t>（必须提供，否则投标文件按无效投标处理）</w:t>
            </w:r>
          </w:p>
          <w:p w14:paraId="29F91733">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3、投标人依法缴纳社会保障资金的相关材料[</w:t>
            </w:r>
            <w:r>
              <w:rPr>
                <w:rFonts w:hint="eastAsia" w:ascii="仿宋" w:hAnsi="仿宋" w:eastAsia="仿宋" w:cs="仿宋"/>
                <w:color w:val="auto"/>
                <w:sz w:val="24"/>
                <w:highlight w:val="none"/>
                <w:lang w:eastAsia="zh-CN"/>
              </w:rPr>
              <w:t>2026年1月</w:t>
            </w:r>
            <w:r>
              <w:rPr>
                <w:rFonts w:hint="eastAsia" w:ascii="仿宋" w:hAnsi="仿宋" w:eastAsia="仿宋" w:cs="仿宋"/>
                <w:color w:val="auto"/>
                <w:sz w:val="24"/>
                <w:highlight w:val="none"/>
              </w:rPr>
              <w:t>至投标截止时间内任意连续三个月的依法缴纳社会保障资金的缴费凭证复印件（缴费凭证指专用收据、完税证明或者社会保险缴纳清单）；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仿宋" w:hAnsi="仿宋" w:eastAsia="仿宋" w:cs="仿宋"/>
                <w:b/>
                <w:color w:val="auto"/>
                <w:sz w:val="24"/>
                <w:highlight w:val="none"/>
              </w:rPr>
              <w:t>（必须提供，否则投标文件按无效投标处理）</w:t>
            </w:r>
          </w:p>
          <w:p w14:paraId="0F4CB5E5">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4、投标人财务状况报告【</w:t>
            </w:r>
            <w:r>
              <w:rPr>
                <w:rFonts w:hint="eastAsia" w:ascii="仿宋" w:hAnsi="仿宋" w:eastAsia="仿宋" w:cs="仿宋"/>
                <w:color w:val="auto"/>
                <w:sz w:val="24"/>
                <w:highlight w:val="none"/>
                <w:lang w:eastAsia="zh-CN"/>
              </w:rPr>
              <w:t>2024年度</w:t>
            </w:r>
            <w:r>
              <w:rPr>
                <w:rFonts w:hint="eastAsia" w:ascii="仿宋" w:hAnsi="仿宋" w:eastAsia="仿宋" w:cs="仿宋"/>
                <w:color w:val="auto"/>
                <w:sz w:val="24"/>
                <w:highlight w:val="none"/>
                <w:lang w:val="en-US" w:eastAsia="zh-CN"/>
              </w:rPr>
              <w:t>或2025年度</w:t>
            </w:r>
            <w:r>
              <w:rPr>
                <w:rFonts w:hint="eastAsia" w:ascii="仿宋" w:hAnsi="仿宋" w:eastAsia="仿宋" w:cs="仿宋"/>
                <w:color w:val="auto"/>
                <w:sz w:val="24"/>
                <w:highlight w:val="none"/>
              </w:rPr>
              <w:t>经审计的财务报告复印件（包括“四表一注”或“三表一注”）或者银行出具的资信证明；投标人属于成立时间在规定年度之后的法人或其他组织，需提供成立之日起至投标截止时间前的月报表或银行出具的资信证明；资信证明应在有效期内，未注明有效期的，银行出具时间至投标截止时间不超过一年】；</w:t>
            </w:r>
            <w:r>
              <w:rPr>
                <w:rFonts w:hint="eastAsia" w:ascii="仿宋" w:hAnsi="仿宋" w:eastAsia="仿宋" w:cs="仿宋"/>
                <w:b/>
                <w:color w:val="auto"/>
                <w:sz w:val="24"/>
                <w:highlight w:val="none"/>
              </w:rPr>
              <w:t>（除自然人外必须提供，否则投标文件按无效投标处理）</w:t>
            </w:r>
          </w:p>
          <w:p w14:paraId="472F4F6C">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5、投标人直接控股、管理关系信息表（格式详见第六章）；</w:t>
            </w:r>
            <w:r>
              <w:rPr>
                <w:rFonts w:hint="eastAsia" w:ascii="仿宋" w:hAnsi="仿宋" w:eastAsia="仿宋" w:cs="仿宋"/>
                <w:b/>
                <w:color w:val="auto"/>
                <w:sz w:val="24"/>
                <w:highlight w:val="none"/>
              </w:rPr>
              <w:t>（必须提供，否则投标文件按无效投标处理）</w:t>
            </w:r>
          </w:p>
          <w:p w14:paraId="2E17CC74">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6、投标声明（格式详见第六章）；</w:t>
            </w:r>
            <w:r>
              <w:rPr>
                <w:rFonts w:hint="eastAsia" w:ascii="仿宋" w:hAnsi="仿宋" w:eastAsia="仿宋" w:cs="仿宋"/>
                <w:b/>
                <w:color w:val="auto"/>
                <w:sz w:val="24"/>
                <w:highlight w:val="none"/>
              </w:rPr>
              <w:t>（必须提供，否则投标文件按无效投标处理）</w:t>
            </w:r>
          </w:p>
          <w:p w14:paraId="1F1930FE">
            <w:pPr>
              <w:autoSpaceDE w:val="0"/>
              <w:autoSpaceDN w:val="0"/>
              <w:snapToGrid w:val="0"/>
              <w:spacing w:line="390" w:lineRule="exact"/>
              <w:textAlignment w:val="bottom"/>
              <w:rPr>
                <w:rFonts w:hint="eastAsia" w:ascii="仿宋" w:hAnsi="仿宋" w:eastAsia="仿宋" w:cs="仿宋"/>
                <w:b/>
                <w:color w:val="auto"/>
                <w:sz w:val="24"/>
                <w:highlight w:val="none"/>
              </w:rPr>
            </w:pPr>
            <w:r>
              <w:rPr>
                <w:rFonts w:hint="eastAsia" w:ascii="仿宋" w:hAnsi="仿宋" w:eastAsia="仿宋" w:cs="仿宋"/>
                <w:color w:val="auto"/>
                <w:sz w:val="24"/>
                <w:highlight w:val="none"/>
              </w:rPr>
              <w:t>7、投标人参加本项目无回避事项的承诺函（格式详见第六章）；</w:t>
            </w:r>
            <w:r>
              <w:rPr>
                <w:rFonts w:hint="eastAsia" w:ascii="仿宋" w:hAnsi="仿宋" w:eastAsia="仿宋" w:cs="仿宋"/>
                <w:b/>
                <w:color w:val="auto"/>
                <w:sz w:val="24"/>
                <w:highlight w:val="none"/>
              </w:rPr>
              <w:t>（必须提供，否则投标文件按无效投标处理）</w:t>
            </w:r>
          </w:p>
          <w:p w14:paraId="13D36A63">
            <w:pPr>
              <w:autoSpaceDE w:val="0"/>
              <w:autoSpaceDN w:val="0"/>
              <w:snapToGrid w:val="0"/>
              <w:spacing w:line="390" w:lineRule="exact"/>
              <w:textAlignment w:val="bottom"/>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lang w:eastAsia="zh-CN"/>
              </w:rPr>
              <w:t>按《医疗器械监督管理条例》（国务院令第739号）医疗器械分类管理要求，具备涵盖本次医疗器械采购标的且有效的医疗器械经营备案凭证或者经营许可证[符合《医疗器械监督管理条例》第四十一条第二款规定的除外]，或者投标人具有《医疗器械监督管理条例》第四十三条规定的注册人凭证</w:t>
            </w:r>
            <w:r>
              <w:rPr>
                <w:rFonts w:hint="eastAsia" w:ascii="仿宋" w:hAnsi="仿宋" w:eastAsia="仿宋" w:cs="仿宋"/>
                <w:color w:val="auto"/>
                <w:sz w:val="24"/>
                <w:highlight w:val="none"/>
              </w:rPr>
              <w:t>。</w:t>
            </w:r>
            <w:r>
              <w:rPr>
                <w:rFonts w:hint="eastAsia" w:ascii="仿宋" w:hAnsi="仿宋" w:eastAsia="仿宋" w:cs="仿宋"/>
                <w:b/>
                <w:bCs/>
                <w:color w:val="auto"/>
                <w:sz w:val="24"/>
                <w:highlight w:val="none"/>
              </w:rPr>
              <w:t>（必须提供，否则作无效投标处理）</w:t>
            </w:r>
            <w:r>
              <w:rPr>
                <w:rFonts w:hint="eastAsia" w:ascii="仿宋" w:hAnsi="仿宋" w:eastAsia="仿宋" w:cs="仿宋"/>
                <w:color w:val="auto"/>
                <w:sz w:val="24"/>
                <w:highlight w:val="none"/>
                <w:lang w:val="en-US" w:eastAsia="zh-CN"/>
              </w:rPr>
              <w:t>注：①采购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②采购标的有第三类医疗器械的，应提供有效的医疗器械经营许可证(经营范围包含采购的第三类医疗器械)；如投标人符合《医疗器械监督管理条例》第四十三条“医疗器械注册人、备案人经营其注册、备案的医疗器械，无需办理医疗器械经营许可或者备案，但应当符合本条例规定的经营条件”规定的，仅需提供该医疗器械注册证；③采购标的同时有第二类和第三类医疗器械的，应按上述①及②要求提供证明材料。</w:t>
            </w:r>
          </w:p>
          <w:p w14:paraId="6943BA47">
            <w:pPr>
              <w:autoSpaceDE w:val="0"/>
              <w:autoSpaceDN w:val="0"/>
              <w:snapToGrid w:val="0"/>
              <w:spacing w:line="390" w:lineRule="exact"/>
              <w:textAlignment w:val="bottom"/>
              <w:rPr>
                <w:rFonts w:hint="eastAsia" w:ascii="仿宋" w:hAnsi="仿宋" w:eastAsia="仿宋" w:cs="仿宋"/>
                <w:b/>
                <w:bCs/>
                <w:color w:val="auto"/>
                <w:sz w:val="24"/>
                <w:highlight w:val="none"/>
              </w:rPr>
            </w:pP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除招标文件规定必须提供以外，投标人认为需要提供的其他证明材料。</w:t>
            </w:r>
            <w:r>
              <w:rPr>
                <w:rFonts w:hint="eastAsia" w:ascii="仿宋" w:hAnsi="仿宋" w:eastAsia="仿宋" w:cs="仿宋"/>
                <w:b/>
                <w:bCs/>
                <w:color w:val="auto"/>
                <w:sz w:val="24"/>
                <w:highlight w:val="none"/>
              </w:rPr>
              <w:t>（如有，请提供）</w:t>
            </w:r>
          </w:p>
          <w:p w14:paraId="6FF5F024">
            <w:pPr>
              <w:snapToGrid w:val="0"/>
              <w:spacing w:line="390" w:lineRule="exact"/>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w:t>
            </w:r>
          </w:p>
          <w:p w14:paraId="304394BC">
            <w:pPr>
              <w:snapToGrid w:val="0"/>
              <w:spacing w:line="39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1、以上标明“必须提供”的材料属于复印件的，必须加盖投标人公章，否则按无效投标</w:t>
            </w:r>
            <w:r>
              <w:rPr>
                <w:rFonts w:hint="eastAsia" w:ascii="仿宋" w:hAnsi="仿宋" w:eastAsia="仿宋" w:cs="仿宋"/>
                <w:b/>
                <w:color w:val="auto"/>
                <w:sz w:val="24"/>
                <w:highlight w:val="none"/>
              </w:rPr>
              <w:t>处理。</w:t>
            </w:r>
          </w:p>
          <w:p w14:paraId="7CDD06F6">
            <w:pPr>
              <w:snapToGrid w:val="0"/>
              <w:spacing w:line="39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bCs/>
                <w:color w:val="auto"/>
                <w:sz w:val="24"/>
                <w:highlight w:val="none"/>
              </w:rPr>
              <w:t>投标声明、投标人参加本项目无回避事项的承诺函必须由法定代表人在规定签章处签字并加盖投标人公章，否则按无效投标处理。</w:t>
            </w:r>
          </w:p>
          <w:p w14:paraId="49470FB6">
            <w:pPr>
              <w:snapToGrid w:val="0"/>
              <w:spacing w:line="39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3、投标人直接控股、管理关系信息表必须由法定代表人或者委托代理人在规定签章处签字并加盖投标人公章，否则按无效投标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w:t>
            </w:r>
          </w:p>
          <w:p w14:paraId="727661A0">
            <w:pPr>
              <w:snapToGrid w:val="0"/>
              <w:spacing w:line="39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4、联合体投标时，第1-5项资格证明文件联合体各方均必须分别提供，联合体各方分别盖章和签字，否则按无效投标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w:t>
            </w:r>
          </w:p>
          <w:p w14:paraId="39AF77CB">
            <w:pPr>
              <w:snapToGrid w:val="0"/>
              <w:spacing w:line="39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5、分公司参加投标的，应当取得总公司授权，否则按无效投标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。（允许分公司参与的行业有银行、保险、石油石化、电力、电信等行业）。</w:t>
            </w:r>
          </w:p>
        </w:tc>
      </w:tr>
      <w:tr w14:paraId="4E688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right w:val="single" w:color="auto" w:sz="4" w:space="0"/>
            </w:tcBorders>
            <w:vAlign w:val="center"/>
          </w:tcPr>
          <w:p w14:paraId="63464741">
            <w:pPr>
              <w:spacing w:line="390" w:lineRule="exact"/>
              <w:rPr>
                <w:rFonts w:hint="eastAsia" w:ascii="仿宋" w:hAnsi="仿宋" w:eastAsia="仿宋" w:cs="仿宋"/>
                <w:color w:val="auto"/>
                <w:sz w:val="24"/>
                <w:highlight w:val="none"/>
              </w:rPr>
            </w:pPr>
            <w:bookmarkStart w:id="78" w:name="_13.3"/>
            <w:bookmarkEnd w:id="78"/>
          </w:p>
        </w:tc>
        <w:tc>
          <w:tcPr>
            <w:tcW w:w="9275" w:type="dxa"/>
            <w:tcBorders>
              <w:top w:val="single" w:color="auto" w:sz="4" w:space="0"/>
              <w:left w:val="single" w:color="auto" w:sz="4" w:space="0"/>
              <w:bottom w:val="single" w:color="auto" w:sz="4" w:space="0"/>
              <w:right w:val="single" w:color="auto" w:sz="4" w:space="0"/>
            </w:tcBorders>
            <w:vAlign w:val="center"/>
          </w:tcPr>
          <w:p w14:paraId="0BE06368">
            <w:pPr>
              <w:snapToGrid w:val="0"/>
              <w:spacing w:line="39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商务文件： </w:t>
            </w:r>
          </w:p>
          <w:p w14:paraId="1EB7BA3E">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1、无串通投标行为的承诺函（格式详见第六章）；（</w:t>
            </w:r>
            <w:r>
              <w:rPr>
                <w:rFonts w:hint="eastAsia" w:ascii="仿宋" w:hAnsi="仿宋" w:eastAsia="仿宋" w:cs="仿宋"/>
                <w:b/>
                <w:color w:val="auto"/>
                <w:sz w:val="24"/>
                <w:highlight w:val="none"/>
              </w:rPr>
              <w:t>必须提供，否则投标文件按无效投标处理</w:t>
            </w:r>
            <w:r>
              <w:rPr>
                <w:rFonts w:hint="eastAsia" w:ascii="仿宋" w:hAnsi="仿宋" w:eastAsia="仿宋" w:cs="仿宋"/>
                <w:color w:val="auto"/>
                <w:sz w:val="24"/>
                <w:highlight w:val="none"/>
              </w:rPr>
              <w:t>）</w:t>
            </w:r>
          </w:p>
          <w:p w14:paraId="7FF09AC9">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2、法定代表人身份证明及法定代表人有效身份证正反面复印件（格式详见第六章）；（</w:t>
            </w:r>
            <w:r>
              <w:rPr>
                <w:rFonts w:hint="eastAsia" w:ascii="仿宋" w:hAnsi="仿宋" w:eastAsia="仿宋" w:cs="仿宋"/>
                <w:b/>
                <w:bCs/>
                <w:color w:val="auto"/>
                <w:sz w:val="24"/>
                <w:highlight w:val="none"/>
              </w:rPr>
              <w:t>除自然人投标外</w:t>
            </w:r>
            <w:r>
              <w:rPr>
                <w:rFonts w:hint="eastAsia" w:ascii="仿宋" w:hAnsi="仿宋" w:eastAsia="仿宋" w:cs="仿宋"/>
                <w:b/>
                <w:color w:val="auto"/>
                <w:sz w:val="24"/>
                <w:highlight w:val="none"/>
              </w:rPr>
              <w:t>必须提供，否则投标文件按无效投标处理</w:t>
            </w:r>
            <w:r>
              <w:rPr>
                <w:rFonts w:hint="eastAsia" w:ascii="仿宋" w:hAnsi="仿宋" w:eastAsia="仿宋" w:cs="仿宋"/>
                <w:color w:val="auto"/>
                <w:sz w:val="24"/>
                <w:highlight w:val="none"/>
              </w:rPr>
              <w:t>）</w:t>
            </w:r>
          </w:p>
          <w:p w14:paraId="6B7C2712">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3、授权委托书及委托代理人有效身份证正反面复印件（格式详见第六章）；（</w:t>
            </w:r>
            <w:r>
              <w:rPr>
                <w:rFonts w:hint="eastAsia" w:ascii="仿宋" w:hAnsi="仿宋" w:eastAsia="仿宋" w:cs="仿宋"/>
                <w:b/>
                <w:color w:val="auto"/>
                <w:sz w:val="24"/>
                <w:highlight w:val="none"/>
              </w:rPr>
              <w:t>委托时必须提供，否则投标文件按无效投标处理</w:t>
            </w:r>
            <w:r>
              <w:rPr>
                <w:rFonts w:hint="eastAsia" w:ascii="仿宋" w:hAnsi="仿宋" w:eastAsia="仿宋" w:cs="仿宋"/>
                <w:color w:val="auto"/>
                <w:sz w:val="24"/>
                <w:highlight w:val="none"/>
              </w:rPr>
              <w:t>）</w:t>
            </w:r>
          </w:p>
          <w:p w14:paraId="0163D021">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eastAsia="zh-CN"/>
              </w:rPr>
              <w:t>商务</w:t>
            </w:r>
            <w:r>
              <w:rPr>
                <w:rFonts w:hint="eastAsia" w:ascii="仿宋" w:hAnsi="仿宋" w:eastAsia="仿宋" w:cs="仿宋"/>
                <w:color w:val="auto"/>
                <w:sz w:val="24"/>
                <w:highlight w:val="none"/>
              </w:rPr>
              <w:t>响应表（格式详见第六章）；（</w:t>
            </w:r>
            <w:r>
              <w:rPr>
                <w:rFonts w:hint="eastAsia" w:ascii="仿宋" w:hAnsi="仿宋" w:eastAsia="仿宋" w:cs="仿宋"/>
                <w:b/>
                <w:color w:val="auto"/>
                <w:sz w:val="24"/>
                <w:highlight w:val="none"/>
              </w:rPr>
              <w:t>必须提供，否则投标文件按无效投标处理</w:t>
            </w:r>
            <w:r>
              <w:rPr>
                <w:rFonts w:hint="eastAsia" w:ascii="仿宋" w:hAnsi="仿宋" w:eastAsia="仿宋" w:cs="仿宋"/>
                <w:color w:val="auto"/>
                <w:sz w:val="24"/>
                <w:highlight w:val="none"/>
              </w:rPr>
              <w:t>）</w:t>
            </w:r>
          </w:p>
          <w:p w14:paraId="38128E61">
            <w:pPr>
              <w:autoSpaceDE w:val="0"/>
              <w:autoSpaceDN w:val="0"/>
              <w:snapToGrid w:val="0"/>
              <w:spacing w:line="390" w:lineRule="exact"/>
              <w:textAlignment w:val="bottom"/>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5、投标人情况介绍（格式自拟）；</w:t>
            </w:r>
            <w:r>
              <w:rPr>
                <w:rFonts w:hint="eastAsia" w:ascii="仿宋" w:hAnsi="仿宋" w:eastAsia="仿宋" w:cs="仿宋"/>
                <w:b/>
                <w:bCs/>
                <w:color w:val="auto"/>
                <w:sz w:val="24"/>
                <w:highlight w:val="none"/>
              </w:rPr>
              <w:t>（如有，请提供）</w:t>
            </w:r>
          </w:p>
          <w:p w14:paraId="132496AE">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、联合体协议书（格式详见第六章）；</w:t>
            </w:r>
            <w:r>
              <w:rPr>
                <w:rFonts w:hint="eastAsia" w:ascii="仿宋" w:hAnsi="仿宋" w:eastAsia="仿宋" w:cs="仿宋"/>
                <w:b/>
                <w:bCs/>
                <w:color w:val="auto"/>
                <w:sz w:val="24"/>
                <w:highlight w:val="none"/>
              </w:rPr>
              <w:t>（如有，请提供）</w:t>
            </w:r>
          </w:p>
          <w:p w14:paraId="0F3B0A3B">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、除招标文件规定必须提供以外，投标人认为需要提供的其他证明材料（格式自拟）。（投标人根据“第二章 采购需求”及“第四章 评标方法及评标标准”提供有关证明材料）。</w:t>
            </w:r>
            <w:r>
              <w:rPr>
                <w:rFonts w:hint="eastAsia" w:ascii="仿宋" w:hAnsi="仿宋" w:eastAsia="仿宋" w:cs="仿宋"/>
                <w:b/>
                <w:bCs/>
                <w:color w:val="auto"/>
                <w:sz w:val="24"/>
                <w:highlight w:val="none"/>
              </w:rPr>
              <w:t>（如有，请提供）</w:t>
            </w:r>
          </w:p>
          <w:p w14:paraId="5C782FDD">
            <w:pPr>
              <w:autoSpaceDE w:val="0"/>
              <w:autoSpaceDN w:val="0"/>
              <w:snapToGrid w:val="0"/>
              <w:spacing w:line="390" w:lineRule="exact"/>
              <w:textAlignment w:val="bottom"/>
              <w:rPr>
                <w:rFonts w:hint="eastAsia" w:ascii="仿宋" w:hAnsi="仿宋" w:eastAsia="仿宋" w:cs="仿宋"/>
                <w:b/>
                <w:bCs/>
                <w:color w:val="auto"/>
                <w:sz w:val="24"/>
                <w:highlight w:val="none"/>
                <w:lang w:val="en-US" w:eastAsia="zh-CN"/>
              </w:rPr>
            </w:pPr>
            <w:r>
              <w:rPr>
                <w:rFonts w:hint="eastAsia" w:ascii="仿宋" w:hAnsi="仿宋" w:eastAsia="仿宋" w:cs="仿宋"/>
                <w:color w:val="auto"/>
                <w:sz w:val="24"/>
                <w:highlight w:val="none"/>
                <w:lang w:val="en-US" w:eastAsia="zh-CN"/>
              </w:rPr>
              <w:t>8、政策性加分证明材料复印件</w:t>
            </w:r>
            <w:r>
              <w:rPr>
                <w:rFonts w:hint="eastAsia" w:ascii="仿宋" w:hAnsi="仿宋" w:eastAsia="仿宋" w:cs="仿宋"/>
                <w:b/>
                <w:bCs/>
                <w:color w:val="auto"/>
                <w:sz w:val="24"/>
                <w:highlight w:val="none"/>
                <w:lang w:val="en-US" w:eastAsia="zh-CN"/>
              </w:rPr>
              <w:t>（如有，请提供）；</w:t>
            </w:r>
          </w:p>
          <w:p w14:paraId="6417A5EE">
            <w:pPr>
              <w:autoSpaceDE w:val="0"/>
              <w:autoSpaceDN w:val="0"/>
              <w:snapToGrid w:val="0"/>
              <w:spacing w:line="390" w:lineRule="exact"/>
              <w:textAlignment w:val="bottom"/>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注：①节能产品：属于财政部《节能产品政府采购品目清单》内优先采购（清单内未标注“★”的品目）的产品[投标文件中提供国家确定的认证机构出具的、处于有效期之内的认证证书复印件及品目清单（标注出投标产品在品目清单中所属的品目），并加盖投标人电子签章]；②环境标志产品：属于财政部《环境标志产品政府采购品目清单》内的产品[投标文件中提供国家确定的认证机构出具的、处于有效期之内的认证证书复印件及品目清单（标注出投标产品在品目清单中所属的品目），并加盖投标人电子签章]。</w:t>
            </w:r>
          </w:p>
          <w:p w14:paraId="668FB1B9">
            <w:pPr>
              <w:autoSpaceDE w:val="0"/>
              <w:autoSpaceDN w:val="0"/>
              <w:snapToGrid w:val="0"/>
              <w:spacing w:line="390" w:lineRule="exact"/>
              <w:textAlignment w:val="bottom"/>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9、投标人提供的货物全部由符合政策要求中小企业制造，投标文件中提供《中小企业声明函》；属于监狱企业的，提供由省级以上监狱管理局、戒毒管理局(含新疆生产建设兵团)出具的属于监狱企业的证明文件</w:t>
            </w:r>
            <w:r>
              <w:rPr>
                <w:rFonts w:hint="eastAsia" w:ascii="仿宋" w:hAnsi="仿宋" w:eastAsia="仿宋" w:cs="仿宋"/>
                <w:b/>
                <w:bCs/>
                <w:color w:val="auto"/>
                <w:sz w:val="24"/>
                <w:highlight w:val="none"/>
                <w:lang w:val="en-US" w:eastAsia="zh-CN"/>
              </w:rPr>
              <w:t>（如有，请提供）；</w:t>
            </w:r>
          </w:p>
          <w:p w14:paraId="02DA2E64">
            <w:pPr>
              <w:tabs>
                <w:tab w:val="left" w:pos="3570"/>
              </w:tabs>
              <w:autoSpaceDE w:val="0"/>
              <w:autoSpaceDN w:val="0"/>
              <w:snapToGrid w:val="0"/>
              <w:spacing w:line="390" w:lineRule="exact"/>
              <w:textAlignment w:val="bottom"/>
              <w:rPr>
                <w:rFonts w:hint="eastAsia" w:ascii="仿宋" w:hAnsi="仿宋" w:eastAsia="仿宋" w:cs="仿宋"/>
                <w:b/>
                <w:bCs/>
                <w:color w:val="auto"/>
                <w:sz w:val="24"/>
                <w:highlight w:val="none"/>
                <w:lang w:val="en-US" w:eastAsia="zh-CN"/>
              </w:rPr>
            </w:pPr>
            <w:r>
              <w:rPr>
                <w:rFonts w:hint="eastAsia" w:ascii="仿宋" w:hAnsi="仿宋" w:eastAsia="仿宋" w:cs="仿宋"/>
                <w:color w:val="auto"/>
                <w:sz w:val="24"/>
                <w:highlight w:val="none"/>
                <w:lang w:val="en-US" w:eastAsia="zh-CN"/>
              </w:rPr>
              <w:t>10、符合条件的残疾人福利性单位在参加政府采购活动时，提供《残疾人福利性单位声明函》，并对声明的真实性负责</w:t>
            </w:r>
            <w:r>
              <w:rPr>
                <w:rFonts w:hint="eastAsia" w:ascii="仿宋" w:hAnsi="仿宋" w:eastAsia="仿宋" w:cs="仿宋"/>
                <w:b/>
                <w:bCs/>
                <w:color w:val="auto"/>
                <w:sz w:val="24"/>
                <w:highlight w:val="none"/>
                <w:lang w:val="en-US" w:eastAsia="zh-CN"/>
              </w:rPr>
              <w:t>（如有，请提供）；</w:t>
            </w:r>
          </w:p>
          <w:p w14:paraId="0441E405">
            <w:pPr>
              <w:tabs>
                <w:tab w:val="left" w:pos="3570"/>
              </w:tabs>
              <w:autoSpaceDE w:val="0"/>
              <w:autoSpaceDN w:val="0"/>
              <w:snapToGrid w:val="0"/>
              <w:spacing w:line="390" w:lineRule="exact"/>
              <w:textAlignment w:val="bottom"/>
              <w:rPr>
                <w:rFonts w:hint="eastAsia" w:ascii="仿宋" w:hAnsi="仿宋" w:eastAsia="仿宋" w:cs="仿宋"/>
                <w:b/>
                <w:bCs/>
                <w:color w:val="auto"/>
                <w:sz w:val="24"/>
                <w:highlight w:val="none"/>
                <w:lang w:val="en-US" w:eastAsia="zh-CN"/>
              </w:rPr>
            </w:pPr>
            <w:r>
              <w:rPr>
                <w:rFonts w:hint="eastAsia" w:ascii="仿宋" w:hAnsi="仿宋" w:eastAsia="仿宋" w:cs="仿宋"/>
                <w:color w:val="auto"/>
                <w:sz w:val="24"/>
                <w:highlight w:val="none"/>
                <w:lang w:val="en-US" w:eastAsia="zh-CN"/>
              </w:rPr>
              <w:t>11、投标人提供的货物符合《关于在政府采购中实施本国产品标准及相关政策的通知》（国办发〔2025〕34号）相关规定的，提供《符合本国产品标准的声明函》（格式后附）</w:t>
            </w:r>
            <w:r>
              <w:rPr>
                <w:rFonts w:hint="eastAsia" w:ascii="仿宋" w:hAnsi="仿宋" w:eastAsia="仿宋" w:cs="仿宋"/>
                <w:b/>
                <w:bCs/>
                <w:color w:val="auto"/>
                <w:sz w:val="24"/>
                <w:highlight w:val="none"/>
                <w:lang w:val="en-US" w:eastAsia="zh-CN"/>
              </w:rPr>
              <w:t>（如有，请提供）；</w:t>
            </w:r>
          </w:p>
          <w:p w14:paraId="3ADA6F15">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注：以上标明“必须提供”的材料属于复印件的，必须加盖投标人公章，否则按无效投标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w:t>
            </w:r>
          </w:p>
        </w:tc>
      </w:tr>
      <w:tr w14:paraId="05364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bottom w:val="single" w:color="auto" w:sz="4" w:space="0"/>
              <w:right w:val="single" w:color="auto" w:sz="4" w:space="0"/>
            </w:tcBorders>
            <w:vAlign w:val="center"/>
          </w:tcPr>
          <w:p w14:paraId="5F98515F">
            <w:pPr>
              <w:spacing w:line="390" w:lineRule="exact"/>
              <w:rPr>
                <w:rFonts w:hint="eastAsia" w:ascii="仿宋" w:hAnsi="仿宋" w:eastAsia="仿宋" w:cs="仿宋"/>
                <w:color w:val="auto"/>
                <w:sz w:val="24"/>
                <w:highlight w:val="none"/>
              </w:rPr>
            </w:pPr>
            <w:bookmarkStart w:id="79" w:name="_13.4"/>
            <w:bookmarkEnd w:id="79"/>
          </w:p>
        </w:tc>
        <w:tc>
          <w:tcPr>
            <w:tcW w:w="9275" w:type="dxa"/>
            <w:tcBorders>
              <w:top w:val="single" w:color="auto" w:sz="4" w:space="0"/>
              <w:left w:val="single" w:color="auto" w:sz="4" w:space="0"/>
              <w:bottom w:val="single" w:color="auto" w:sz="4" w:space="0"/>
              <w:right w:val="single" w:color="auto" w:sz="4" w:space="0"/>
            </w:tcBorders>
            <w:vAlign w:val="center"/>
          </w:tcPr>
          <w:p w14:paraId="4E3B4345">
            <w:pPr>
              <w:snapToGrid w:val="0"/>
              <w:spacing w:line="39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技术文件： </w:t>
            </w:r>
          </w:p>
          <w:p w14:paraId="20F535BE">
            <w:pPr>
              <w:numPr>
                <w:ilvl w:val="0"/>
                <w:numId w:val="5"/>
              </w:num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技术偏离表</w:t>
            </w:r>
            <w:r>
              <w:rPr>
                <w:rFonts w:hint="eastAsia" w:ascii="仿宋" w:hAnsi="仿宋" w:eastAsia="仿宋" w:cs="仿宋"/>
                <w:color w:val="auto"/>
                <w:sz w:val="24"/>
                <w:highlight w:val="none"/>
              </w:rPr>
              <w:t>（格式详见第六章）；（</w:t>
            </w:r>
            <w:r>
              <w:rPr>
                <w:rFonts w:hint="eastAsia" w:ascii="仿宋" w:hAnsi="仿宋" w:eastAsia="仿宋" w:cs="仿宋"/>
                <w:b/>
                <w:color w:val="auto"/>
                <w:sz w:val="24"/>
                <w:highlight w:val="none"/>
              </w:rPr>
              <w:t>必须提供，否则投标文件按无效投标处理</w:t>
            </w:r>
            <w:r>
              <w:rPr>
                <w:rFonts w:hint="eastAsia" w:ascii="仿宋" w:hAnsi="仿宋" w:eastAsia="仿宋" w:cs="仿宋"/>
                <w:color w:val="auto"/>
                <w:sz w:val="24"/>
                <w:highlight w:val="none"/>
              </w:rPr>
              <w:t>）</w:t>
            </w:r>
          </w:p>
          <w:p w14:paraId="53969BA4">
            <w:pPr>
              <w:numPr>
                <w:ilvl w:val="0"/>
                <w:numId w:val="5"/>
              </w:num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b w:val="0"/>
                <w:color w:val="auto"/>
                <w:sz w:val="24"/>
                <w:szCs w:val="24"/>
                <w:highlight w:val="none"/>
              </w:rPr>
              <w:t>设备性能配置清单</w:t>
            </w:r>
            <w:r>
              <w:rPr>
                <w:rFonts w:hint="eastAsia" w:ascii="仿宋" w:hAnsi="仿宋" w:eastAsia="仿宋" w:cs="仿宋"/>
                <w:color w:val="auto"/>
                <w:sz w:val="24"/>
                <w:highlight w:val="none"/>
              </w:rPr>
              <w:t>（格式详见第六章）；（</w:t>
            </w:r>
            <w:r>
              <w:rPr>
                <w:rFonts w:hint="eastAsia" w:ascii="仿宋" w:hAnsi="仿宋" w:eastAsia="仿宋" w:cs="仿宋"/>
                <w:b/>
                <w:color w:val="auto"/>
                <w:sz w:val="24"/>
                <w:highlight w:val="none"/>
              </w:rPr>
              <w:t>必须提供，否则投标文件按无效投标处理</w:t>
            </w:r>
            <w:r>
              <w:rPr>
                <w:rFonts w:hint="eastAsia" w:ascii="仿宋" w:hAnsi="仿宋" w:eastAsia="仿宋" w:cs="仿宋"/>
                <w:color w:val="auto"/>
                <w:sz w:val="24"/>
                <w:highlight w:val="none"/>
              </w:rPr>
              <w:t>）</w:t>
            </w:r>
          </w:p>
          <w:p w14:paraId="6DDDEE7E">
            <w:pPr>
              <w:numPr>
                <w:ilvl w:val="0"/>
                <w:numId w:val="5"/>
              </w:numPr>
              <w:snapToGrid w:val="0"/>
              <w:spacing w:line="390" w:lineRule="exact"/>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项目实施方案（格式自拟）【包括但不限于项目</w:t>
            </w:r>
            <w:r>
              <w:rPr>
                <w:rFonts w:hint="eastAsia" w:ascii="仿宋" w:hAnsi="仿宋" w:eastAsia="仿宋" w:cs="仿宋"/>
                <w:color w:val="auto"/>
                <w:sz w:val="24"/>
                <w:highlight w:val="none"/>
                <w:lang w:val="en-US" w:eastAsia="zh-CN"/>
              </w:rPr>
              <w:t>配送、设备安装方案、项目执行组织措施、项目执行保障措施等内容</w:t>
            </w:r>
            <w:r>
              <w:rPr>
                <w:rFonts w:hint="eastAsia" w:ascii="仿宋" w:hAnsi="仿宋" w:eastAsia="仿宋" w:cs="仿宋"/>
                <w:color w:val="auto"/>
                <w:sz w:val="24"/>
                <w:highlight w:val="none"/>
              </w:rPr>
              <w:t>】；</w:t>
            </w:r>
            <w:r>
              <w:rPr>
                <w:rFonts w:hint="eastAsia" w:ascii="仿宋" w:hAnsi="仿宋" w:eastAsia="仿宋" w:cs="仿宋"/>
                <w:b/>
                <w:bCs/>
                <w:color w:val="auto"/>
                <w:sz w:val="24"/>
                <w:highlight w:val="none"/>
              </w:rPr>
              <w:t>（如有，请提供）</w:t>
            </w:r>
          </w:p>
          <w:p w14:paraId="675B2B73">
            <w:pPr>
              <w:numPr>
                <w:ilvl w:val="0"/>
                <w:numId w:val="5"/>
              </w:numPr>
              <w:snapToGrid w:val="0"/>
              <w:spacing w:line="390" w:lineRule="exact"/>
              <w:ind w:left="0" w:leftChars="0" w:firstLine="0" w:firstLineChars="0"/>
              <w:jc w:val="left"/>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en-US" w:eastAsia="zh-CN"/>
              </w:rPr>
              <w:t>实施人员配备</w:t>
            </w:r>
            <w:r>
              <w:rPr>
                <w:rFonts w:hint="eastAsia" w:ascii="仿宋" w:hAnsi="仿宋" w:eastAsia="仿宋" w:cs="仿宋"/>
                <w:color w:val="auto"/>
                <w:sz w:val="24"/>
                <w:highlight w:val="none"/>
              </w:rPr>
              <w:t>（格式详见第六章）；</w:t>
            </w:r>
            <w:r>
              <w:rPr>
                <w:rFonts w:hint="eastAsia" w:ascii="仿宋" w:hAnsi="仿宋" w:eastAsia="仿宋" w:cs="仿宋"/>
                <w:b/>
                <w:bCs/>
                <w:color w:val="auto"/>
                <w:sz w:val="24"/>
                <w:highlight w:val="none"/>
              </w:rPr>
              <w:t>（如有，请提供）</w:t>
            </w:r>
          </w:p>
          <w:p w14:paraId="545AEB83">
            <w:pPr>
              <w:snapToGrid w:val="0"/>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售后服务方案</w:t>
            </w:r>
            <w:r>
              <w:rPr>
                <w:rFonts w:hint="eastAsia" w:ascii="仿宋" w:hAnsi="仿宋" w:eastAsia="仿宋" w:cs="仿宋"/>
                <w:color w:val="auto"/>
                <w:sz w:val="24"/>
                <w:highlight w:val="none"/>
              </w:rPr>
              <w:t>（格式自拟）；</w:t>
            </w:r>
            <w:r>
              <w:rPr>
                <w:rFonts w:hint="eastAsia" w:ascii="仿宋" w:hAnsi="仿宋" w:eastAsia="仿宋" w:cs="仿宋"/>
                <w:b/>
                <w:bCs/>
                <w:color w:val="auto"/>
                <w:sz w:val="24"/>
                <w:highlight w:val="none"/>
              </w:rPr>
              <w:t>（如有，请提供）</w:t>
            </w:r>
          </w:p>
          <w:p w14:paraId="2C8EAE62">
            <w:pPr>
              <w:snapToGrid w:val="0"/>
              <w:spacing w:line="390" w:lineRule="exact"/>
              <w:jc w:val="left"/>
              <w:rPr>
                <w:rFonts w:hint="eastAsia" w:ascii="仿宋" w:hAnsi="仿宋" w:eastAsia="仿宋" w:cs="仿宋"/>
                <w:bCs/>
                <w:color w:val="auto"/>
                <w:sz w:val="24"/>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、除招标文件规定必须提供以外，投标人需要说明的其他文件和说明（格式自拟）。</w:t>
            </w:r>
            <w:r>
              <w:rPr>
                <w:rFonts w:hint="eastAsia" w:ascii="仿宋" w:hAnsi="仿宋" w:eastAsia="仿宋" w:cs="仿宋"/>
                <w:b/>
                <w:bCs/>
                <w:color w:val="auto"/>
                <w:sz w:val="24"/>
                <w:highlight w:val="none"/>
              </w:rPr>
              <w:t>（如有，请提供）</w:t>
            </w:r>
          </w:p>
          <w:p w14:paraId="2653B355">
            <w:pPr>
              <w:snapToGrid w:val="0"/>
              <w:spacing w:line="39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注：以上标明“必须提供”的材料属于复印件的，必须加盖投标人公章，否则按无效投标</w:t>
            </w:r>
            <w:r>
              <w:rPr>
                <w:rFonts w:hint="eastAsia" w:ascii="仿宋" w:hAnsi="仿宋" w:eastAsia="仿宋" w:cs="仿宋"/>
                <w:b/>
                <w:color w:val="auto"/>
                <w:sz w:val="24"/>
                <w:highlight w:val="none"/>
              </w:rPr>
              <w:t>处理</w:t>
            </w:r>
            <w:r>
              <w:rPr>
                <w:rFonts w:hint="eastAsia" w:ascii="仿宋" w:hAnsi="仿宋" w:eastAsia="仿宋" w:cs="仿宋"/>
                <w:b/>
                <w:bCs/>
                <w:color w:val="auto"/>
                <w:sz w:val="24"/>
                <w:highlight w:val="none"/>
              </w:rPr>
              <w:t>。</w:t>
            </w:r>
          </w:p>
        </w:tc>
      </w:tr>
      <w:tr w14:paraId="31DA1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AF860B9">
            <w:pPr>
              <w:spacing w:line="390" w:lineRule="exact"/>
              <w:jc w:val="center"/>
              <w:rPr>
                <w:rFonts w:hint="eastAsia" w:ascii="仿宋" w:hAnsi="仿宋" w:eastAsia="仿宋" w:cs="仿宋"/>
                <w:color w:val="auto"/>
                <w:sz w:val="24"/>
                <w:highlight w:val="none"/>
              </w:rPr>
            </w:pPr>
            <w:bookmarkStart w:id="80" w:name="_16.2"/>
            <w:bookmarkEnd w:id="80"/>
            <w:bookmarkStart w:id="81" w:name="_13.5"/>
            <w:bookmarkEnd w:id="81"/>
            <w:r>
              <w:rPr>
                <w:rFonts w:hint="eastAsia" w:ascii="仿宋" w:hAnsi="仿宋" w:eastAsia="仿宋" w:cs="仿宋"/>
                <w:color w:val="auto"/>
                <w:sz w:val="24"/>
                <w:highlight w:val="none"/>
              </w:rPr>
              <w:t>16</w:t>
            </w:r>
            <w:bookmarkStart w:id="82" w:name="_Hlt19194066"/>
            <w:bookmarkStart w:id="83" w:name="_Hlt19693759"/>
            <w:bookmarkStart w:id="84" w:name="_Hlt19194067"/>
            <w:bookmarkStart w:id="85" w:name="_Hlt19693758"/>
            <w:r>
              <w:rPr>
                <w:rFonts w:hint="eastAsia" w:ascii="仿宋" w:hAnsi="仿宋" w:eastAsia="仿宋" w:cs="仿宋"/>
                <w:color w:val="auto"/>
                <w:sz w:val="24"/>
                <w:highlight w:val="none"/>
              </w:rPr>
              <w:t>.</w:t>
            </w:r>
            <w:bookmarkEnd w:id="82"/>
            <w:bookmarkEnd w:id="83"/>
            <w:bookmarkEnd w:id="84"/>
            <w:bookmarkEnd w:id="85"/>
            <w:r>
              <w:rPr>
                <w:rFonts w:hint="eastAsia" w:ascii="仿宋" w:hAnsi="仿宋" w:eastAsia="仿宋" w:cs="仿宋"/>
                <w:color w:val="auto"/>
                <w:sz w:val="24"/>
                <w:highlight w:val="none"/>
              </w:rPr>
              <w:t>2</w:t>
            </w:r>
          </w:p>
        </w:tc>
        <w:tc>
          <w:tcPr>
            <w:tcW w:w="9275" w:type="dxa"/>
            <w:tcBorders>
              <w:top w:val="single" w:color="auto" w:sz="4" w:space="0"/>
              <w:left w:val="single" w:color="auto" w:sz="4" w:space="0"/>
              <w:bottom w:val="single" w:color="auto" w:sz="4" w:space="0"/>
              <w:right w:val="single" w:color="auto" w:sz="4" w:space="0"/>
            </w:tcBorders>
            <w:vAlign w:val="center"/>
          </w:tcPr>
          <w:p w14:paraId="4C4A4E70">
            <w:pPr>
              <w:snapToGrid w:val="0"/>
              <w:spacing w:line="390" w:lineRule="exact"/>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lang w:eastAsia="zh-CN"/>
              </w:rPr>
              <w:t>投标报价应包括本次招标范围内标的价款、标的随配标准附件、包装、运输、装卸、保险、税金、到位安装、安装所需辅材、调试、检验、维护、培训、升级、售后、验收、项目投标产生的招标代理服务费及项目涉及到的一切费用的总和，投标人应综合考虑在报价中。在合同实施时，采购人将不予支付投标人没有列入的项目费用，并认为此项目的费用已包括在投标报价中。</w:t>
            </w:r>
          </w:p>
        </w:tc>
      </w:tr>
      <w:tr w14:paraId="39625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BCB0F3D">
            <w:pPr>
              <w:spacing w:line="390" w:lineRule="exact"/>
              <w:jc w:val="center"/>
              <w:rPr>
                <w:rFonts w:hint="eastAsia" w:ascii="仿宋" w:hAnsi="仿宋" w:eastAsia="仿宋" w:cs="仿宋"/>
                <w:color w:val="auto"/>
                <w:sz w:val="24"/>
                <w:highlight w:val="none"/>
              </w:rPr>
            </w:pPr>
            <w:bookmarkStart w:id="86" w:name="_17.1"/>
            <w:bookmarkEnd w:id="86"/>
            <w:r>
              <w:rPr>
                <w:rFonts w:hint="eastAsia" w:ascii="仿宋" w:hAnsi="仿宋" w:eastAsia="仿宋" w:cs="仿宋"/>
                <w:color w:val="auto"/>
                <w:sz w:val="24"/>
                <w:highlight w:val="none"/>
              </w:rPr>
              <w:t>17.2</w:t>
            </w:r>
          </w:p>
        </w:tc>
        <w:tc>
          <w:tcPr>
            <w:tcW w:w="9275" w:type="dxa"/>
            <w:tcBorders>
              <w:top w:val="single" w:color="auto" w:sz="4" w:space="0"/>
              <w:left w:val="single" w:color="auto" w:sz="4" w:space="0"/>
              <w:bottom w:val="single" w:color="auto" w:sz="4" w:space="0"/>
              <w:right w:val="single" w:color="auto" w:sz="4" w:space="0"/>
            </w:tcBorders>
            <w:vAlign w:val="center"/>
          </w:tcPr>
          <w:p w14:paraId="0BE13F87">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投标有效期：投标截止之日起90天内。</w:t>
            </w:r>
          </w:p>
        </w:tc>
      </w:tr>
      <w:tr w14:paraId="032883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317DFFA5">
            <w:pPr>
              <w:spacing w:line="390" w:lineRule="exact"/>
              <w:jc w:val="center"/>
              <w:rPr>
                <w:rFonts w:hint="eastAsia" w:ascii="仿宋" w:hAnsi="仿宋" w:eastAsia="仿宋" w:cs="仿宋"/>
                <w:color w:val="auto"/>
                <w:sz w:val="24"/>
                <w:highlight w:val="none"/>
              </w:rPr>
            </w:pPr>
            <w:bookmarkStart w:id="87" w:name="_18"/>
            <w:bookmarkEnd w:id="87"/>
            <w:r>
              <w:rPr>
                <w:rFonts w:hint="eastAsia" w:ascii="仿宋" w:hAnsi="仿宋" w:eastAsia="仿宋" w:cs="仿宋"/>
                <w:color w:val="auto"/>
                <w:sz w:val="24"/>
                <w:highlight w:val="none"/>
              </w:rPr>
              <w:t>18.1</w:t>
            </w:r>
          </w:p>
        </w:tc>
        <w:tc>
          <w:tcPr>
            <w:tcW w:w="9275" w:type="dxa"/>
            <w:tcBorders>
              <w:top w:val="single" w:color="auto" w:sz="4" w:space="0"/>
              <w:left w:val="single" w:color="auto" w:sz="4" w:space="0"/>
              <w:bottom w:val="single" w:color="auto" w:sz="4" w:space="0"/>
              <w:right w:val="single" w:color="auto" w:sz="4" w:space="0"/>
            </w:tcBorders>
            <w:vAlign w:val="center"/>
          </w:tcPr>
          <w:p w14:paraId="2329BF43">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本项目不收取投标保证金。</w:t>
            </w:r>
          </w:p>
          <w:p w14:paraId="6E2B1CAA">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□本项目收取投标保证金，具体规定如下：</w:t>
            </w:r>
          </w:p>
          <w:p w14:paraId="3A467229">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投标保证金人民币</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万元；</w:t>
            </w:r>
          </w:p>
          <w:p w14:paraId="636EA938">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投标保证金的交纳方式：银行转账、支票、汇票、本票或者金融、担保机构出具的保函，禁止采用现钞方式。采用银行转账方式的，在投标截止时间前交至指定账户并且到账（</w:t>
            </w:r>
            <w:r>
              <w:rPr>
                <w:rFonts w:hint="eastAsia" w:ascii="仿宋" w:hAnsi="仿宋" w:eastAsia="仿宋" w:cs="仿宋"/>
                <w:color w:val="auto"/>
                <w:sz w:val="24"/>
                <w:highlight w:val="none"/>
              </w:rPr>
              <w:t>开户名称：</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，银行账号：</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kern w:val="0"/>
                <w:sz w:val="24"/>
                <w:highlight w:val="none"/>
              </w:rPr>
              <w:t>）；采用支票、汇票、本票或者保函等方式的，在投标截止时间前，投标人必须递交支票、汇票、本票或者保函原件。否则视为无效投标保证金。</w:t>
            </w:r>
          </w:p>
          <w:p w14:paraId="34B74908">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相关要求：</w:t>
            </w:r>
          </w:p>
          <w:p w14:paraId="12945E34">
            <w:pPr>
              <w:pStyle w:val="18"/>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1、投标保证金采用银行转账交纳方式的，在投标截止时间前交至指定账户并且到账，投标人应将银行转账底单的复印件作为投标保证金提交凭证，放置于商务文件中，</w:t>
            </w:r>
            <w:r>
              <w:rPr>
                <w:rFonts w:hint="eastAsia" w:ascii="仿宋" w:hAnsi="仿宋" w:eastAsia="仿宋" w:cs="仿宋"/>
                <w:b/>
                <w:color w:val="auto"/>
                <w:sz w:val="24"/>
                <w:highlight w:val="none"/>
              </w:rPr>
              <w:t>否则投标无效</w:t>
            </w:r>
            <w:r>
              <w:rPr>
                <w:rFonts w:hint="eastAsia" w:ascii="仿宋" w:hAnsi="仿宋" w:eastAsia="仿宋" w:cs="仿宋"/>
                <w:color w:val="auto"/>
                <w:sz w:val="24"/>
                <w:highlight w:val="none"/>
              </w:rPr>
              <w:t>。</w:t>
            </w:r>
          </w:p>
          <w:p w14:paraId="1B61E4D1">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仿宋" w:hAnsi="仿宋" w:eastAsia="仿宋" w:cs="仿宋"/>
                <w:b/>
                <w:color w:val="auto"/>
                <w:sz w:val="24"/>
                <w:highlight w:val="none"/>
              </w:rPr>
              <w:t>否则投标无效</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投标人必须在投标截止时间前将支票、汇票、本票或者金融、担保机构出具的保函原件提交给采购代理机构，由采购代理机构向投标人出具回执，并妥善保管。</w:t>
            </w:r>
          </w:p>
          <w:p w14:paraId="2A9CA342">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3、投标人为联合体的，可以由联合体中的一方或者多方共同交纳投标保证金，其交纳的保证金对联合体各方均具有约束力。</w:t>
            </w:r>
          </w:p>
          <w:p w14:paraId="319D353A">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备注： </w:t>
            </w:r>
          </w:p>
          <w:p w14:paraId="2B77807F">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1、投标保证金在投标截止时间后提交的，或者不按规定交纳方式交纳的，或者未足额交纳的（包含保函额度不足的），视为无效投标保证金。</w:t>
            </w:r>
          </w:p>
          <w:p w14:paraId="654175E4">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2、投标人采用现钞方式或者从个人账户（自然人投标除外）转出的投标保证金，视为无效投标保证金。</w:t>
            </w:r>
          </w:p>
          <w:p w14:paraId="7C1DB219">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3、支票、汇票或者本票出现无效或者背书情形的，视为无效投标保证金。</w:t>
            </w:r>
          </w:p>
          <w:p w14:paraId="5D33B815">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4、保函有效期低于投标有效期的，视为无效投标保证金。</w:t>
            </w:r>
          </w:p>
          <w:p w14:paraId="55DCC0DF">
            <w:pPr>
              <w:snapToGrid w:val="0"/>
              <w:spacing w:line="39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5、采用金融、担保机构出具保函的，必须为无条件保函，否则视为无效投标保证金。</w:t>
            </w:r>
          </w:p>
        </w:tc>
      </w:tr>
      <w:tr w14:paraId="609A68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7D26CDF">
            <w:pPr>
              <w:spacing w:line="390" w:lineRule="exact"/>
              <w:jc w:val="center"/>
              <w:rPr>
                <w:rFonts w:hint="eastAsia" w:ascii="仿宋" w:hAnsi="仿宋" w:eastAsia="仿宋" w:cs="仿宋"/>
                <w:color w:val="auto"/>
                <w:sz w:val="24"/>
                <w:highlight w:val="none"/>
              </w:rPr>
            </w:pPr>
            <w:bookmarkStart w:id="88" w:name="_19.2"/>
            <w:bookmarkEnd w:id="88"/>
            <w:r>
              <w:rPr>
                <w:rFonts w:hint="eastAsia" w:ascii="仿宋" w:hAnsi="仿宋" w:eastAsia="仿宋" w:cs="仿宋"/>
                <w:color w:val="auto"/>
                <w:sz w:val="24"/>
                <w:highlight w:val="none"/>
              </w:rPr>
              <w:t>19.2</w:t>
            </w:r>
          </w:p>
        </w:tc>
        <w:tc>
          <w:tcPr>
            <w:tcW w:w="9275" w:type="dxa"/>
            <w:tcBorders>
              <w:top w:val="single" w:color="auto" w:sz="4" w:space="0"/>
              <w:left w:val="single" w:color="auto" w:sz="4" w:space="0"/>
              <w:bottom w:val="single" w:color="auto" w:sz="4" w:space="0"/>
              <w:right w:val="single" w:color="auto" w:sz="4" w:space="0"/>
            </w:tcBorders>
            <w:vAlign w:val="center"/>
          </w:tcPr>
          <w:p w14:paraId="470F70AC">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投标文件应按报价文件、资格证明文件、商务文件、技术文件分别编制，并按“广西政府采购云平台”的要求编制、加密、上传。</w:t>
            </w:r>
          </w:p>
        </w:tc>
      </w:tr>
      <w:tr w14:paraId="50634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5CA9B4B">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20.1</w:t>
            </w:r>
          </w:p>
        </w:tc>
        <w:tc>
          <w:tcPr>
            <w:tcW w:w="9275" w:type="dxa"/>
            <w:tcBorders>
              <w:top w:val="single" w:color="auto" w:sz="4" w:space="0"/>
              <w:left w:val="single" w:color="auto" w:sz="4" w:space="0"/>
              <w:bottom w:val="single" w:color="auto" w:sz="4" w:space="0"/>
              <w:right w:val="single" w:color="auto" w:sz="4" w:space="0"/>
            </w:tcBorders>
            <w:vAlign w:val="center"/>
          </w:tcPr>
          <w:p w14:paraId="24A3306C">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电子投标文件应在制作完成后，投标人应按“广西政府采购云平台”的要求进行加密，并在规定时间内解密，否则，由此产生的后果由投标人自行负责。</w:t>
            </w:r>
          </w:p>
        </w:tc>
      </w:tr>
      <w:tr w14:paraId="4A937F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176190A6">
            <w:pPr>
              <w:spacing w:line="390" w:lineRule="exact"/>
              <w:jc w:val="center"/>
              <w:rPr>
                <w:rFonts w:hint="eastAsia" w:ascii="仿宋" w:hAnsi="仿宋" w:eastAsia="仿宋" w:cs="仿宋"/>
                <w:color w:val="auto"/>
                <w:sz w:val="24"/>
                <w:highlight w:val="none"/>
              </w:rPr>
            </w:pPr>
            <w:bookmarkStart w:id="89" w:name="_21.1"/>
            <w:bookmarkEnd w:id="89"/>
            <w:r>
              <w:rPr>
                <w:rFonts w:hint="eastAsia" w:ascii="仿宋" w:hAnsi="仿宋" w:eastAsia="仿宋" w:cs="仿宋"/>
                <w:color w:val="auto"/>
                <w:sz w:val="24"/>
                <w:highlight w:val="none"/>
              </w:rPr>
              <w:t>21.1</w:t>
            </w:r>
          </w:p>
        </w:tc>
        <w:tc>
          <w:tcPr>
            <w:tcW w:w="9275" w:type="dxa"/>
            <w:tcBorders>
              <w:top w:val="single" w:color="auto" w:sz="4" w:space="0"/>
              <w:left w:val="single" w:color="auto" w:sz="4" w:space="0"/>
              <w:bottom w:val="single" w:color="auto" w:sz="4" w:space="0"/>
              <w:right w:val="single" w:color="auto" w:sz="4" w:space="0"/>
            </w:tcBorders>
            <w:vAlign w:val="center"/>
          </w:tcPr>
          <w:p w14:paraId="3A1B37D1">
            <w:pPr>
              <w:snapToGrid w:val="0"/>
              <w:spacing w:line="39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1、投标截止时间：详见招标公告</w:t>
            </w:r>
          </w:p>
          <w:p w14:paraId="0F666020">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2、投标地点：详见招标公告</w:t>
            </w:r>
          </w:p>
        </w:tc>
      </w:tr>
      <w:tr w14:paraId="046E6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0D67B391">
            <w:pPr>
              <w:spacing w:line="390" w:lineRule="exact"/>
              <w:jc w:val="center"/>
              <w:rPr>
                <w:rFonts w:hint="eastAsia" w:ascii="仿宋" w:hAnsi="仿宋" w:eastAsia="仿宋" w:cs="仿宋"/>
                <w:color w:val="auto"/>
                <w:sz w:val="24"/>
                <w:highlight w:val="none"/>
              </w:rPr>
            </w:pPr>
            <w:bookmarkStart w:id="90" w:name="_23"/>
            <w:bookmarkEnd w:id="90"/>
            <w:r>
              <w:rPr>
                <w:rFonts w:hint="eastAsia" w:ascii="仿宋" w:hAnsi="仿宋" w:eastAsia="仿宋" w:cs="仿宋"/>
                <w:color w:val="auto"/>
                <w:sz w:val="24"/>
                <w:highlight w:val="none"/>
              </w:rPr>
              <w:t>23</w:t>
            </w:r>
          </w:p>
        </w:tc>
        <w:tc>
          <w:tcPr>
            <w:tcW w:w="9275" w:type="dxa"/>
            <w:tcBorders>
              <w:top w:val="single" w:color="auto" w:sz="4" w:space="0"/>
              <w:left w:val="single" w:color="auto" w:sz="4" w:space="0"/>
              <w:bottom w:val="single" w:color="auto" w:sz="4" w:space="0"/>
              <w:right w:val="single" w:color="auto" w:sz="4" w:space="0"/>
            </w:tcBorders>
            <w:vAlign w:val="center"/>
          </w:tcPr>
          <w:p w14:paraId="473976EF">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1、开标时间：详见招标公告</w:t>
            </w:r>
          </w:p>
          <w:p w14:paraId="0801B297">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2、开标地点：详见招标公告</w:t>
            </w:r>
          </w:p>
        </w:tc>
      </w:tr>
      <w:tr w14:paraId="07BD0D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53B63DBB">
            <w:pPr>
              <w:spacing w:line="390" w:lineRule="exact"/>
              <w:jc w:val="center"/>
              <w:rPr>
                <w:rFonts w:hint="eastAsia" w:ascii="仿宋" w:hAnsi="仿宋" w:eastAsia="仿宋" w:cs="仿宋"/>
                <w:color w:val="auto"/>
                <w:sz w:val="24"/>
                <w:highlight w:val="none"/>
              </w:rPr>
            </w:pPr>
            <w:r>
              <w:rPr>
                <w:rFonts w:hint="eastAsia" w:ascii="仿宋" w:hAnsi="仿宋" w:eastAsia="仿宋" w:cs="仿宋"/>
                <w:bCs/>
                <w:color w:val="auto"/>
                <w:sz w:val="24"/>
                <w:highlight w:val="none"/>
              </w:rPr>
              <w:t>24.2</w:t>
            </w:r>
          </w:p>
        </w:tc>
        <w:tc>
          <w:tcPr>
            <w:tcW w:w="9275" w:type="dxa"/>
            <w:tcBorders>
              <w:top w:val="single" w:color="auto" w:sz="4" w:space="0"/>
              <w:left w:val="single" w:color="auto" w:sz="4" w:space="0"/>
              <w:bottom w:val="single" w:color="auto" w:sz="4" w:space="0"/>
              <w:right w:val="single" w:color="auto" w:sz="4" w:space="0"/>
            </w:tcBorders>
            <w:vAlign w:val="center"/>
          </w:tcPr>
          <w:p w14:paraId="718C44C8">
            <w:pPr>
              <w:autoSpaceDE w:val="0"/>
              <w:autoSpaceDN w:val="0"/>
              <w:adjustRightInd w:val="0"/>
              <w:spacing w:line="390" w:lineRule="exact"/>
              <w:rPr>
                <w:rFonts w:hint="eastAsia" w:ascii="仿宋" w:hAnsi="仿宋" w:eastAsia="仿宋" w:cs="仿宋"/>
                <w:color w:val="auto"/>
                <w:sz w:val="24"/>
                <w:highlight w:val="none"/>
              </w:rPr>
            </w:pPr>
            <w:r>
              <w:rPr>
                <w:rFonts w:hint="eastAsia" w:ascii="仿宋" w:hAnsi="仿宋" w:eastAsia="仿宋" w:cs="仿宋"/>
                <w:bCs/>
                <w:color w:val="auto"/>
                <w:sz w:val="24"/>
                <w:highlight w:val="none"/>
              </w:rPr>
              <w:t>“广西政府采购云平台”按开标时间自动提取所有投标文件。采购代理机构依托“广西政府采购云平台”向各投标人发出电子加密投标文件【开始解密】通知，由投标人进行投标文件解密。</w:t>
            </w:r>
            <w:r>
              <w:rPr>
                <w:rFonts w:hint="eastAsia" w:ascii="仿宋" w:hAnsi="仿宋" w:eastAsia="仿宋" w:cs="仿宋"/>
                <w:b/>
                <w:bCs/>
                <w:color w:val="auto"/>
                <w:sz w:val="24"/>
                <w:highlight w:val="none"/>
              </w:rPr>
              <w:t>投标人的法定代表人或其委托代理人须携带加密时所用的CA锁准时登录到“广西政府采购云平台”电子开标大厅签到</w:t>
            </w:r>
            <w:r>
              <w:rPr>
                <w:rFonts w:hint="eastAsia" w:ascii="仿宋" w:hAnsi="仿宋" w:eastAsia="仿宋" w:cs="仿宋"/>
                <w:b/>
                <w:color w:val="auto"/>
                <w:sz w:val="24"/>
                <w:highlight w:val="none"/>
              </w:rPr>
              <w:t>并在发起解密</w:t>
            </w:r>
            <w:r>
              <w:rPr>
                <w:rFonts w:hint="eastAsia" w:ascii="仿宋" w:hAnsi="仿宋" w:eastAsia="仿宋" w:cs="仿宋"/>
                <w:b/>
                <w:bCs/>
                <w:color w:val="auto"/>
                <w:sz w:val="24"/>
                <w:highlight w:val="none"/>
              </w:rPr>
              <w:t>通知</w:t>
            </w:r>
            <w:r>
              <w:rPr>
                <w:rFonts w:hint="eastAsia" w:ascii="仿宋" w:hAnsi="仿宋" w:eastAsia="仿宋" w:cs="仿宋"/>
                <w:b/>
                <w:color w:val="auto"/>
                <w:sz w:val="24"/>
                <w:highlight w:val="none"/>
              </w:rPr>
              <w:t>之时起30分钟内完成</w:t>
            </w:r>
            <w:r>
              <w:rPr>
                <w:rFonts w:hint="eastAsia" w:ascii="仿宋" w:hAnsi="仿宋" w:eastAsia="仿宋" w:cs="仿宋"/>
                <w:b/>
                <w:bCs/>
                <w:color w:val="auto"/>
                <w:sz w:val="24"/>
                <w:highlight w:val="none"/>
              </w:rPr>
              <w:t>对电子投标文件解密。投标文件未按时解密的，视为无效投标。</w:t>
            </w:r>
          </w:p>
        </w:tc>
      </w:tr>
      <w:tr w14:paraId="19253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3D758AB">
            <w:pPr>
              <w:spacing w:line="390" w:lineRule="exact"/>
              <w:jc w:val="center"/>
              <w:rPr>
                <w:rFonts w:hint="eastAsia" w:ascii="仿宋" w:hAnsi="仿宋" w:eastAsia="仿宋" w:cs="仿宋"/>
                <w:color w:val="auto"/>
                <w:sz w:val="24"/>
                <w:highlight w:val="none"/>
              </w:rPr>
            </w:pPr>
            <w:bookmarkStart w:id="91" w:name="_25.3"/>
            <w:bookmarkEnd w:id="91"/>
            <w:r>
              <w:rPr>
                <w:rFonts w:hint="eastAsia" w:ascii="仿宋" w:hAnsi="仿宋" w:eastAsia="仿宋" w:cs="仿宋"/>
                <w:color w:val="auto"/>
                <w:sz w:val="24"/>
                <w:highlight w:val="none"/>
              </w:rPr>
              <w:t>25.3（3）</w:t>
            </w:r>
          </w:p>
        </w:tc>
        <w:tc>
          <w:tcPr>
            <w:tcW w:w="9275" w:type="dxa"/>
            <w:tcBorders>
              <w:top w:val="single" w:color="auto" w:sz="4" w:space="0"/>
              <w:left w:val="single" w:color="auto" w:sz="4" w:space="0"/>
              <w:bottom w:val="single" w:color="auto" w:sz="4" w:space="0"/>
              <w:right w:val="single" w:color="auto" w:sz="4" w:space="0"/>
            </w:tcBorders>
            <w:vAlign w:val="center"/>
          </w:tcPr>
          <w:p w14:paraId="1567A6AA">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采购人或者采购代理机构在资格审查结束前，对投标人进行信用查询。</w:t>
            </w:r>
          </w:p>
          <w:p w14:paraId="614D2312">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查询渠道：“信用中国”网站（www.creditchina.gov.cn）、中国政府采购网（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"http://www.ccgp.gov.cn" </w:instrText>
            </w:r>
            <w:r>
              <w:rPr>
                <w:rFonts w:hint="eastAsia" w:ascii="仿宋" w:hAnsi="仿宋" w:eastAsia="仿宋" w:cs="仿宋"/>
                <w:color w:val="auto"/>
                <w:highlight w:val="none"/>
              </w:rPr>
              <w:fldChar w:fldCharType="separate"/>
            </w:r>
            <w:r>
              <w:rPr>
                <w:rStyle w:val="60"/>
                <w:rFonts w:hint="eastAsia" w:ascii="仿宋" w:hAnsi="仿宋" w:eastAsia="仿宋" w:cs="仿宋"/>
                <w:color w:val="auto"/>
                <w:sz w:val="24"/>
                <w:highlight w:val="none"/>
              </w:rPr>
              <w:t>www.ccgp.gov.cn</w:t>
            </w:r>
            <w:r>
              <w:rPr>
                <w:rStyle w:val="60"/>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w:t>
            </w:r>
          </w:p>
          <w:p w14:paraId="3C939C04">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信用查询截止时点：资格审查结束前。</w:t>
            </w:r>
          </w:p>
          <w:p w14:paraId="3C506D95">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查询记录和证据留存方式：将查询网站中的查询记录截图并作为评审资料保存。</w:t>
            </w:r>
          </w:p>
          <w:p w14:paraId="098A27C5">
            <w:pPr>
              <w:snapToGrid w:val="0"/>
              <w:spacing w:line="39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63969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D0C1453">
            <w:pPr>
              <w:spacing w:line="390" w:lineRule="exact"/>
              <w:jc w:val="center"/>
              <w:rPr>
                <w:rFonts w:hint="eastAsia" w:ascii="仿宋" w:hAnsi="仿宋" w:eastAsia="仿宋" w:cs="仿宋"/>
                <w:color w:val="auto"/>
                <w:sz w:val="24"/>
                <w:highlight w:val="none"/>
              </w:rPr>
            </w:pPr>
            <w:bookmarkStart w:id="92" w:name="_26"/>
            <w:bookmarkEnd w:id="92"/>
            <w:r>
              <w:rPr>
                <w:rFonts w:hint="eastAsia" w:ascii="仿宋" w:hAnsi="仿宋" w:eastAsia="仿宋" w:cs="仿宋"/>
                <w:color w:val="auto"/>
                <w:sz w:val="24"/>
                <w:highlight w:val="none"/>
              </w:rPr>
              <w:t>26</w:t>
            </w:r>
          </w:p>
        </w:tc>
        <w:tc>
          <w:tcPr>
            <w:tcW w:w="9275" w:type="dxa"/>
            <w:tcBorders>
              <w:top w:val="single" w:color="auto" w:sz="4" w:space="0"/>
              <w:left w:val="single" w:color="auto" w:sz="4" w:space="0"/>
              <w:bottom w:val="single" w:color="auto" w:sz="4" w:space="0"/>
              <w:right w:val="single" w:color="auto" w:sz="4" w:space="0"/>
            </w:tcBorders>
            <w:vAlign w:val="center"/>
          </w:tcPr>
          <w:p w14:paraId="0480E6B0">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评标委员会的人数：5人或5人以上单数。</w:t>
            </w:r>
          </w:p>
        </w:tc>
      </w:tr>
      <w:tr w14:paraId="5B4A35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8315866">
            <w:pPr>
              <w:spacing w:line="390" w:lineRule="exact"/>
              <w:jc w:val="center"/>
              <w:rPr>
                <w:rFonts w:hint="eastAsia" w:ascii="仿宋" w:hAnsi="仿宋" w:eastAsia="仿宋" w:cs="仿宋"/>
                <w:color w:val="auto"/>
                <w:sz w:val="24"/>
                <w:highlight w:val="none"/>
              </w:rPr>
            </w:pPr>
            <w:bookmarkStart w:id="93" w:name="_28.3"/>
            <w:bookmarkEnd w:id="93"/>
            <w:r>
              <w:rPr>
                <w:rFonts w:hint="eastAsia" w:ascii="仿宋" w:hAnsi="仿宋" w:eastAsia="仿宋" w:cs="仿宋"/>
                <w:color w:val="auto"/>
                <w:sz w:val="24"/>
                <w:highlight w:val="none"/>
              </w:rPr>
              <w:t>29.1</w:t>
            </w:r>
          </w:p>
        </w:tc>
        <w:tc>
          <w:tcPr>
            <w:tcW w:w="9275" w:type="dxa"/>
            <w:tcBorders>
              <w:top w:val="single" w:color="auto" w:sz="4" w:space="0"/>
              <w:left w:val="single" w:color="auto" w:sz="4" w:space="0"/>
              <w:bottom w:val="single" w:color="auto" w:sz="4" w:space="0"/>
              <w:right w:val="single" w:color="auto" w:sz="4" w:space="0"/>
            </w:tcBorders>
            <w:vAlign w:val="center"/>
          </w:tcPr>
          <w:p w14:paraId="3433EAEA">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评标方法：</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综合评分法/□最低评标价法</w:t>
            </w:r>
          </w:p>
        </w:tc>
      </w:tr>
      <w:tr w14:paraId="0F4F2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167E9B14">
            <w:pPr>
              <w:spacing w:line="390" w:lineRule="exact"/>
              <w:jc w:val="center"/>
              <w:rPr>
                <w:rFonts w:hint="eastAsia" w:ascii="仿宋" w:hAnsi="仿宋" w:eastAsia="仿宋" w:cs="仿宋"/>
                <w:color w:val="auto"/>
                <w:sz w:val="24"/>
                <w:highlight w:val="none"/>
              </w:rPr>
            </w:pPr>
            <w:bookmarkStart w:id="94" w:name="_29.2.2（2）"/>
            <w:bookmarkEnd w:id="94"/>
            <w:r>
              <w:rPr>
                <w:rFonts w:hint="eastAsia" w:ascii="仿宋" w:hAnsi="仿宋" w:eastAsia="仿宋" w:cs="仿宋"/>
                <w:color w:val="auto"/>
                <w:sz w:val="24"/>
                <w:highlight w:val="none"/>
              </w:rPr>
              <w:t>29.2</w:t>
            </w:r>
          </w:p>
        </w:tc>
        <w:tc>
          <w:tcPr>
            <w:tcW w:w="9275" w:type="dxa"/>
            <w:tcBorders>
              <w:top w:val="single" w:color="auto" w:sz="4" w:space="0"/>
              <w:left w:val="single" w:color="auto" w:sz="4" w:space="0"/>
              <w:right w:val="single" w:color="auto" w:sz="4" w:space="0"/>
            </w:tcBorders>
            <w:vAlign w:val="center"/>
          </w:tcPr>
          <w:p w14:paraId="4DA32298">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商务要求评审中允许负偏离的条款数为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w:t>
            </w:r>
          </w:p>
          <w:p w14:paraId="247623D9">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技术要求评审中允许负偏离的条款数为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项。</w:t>
            </w:r>
          </w:p>
        </w:tc>
      </w:tr>
      <w:tr w14:paraId="45B33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027C880D">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29.3</w:t>
            </w:r>
          </w:p>
        </w:tc>
        <w:tc>
          <w:tcPr>
            <w:tcW w:w="9275" w:type="dxa"/>
            <w:tcBorders>
              <w:top w:val="single" w:color="auto" w:sz="4" w:space="0"/>
              <w:left w:val="single" w:color="auto" w:sz="4" w:space="0"/>
              <w:right w:val="single" w:color="auto" w:sz="4" w:space="0"/>
            </w:tcBorders>
            <w:vAlign w:val="center"/>
          </w:tcPr>
          <w:p w14:paraId="6C7F9029">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中标候选人推荐数量：3家</w:t>
            </w:r>
          </w:p>
        </w:tc>
      </w:tr>
      <w:tr w14:paraId="24C2D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15C4C65">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30.1</w:t>
            </w:r>
          </w:p>
        </w:tc>
        <w:tc>
          <w:tcPr>
            <w:tcW w:w="9275" w:type="dxa"/>
            <w:tcBorders>
              <w:top w:val="single" w:color="auto" w:sz="4" w:space="0"/>
              <w:left w:val="single" w:color="auto" w:sz="4" w:space="0"/>
              <w:bottom w:val="single" w:color="auto" w:sz="4" w:space="0"/>
              <w:right w:val="single" w:color="auto" w:sz="4" w:space="0"/>
            </w:tcBorders>
            <w:vAlign w:val="center"/>
          </w:tcPr>
          <w:p w14:paraId="201F6B08">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采用综合评分法的采购项目，采购人确定中标人时，出现中标候选人并列的情形，采购人按以下的方式确定中标人：按综合评分中技术、商务得分高低依次确定。</w:t>
            </w:r>
          </w:p>
          <w:p w14:paraId="5CF63530">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采用最低评标价法的采购项目，采购人确定中标人时，出现中标候选人并列的情形，采购人按以下的方式确定中标人：按节能环保优先、技术指标高优先、质保期长优先、交货期短优先、故障响应时间短优先的顺序依次确定。</w:t>
            </w:r>
          </w:p>
        </w:tc>
      </w:tr>
      <w:tr w14:paraId="4C43B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4B0F7B0E">
            <w:pPr>
              <w:spacing w:line="390" w:lineRule="exact"/>
              <w:jc w:val="center"/>
              <w:rPr>
                <w:rFonts w:hint="eastAsia" w:ascii="仿宋" w:hAnsi="仿宋" w:eastAsia="仿宋" w:cs="仿宋"/>
                <w:color w:val="auto"/>
                <w:sz w:val="24"/>
                <w:highlight w:val="none"/>
              </w:rPr>
            </w:pPr>
            <w:bookmarkStart w:id="95" w:name="_39.1"/>
            <w:bookmarkEnd w:id="95"/>
            <w:r>
              <w:rPr>
                <w:rFonts w:hint="eastAsia" w:ascii="仿宋" w:hAnsi="仿宋" w:eastAsia="仿宋" w:cs="仿宋"/>
                <w:color w:val="auto"/>
                <w:sz w:val="24"/>
                <w:highlight w:val="none"/>
              </w:rPr>
              <w:t>35.1</w:t>
            </w:r>
          </w:p>
        </w:tc>
        <w:tc>
          <w:tcPr>
            <w:tcW w:w="9275" w:type="dxa"/>
            <w:tcBorders>
              <w:top w:val="single" w:color="auto" w:sz="4" w:space="0"/>
              <w:left w:val="single" w:color="auto" w:sz="4" w:space="0"/>
              <w:bottom w:val="single" w:color="auto" w:sz="4" w:space="0"/>
              <w:right w:val="single" w:color="auto" w:sz="4" w:space="0"/>
            </w:tcBorders>
            <w:vAlign w:val="center"/>
          </w:tcPr>
          <w:p w14:paraId="4996BA20">
            <w:pPr>
              <w:autoSpaceDE w:val="0"/>
              <w:autoSpaceDN w:val="0"/>
              <w:snapToGrid w:val="0"/>
              <w:spacing w:line="390" w:lineRule="exact"/>
              <w:textAlignment w:val="bottom"/>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eastAsia="zh-CN"/>
              </w:rPr>
              <w:t>☑</w:t>
            </w:r>
            <w:r>
              <w:rPr>
                <w:rFonts w:hint="eastAsia" w:ascii="仿宋" w:hAnsi="仿宋" w:eastAsia="仿宋" w:cs="仿宋"/>
                <w:b/>
                <w:bCs/>
                <w:color w:val="auto"/>
                <w:sz w:val="24"/>
                <w:highlight w:val="none"/>
              </w:rPr>
              <w:t>本项目不收取履约保证金。</w:t>
            </w:r>
          </w:p>
          <w:p w14:paraId="79C22346">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本项目收取履约保证金，具体规定如下：</w:t>
            </w:r>
          </w:p>
          <w:p w14:paraId="3C72BEAE">
            <w:pPr>
              <w:pStyle w:val="18"/>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履约保证金金额：按中标金额的5%。（如中标企业符合《政府采购促进中小企业发展管理办法》规定的中小微企业，则履约保证金按中标金额的2%收取）</w:t>
            </w:r>
          </w:p>
          <w:p w14:paraId="032AA667">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履约保证金递交方式：银行转账、支票、汇票、本票或者金融、担保机构出具的保函等非现金方式。</w:t>
            </w:r>
          </w:p>
          <w:p w14:paraId="6AA82262">
            <w:pPr>
              <w:autoSpaceDE w:val="0"/>
              <w:autoSpaceDN w:val="0"/>
              <w:snapToGrid w:val="0"/>
              <w:spacing w:line="390" w:lineRule="exact"/>
              <w:textAlignment w:val="bottom"/>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履约保证金退付方式、时间及条件：服务期满后向采购人申请退还，采购人在收到申请后五个工作日内无息退还。</w:t>
            </w:r>
          </w:p>
          <w:p w14:paraId="4DB9AFEF">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履约保证金指定账户：</w:t>
            </w:r>
            <w:r>
              <w:rPr>
                <w:rFonts w:hint="eastAsia" w:ascii="仿宋" w:hAnsi="仿宋" w:eastAsia="仿宋" w:cs="仿宋"/>
                <w:color w:val="auto"/>
                <w:sz w:val="24"/>
                <w:highlight w:val="none"/>
                <w:lang w:eastAsia="zh-CN"/>
              </w:rPr>
              <w:t>采购人指定账户。</w:t>
            </w:r>
          </w:p>
          <w:p w14:paraId="06310D16">
            <w:pPr>
              <w:spacing w:line="39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p w14:paraId="69A0EB24">
            <w:pPr>
              <w:spacing w:line="39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bookmarkStart w:id="96" w:name="_Hlk54170335"/>
            <w:r>
              <w:rPr>
                <w:rFonts w:hint="eastAsia" w:ascii="仿宋" w:hAnsi="仿宋" w:eastAsia="仿宋" w:cs="仿宋"/>
                <w:b/>
                <w:color w:val="auto"/>
                <w:sz w:val="24"/>
                <w:highlight w:val="none"/>
              </w:rPr>
              <w:t>、根据《广西壮族自治区财政厅关于贯彻落实政府采购优化营商环境百日攻坚行动方案的通知》（桂财采〔2020〕49号）规定，鼓励采购人在与中小微企业签订政府采购合同时，减少或免于收取履约保证金，有必要收取履约保证金的，收取的履约保证金不得超过政府采购合同金额的5%。</w:t>
            </w:r>
            <w:bookmarkEnd w:id="96"/>
            <w:r>
              <w:rPr>
                <w:rFonts w:hint="eastAsia" w:ascii="仿宋" w:hAnsi="仿宋" w:eastAsia="仿宋" w:cs="仿宋"/>
                <w:color w:val="auto"/>
                <w:sz w:val="24"/>
                <w:highlight w:val="none"/>
              </w:rPr>
              <w:br w:type="textWrapping"/>
            </w:r>
            <w:r>
              <w:rPr>
                <w:rFonts w:hint="eastAsia" w:ascii="仿宋" w:hAnsi="仿宋" w:eastAsia="仿宋" w:cs="仿宋"/>
                <w:b/>
                <w:color w:val="auto"/>
                <w:sz w:val="24"/>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仿宋" w:hAnsi="仿宋" w:eastAsia="仿宋" w:cs="仿宋"/>
                <w:b/>
                <w:color w:val="auto"/>
                <w:sz w:val="24"/>
                <w:highlight w:val="none"/>
              </w:rPr>
              <w:br w:type="textWrapping"/>
            </w:r>
            <w:r>
              <w:rPr>
                <w:rFonts w:hint="eastAsia" w:ascii="仿宋" w:hAnsi="仿宋" w:eastAsia="仿宋" w:cs="仿宋"/>
                <w:b/>
                <w:color w:val="auto"/>
                <w:sz w:val="24"/>
                <w:highlight w:val="none"/>
              </w:rPr>
              <w:t>3、采用金融、担保机构出具的保函的，必须为无条件保函，否则不予签订合同。</w:t>
            </w:r>
          </w:p>
          <w:p w14:paraId="514E98AC">
            <w:pPr>
              <w:spacing w:line="390" w:lineRule="exact"/>
              <w:jc w:val="left"/>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4、投标人为联合体的，由联合体其中一方按规定提交的履约保证金，视为有效履约保证金。</w:t>
            </w:r>
          </w:p>
        </w:tc>
      </w:tr>
      <w:tr w14:paraId="7CAB4A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19FFF2C">
            <w:pPr>
              <w:spacing w:line="390" w:lineRule="exact"/>
              <w:jc w:val="center"/>
              <w:rPr>
                <w:rFonts w:hint="eastAsia" w:ascii="仿宋" w:hAnsi="仿宋" w:eastAsia="仿宋" w:cs="仿宋"/>
                <w:color w:val="auto"/>
                <w:sz w:val="24"/>
                <w:highlight w:val="none"/>
              </w:rPr>
            </w:pPr>
            <w:bookmarkStart w:id="97" w:name="_40.1"/>
            <w:bookmarkEnd w:id="97"/>
            <w:r>
              <w:rPr>
                <w:rFonts w:hint="eastAsia" w:ascii="仿宋" w:hAnsi="仿宋" w:eastAsia="仿宋" w:cs="仿宋"/>
                <w:color w:val="auto"/>
                <w:sz w:val="24"/>
                <w:highlight w:val="none"/>
              </w:rPr>
              <w:t>36.1</w:t>
            </w:r>
          </w:p>
        </w:tc>
        <w:tc>
          <w:tcPr>
            <w:tcW w:w="9275" w:type="dxa"/>
            <w:tcBorders>
              <w:top w:val="single" w:color="auto" w:sz="4" w:space="0"/>
              <w:left w:val="single" w:color="auto" w:sz="4" w:space="0"/>
              <w:bottom w:val="single" w:color="auto" w:sz="4" w:space="0"/>
              <w:right w:val="single" w:color="auto" w:sz="4" w:space="0"/>
            </w:tcBorders>
            <w:vAlign w:val="center"/>
          </w:tcPr>
          <w:p w14:paraId="63D4E859">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签订合同携带的证明材料： </w:t>
            </w:r>
          </w:p>
          <w:p w14:paraId="607A1DC3">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1、委托代理人负责签订合同的，须携带授权委托书及委托代理人身份证原件等其他资格证件。</w:t>
            </w:r>
          </w:p>
          <w:p w14:paraId="3AE94EFA">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2、法定代表人负责签订合同的，须携带法定代表人身份证明原件及身份证原件等其他证明材料。</w:t>
            </w:r>
          </w:p>
        </w:tc>
      </w:tr>
      <w:tr w14:paraId="047D80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72A5AACB">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36.2</w:t>
            </w:r>
          </w:p>
        </w:tc>
        <w:tc>
          <w:tcPr>
            <w:tcW w:w="9275" w:type="dxa"/>
            <w:tcBorders>
              <w:top w:val="single" w:color="auto" w:sz="4" w:space="0"/>
              <w:left w:val="single" w:color="auto" w:sz="4" w:space="0"/>
              <w:bottom w:val="single" w:color="auto" w:sz="4" w:space="0"/>
              <w:right w:val="single" w:color="auto" w:sz="4" w:space="0"/>
            </w:tcBorders>
            <w:vAlign w:val="center"/>
          </w:tcPr>
          <w:p w14:paraId="3121A92D">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签订合同时间：中标通知书（中标公告）发出之日起25个日历日内。</w:t>
            </w:r>
          </w:p>
        </w:tc>
      </w:tr>
      <w:tr w14:paraId="7C88F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7A2AAA31">
            <w:pPr>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38.2</w:t>
            </w:r>
          </w:p>
        </w:tc>
        <w:tc>
          <w:tcPr>
            <w:tcW w:w="9275" w:type="dxa"/>
            <w:tcBorders>
              <w:top w:val="single" w:color="auto" w:sz="4" w:space="0"/>
              <w:left w:val="single" w:color="auto" w:sz="4" w:space="0"/>
              <w:bottom w:val="single" w:color="auto" w:sz="4" w:space="0"/>
              <w:right w:val="single" w:color="auto" w:sz="4" w:space="0"/>
            </w:tcBorders>
            <w:vAlign w:val="center"/>
          </w:tcPr>
          <w:p w14:paraId="06E5C898">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接收质疑函方式：以纸质书面形式。</w:t>
            </w:r>
          </w:p>
          <w:p w14:paraId="111BF842">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质疑联系部门及联系方式：广西科文招标有限公司桂林分公司。</w:t>
            </w:r>
          </w:p>
          <w:p w14:paraId="0D6E4403">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eastAsia="zh-CN"/>
              </w:rPr>
              <w:t>李冰华、潘虹、谢敏聪</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0773-7593227</w:t>
            </w:r>
            <w:r>
              <w:rPr>
                <w:rFonts w:hint="eastAsia" w:ascii="仿宋" w:hAnsi="仿宋" w:eastAsia="仿宋" w:cs="仿宋"/>
                <w:color w:val="auto"/>
                <w:sz w:val="24"/>
                <w:highlight w:val="none"/>
              </w:rPr>
              <w:t>。</w:t>
            </w:r>
          </w:p>
          <w:p w14:paraId="062EF5B0">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通讯地址：桂林市七星区穿山东路41号彰泰•天街V+国际中心1#楼八层802号。</w:t>
            </w:r>
          </w:p>
          <w:p w14:paraId="178211FC">
            <w:pPr>
              <w:autoSpaceDE w:val="0"/>
              <w:autoSpaceDN w:val="0"/>
              <w:snapToGrid w:val="0"/>
              <w:spacing w:line="390" w:lineRule="exact"/>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现场提交质疑办理业务时间：工作日，上午8:00-12:00；下午15:00-18:00（北京时间）。</w:t>
            </w:r>
          </w:p>
        </w:tc>
      </w:tr>
      <w:tr w14:paraId="58421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EDA0AEA">
            <w:pPr>
              <w:spacing w:line="390" w:lineRule="exact"/>
              <w:jc w:val="center"/>
              <w:rPr>
                <w:rFonts w:hint="eastAsia" w:ascii="仿宋" w:hAnsi="仿宋" w:eastAsia="仿宋" w:cs="仿宋"/>
                <w:color w:val="auto"/>
                <w:sz w:val="24"/>
                <w:highlight w:val="none"/>
              </w:rPr>
            </w:pPr>
            <w:bookmarkStart w:id="98" w:name="_42"/>
            <w:bookmarkEnd w:id="98"/>
            <w:bookmarkStart w:id="99" w:name="_41"/>
            <w:bookmarkEnd w:id="99"/>
            <w:bookmarkStart w:id="100" w:name="_Hlt17709148"/>
            <w:r>
              <w:rPr>
                <w:rFonts w:hint="eastAsia" w:ascii="仿宋" w:hAnsi="仿宋" w:eastAsia="仿宋" w:cs="仿宋"/>
                <w:color w:val="auto"/>
                <w:sz w:val="24"/>
                <w:highlight w:val="none"/>
              </w:rPr>
              <w:t>3</w:t>
            </w:r>
            <w:bookmarkEnd w:id="100"/>
            <w:r>
              <w:rPr>
                <w:rFonts w:hint="eastAsia" w:ascii="仿宋" w:hAnsi="仿宋" w:eastAsia="仿宋" w:cs="仿宋"/>
                <w:color w:val="auto"/>
                <w:sz w:val="24"/>
                <w:highlight w:val="none"/>
              </w:rPr>
              <w:t>9</w:t>
            </w:r>
          </w:p>
        </w:tc>
        <w:tc>
          <w:tcPr>
            <w:tcW w:w="9275" w:type="dxa"/>
            <w:tcBorders>
              <w:top w:val="single" w:color="auto" w:sz="4" w:space="0"/>
              <w:left w:val="single" w:color="auto" w:sz="4" w:space="0"/>
              <w:bottom w:val="single" w:color="auto" w:sz="4" w:space="0"/>
              <w:right w:val="single" w:color="auto" w:sz="4" w:space="0"/>
            </w:tcBorders>
            <w:vAlign w:val="center"/>
          </w:tcPr>
          <w:p w14:paraId="16CA158A">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1、代理服务费支付方式：本项目的招标代理服务费按以下收费标准向中标人收取，领取中标通知书时，中标人应向采购代理机构一次付清招标代理服务费，否则采购代理机构有权不予以办理。</w:t>
            </w:r>
          </w:p>
          <w:p w14:paraId="6546606E">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2、代理服务费收取标准：</w:t>
            </w:r>
          </w:p>
          <w:p w14:paraId="093FF7AD">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szCs w:val="24"/>
                <w:highlight w:val="none"/>
              </w:rPr>
              <w:t>以标项（</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szCs w:val="24"/>
                <w:highlight w:val="none"/>
              </w:rPr>
              <w:t>中标金额/□采购预算/）为计费额，按本须知正文第39.2款规定的收费计算标准（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货物招标/</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szCs w:val="24"/>
                <w:highlight w:val="none"/>
              </w:rPr>
              <w:t>服务招标/□工程招标）采用差额定率累进法计算出收费基准价格，采购代理服务费收费以（□收费基准价格/</w:t>
            </w:r>
            <w:r>
              <w:rPr>
                <w:rFonts w:hint="eastAsia" w:ascii="仿宋" w:hAnsi="仿宋" w:eastAsia="仿宋" w:cs="仿宋"/>
                <w:color w:val="auto"/>
                <w:sz w:val="24"/>
                <w:highlight w:val="none"/>
              </w:rPr>
              <w:fldChar w:fldCharType="begin"/>
            </w:r>
            <w:r>
              <w:rPr>
                <w:rFonts w:hint="eastAsia" w:ascii="仿宋" w:hAnsi="仿宋" w:eastAsia="仿宋" w:cs="仿宋"/>
                <w:color w:val="auto"/>
                <w:sz w:val="24"/>
                <w:highlight w:val="none"/>
              </w:rPr>
              <w:instrText xml:space="preserve">eq \o\ac(□,</w:instrText>
            </w:r>
            <w:r>
              <w:rPr>
                <w:rFonts w:hint="eastAsia" w:ascii="仿宋" w:hAnsi="仿宋" w:eastAsia="仿宋" w:cs="仿宋"/>
                <w:color w:val="auto"/>
                <w:position w:val="2"/>
                <w:sz w:val="24"/>
                <w:highlight w:val="none"/>
              </w:rPr>
              <w:instrText xml:space="preserve">√</w:instrText>
            </w:r>
            <w:r>
              <w:rPr>
                <w:rFonts w:hint="eastAsia" w:ascii="仿宋" w:hAnsi="仿宋" w:eastAsia="仿宋" w:cs="仿宋"/>
                <w:color w:val="auto"/>
                <w:sz w:val="24"/>
                <w:highlight w:val="none"/>
              </w:rPr>
              <w:instrText xml:space="preserve">)</w:instrText>
            </w:r>
            <w:r>
              <w:rPr>
                <w:rFonts w:hint="eastAsia" w:ascii="仿宋" w:hAnsi="仿宋" w:eastAsia="仿宋" w:cs="仿宋"/>
                <w:color w:val="auto"/>
                <w:sz w:val="24"/>
                <w:highlight w:val="none"/>
              </w:rPr>
              <w:fldChar w:fldCharType="end"/>
            </w:r>
            <w:r>
              <w:rPr>
                <w:rFonts w:hint="eastAsia" w:ascii="仿宋" w:hAnsi="仿宋" w:eastAsia="仿宋" w:cs="仿宋"/>
                <w:color w:val="auto"/>
                <w:sz w:val="24"/>
                <w:szCs w:val="24"/>
                <w:highlight w:val="none"/>
              </w:rPr>
              <w:t>收费基准价格下浮</w:t>
            </w:r>
            <w:r>
              <w:rPr>
                <w:rFonts w:hint="eastAsia" w:ascii="仿宋" w:hAnsi="仿宋" w:eastAsia="仿宋" w:cs="仿宋"/>
                <w:color w:val="auto"/>
                <w:sz w:val="24"/>
                <w:szCs w:val="24"/>
                <w:highlight w:val="none"/>
                <w:u w:val="single"/>
                <w:lang w:val="en-US" w:eastAsia="zh-CN"/>
              </w:rPr>
              <w:t>40%×70%</w:t>
            </w:r>
            <w:r>
              <w:rPr>
                <w:rFonts w:hint="eastAsia" w:ascii="仿宋" w:hAnsi="仿宋" w:eastAsia="仿宋" w:cs="仿宋"/>
                <w:color w:val="auto"/>
                <w:sz w:val="24"/>
                <w:szCs w:val="24"/>
                <w:highlight w:val="none"/>
              </w:rPr>
              <w:t>/□收费基准价格上浮</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%）收取。</w:t>
            </w:r>
          </w:p>
          <w:p w14:paraId="66FAC3B3">
            <w:pPr>
              <w:pStyle w:val="28"/>
              <w:snapToGrid w:val="0"/>
              <w:spacing w:line="390" w:lineRule="exact"/>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□固定采购代理收费：</w:t>
            </w:r>
            <w:r>
              <w:rPr>
                <w:rFonts w:hint="eastAsia" w:ascii="仿宋" w:hAnsi="仿宋" w:eastAsia="仿宋" w:cs="仿宋"/>
                <w:color w:val="auto"/>
                <w:sz w:val="24"/>
                <w:szCs w:val="24"/>
                <w:highlight w:val="none"/>
                <w:u w:val="single"/>
                <w:lang w:val="en-US" w:eastAsia="zh-CN"/>
              </w:rPr>
              <w:t xml:space="preserve">     </w:t>
            </w:r>
          </w:p>
          <w:p w14:paraId="6A252BF5">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3、代理服务费交纳账户信息</w:t>
            </w:r>
          </w:p>
          <w:p w14:paraId="199B3620">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开户名称：广西科文招标有限公司桂林分公司</w:t>
            </w:r>
          </w:p>
          <w:p w14:paraId="1FE5E63A">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highlight w:val="none"/>
              </w:rPr>
              <w:t>中国工商银行桂林市桂湖支行</w:t>
            </w:r>
          </w:p>
          <w:p w14:paraId="3C0F82D9">
            <w:pPr>
              <w:pStyle w:val="28"/>
              <w:snapToGrid w:val="0"/>
              <w:spacing w:line="39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highlight w:val="none"/>
              </w:rPr>
              <w:t>210 3200 2093 0000 2088</w:t>
            </w:r>
          </w:p>
        </w:tc>
      </w:tr>
      <w:tr w14:paraId="0CD0A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71FBA72D">
            <w:pPr>
              <w:snapToGrid w:val="0"/>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40.1</w:t>
            </w:r>
          </w:p>
        </w:tc>
        <w:tc>
          <w:tcPr>
            <w:tcW w:w="9275" w:type="dxa"/>
            <w:tcBorders>
              <w:top w:val="single" w:color="auto" w:sz="4" w:space="0"/>
              <w:left w:val="single" w:color="auto" w:sz="4" w:space="0"/>
              <w:bottom w:val="single" w:color="auto" w:sz="4" w:space="0"/>
              <w:right w:val="single" w:color="auto" w:sz="4" w:space="0"/>
            </w:tcBorders>
            <w:vAlign w:val="center"/>
          </w:tcPr>
          <w:p w14:paraId="151F3B5F">
            <w:pPr>
              <w:snapToGrid w:val="0"/>
              <w:spacing w:line="39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C4F7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450BE80B">
            <w:pPr>
              <w:snapToGrid w:val="0"/>
              <w:spacing w:line="39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40.2</w:t>
            </w:r>
          </w:p>
        </w:tc>
        <w:tc>
          <w:tcPr>
            <w:tcW w:w="9275" w:type="dxa"/>
            <w:tcBorders>
              <w:top w:val="single" w:color="auto" w:sz="4" w:space="0"/>
              <w:left w:val="single" w:color="auto" w:sz="4" w:space="0"/>
              <w:bottom w:val="single" w:color="auto" w:sz="4" w:space="0"/>
              <w:right w:val="single" w:color="auto" w:sz="4" w:space="0"/>
            </w:tcBorders>
            <w:vAlign w:val="center"/>
          </w:tcPr>
          <w:p w14:paraId="2CD3A382">
            <w:pPr>
              <w:pStyle w:val="28"/>
              <w:snapToGrid w:val="0"/>
              <w:spacing w:line="39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1、本招标文件中描述投标人的“公章”是指根据我国对公章的管理规定，用投标人法定主体行为名称制作的印章</w:t>
            </w:r>
            <w:r>
              <w:rPr>
                <w:rFonts w:hint="eastAsia" w:ascii="仿宋" w:hAnsi="仿宋" w:eastAsia="仿宋" w:cs="仿宋"/>
                <w:color w:val="auto"/>
                <w:sz w:val="24"/>
                <w:szCs w:val="24"/>
                <w:highlight w:val="none"/>
              </w:rPr>
              <w:t>（含电子印章）</w:t>
            </w:r>
            <w:r>
              <w:rPr>
                <w:rFonts w:hint="eastAsia" w:ascii="仿宋" w:hAnsi="仿宋" w:eastAsia="仿宋" w:cs="仿宋"/>
                <w:bCs/>
                <w:color w:val="auto"/>
                <w:sz w:val="24"/>
                <w:szCs w:val="24"/>
                <w:highlight w:val="none"/>
              </w:rPr>
              <w:t>，除本招标文件有特殊规定外，投标人的财务章、部门章、分公司章、工会章、合同章、投标专用章、业务专用章及银行的转账章、现金收讫章、现金付讫章等其他形式印章均不能代替公章。</w:t>
            </w:r>
          </w:p>
          <w:p w14:paraId="2F252E5E">
            <w:pPr>
              <w:pStyle w:val="28"/>
              <w:snapToGrid w:val="0"/>
              <w:spacing w:line="39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CBE2C51">
            <w:pPr>
              <w:pStyle w:val="28"/>
              <w:snapToGrid w:val="0"/>
              <w:spacing w:line="39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3、本招标文件中描述投标人的“签字”是指投标人的法定代表人或者委托代理人</w:t>
            </w:r>
            <w:r>
              <w:rPr>
                <w:rFonts w:hint="eastAsia" w:ascii="仿宋" w:hAnsi="仿宋" w:eastAsia="仿宋" w:cs="仿宋"/>
                <w:color w:val="auto"/>
                <w:sz w:val="24"/>
                <w:szCs w:val="24"/>
                <w:highlight w:val="none"/>
              </w:rPr>
              <w:t>在文件规定签署处签名（含电子签名）的行为，私章、印鉴等其他形式均不能代替签字</w:t>
            </w:r>
            <w:r>
              <w:rPr>
                <w:rFonts w:hint="eastAsia" w:ascii="仿宋" w:hAnsi="仿宋" w:eastAsia="仿宋" w:cs="仿宋"/>
                <w:bCs/>
                <w:color w:val="auto"/>
                <w:sz w:val="24"/>
                <w:szCs w:val="24"/>
                <w:highlight w:val="none"/>
              </w:rPr>
              <w:t>。</w:t>
            </w:r>
          </w:p>
          <w:p w14:paraId="3509A8BE">
            <w:pPr>
              <w:pStyle w:val="28"/>
              <w:snapToGrid w:val="0"/>
              <w:spacing w:line="390" w:lineRule="exac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4、自然人投标的，招标文件规定盖公章处由自然人摁手指指印。</w:t>
            </w:r>
          </w:p>
          <w:p w14:paraId="2F4ADB01">
            <w:pPr>
              <w:spacing w:line="390" w:lineRule="exact"/>
              <w:jc w:val="left"/>
              <w:rPr>
                <w:rFonts w:hint="eastAsia" w:ascii="仿宋" w:hAnsi="仿宋" w:eastAsia="仿宋" w:cs="仿宋"/>
                <w:color w:val="auto"/>
                <w:sz w:val="24"/>
                <w:highlight w:val="none"/>
              </w:rPr>
            </w:pPr>
            <w:r>
              <w:rPr>
                <w:rFonts w:hint="eastAsia" w:ascii="仿宋" w:hAnsi="仿宋" w:eastAsia="仿宋" w:cs="仿宋"/>
                <w:bCs/>
                <w:color w:val="auto"/>
                <w:sz w:val="24"/>
                <w:highlight w:val="none"/>
              </w:rPr>
              <w:t>5、本招标文件所称的“以上”“以下”“以内”“届满”，包括本数；所称的“不满”“超过”“以外”，不包括本数。</w:t>
            </w:r>
          </w:p>
        </w:tc>
      </w:tr>
    </w:tbl>
    <w:p w14:paraId="5FBA1DC4">
      <w:pPr>
        <w:pStyle w:val="5"/>
        <w:keepNext w:val="0"/>
        <w:keepLines w:val="0"/>
        <w:pageBreakBefore/>
        <w:spacing w:before="0" w:after="0" w:line="415"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投标人须知正文</w:t>
      </w:r>
    </w:p>
    <w:p w14:paraId="1A2FC5DB">
      <w:pPr>
        <w:pStyle w:val="5"/>
        <w:keepNext w:val="0"/>
        <w:keepLines w:val="0"/>
        <w:spacing w:before="0" w:after="0" w:line="415"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一、总  则</w:t>
      </w:r>
    </w:p>
    <w:p w14:paraId="7F9E45E6">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01" w:name="_Toc254970527"/>
      <w:bookmarkStart w:id="102" w:name="_Toc254970668"/>
      <w:r>
        <w:rPr>
          <w:rFonts w:hint="eastAsia" w:ascii="仿宋" w:hAnsi="仿宋" w:eastAsia="仿宋" w:cs="仿宋"/>
          <w:color w:val="auto"/>
          <w:sz w:val="24"/>
          <w:highlight w:val="none"/>
        </w:rPr>
        <w:t>1.适用范围</w:t>
      </w:r>
      <w:bookmarkEnd w:id="101"/>
      <w:bookmarkEnd w:id="102"/>
    </w:p>
    <w:p w14:paraId="4ADC4337">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C6BA1DB">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1.2本招标文件</w:t>
      </w:r>
      <w:r>
        <w:rPr>
          <w:rFonts w:hint="eastAsia" w:ascii="仿宋" w:hAnsi="仿宋" w:eastAsia="仿宋" w:cs="仿宋"/>
          <w:color w:val="auto"/>
          <w:spacing w:val="-6"/>
          <w:sz w:val="24"/>
          <w:highlight w:val="none"/>
        </w:rPr>
        <w:t>适用于本项目的所有采购程序和环节（法律、法规另有规定的，从其规定）。</w:t>
      </w:r>
    </w:p>
    <w:p w14:paraId="386F1244">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03" w:name="_Toc254970528"/>
      <w:bookmarkStart w:id="104" w:name="_Toc254970669"/>
      <w:r>
        <w:rPr>
          <w:rFonts w:hint="eastAsia" w:ascii="仿宋" w:hAnsi="仿宋" w:eastAsia="仿宋" w:cs="仿宋"/>
          <w:color w:val="auto"/>
          <w:sz w:val="24"/>
          <w:highlight w:val="none"/>
        </w:rPr>
        <w:t>2.定义</w:t>
      </w:r>
      <w:bookmarkEnd w:id="103"/>
      <w:bookmarkEnd w:id="104"/>
    </w:p>
    <w:p w14:paraId="1D453785">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2.1“采购人”是指依法进行政府采购的国家机关、事业单位、团体组织。</w:t>
      </w:r>
    </w:p>
    <w:p w14:paraId="20E2066C">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2.2“采购代理机构”是指政府采购集中采购机构和集中采购机构以外的采购代理机构。</w:t>
      </w:r>
    </w:p>
    <w:p w14:paraId="3BA75BD2">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2.3“供应商”是指向采购人提供货物、工程或者服务的法人、其他组织或者自然人。</w:t>
      </w:r>
    </w:p>
    <w:p w14:paraId="2FB3ECFE">
      <w:pPr>
        <w:pStyle w:val="9"/>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2.4“投标人”是指响应招标、参加投标竞争的法人、其他组织或者自然人。</w:t>
      </w:r>
    </w:p>
    <w:p w14:paraId="4DD5F739">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2.5“货物”是指各种形态和种类的物品，包括原材料、燃料、设备、产品等。</w:t>
      </w:r>
    </w:p>
    <w:p w14:paraId="5CA9D17E">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2.6“服务”是指招标文件规定投标人为本项目须提供的服务以及其他类似的义务。</w:t>
      </w:r>
    </w:p>
    <w:p w14:paraId="3BF4E71B">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2.7“书面形式”是指合同书、信件和数据电文（包括电报、电传、传真、电子数据交换和电子邮件）等可以有形地表现所载内容的形式。</w:t>
      </w:r>
    </w:p>
    <w:p w14:paraId="6C23B600">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2.8“实质性要求”是指招标文件中已经指明不满足则投标无效的条款，或者不能负偏离的条款，或者采购需求中带“</w:t>
      </w:r>
      <w:r>
        <w:rPr>
          <w:rFonts w:hint="eastAsia" w:ascii="仿宋" w:hAnsi="仿宋" w:eastAsia="仿宋" w:cs="仿宋"/>
          <w:bCs/>
          <w:color w:val="auto"/>
          <w:sz w:val="24"/>
          <w:highlight w:val="none"/>
        </w:rPr>
        <w:t>▲</w:t>
      </w:r>
      <w:r>
        <w:rPr>
          <w:rFonts w:hint="eastAsia" w:ascii="仿宋" w:hAnsi="仿宋" w:eastAsia="仿宋" w:cs="仿宋"/>
          <w:color w:val="auto"/>
          <w:sz w:val="24"/>
          <w:highlight w:val="none"/>
        </w:rPr>
        <w:t>”的条款。</w:t>
      </w:r>
    </w:p>
    <w:p w14:paraId="4BBE6580">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2.9“正偏离”，是指投标文件对招标文件“采购需求”中有关条款作出的响应优于条款要求并有利于采购人的情形。</w:t>
      </w:r>
    </w:p>
    <w:p w14:paraId="2685DBAE">
      <w:pPr>
        <w:pStyle w:val="9"/>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2.10“负偏离”，是指投标文件对招标文件“采购需求”中有关条款作出的响应不满足条款要求，导致采购人要求不能得到满足的情形。</w:t>
      </w:r>
    </w:p>
    <w:p w14:paraId="72C4364E">
      <w:pPr>
        <w:pStyle w:val="9"/>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2.11“允许负偏离的条款”是指采购需求中的不属于“实质性要求”的条款。</w:t>
      </w:r>
      <w:bookmarkStart w:id="105" w:name="_Toc254970670"/>
      <w:bookmarkStart w:id="106" w:name="_Toc254970529"/>
    </w:p>
    <w:p w14:paraId="61230C41">
      <w:pPr>
        <w:pStyle w:val="7"/>
        <w:keepNext w:val="0"/>
        <w:keepLines w:val="0"/>
        <w:spacing w:before="0" w:after="0" w:line="360" w:lineRule="auto"/>
        <w:ind w:firstLine="484" w:firstLineChars="202"/>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2.12</w:t>
      </w:r>
      <w:r>
        <w:rPr>
          <w:rFonts w:hint="eastAsia" w:ascii="仿宋" w:hAnsi="仿宋" w:eastAsia="仿宋" w:cs="仿宋"/>
          <w:b w:val="0"/>
          <w:bCs/>
          <w:color w:val="auto"/>
          <w:sz w:val="24"/>
          <w:highlight w:val="none"/>
        </w:rPr>
        <w:t>除接受进口产品</w:t>
      </w:r>
      <w:r>
        <w:rPr>
          <w:rFonts w:hint="eastAsia" w:ascii="仿宋" w:hAnsi="仿宋" w:eastAsia="仿宋" w:cs="仿宋"/>
          <w:b w:val="0"/>
          <w:bCs/>
          <w:color w:val="auto"/>
          <w:sz w:val="24"/>
          <w:highlight w:val="none"/>
          <w:lang w:eastAsia="zh-CN"/>
        </w:rPr>
        <w:t>投标</w:t>
      </w:r>
      <w:r>
        <w:rPr>
          <w:rFonts w:hint="eastAsia" w:ascii="仿宋" w:hAnsi="仿宋" w:eastAsia="仿宋" w:cs="仿宋"/>
          <w:b w:val="0"/>
          <w:bCs/>
          <w:color w:val="auto"/>
          <w:sz w:val="24"/>
          <w:highlight w:val="none"/>
        </w:rPr>
        <w:t>的采购货物外，本项目采购的货物（包括货物项目和服务项目中涉及的货物）应符合《关于在政府采购中实施本国产品标准及相关政策的通知》（国办发〔2025〕34号）中本国产品的相关规定，</w:t>
      </w:r>
      <w:r>
        <w:rPr>
          <w:rFonts w:hint="eastAsia" w:ascii="仿宋" w:hAnsi="仿宋" w:eastAsia="仿宋" w:cs="仿宋"/>
          <w:b w:val="0"/>
          <w:bCs/>
          <w:color w:val="auto"/>
          <w:sz w:val="24"/>
          <w:highlight w:val="none"/>
          <w:lang w:eastAsia="zh-CN"/>
        </w:rPr>
        <w:t>否则投标文件按无效投标处理</w:t>
      </w:r>
      <w:r>
        <w:rPr>
          <w:rFonts w:hint="eastAsia" w:ascii="仿宋" w:hAnsi="仿宋" w:eastAsia="仿宋" w:cs="仿宋"/>
          <w:b w:val="0"/>
          <w:bCs/>
          <w:color w:val="auto"/>
          <w:sz w:val="24"/>
          <w:highlight w:val="none"/>
        </w:rPr>
        <w:t>。</w:t>
      </w:r>
    </w:p>
    <w:p w14:paraId="1E3C7163">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bookmarkEnd w:id="105"/>
      <w:bookmarkEnd w:id="106"/>
      <w:r>
        <w:rPr>
          <w:rFonts w:hint="eastAsia" w:ascii="仿宋" w:hAnsi="仿宋" w:eastAsia="仿宋" w:cs="仿宋"/>
          <w:color w:val="auto"/>
          <w:sz w:val="24"/>
          <w:highlight w:val="none"/>
        </w:rPr>
        <w:t>投标人的资格要求</w:t>
      </w:r>
    </w:p>
    <w:p w14:paraId="10A7381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投标人的资格要求详见“投标人须知前附表”。</w:t>
      </w:r>
    </w:p>
    <w:p w14:paraId="6A2DA404">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07" w:name="_Toc254970530"/>
      <w:bookmarkStart w:id="108" w:name="_Toc254970671"/>
      <w:r>
        <w:rPr>
          <w:rFonts w:hint="eastAsia" w:ascii="仿宋" w:hAnsi="仿宋" w:eastAsia="仿宋" w:cs="仿宋"/>
          <w:color w:val="auto"/>
          <w:sz w:val="24"/>
          <w:highlight w:val="none"/>
        </w:rPr>
        <w:t>4.投标委托</w:t>
      </w:r>
      <w:bookmarkEnd w:id="107"/>
      <w:bookmarkEnd w:id="108"/>
    </w:p>
    <w:p w14:paraId="1200A443">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投标人代表参加投标活动过程中必须携带个人有效身份证件。如投标人代表不是法定代表人，须持有授权委托书（按第六章要求格式填写）。</w:t>
      </w:r>
    </w:p>
    <w:p w14:paraId="192543AD">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09" w:name="_5.投标费用"/>
      <w:bookmarkEnd w:id="109"/>
      <w:bookmarkStart w:id="110" w:name="_Toc254970672"/>
      <w:bookmarkStart w:id="111" w:name="_Toc254970531"/>
      <w:r>
        <w:rPr>
          <w:rFonts w:hint="eastAsia" w:ascii="仿宋" w:hAnsi="仿宋" w:eastAsia="仿宋" w:cs="仿宋"/>
          <w:color w:val="auto"/>
          <w:sz w:val="24"/>
          <w:highlight w:val="none"/>
        </w:rPr>
        <w:t>5.投标费用</w:t>
      </w:r>
      <w:bookmarkEnd w:id="110"/>
      <w:bookmarkEnd w:id="111"/>
    </w:p>
    <w:p w14:paraId="0453DC9D">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投标费用：投标人应承担参与本次采购活动有关的所有费用，包括但不限于获取招标文件、勘查现场、编制和提交投标文件、参加澄清说明、签订合同等，不论投标结果如何，均应自行承担。</w:t>
      </w:r>
    </w:p>
    <w:p w14:paraId="751BDC5F">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6.联合体投标</w:t>
      </w:r>
    </w:p>
    <w:p w14:paraId="351D4A35">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6.1本项目是否接受联合体投标，详见“投标人须知前附表”。</w:t>
      </w:r>
    </w:p>
    <w:p w14:paraId="470C647F">
      <w:pPr>
        <w:snapToGrid w:val="0"/>
        <w:spacing w:line="360" w:lineRule="auto"/>
        <w:ind w:firstLine="480" w:firstLineChars="200"/>
        <w:jc w:val="left"/>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6.2如接受联合体投标，联合体投标要求详见“投标人须知前附表”。</w:t>
      </w:r>
    </w:p>
    <w:p w14:paraId="55733602">
      <w:pPr>
        <w:pStyle w:val="7"/>
        <w:keepNext w:val="0"/>
        <w:keepLines w:val="0"/>
        <w:spacing w:before="0" w:after="0" w:line="360" w:lineRule="auto"/>
        <w:ind w:firstLine="484" w:firstLineChars="202"/>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6.3</w:t>
      </w:r>
      <w:bookmarkStart w:id="112" w:name="_Hlk65857072"/>
      <w:r>
        <w:rPr>
          <w:rFonts w:hint="eastAsia" w:ascii="仿宋" w:hAnsi="仿宋" w:eastAsia="仿宋" w:cs="仿宋"/>
          <w:b w:val="0"/>
          <w:bCs/>
          <w:color w:val="auto"/>
          <w:sz w:val="24"/>
          <w:highlight w:val="none"/>
        </w:rPr>
        <w:t>根据《政府采购促进中小企业发展管理办法》（财库〔2020〕46号）、财政部《关于进一步加大政府采购支持中小企业力度的通知》（财库〔2022〕19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10%的扣除，用扣除后的价格参加评审。</w:t>
      </w:r>
      <w:bookmarkEnd w:id="112"/>
    </w:p>
    <w:p w14:paraId="7C1B32FD">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7.转包与分包             </w:t>
      </w:r>
    </w:p>
    <w:p w14:paraId="33A15903">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7.1本项目不允许转包。</w:t>
      </w:r>
    </w:p>
    <w:p w14:paraId="34CAA081">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483807A5">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3555D37C">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13" w:name="_Toc254970673"/>
      <w:bookmarkStart w:id="114" w:name="_Toc254970532"/>
      <w:r>
        <w:rPr>
          <w:rFonts w:hint="eastAsia" w:ascii="仿宋" w:hAnsi="仿宋" w:eastAsia="仿宋" w:cs="仿宋"/>
          <w:color w:val="auto"/>
          <w:sz w:val="24"/>
          <w:highlight w:val="none"/>
        </w:rPr>
        <w:t>8.特别说明</w:t>
      </w:r>
      <w:bookmarkEnd w:id="113"/>
      <w:bookmarkEnd w:id="114"/>
    </w:p>
    <w:p w14:paraId="1F143DB3">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bookmarkStart w:id="115" w:name="_8.1提供相同品牌产品且通过资格审查、符合性审查的不同投标人参加同一合"/>
      <w:bookmarkEnd w:id="115"/>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1提供相同品牌产品且通过资格审查、符合性审查的不同投标人参加同一合同项下投标的，按一家投标人计算，评审后得分最高的同品牌投标人获得中标人推荐资格；评审得分相同的，评标报价最低的同品牌投标人获得中标人推荐资格，评标报价也相同的，由评标委员会以抽签方式确定中标候选人，其他同品牌投标人不作为中标候选人。</w:t>
      </w:r>
    </w:p>
    <w:p w14:paraId="7E9E7F09">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非单一产品采购项目，多家投标人提供的核心产品品牌相同的，按前款规定处理。</w:t>
      </w:r>
    </w:p>
    <w:p w14:paraId="3221CE83">
      <w:pPr>
        <w:pStyle w:val="7"/>
        <w:keepNext w:val="0"/>
        <w:keepLines w:val="0"/>
        <w:spacing w:before="0" w:after="0" w:line="360" w:lineRule="auto"/>
        <w:ind w:firstLine="420" w:firstLineChars="175"/>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8</w:t>
      </w:r>
      <w:r>
        <w:rPr>
          <w:rFonts w:hint="eastAsia" w:ascii="仿宋" w:hAnsi="仿宋" w:eastAsia="仿宋" w:cs="仿宋"/>
          <w:b w:val="0"/>
          <w:bCs w:val="0"/>
          <w:color w:val="auto"/>
          <w:sz w:val="24"/>
          <w:highlight w:val="none"/>
        </w:rPr>
        <w:t>.2本国产品标准</w:t>
      </w:r>
    </w:p>
    <w:p w14:paraId="6CD0F974">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.2.1本国产品应当符合以下条件：</w:t>
      </w:r>
    </w:p>
    <w:p w14:paraId="72A29200">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（一）在中国境内生产</w:t>
      </w:r>
    </w:p>
    <w:p w14:paraId="64988B6C">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产品应当在中国境内生产，即在中华人民共和国关境内实现从原材料、组件到产品的属性改变。</w:t>
      </w:r>
    </w:p>
    <w:p w14:paraId="57366DCB">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属性改变是指经过制造、加工或者组装等工序，产生完全不同于原材料、组件的新产品，并具有新的名称和特征（用途）。属性改变不包括以下细微操作：</w:t>
      </w:r>
    </w:p>
    <w:p w14:paraId="74EB458F">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1.为确保产品在运输或者储存期间保持某种状态而进行的操作；</w:t>
      </w:r>
    </w:p>
    <w:p w14:paraId="33B6DE23">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2.为产品运输或者销售进行的包装或者展示；</w:t>
      </w:r>
    </w:p>
    <w:p w14:paraId="7F5763C1">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3.在产品或者其包装上粘贴或者印刷品牌、标志、标识以及其他用于区别的标记；</w:t>
      </w:r>
    </w:p>
    <w:p w14:paraId="32EF2515">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4.简单的上漆、磨光和分装；</w:t>
      </w:r>
    </w:p>
    <w:p w14:paraId="41F6AF25">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5.其他不属于属性改变的情形。</w:t>
      </w:r>
    </w:p>
    <w:p w14:paraId="321F708E">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（二）在中国境内生产的组件成本占比达到规定比例</w:t>
      </w:r>
    </w:p>
    <w:p w14:paraId="7E2CC992">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产品在中国境内生产的组件成本占比应当达到规定比例，计算公式为：</w:t>
      </w:r>
    </w:p>
    <w:p w14:paraId="7D55AA85">
      <w:pPr>
        <w:pStyle w:val="7"/>
        <w:keepNext w:val="0"/>
        <w:keepLines w:val="0"/>
        <w:spacing w:before="0" w:after="0" w:line="360" w:lineRule="auto"/>
        <w:ind w:firstLine="492" w:firstLineChars="175"/>
        <w:rPr>
          <w:rFonts w:hint="eastAsia" w:ascii="仿宋" w:hAnsi="仿宋" w:eastAsia="仿宋" w:cs="仿宋"/>
          <w:b w:val="0"/>
          <w:color w:val="auto"/>
          <w:sz w:val="24"/>
          <w:highlight w:val="none"/>
        </w:rPr>
      </w:pPr>
      <w:r>
        <w:rPr>
          <w:rFonts w:hint="eastAsia" w:hAnsi="宋体" w:cs="宋体"/>
          <w:highlight w:val="none"/>
        </w:rPr>
        <w:drawing>
          <wp:inline distT="0" distB="0" distL="114300" distR="114300">
            <wp:extent cx="4829175" cy="762000"/>
            <wp:effectExtent l="0" t="0" r="9525" b="0"/>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18"/>
                    <a:stretch>
                      <a:fillRect/>
                    </a:stretch>
                  </pic:blipFill>
                  <pic:spPr>
                    <a:xfrm>
                      <a:off x="0" y="0"/>
                      <a:ext cx="4829175" cy="762000"/>
                    </a:xfrm>
                    <a:prstGeom prst="rect">
                      <a:avLst/>
                    </a:prstGeom>
                    <a:noFill/>
                    <a:ln>
                      <a:noFill/>
                    </a:ln>
                  </pic:spPr>
                </pic:pic>
              </a:graphicData>
            </a:graphic>
          </wp:inline>
        </w:drawing>
      </w:r>
    </w:p>
    <w:p w14:paraId="0334E31A">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3C435D50">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（三）特定产品的关键组件、关键工序符合相关要求</w:t>
      </w:r>
    </w:p>
    <w:p w14:paraId="130C0C5A">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对特定产品，在符合本通知第一条第（一）项和第（二）项条件的基础上，应当符合财政部会同有关行业主管部门确定的其关键组件、关键工序在中国境内生产、完成等要求。</w:t>
      </w:r>
    </w:p>
    <w:p w14:paraId="73F19E2E">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D45AE3D">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.2.2本国产品标准的适用范围</w:t>
      </w:r>
    </w:p>
    <w:p w14:paraId="5AB5769C">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49CC9D6">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lang w:val="en-US" w:eastAsia="zh-CN"/>
        </w:rPr>
        <w:t>8</w:t>
      </w:r>
      <w:r>
        <w:rPr>
          <w:rFonts w:hint="eastAsia" w:ascii="仿宋" w:hAnsi="仿宋" w:eastAsia="仿宋" w:cs="仿宋"/>
          <w:b w:val="0"/>
          <w:color w:val="auto"/>
          <w:sz w:val="24"/>
          <w:highlight w:val="none"/>
        </w:rPr>
        <w:t>.2.3对本国产品的支持政策</w:t>
      </w:r>
    </w:p>
    <w:p w14:paraId="1B3C2C7C">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政府采购活动中既有本国产品又有非本国产品参与竞争的，依法对本国产品给予价格评审优惠，对本国产品的报价给予20%的价格扣除，用扣除后的价格参与评审。</w:t>
      </w:r>
    </w:p>
    <w:p w14:paraId="0C02EEC1">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5861CA3">
      <w:pPr>
        <w:tabs>
          <w:tab w:val="left" w:pos="1635"/>
        </w:tabs>
        <w:spacing w:line="360" w:lineRule="exact"/>
        <w:ind w:firstLine="435"/>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8</w:t>
      </w:r>
      <w:r>
        <w:rPr>
          <w:rFonts w:hint="eastAsia" w:ascii="仿宋" w:hAnsi="仿宋" w:eastAsia="仿宋" w:cs="仿宋"/>
          <w:b/>
          <w:sz w:val="24"/>
          <w:szCs w:val="24"/>
          <w:highlight w:val="none"/>
        </w:rPr>
        <w:t>.3关联供应商不得参加同一合同项下政府采购活动，否则投标文件将被视为无效：</w:t>
      </w:r>
    </w:p>
    <w:p w14:paraId="5326A9A6">
      <w:pPr>
        <w:tabs>
          <w:tab w:val="left" w:pos="1635"/>
        </w:tabs>
        <w:spacing w:line="360" w:lineRule="exact"/>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（1）单位负责人为同一人或者存在直接控股、管理关系的不同供应商，不得参加同一合同项下的政府采购活动。</w:t>
      </w:r>
    </w:p>
    <w:p w14:paraId="0A14D852">
      <w:pPr>
        <w:tabs>
          <w:tab w:val="left" w:pos="1635"/>
        </w:tabs>
        <w:spacing w:line="360" w:lineRule="exact"/>
        <w:ind w:firstLine="435"/>
        <w:rPr>
          <w:rFonts w:hint="eastAsia" w:ascii="仿宋" w:hAnsi="仿宋" w:eastAsia="仿宋" w:cs="仿宋"/>
          <w:b/>
          <w:sz w:val="24"/>
          <w:szCs w:val="24"/>
          <w:highlight w:val="none"/>
        </w:rPr>
      </w:pPr>
      <w:r>
        <w:rPr>
          <w:rFonts w:hint="eastAsia" w:ascii="仿宋" w:hAnsi="仿宋" w:eastAsia="仿宋" w:cs="仿宋"/>
          <w:b/>
          <w:sz w:val="24"/>
          <w:szCs w:val="24"/>
          <w:highlight w:val="none"/>
        </w:rPr>
        <w:t>（2）为本采购项目提供整体设计、规范编制或者项目管理、监理、检测等服务的供应商，不得再参加本次采购活动。</w:t>
      </w:r>
    </w:p>
    <w:p w14:paraId="604B39F8">
      <w:pPr>
        <w:tabs>
          <w:tab w:val="left" w:pos="1635"/>
        </w:tabs>
        <w:spacing w:line="360" w:lineRule="exact"/>
        <w:ind w:firstLine="435"/>
        <w:rPr>
          <w:rFonts w:hint="eastAsia" w:ascii="仿宋" w:hAnsi="仿宋" w:eastAsia="仿宋" w:cs="仿宋"/>
          <w:b/>
          <w:sz w:val="24"/>
          <w:szCs w:val="24"/>
          <w:highlight w:val="none"/>
        </w:rPr>
      </w:pPr>
      <w:r>
        <w:rPr>
          <w:rFonts w:hint="eastAsia" w:ascii="仿宋" w:hAnsi="仿宋" w:eastAsia="仿宋" w:cs="仿宋"/>
          <w:b/>
          <w:sz w:val="24"/>
          <w:szCs w:val="24"/>
          <w:highlight w:val="none"/>
        </w:rPr>
        <w:t>（3）生产厂商授权给供应商后自己不得参加同一合同项下的政府采购活动。</w:t>
      </w:r>
    </w:p>
    <w:p w14:paraId="7B7C805F">
      <w:pPr>
        <w:tabs>
          <w:tab w:val="left" w:pos="1635"/>
        </w:tabs>
        <w:spacing w:line="360" w:lineRule="exact"/>
        <w:ind w:firstLine="435"/>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.4投标人必须仔细阅读招标文件的所有内容，按照招标文件的要求提交投标文件，并对所提供的全部资料的真实性承担法律责任。</w:t>
      </w:r>
    </w:p>
    <w:p w14:paraId="70698B19">
      <w:pPr>
        <w:tabs>
          <w:tab w:val="left" w:pos="1635"/>
        </w:tabs>
        <w:spacing w:line="360" w:lineRule="exact"/>
        <w:ind w:firstLine="435"/>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8</w:t>
      </w:r>
      <w:r>
        <w:rPr>
          <w:rFonts w:hint="eastAsia" w:ascii="仿宋" w:hAnsi="仿宋" w:eastAsia="仿宋" w:cs="仿宋"/>
          <w:b/>
          <w:sz w:val="24"/>
          <w:szCs w:val="24"/>
          <w:highlight w:val="none"/>
        </w:rPr>
        <w:t>.5投标人在投标活动中提供任何虚假材料，其投标无效，并报监管部门查处；中标后发现的，中标人须依照《中华人民共和国消费者权益保护法》规定赔偿采购人，且民事赔偿并不免除违法投标人的行政与刑事责任。</w:t>
      </w:r>
    </w:p>
    <w:p w14:paraId="31FF4928">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9.回避与串通投标</w:t>
      </w:r>
    </w:p>
    <w:p w14:paraId="085BE117">
      <w:pPr>
        <w:pStyle w:val="7"/>
        <w:keepNext w:val="0"/>
        <w:keepLines w:val="0"/>
        <w:spacing w:before="0" w:after="0" w:line="360" w:lineRule="auto"/>
        <w:ind w:firstLine="422" w:firstLineChars="175"/>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9.1在政府采购活动中，采购人员及相关人员与供应商有下列利害关系之一的，应当回避：</w:t>
      </w:r>
    </w:p>
    <w:p w14:paraId="4F691FFE">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（1）参加采购活动前3年内与供应商存在劳动关系；</w:t>
      </w:r>
    </w:p>
    <w:p w14:paraId="4EDC374B">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（2）参加采购活动前3年内担任供应商的董事、监事；</w:t>
      </w:r>
    </w:p>
    <w:p w14:paraId="0F2456B4">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（3）参加采购活动前3年内是供应商的控股股东或者实际控制人；</w:t>
      </w:r>
    </w:p>
    <w:p w14:paraId="6265B54D">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（4）与供应商的法定代表人或者负责人有夫妻、直系血亲、三代以内旁系血亲或者近姻亲关系；</w:t>
      </w:r>
    </w:p>
    <w:p w14:paraId="238C2D77">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（5）与供应商有其他可能影响政府采购活动公平、公正进行的关系。</w:t>
      </w:r>
    </w:p>
    <w:p w14:paraId="6E8C7D6E">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A534E05">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9.2有下列情形之一的视为投标人相互串通投标，投标文件将被视为无效：</w:t>
      </w:r>
    </w:p>
    <w:p w14:paraId="1AB66A31">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 xml:space="preserve">（1）不同投标人的投标文件由同一单位或者个人编制； </w:t>
      </w:r>
    </w:p>
    <w:p w14:paraId="655FE1F7">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（2）不同投标人委托同一单位或者个人办理投标事宜；</w:t>
      </w:r>
    </w:p>
    <w:p w14:paraId="096551F3">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（3）不同的投标人的投标文件载明的项目管理员为同一个人；</w:t>
      </w:r>
    </w:p>
    <w:p w14:paraId="222782F4">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（4）不同投标人的投标文件异常一致或者投标报价呈规律性差异；</w:t>
      </w:r>
    </w:p>
    <w:p w14:paraId="14FFA83B">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（5）不同投标人的投标文件相互混装；</w:t>
      </w:r>
    </w:p>
    <w:p w14:paraId="78D96EF7">
      <w:pPr>
        <w:pStyle w:val="28"/>
        <w:snapToGrid w:val="0"/>
        <w:spacing w:line="360" w:lineRule="auto"/>
        <w:ind w:left="2" w:leftChars="1" w:firstLine="482" w:firstLineChars="20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（6）不同投标人的投标保证金从同一单位或者个人账户转出。</w:t>
      </w:r>
    </w:p>
    <w:p w14:paraId="79783CBF">
      <w:pPr>
        <w:pStyle w:val="7"/>
        <w:keepNext w:val="0"/>
        <w:keepLines w:val="0"/>
        <w:spacing w:before="0" w:after="0" w:line="360" w:lineRule="auto"/>
        <w:ind w:left="420" w:left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9.3供应商有下列情形之一的，属于恶意串通行为，将报同级监督管理部门：</w:t>
      </w:r>
    </w:p>
    <w:p w14:paraId="4B9CF40C">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（1）供应商直接或者间接从采购人或者采购代理机构处获得其他供应商的相关信息并修改其投标文件或者响应文件；</w:t>
      </w:r>
    </w:p>
    <w:p w14:paraId="78B5ADD9">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（2）供应商按照采购人或者采购代理机构的授意撤换、修改投标文件或者响应文件；</w:t>
      </w:r>
    </w:p>
    <w:p w14:paraId="47855D10">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（3）供应商之间协商报价、技术方案等投标文件或者响应文件的实质性内容；</w:t>
      </w:r>
    </w:p>
    <w:p w14:paraId="7524DC56">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（4）属于同一集团、协会、商会等组织成员的供应商按照该组织要求协同参加政府采购活动；</w:t>
      </w:r>
    </w:p>
    <w:p w14:paraId="2ECFA586">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（5）供应商之间事先约定一致抬高或者压低投标报价，或者在招标项目中事先约定轮流以高价位或者低价位中标，或者事先约定由某一特定供应商中标，然后再参加投标；</w:t>
      </w:r>
    </w:p>
    <w:p w14:paraId="4325C31A">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（6）供应商之间商定部分供应商放弃参加政府采购活动或者放弃中标；</w:t>
      </w:r>
    </w:p>
    <w:p w14:paraId="23EE60C3">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（7）供应商与采购人或者采购代理机构之间、供应商相互之间，为谋求特定供应商中标或者排斥其他供应商的其他串通行为。</w:t>
      </w:r>
    </w:p>
    <w:p w14:paraId="18793CEC">
      <w:pPr>
        <w:pStyle w:val="5"/>
        <w:keepNext w:val="0"/>
        <w:keepLines w:val="0"/>
        <w:jc w:val="center"/>
        <w:rPr>
          <w:rFonts w:hint="eastAsia" w:ascii="仿宋" w:hAnsi="仿宋" w:eastAsia="仿宋" w:cs="仿宋"/>
          <w:color w:val="auto"/>
          <w:highlight w:val="none"/>
        </w:rPr>
      </w:pPr>
      <w:bookmarkStart w:id="116" w:name="_Toc254970534"/>
      <w:bookmarkStart w:id="117" w:name="_Toc254970675"/>
      <w:r>
        <w:rPr>
          <w:rFonts w:hint="eastAsia" w:ascii="仿宋" w:hAnsi="仿宋" w:eastAsia="仿宋" w:cs="仿宋"/>
          <w:color w:val="auto"/>
          <w:highlight w:val="none"/>
        </w:rPr>
        <w:t>二、招标文件</w:t>
      </w:r>
      <w:bookmarkEnd w:id="116"/>
      <w:bookmarkEnd w:id="117"/>
    </w:p>
    <w:p w14:paraId="672D0C11">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10.招标文件的组成</w:t>
      </w:r>
    </w:p>
    <w:p w14:paraId="61398063">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（1）招标公告；</w:t>
      </w:r>
    </w:p>
    <w:p w14:paraId="4953BF1F">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（2）采购需求； </w:t>
      </w:r>
    </w:p>
    <w:p w14:paraId="3C9FAD77">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（3）投标人须知；</w:t>
      </w:r>
    </w:p>
    <w:p w14:paraId="3658E443">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（4）评标方法及评标标准；</w:t>
      </w:r>
    </w:p>
    <w:p w14:paraId="3C18ED57">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（5）拟签订的合同文本；</w:t>
      </w:r>
    </w:p>
    <w:p w14:paraId="16C43C31">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（6）投标文件格式。</w:t>
      </w:r>
    </w:p>
    <w:p w14:paraId="49431959">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11.招标文件的澄清、修改 、现场考察和答疑会</w:t>
      </w:r>
    </w:p>
    <w:p w14:paraId="309E5E36">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11.1投标人应认真审阅本招标文件，如有疑问，或发现其中有误或有要求不合理的，应在招标公告公告期限届满之日起7个工作日内以纸质书面形式要求采购人或采购代理机构对招标文件予以澄清；否则，由此产生的后果由投标人自行负责。</w:t>
      </w:r>
    </w:p>
    <w:p w14:paraId="27CEED38">
      <w:pPr>
        <w:pStyle w:val="7"/>
        <w:keepNext w:val="0"/>
        <w:keepLines w:val="0"/>
        <w:numPr>
          <w:ilvl w:val="0"/>
          <w:numId w:val="0"/>
        </w:numPr>
        <w:spacing w:before="0" w:after="0"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b w:val="0"/>
          <w:color w:val="auto"/>
          <w:sz w:val="24"/>
          <w:highlight w:val="none"/>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7176933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11.3采购人和采购代理机构可以视采购具体情况，变更投标截止时间和开标时间，并在原公告发布媒体上发布更正公告。</w:t>
      </w:r>
    </w:p>
    <w:p w14:paraId="3B4C5A0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11.4招标文件澄清、答复、修改、补充的内容为招标文件的组成部分。</w:t>
      </w:r>
      <w:r>
        <w:rPr>
          <w:rFonts w:hint="eastAsia" w:ascii="仿宋" w:hAnsi="仿宋" w:eastAsia="仿宋" w:cs="仿宋"/>
          <w:b/>
          <w:color w:val="auto"/>
          <w:sz w:val="24"/>
          <w:highlight w:val="none"/>
        </w:rPr>
        <w:t>当招标文件与招标文件的澄清、答复、修改、补充通知就同一内容的表述不一致时，以最后发出的文件为准。</w:t>
      </w:r>
    </w:p>
    <w:p w14:paraId="023EE402">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bookmarkStart w:id="118" w:name="_Hlk53134511"/>
      <w:r>
        <w:rPr>
          <w:rFonts w:hint="eastAsia" w:ascii="仿宋" w:hAnsi="仿宋" w:eastAsia="仿宋" w:cs="仿宋"/>
          <w:color w:val="auto"/>
          <w:sz w:val="24"/>
          <w:szCs w:val="24"/>
          <w:highlight w:val="none"/>
        </w:rPr>
        <w:t>5采购人或者采购代理机构可以在招标文件提供期限截止后，组织已获取招标文件的潜在投标人现场考察或者召开开标前答疑会，具体详见“投标人须知前附表”。</w:t>
      </w:r>
    </w:p>
    <w:bookmarkEnd w:id="118"/>
    <w:p w14:paraId="1574040B">
      <w:pPr>
        <w:pStyle w:val="5"/>
        <w:keepNext w:val="0"/>
        <w:keepLines w:val="0"/>
        <w:jc w:val="center"/>
        <w:rPr>
          <w:rFonts w:hint="eastAsia" w:ascii="仿宋" w:hAnsi="仿宋" w:eastAsia="仿宋" w:cs="仿宋"/>
          <w:color w:val="auto"/>
          <w:highlight w:val="none"/>
        </w:rPr>
      </w:pPr>
      <w:bookmarkStart w:id="119" w:name="_Toc254970535"/>
      <w:bookmarkStart w:id="120" w:name="_Toc254970676"/>
      <w:r>
        <w:rPr>
          <w:rFonts w:hint="eastAsia" w:ascii="仿宋" w:hAnsi="仿宋" w:eastAsia="仿宋" w:cs="仿宋"/>
          <w:color w:val="auto"/>
          <w:highlight w:val="none"/>
        </w:rPr>
        <w:t>三、投标文件的编制</w:t>
      </w:r>
      <w:bookmarkEnd w:id="119"/>
      <w:bookmarkEnd w:id="120"/>
    </w:p>
    <w:p w14:paraId="4312A5C7">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21" w:name="_Toc254970677"/>
      <w:bookmarkStart w:id="122" w:name="_Toc254970536"/>
      <w:r>
        <w:rPr>
          <w:rFonts w:hint="eastAsia" w:ascii="仿宋" w:hAnsi="仿宋" w:eastAsia="仿宋" w:cs="仿宋"/>
          <w:color w:val="auto"/>
          <w:sz w:val="24"/>
          <w:highlight w:val="none"/>
        </w:rPr>
        <w:t>12.投标文件的编制原则</w:t>
      </w:r>
    </w:p>
    <w:p w14:paraId="536F1B15">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投标人必须按照招标文件的要求编制投标文件。投标文件必须对招标文件提出的要求和条件作出明确响应。</w:t>
      </w:r>
    </w:p>
    <w:p w14:paraId="4B4F2F04">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13.投标文件的组成</w:t>
      </w:r>
      <w:bookmarkEnd w:id="121"/>
      <w:bookmarkEnd w:id="122"/>
    </w:p>
    <w:p w14:paraId="2A5C964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13.1投标文件由报价文件、资格证明文件、商务文件、技术文件四部分组成。</w:t>
      </w:r>
    </w:p>
    <w:p w14:paraId="548F299D">
      <w:pPr>
        <w:pStyle w:val="7"/>
        <w:keepNext w:val="0"/>
        <w:keepLines w:val="0"/>
        <w:spacing w:before="0" w:after="0" w:line="360" w:lineRule="auto"/>
        <w:ind w:left="420" w:leftChars="200"/>
        <w:rPr>
          <w:rFonts w:hint="eastAsia" w:ascii="仿宋" w:hAnsi="仿宋" w:eastAsia="仿宋" w:cs="仿宋"/>
          <w:b w:val="0"/>
          <w:color w:val="auto"/>
          <w:sz w:val="24"/>
          <w:highlight w:val="none"/>
        </w:rPr>
      </w:pPr>
      <w:bookmarkStart w:id="123" w:name="_13.1报价文件:_具体材料见“投标人须知前附表”。"/>
      <w:bookmarkEnd w:id="123"/>
      <w:r>
        <w:rPr>
          <w:rFonts w:hint="eastAsia" w:ascii="仿宋" w:hAnsi="仿宋" w:eastAsia="仿宋" w:cs="仿宋"/>
          <w:b w:val="0"/>
          <w:color w:val="auto"/>
          <w:sz w:val="24"/>
          <w:highlight w:val="none"/>
        </w:rPr>
        <w:t>（1）报价文件： 具体材料见“投标人须知前附表”。</w:t>
      </w:r>
    </w:p>
    <w:p w14:paraId="74B5E923">
      <w:pPr>
        <w:pStyle w:val="7"/>
        <w:keepNext w:val="0"/>
        <w:keepLines w:val="0"/>
        <w:spacing w:before="0" w:after="0" w:line="360" w:lineRule="auto"/>
        <w:ind w:left="420" w:leftChars="200"/>
        <w:rPr>
          <w:rFonts w:hint="eastAsia" w:ascii="仿宋" w:hAnsi="仿宋" w:eastAsia="仿宋" w:cs="仿宋"/>
          <w:b w:val="0"/>
          <w:color w:val="auto"/>
          <w:sz w:val="24"/>
          <w:highlight w:val="none"/>
        </w:rPr>
      </w:pPr>
      <w:bookmarkStart w:id="124" w:name="_13.2资格证明文件：具体材料见“投标人须知前附表”。"/>
      <w:bookmarkEnd w:id="124"/>
      <w:r>
        <w:rPr>
          <w:rFonts w:hint="eastAsia" w:ascii="仿宋" w:hAnsi="仿宋" w:eastAsia="仿宋" w:cs="仿宋"/>
          <w:b w:val="0"/>
          <w:color w:val="auto"/>
          <w:sz w:val="24"/>
          <w:highlight w:val="none"/>
        </w:rPr>
        <w:t>（2）资格证明文件：具体材料见“投标人须知前附表”。</w:t>
      </w:r>
    </w:p>
    <w:p w14:paraId="6F2A816E">
      <w:pPr>
        <w:pStyle w:val="7"/>
        <w:keepNext w:val="0"/>
        <w:keepLines w:val="0"/>
        <w:spacing w:before="0" w:after="0" w:line="360" w:lineRule="auto"/>
        <w:ind w:left="420" w:leftChars="200"/>
        <w:rPr>
          <w:rFonts w:hint="eastAsia" w:ascii="仿宋" w:hAnsi="仿宋" w:eastAsia="仿宋" w:cs="仿宋"/>
          <w:b w:val="0"/>
          <w:color w:val="auto"/>
          <w:sz w:val="24"/>
          <w:highlight w:val="none"/>
        </w:rPr>
      </w:pPr>
      <w:bookmarkStart w:id="125" w:name="_13.3商务文件:_具体材料见“投标人须知前附表”。"/>
      <w:bookmarkEnd w:id="125"/>
      <w:r>
        <w:rPr>
          <w:rFonts w:hint="eastAsia" w:ascii="仿宋" w:hAnsi="仿宋" w:eastAsia="仿宋" w:cs="仿宋"/>
          <w:b w:val="0"/>
          <w:color w:val="auto"/>
          <w:sz w:val="24"/>
          <w:highlight w:val="none"/>
        </w:rPr>
        <w:t>（3）商务文件：具体材料见“投标人须知前附表”。</w:t>
      </w:r>
    </w:p>
    <w:p w14:paraId="5734B9A2">
      <w:pPr>
        <w:pStyle w:val="7"/>
        <w:keepNext w:val="0"/>
        <w:keepLines w:val="0"/>
        <w:spacing w:before="0" w:after="0" w:line="360" w:lineRule="auto"/>
        <w:ind w:left="420" w:leftChars="200"/>
        <w:rPr>
          <w:rFonts w:hint="eastAsia" w:ascii="仿宋" w:hAnsi="仿宋" w:eastAsia="仿宋" w:cs="仿宋"/>
          <w:b w:val="0"/>
          <w:color w:val="auto"/>
          <w:sz w:val="24"/>
          <w:highlight w:val="none"/>
        </w:rPr>
      </w:pPr>
      <w:bookmarkStart w:id="126" w:name="_13.4技术文件：具体材料见“投标人须知前附表”。"/>
      <w:bookmarkEnd w:id="126"/>
      <w:r>
        <w:rPr>
          <w:rFonts w:hint="eastAsia" w:ascii="仿宋" w:hAnsi="仿宋" w:eastAsia="仿宋" w:cs="仿宋"/>
          <w:b w:val="0"/>
          <w:color w:val="auto"/>
          <w:sz w:val="24"/>
          <w:highlight w:val="none"/>
        </w:rPr>
        <w:t>（4）技术文件：具体材料见“投标人须知前附表”。</w:t>
      </w:r>
      <w:bookmarkStart w:id="127" w:name="_13.5投标文件电子版：具体材料见“投标人须知前附表”。"/>
      <w:bookmarkEnd w:id="127"/>
    </w:p>
    <w:p w14:paraId="0295C4B2">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28" w:name="_Toc254970537"/>
      <w:bookmarkStart w:id="129" w:name="_Toc254970678"/>
      <w:r>
        <w:rPr>
          <w:rFonts w:hint="eastAsia" w:ascii="仿宋" w:hAnsi="仿宋" w:eastAsia="仿宋" w:cs="仿宋"/>
          <w:color w:val="auto"/>
          <w:sz w:val="24"/>
          <w:highlight w:val="none"/>
        </w:rPr>
        <w:t>14.投标文件的语言及计量</w:t>
      </w:r>
      <w:bookmarkEnd w:id="128"/>
      <w:bookmarkEnd w:id="129"/>
    </w:p>
    <w:p w14:paraId="055F329C">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14.1语言文字</w:t>
      </w:r>
    </w:p>
    <w:p w14:paraId="2B7463BA">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6959C8C">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14.2投标计量单位</w:t>
      </w:r>
    </w:p>
    <w:p w14:paraId="54135782">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招标文件已有明确规定的，使用招标文件规定的计量单位；招标文件没有规定的，应采用中华人民共和国法定计量单位，货币种类为人民币，否则视同未响应。</w:t>
      </w:r>
    </w:p>
    <w:p w14:paraId="3730DC24">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15.投标的风险</w:t>
      </w:r>
    </w:p>
    <w:p w14:paraId="77E23A2F">
      <w:pPr>
        <w:pStyle w:val="28"/>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投标人没有按照招标文件要求提供全部资料，或者投标人没有对招标文件作出实质性响应是投标人的风险，并可能导致其投标被拒绝。</w:t>
      </w:r>
    </w:p>
    <w:p w14:paraId="71548032">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30" w:name="_Toc254970538"/>
      <w:bookmarkStart w:id="131" w:name="_Toc254970679"/>
      <w:r>
        <w:rPr>
          <w:rFonts w:hint="eastAsia" w:ascii="仿宋" w:hAnsi="仿宋" w:eastAsia="仿宋" w:cs="仿宋"/>
          <w:color w:val="auto"/>
          <w:sz w:val="24"/>
          <w:highlight w:val="none"/>
        </w:rPr>
        <w:t>16.投标报价</w:t>
      </w:r>
      <w:bookmarkEnd w:id="130"/>
      <w:bookmarkEnd w:id="131"/>
    </w:p>
    <w:p w14:paraId="6224F70A">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16.1投标报价应按“第六章　投标文件格式”中“开标一览表”格式填写。</w:t>
      </w:r>
    </w:p>
    <w:p w14:paraId="438C62B6">
      <w:pPr>
        <w:pStyle w:val="7"/>
        <w:keepNext w:val="0"/>
        <w:keepLines w:val="0"/>
        <w:spacing w:before="0" w:after="0" w:line="360" w:lineRule="auto"/>
        <w:ind w:left="420" w:leftChars="200"/>
        <w:rPr>
          <w:rFonts w:hint="eastAsia" w:ascii="仿宋" w:hAnsi="仿宋" w:eastAsia="仿宋" w:cs="仿宋"/>
          <w:b w:val="0"/>
          <w:color w:val="auto"/>
          <w:sz w:val="24"/>
          <w:highlight w:val="none"/>
        </w:rPr>
      </w:pPr>
      <w:bookmarkStart w:id="132" w:name="_16.2投标报价具体定义见投标人须知前附表。"/>
      <w:bookmarkEnd w:id="132"/>
      <w:r>
        <w:rPr>
          <w:rFonts w:hint="eastAsia" w:ascii="仿宋" w:hAnsi="仿宋" w:eastAsia="仿宋" w:cs="仿宋"/>
          <w:b w:val="0"/>
          <w:color w:val="auto"/>
          <w:sz w:val="24"/>
          <w:highlight w:val="none"/>
        </w:rPr>
        <w:t>16.2投标报价具体包括内容详见“投标人须知前附表”。</w:t>
      </w:r>
    </w:p>
    <w:p w14:paraId="4CB1B623">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16.3投标人必须就所投标项的全部内容分别作完整唯一总价报价，不得存在漏项报价；投标人必须就所投标项的单项内容作唯一报价。</w:t>
      </w:r>
    </w:p>
    <w:p w14:paraId="481794EC">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17.投标有效期</w:t>
      </w:r>
      <w:bookmarkStart w:id="133" w:name="_17.1投标有效期应按“投标人须知中的前附表”规定的期限。"/>
      <w:bookmarkEnd w:id="133"/>
    </w:p>
    <w:p w14:paraId="4814F176">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b w:val="0"/>
          <w:color w:val="auto"/>
          <w:sz w:val="24"/>
          <w:highlight w:val="none"/>
        </w:rPr>
        <w:t>17.1投标有效期是指为保证采购人有足够的时间在开标后完成评标、定标、合同签订等工作而要求投标人提交的投标文件在一定时间内保持有效的期限。</w:t>
      </w:r>
    </w:p>
    <w:p w14:paraId="6E078402">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17.2</w:t>
      </w:r>
      <w:bookmarkStart w:id="134" w:name="_Toc254970681"/>
      <w:bookmarkStart w:id="135" w:name="_Toc254970540"/>
      <w:r>
        <w:rPr>
          <w:rFonts w:hint="eastAsia" w:ascii="仿宋" w:hAnsi="仿宋" w:eastAsia="仿宋" w:cs="仿宋"/>
          <w:b w:val="0"/>
          <w:color w:val="auto"/>
          <w:sz w:val="24"/>
          <w:highlight w:val="none"/>
        </w:rPr>
        <w:t xml:space="preserve"> 投标有效期应按规定的期限作出承诺，具体详见“投标人须知前附表”。</w:t>
      </w:r>
    </w:p>
    <w:p w14:paraId="16B503B2">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17.3投标人的投标文件在投标有效期内均保持有效。</w:t>
      </w:r>
      <w:bookmarkEnd w:id="134"/>
      <w:bookmarkEnd w:id="135"/>
    </w:p>
    <w:p w14:paraId="6631A821">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36" w:name="_18.投标保证金"/>
      <w:bookmarkEnd w:id="136"/>
      <w:bookmarkStart w:id="137" w:name="_Toc254970541"/>
      <w:bookmarkStart w:id="138" w:name="_Toc254970682"/>
      <w:r>
        <w:rPr>
          <w:rFonts w:hint="eastAsia" w:ascii="仿宋" w:hAnsi="仿宋" w:eastAsia="仿宋" w:cs="仿宋"/>
          <w:color w:val="auto"/>
          <w:sz w:val="24"/>
          <w:highlight w:val="none"/>
        </w:rPr>
        <w:t>18.投标保证金</w:t>
      </w:r>
      <w:bookmarkEnd w:id="137"/>
      <w:bookmarkEnd w:id="138"/>
    </w:p>
    <w:p w14:paraId="15FD7AC1">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18.1投标人须按“投标人须知前附表” 的规定提交投标保证金。</w:t>
      </w:r>
    </w:p>
    <w:p w14:paraId="247808CF">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18.2投标保证金的退还</w:t>
      </w:r>
    </w:p>
    <w:p w14:paraId="1700B103">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未中标人的投标保证金自中标通知书发出之日起4个工作日内退还；中标人的投标保证金自政府采购合同签订之日起4个工作日内退还。 </w:t>
      </w:r>
    </w:p>
    <w:p w14:paraId="54C76C20">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18.3除逾期退还投标保证金和终止招标的情形以外，投标保证金不计息。</w:t>
      </w:r>
    </w:p>
    <w:p w14:paraId="5851317C">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18.4投标人有下列情形之一的，投标保证金将不予退还： </w:t>
      </w:r>
    </w:p>
    <w:p w14:paraId="5B5B87E8">
      <w:pPr>
        <w:snapToGrid w:val="0"/>
        <w:spacing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（1）投标人在投标有效期内撤销投标文件的；</w:t>
      </w:r>
    </w:p>
    <w:p w14:paraId="3581FC41">
      <w:pPr>
        <w:snapToGrid w:val="0"/>
        <w:spacing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（2）未按规定提交履约保证金的；</w:t>
      </w:r>
    </w:p>
    <w:p w14:paraId="0AA3564A">
      <w:pPr>
        <w:snapToGrid w:val="0"/>
        <w:spacing w:line="360" w:lineRule="auto"/>
        <w:ind w:firstLine="470" w:firstLineChars="196"/>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（3）投标人在投标过程中弄虚作假，提供虚假材料的；</w:t>
      </w:r>
    </w:p>
    <w:p w14:paraId="50A6BE55">
      <w:pPr>
        <w:snapToGrid w:val="0"/>
        <w:spacing w:line="360" w:lineRule="auto"/>
        <w:ind w:firstLine="470" w:firstLineChars="196"/>
        <w:rPr>
          <w:rFonts w:hint="eastAsia" w:ascii="仿宋" w:hAnsi="仿宋" w:eastAsia="仿宋" w:cs="仿宋"/>
          <w:color w:val="auto"/>
          <w:sz w:val="24"/>
          <w:highlight w:val="none"/>
        </w:rPr>
      </w:pPr>
      <w:r>
        <w:rPr>
          <w:rFonts w:hint="eastAsia" w:ascii="仿宋" w:hAnsi="仿宋" w:eastAsia="仿宋" w:cs="仿宋"/>
          <w:color w:val="auto"/>
          <w:sz w:val="24"/>
          <w:highlight w:val="none"/>
        </w:rPr>
        <w:t>（4）中标人无正当理由不与采购人签订合同的；</w:t>
      </w:r>
    </w:p>
    <w:p w14:paraId="4251309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（5）投标人出现本章第9.2、9.3情形的；</w:t>
      </w:r>
    </w:p>
    <w:p w14:paraId="1B5043A1">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（6）法律法规规定的其他情形。</w:t>
      </w:r>
    </w:p>
    <w:p w14:paraId="6E01BAD5">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39" w:name="_Toc254970542"/>
      <w:bookmarkStart w:id="140" w:name="_Toc254970683"/>
      <w:r>
        <w:rPr>
          <w:rFonts w:hint="eastAsia" w:ascii="仿宋" w:hAnsi="仿宋" w:eastAsia="仿宋" w:cs="仿宋"/>
          <w:color w:val="auto"/>
          <w:sz w:val="24"/>
          <w:highlight w:val="none"/>
        </w:rPr>
        <w:t>19.投标文件的</w:t>
      </w:r>
      <w:bookmarkEnd w:id="139"/>
      <w:bookmarkEnd w:id="140"/>
      <w:r>
        <w:rPr>
          <w:rFonts w:hint="eastAsia" w:ascii="仿宋" w:hAnsi="仿宋" w:eastAsia="仿宋" w:cs="仿宋"/>
          <w:color w:val="auto"/>
          <w:sz w:val="24"/>
          <w:highlight w:val="none"/>
        </w:rPr>
        <w:t>编制</w:t>
      </w:r>
    </w:p>
    <w:p w14:paraId="18BB477F">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463B7090">
      <w:pPr>
        <w:pStyle w:val="7"/>
        <w:keepNext w:val="0"/>
        <w:keepLines w:val="0"/>
        <w:numPr>
          <w:ilvl w:val="0"/>
          <w:numId w:val="0"/>
        </w:numPr>
        <w:spacing w:before="0" w:after="0" w:line="360" w:lineRule="auto"/>
        <w:ind w:firstLine="480" w:firstLineChars="200"/>
        <w:rPr>
          <w:rFonts w:hint="eastAsia" w:ascii="仿宋" w:hAnsi="仿宋" w:eastAsia="仿宋" w:cs="仿宋"/>
          <w:b w:val="0"/>
          <w:color w:val="auto"/>
          <w:sz w:val="24"/>
          <w:highlight w:val="none"/>
        </w:rPr>
      </w:pPr>
      <w:bookmarkStart w:id="141" w:name="_19.2投标文件应按报价文件、资格证明文件、商务文件、技术文件分别编制"/>
      <w:bookmarkEnd w:id="141"/>
      <w:r>
        <w:rPr>
          <w:rFonts w:hint="eastAsia" w:ascii="仿宋" w:hAnsi="仿宋" w:eastAsia="仿宋" w:cs="仿宋"/>
          <w:b w:val="0"/>
          <w:color w:val="auto"/>
          <w:sz w:val="24"/>
          <w:highlight w:val="none"/>
        </w:rPr>
        <w:t>19.2投标文件应按报价文件、资格证明文件、商务文件、技术文件分别编制电子文件，并按“广西政府采购云平台”的要求编制、加密、上传。</w:t>
      </w:r>
    </w:p>
    <w:p w14:paraId="4AA5C85D">
      <w:pPr>
        <w:pStyle w:val="7"/>
        <w:keepNext w:val="0"/>
        <w:keepLines w:val="0"/>
        <w:numPr>
          <w:ilvl w:val="0"/>
          <w:numId w:val="0"/>
        </w:numPr>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19.</w:t>
      </w:r>
      <w:bookmarkStart w:id="142" w:name="_Hlk65832616"/>
      <w:r>
        <w:rPr>
          <w:rFonts w:hint="eastAsia" w:ascii="仿宋" w:hAnsi="仿宋" w:eastAsia="仿宋" w:cs="仿宋"/>
          <w:b w:val="0"/>
          <w:color w:val="auto"/>
          <w:sz w:val="24"/>
          <w:highlight w:val="none"/>
        </w:rPr>
        <w:t>3投标文件须由投标人在规定位置盖公章并签字</w:t>
      </w:r>
      <w:bookmarkStart w:id="143" w:name="_Hlk65832569"/>
      <w:r>
        <w:rPr>
          <w:rFonts w:hint="eastAsia" w:ascii="仿宋" w:hAnsi="仿宋" w:eastAsia="仿宋" w:cs="仿宋"/>
          <w:b w:val="0"/>
          <w:color w:val="auto"/>
          <w:sz w:val="24"/>
          <w:highlight w:val="none"/>
        </w:rPr>
        <w:t>（具体以投标人须知前附表或投标文件格式规定为准）</w:t>
      </w:r>
      <w:bookmarkEnd w:id="142"/>
      <w:bookmarkEnd w:id="143"/>
      <w:r>
        <w:rPr>
          <w:rFonts w:hint="eastAsia" w:ascii="仿宋" w:hAnsi="仿宋" w:eastAsia="仿宋" w:cs="仿宋"/>
          <w:b w:val="0"/>
          <w:color w:val="auto"/>
          <w:sz w:val="24"/>
          <w:highlight w:val="none"/>
        </w:rPr>
        <w:t>，</w:t>
      </w:r>
      <w:r>
        <w:rPr>
          <w:rFonts w:hint="eastAsia" w:ascii="仿宋" w:hAnsi="仿宋" w:eastAsia="仿宋" w:cs="仿宋"/>
          <w:bCs/>
          <w:color w:val="auto"/>
          <w:sz w:val="24"/>
          <w:highlight w:val="none"/>
        </w:rPr>
        <w:t>否则按无效投标处理</w:t>
      </w:r>
      <w:r>
        <w:rPr>
          <w:rFonts w:hint="eastAsia" w:ascii="仿宋" w:hAnsi="仿宋" w:eastAsia="仿宋" w:cs="仿宋"/>
          <w:b w:val="0"/>
          <w:color w:val="auto"/>
          <w:sz w:val="24"/>
          <w:highlight w:val="none"/>
        </w:rPr>
        <w:t>。</w:t>
      </w:r>
    </w:p>
    <w:p w14:paraId="14AB2764">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19.4投标文件中标注的投标人名称应与主体资格证明（如营业执照、事业单位法人证书、执业许可证、自然人身份证等）及公章一致，</w:t>
      </w:r>
      <w:r>
        <w:rPr>
          <w:rFonts w:hint="eastAsia" w:ascii="仿宋" w:hAnsi="仿宋" w:eastAsia="仿宋" w:cs="仿宋"/>
          <w:color w:val="auto"/>
          <w:sz w:val="24"/>
          <w:highlight w:val="none"/>
        </w:rPr>
        <w:t>否则按无效投标处理</w:t>
      </w:r>
      <w:r>
        <w:rPr>
          <w:rFonts w:hint="eastAsia" w:ascii="仿宋" w:hAnsi="仿宋" w:eastAsia="仿宋" w:cs="仿宋"/>
          <w:b w:val="0"/>
          <w:color w:val="auto"/>
          <w:sz w:val="24"/>
          <w:highlight w:val="none"/>
        </w:rPr>
        <w:t>。</w:t>
      </w:r>
    </w:p>
    <w:p w14:paraId="2CC0742E">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19.5投标文件应尽量避免涂改、行间插字或者删除。如果出现上述情况，改动之处应由投标人的法定代表人或者其委托代理人签字或者加盖公章。投标文件因字迹潦草或者表达不清所引起的后果由投标人承担。</w:t>
      </w:r>
    </w:p>
    <w:p w14:paraId="3E348505">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20.投标文件的加密、解密</w:t>
      </w:r>
    </w:p>
    <w:p w14:paraId="10F3BC60">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20.1电子投标文件编制完成后，投标人应按“广西政府采购云平台”的要求进行加密，并在规定时间内解密，否则，由此产生的后果由投标人自行负责。</w:t>
      </w:r>
    </w:p>
    <w:p w14:paraId="0B49F116">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21.投标文件的提交</w:t>
      </w:r>
    </w:p>
    <w:p w14:paraId="391BBD43">
      <w:pPr>
        <w:pStyle w:val="7"/>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sz w:val="24"/>
          <w:highlight w:val="none"/>
        </w:rPr>
      </w:pPr>
      <w:bookmarkStart w:id="144" w:name="_21.1投标人必须在“投标人须知中的前附表”规定的投标文件接收时间和投"/>
      <w:bookmarkEnd w:id="144"/>
      <w:r>
        <w:rPr>
          <w:rFonts w:hint="eastAsia" w:ascii="仿宋" w:hAnsi="仿宋" w:eastAsia="仿宋" w:cs="仿宋"/>
          <w:b w:val="0"/>
          <w:color w:val="auto"/>
          <w:sz w:val="24"/>
          <w:highlight w:val="none"/>
        </w:rPr>
        <w:t>21.1投标人必须在“投标人须知前附表”规定的投标文件接收时间和投标地点提交投标文件。</w:t>
      </w:r>
    </w:p>
    <w:p w14:paraId="7E40E446">
      <w:pPr>
        <w:pStyle w:val="7"/>
        <w:keepNext w:val="0"/>
        <w:keepLines w:val="0"/>
        <w:pageBreakBefore w:val="0"/>
        <w:widowControl w:val="0"/>
        <w:numPr>
          <w:ilvl w:val="0"/>
          <w:numId w:val="0"/>
        </w:numPr>
        <w:kinsoku/>
        <w:wordWrap w:val="0"/>
        <w:overflowPunct/>
        <w:topLinePunct w:val="0"/>
        <w:autoSpaceDE/>
        <w:autoSpaceDN/>
        <w:bidi w:val="0"/>
        <w:adjustRightInd/>
        <w:snapToGrid/>
        <w:spacing w:before="0" w:after="0" w:line="360" w:lineRule="auto"/>
        <w:ind w:firstLine="480" w:firstLineChars="200"/>
        <w:textAlignment w:val="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21.2本项目为全流程电子化政府采购项目，通过</w:t>
      </w:r>
      <w:r>
        <w:rPr>
          <w:rFonts w:hint="eastAsia" w:ascii="仿宋" w:hAnsi="仿宋" w:eastAsia="仿宋" w:cs="仿宋"/>
          <w:color w:val="auto"/>
          <w:sz w:val="24"/>
          <w:highlight w:val="none"/>
          <w:u w:val="single"/>
        </w:rPr>
        <w:t>广西政府采购云平台（https://www.gcy.zfcg.gxzf.gov.cn/）</w:t>
      </w:r>
      <w:r>
        <w:rPr>
          <w:rFonts w:hint="eastAsia" w:ascii="仿宋" w:hAnsi="仿宋" w:eastAsia="仿宋" w:cs="仿宋"/>
          <w:b w:val="0"/>
          <w:color w:val="auto"/>
          <w:sz w:val="24"/>
          <w:highlight w:val="none"/>
        </w:rPr>
        <w:t>实行在线电子投标。投标人必须在“投标人须知前附表”规定的投标文件接收时间内通过网络将电子投标文件上传至“广西政府采购云平台”，供应商在“广西政府采购云平台”提交电子版投标文件时，请填写参加远程开标活动经办人联系方式。</w:t>
      </w:r>
    </w:p>
    <w:p w14:paraId="553F9059">
      <w:pPr>
        <w:pStyle w:val="7"/>
        <w:keepNext w:val="0"/>
        <w:keepLines w:val="0"/>
        <w:numPr>
          <w:ilvl w:val="0"/>
          <w:numId w:val="0"/>
        </w:numPr>
        <w:spacing w:before="0" w:after="0" w:line="360" w:lineRule="auto"/>
        <w:ind w:firstLine="480" w:firstLineChars="200"/>
        <w:jc w:val="left"/>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21.3未在规定时间内上传或者未按“广西政府采购云平台”的要求编制、加密的电子投标文件，“广西政府采购云平台”将拒收。</w:t>
      </w:r>
    </w:p>
    <w:p w14:paraId="783AA98D">
      <w:pPr>
        <w:pStyle w:val="7"/>
        <w:keepNext w:val="0"/>
        <w:keepLines w:val="0"/>
        <w:numPr>
          <w:ilvl w:val="0"/>
          <w:numId w:val="0"/>
        </w:numPr>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21.4电子投标文件提交方式见“招标公告”中“四、提交投标文件截止时间、开标时间和地点”。</w:t>
      </w:r>
    </w:p>
    <w:p w14:paraId="26CC1B47">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投标文件的补充、修改、撤回与退回</w:t>
      </w:r>
    </w:p>
    <w:p w14:paraId="5C4702ED">
      <w:pPr>
        <w:snapToGrid w:val="0"/>
        <w:spacing w:line="360" w:lineRule="auto"/>
        <w:ind w:firstLine="420"/>
        <w:jc w:val="left"/>
        <w:rPr>
          <w:rFonts w:hint="eastAsia" w:ascii="仿宋" w:hAnsi="仿宋" w:eastAsia="仿宋" w:cs="仿宋"/>
          <w:color w:val="auto"/>
          <w:sz w:val="24"/>
          <w:highlight w:val="none"/>
        </w:rPr>
      </w:pPr>
      <w:bookmarkStart w:id="145" w:name="_Toc254970684"/>
      <w:bookmarkStart w:id="146" w:name="_Toc254970543"/>
      <w:r>
        <w:rPr>
          <w:rFonts w:hint="eastAsia" w:ascii="仿宋" w:hAnsi="仿宋" w:eastAsia="仿宋" w:cs="仿宋"/>
          <w:color w:val="auto"/>
          <w:sz w:val="24"/>
          <w:highlight w:val="none"/>
        </w:rPr>
        <w:t>22.1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bookmarkEnd w:id="145"/>
    <w:bookmarkEnd w:id="146"/>
    <w:p w14:paraId="551A76A2">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22.2在投标截止时间止提交投标文件的投标人不足3家时，不得开标，采购代理机构将根据“广西政府采购云平台”的操作将电子版投标文件退回，除此之外采购人和采购代理机构对已提交的投标文件概不退回。</w:t>
      </w:r>
    </w:p>
    <w:p w14:paraId="4E47FDF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22.3 投标人在投标截止时间后书面通知采购人、采购代理机构撤销投标文件的，将根据本须知正文18.4的规定不予退还其投标保证金。</w:t>
      </w:r>
    </w:p>
    <w:p w14:paraId="214DD6E8">
      <w:pPr>
        <w:pStyle w:val="5"/>
        <w:keepNext w:val="0"/>
        <w:keepLines w:val="0"/>
        <w:jc w:val="center"/>
        <w:rPr>
          <w:rFonts w:hint="eastAsia" w:ascii="仿宋" w:hAnsi="仿宋" w:eastAsia="仿宋" w:cs="仿宋"/>
          <w:color w:val="auto"/>
          <w:highlight w:val="none"/>
        </w:rPr>
      </w:pPr>
      <w:bookmarkStart w:id="147" w:name="_Toc254970544"/>
      <w:bookmarkStart w:id="148" w:name="_Toc254970685"/>
      <w:r>
        <w:rPr>
          <w:rFonts w:hint="eastAsia" w:ascii="仿宋" w:hAnsi="仿宋" w:eastAsia="仿宋" w:cs="仿宋"/>
          <w:color w:val="auto"/>
          <w:highlight w:val="none"/>
        </w:rPr>
        <w:t>四、开    标</w:t>
      </w:r>
      <w:bookmarkEnd w:id="147"/>
      <w:bookmarkEnd w:id="148"/>
    </w:p>
    <w:p w14:paraId="5C56BA01">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49" w:name="_23.开标时间和地点"/>
      <w:bookmarkEnd w:id="149"/>
      <w:r>
        <w:rPr>
          <w:rFonts w:hint="eastAsia" w:ascii="仿宋" w:hAnsi="仿宋" w:eastAsia="仿宋" w:cs="仿宋"/>
          <w:color w:val="auto"/>
          <w:sz w:val="24"/>
          <w:highlight w:val="none"/>
        </w:rPr>
        <w:t>23.开标时间和地点</w:t>
      </w:r>
    </w:p>
    <w:p w14:paraId="129788DF">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23.1开标时间及地点详见“投标人须知前附表”</w:t>
      </w:r>
    </w:p>
    <w:p w14:paraId="7FCD6026">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23.2如投标人成功解密投标文件，但未在“广西政府采购云平台”电子开标大厅参加开标的，视同认可开标过程和结果，由此产生的后果由投标人自行负责。成功解密投标文件的投标人不足3家的，不得开标。</w:t>
      </w:r>
    </w:p>
    <w:p w14:paraId="47FCD21B">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24.开标程序</w:t>
      </w:r>
    </w:p>
    <w:p w14:paraId="1975A77E">
      <w:pPr>
        <w:pStyle w:val="7"/>
        <w:keepNext w:val="0"/>
        <w:keepLines w:val="0"/>
        <w:spacing w:before="0" w:after="0" w:line="360" w:lineRule="auto"/>
        <w:ind w:left="420" w:leftChars="200"/>
        <w:rPr>
          <w:rFonts w:hint="eastAsia" w:ascii="仿宋" w:hAnsi="仿宋" w:eastAsia="仿宋" w:cs="仿宋"/>
          <w:color w:val="auto"/>
          <w:kern w:val="0"/>
          <w:sz w:val="24"/>
          <w:highlight w:val="none"/>
        </w:rPr>
      </w:pPr>
      <w:r>
        <w:rPr>
          <w:rFonts w:hint="eastAsia" w:ascii="仿宋" w:hAnsi="仿宋" w:eastAsia="仿宋" w:cs="仿宋"/>
          <w:bCs/>
          <w:color w:val="auto"/>
          <w:sz w:val="24"/>
          <w:highlight w:val="none"/>
        </w:rPr>
        <w:t>24.1</w:t>
      </w:r>
      <w:r>
        <w:rPr>
          <w:rFonts w:hint="eastAsia" w:ascii="仿宋" w:hAnsi="仿宋" w:eastAsia="仿宋" w:cs="仿宋"/>
          <w:color w:val="auto"/>
          <w:kern w:val="0"/>
          <w:sz w:val="24"/>
          <w:highlight w:val="none"/>
        </w:rPr>
        <w:t>开标形式：</w:t>
      </w:r>
    </w:p>
    <w:p w14:paraId="18E68236">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5CCDE14">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24.2开标程序：</w:t>
      </w:r>
    </w:p>
    <w:p w14:paraId="65ED305D">
      <w:pPr>
        <w:snapToGrid w:val="0"/>
        <w:spacing w:line="360" w:lineRule="auto"/>
        <w:ind w:firstLine="420"/>
        <w:jc w:val="left"/>
        <w:rPr>
          <w:rFonts w:hint="eastAsia" w:ascii="仿宋" w:hAnsi="仿宋" w:eastAsia="仿宋" w:cs="仿宋"/>
          <w:bCs/>
          <w:color w:val="auto"/>
          <w:sz w:val="24"/>
          <w:highlight w:val="none"/>
        </w:rPr>
      </w:pPr>
      <w:r>
        <w:rPr>
          <w:rFonts w:hint="eastAsia" w:ascii="仿宋" w:hAnsi="仿宋" w:eastAsia="仿宋" w:cs="仿宋"/>
          <w:color w:val="auto"/>
          <w:sz w:val="24"/>
          <w:highlight w:val="none"/>
        </w:rPr>
        <w:t>（1）解密电子投标文件。“广西政府采购云平台”按开标时间自动提取所有投标文件。采购代理机构依托“广西政府采购云平台”向各投标人发出电子加密投标文件【开始解密】通知，由投标人进</w:t>
      </w:r>
      <w:r>
        <w:rPr>
          <w:rFonts w:hint="eastAsia" w:ascii="仿宋" w:hAnsi="仿宋" w:eastAsia="仿宋" w:cs="仿宋"/>
          <w:bCs/>
          <w:color w:val="auto"/>
          <w:sz w:val="24"/>
          <w:highlight w:val="none"/>
        </w:rPr>
        <w:t>行投标文件解密。</w:t>
      </w:r>
      <w:r>
        <w:rPr>
          <w:rFonts w:hint="eastAsia" w:ascii="仿宋" w:hAnsi="仿宋" w:eastAsia="仿宋" w:cs="仿宋"/>
          <w:b/>
          <w:bCs/>
          <w:color w:val="auto"/>
          <w:sz w:val="24"/>
          <w:highlight w:val="none"/>
        </w:rPr>
        <w:t>投标人的法定代表人或其委托代理人须携带加密时所用的CA锁准时登录到“广西政府采购云平台”电子开标大厅签到</w:t>
      </w:r>
      <w:r>
        <w:rPr>
          <w:rFonts w:hint="eastAsia" w:ascii="仿宋" w:hAnsi="仿宋" w:eastAsia="仿宋" w:cs="仿宋"/>
          <w:b/>
          <w:color w:val="auto"/>
          <w:sz w:val="24"/>
          <w:highlight w:val="none"/>
        </w:rPr>
        <w:t>并在发起解密</w:t>
      </w:r>
      <w:r>
        <w:rPr>
          <w:rFonts w:hint="eastAsia" w:ascii="仿宋" w:hAnsi="仿宋" w:eastAsia="仿宋" w:cs="仿宋"/>
          <w:b/>
          <w:bCs/>
          <w:color w:val="auto"/>
          <w:sz w:val="24"/>
          <w:highlight w:val="none"/>
        </w:rPr>
        <w:t>通知</w:t>
      </w:r>
      <w:r>
        <w:rPr>
          <w:rFonts w:hint="eastAsia" w:ascii="仿宋" w:hAnsi="仿宋" w:eastAsia="仿宋" w:cs="仿宋"/>
          <w:b/>
          <w:color w:val="auto"/>
          <w:sz w:val="24"/>
          <w:highlight w:val="none"/>
        </w:rPr>
        <w:t>之时起30分钟内完成</w:t>
      </w:r>
      <w:r>
        <w:rPr>
          <w:rFonts w:hint="eastAsia" w:ascii="仿宋" w:hAnsi="仿宋" w:eastAsia="仿宋" w:cs="仿宋"/>
          <w:b/>
          <w:bCs/>
          <w:color w:val="auto"/>
          <w:sz w:val="24"/>
          <w:highlight w:val="none"/>
        </w:rPr>
        <w:t>对电子投标文件解密。投标文件未按时解密的，视为无效投标。</w:t>
      </w:r>
      <w:r>
        <w:rPr>
          <w:rFonts w:hint="eastAsia" w:ascii="仿宋" w:hAnsi="仿宋" w:eastAsia="仿宋" w:cs="仿宋"/>
          <w:bCs/>
          <w:color w:val="auto"/>
          <w:sz w:val="24"/>
          <w:highlight w:val="none"/>
        </w:rPr>
        <w:t>（解密异常情况处理：详见本章29.4 电子交易活动的中止。</w:t>
      </w:r>
    </w:p>
    <w:p w14:paraId="3AB9DECE">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（2）电子唱标。投标文件解密结束，各投标供应商报价均在“广西政府采购云平台”远程不见面开标大厅展示；</w:t>
      </w:r>
    </w:p>
    <w:p w14:paraId="62DCFD70">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（3）开标过程由采购代理机构如实记录，并电子留痕，由参加电子开标的各投标人代表对电子开标记录在开标记录公布后15分钟内进行当场校核及勘误，并线上确认，未确认的视同认可开标结果。</w:t>
      </w:r>
    </w:p>
    <w:p w14:paraId="0078FD90">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9CF519A">
      <w:pPr>
        <w:snapToGrid w:val="0"/>
        <w:spacing w:line="360" w:lineRule="auto"/>
        <w:ind w:firstLine="42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（5）开标结束。</w:t>
      </w:r>
    </w:p>
    <w:p w14:paraId="706BE1E5">
      <w:pPr>
        <w:autoSpaceDE w:val="0"/>
        <w:autoSpaceDN w:val="0"/>
        <w:adjustRightInd w:val="0"/>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特别说明：如遇“广西政府采购云平台”电子化开标或评审程序调整的，按调整后执行。</w:t>
      </w:r>
    </w:p>
    <w:p w14:paraId="331D8DA2">
      <w:pPr>
        <w:pStyle w:val="5"/>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五、资格审查</w:t>
      </w:r>
    </w:p>
    <w:p w14:paraId="26859CF1">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25.资格审查</w:t>
      </w:r>
    </w:p>
    <w:p w14:paraId="07B0D1A7">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25.1开标结束后，采购人或者采购代理机构依法对投标人的资格进行审查。</w:t>
      </w:r>
    </w:p>
    <w:p w14:paraId="14FEA78F">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25.2资格审查标准为本招标文件中载明对投标人资格要求的条件。本项目资格审查采用合格制，凡符合招标文件规定的投标人资格要求的投标人均通过资格审查。</w:t>
      </w:r>
    </w:p>
    <w:p w14:paraId="6665BA1E">
      <w:pPr>
        <w:pStyle w:val="7"/>
        <w:keepNext w:val="0"/>
        <w:keepLines w:val="0"/>
        <w:numPr>
          <w:ilvl w:val="0"/>
          <w:numId w:val="0"/>
        </w:numPr>
        <w:spacing w:before="0" w:after="0" w:line="360" w:lineRule="auto"/>
        <w:ind w:firstLine="482" w:firstLineChars="200"/>
        <w:rPr>
          <w:rFonts w:hint="eastAsia" w:ascii="仿宋" w:hAnsi="仿宋" w:eastAsia="仿宋" w:cs="仿宋"/>
          <w:color w:val="auto"/>
          <w:sz w:val="24"/>
          <w:highlight w:val="none"/>
        </w:rPr>
      </w:pPr>
      <w:bookmarkStart w:id="150" w:name="_25.3_投标人有下列情形之一的，资格审查不通过而导致其投标无效："/>
      <w:bookmarkEnd w:id="150"/>
      <w:r>
        <w:rPr>
          <w:rFonts w:hint="eastAsia" w:ascii="仿宋" w:hAnsi="仿宋" w:eastAsia="仿宋" w:cs="仿宋"/>
          <w:color w:val="auto"/>
          <w:sz w:val="24"/>
          <w:highlight w:val="none"/>
        </w:rPr>
        <w:t>25.3 投标人有下列情形之一的，资格审查不通过，作无效投标处理：</w:t>
      </w:r>
    </w:p>
    <w:p w14:paraId="1EB1078D">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（1）未按招标文件规定的方式获取本招标文件的投标人；</w:t>
      </w:r>
    </w:p>
    <w:p w14:paraId="612209C1">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（2）不具备招标文件中规定的资格要求的；</w:t>
      </w:r>
    </w:p>
    <w:p w14:paraId="70F96829">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（3）在“信用中国”网站（www.creditchina.gov.cn） 、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532EBFD5">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454DF5AE">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（5）投标文件中的资格证明文件缺少任一项“投标人须知前附表”资格证明文件规定“必须提供”的文件资料的；</w:t>
      </w:r>
    </w:p>
    <w:p w14:paraId="026613DB">
      <w:pPr>
        <w:pStyle w:val="28"/>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（6）投标文件中的资格证明文件出现任一项不符合“投标人须知前附表”资格证明文件规定“必须提供”的文件资料要求或者无效的。</w:t>
      </w:r>
    </w:p>
    <w:p w14:paraId="116E1AAC">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color w:val="auto"/>
          <w:sz w:val="24"/>
          <w:highlight w:val="none"/>
        </w:rPr>
        <w:t>25.4合格投标人不足3家的，不得评标。</w:t>
      </w:r>
    </w:p>
    <w:p w14:paraId="3958AA1D">
      <w:pPr>
        <w:pStyle w:val="5"/>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六、评   标</w:t>
      </w:r>
    </w:p>
    <w:p w14:paraId="33B778ED">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51" w:name="_26.组建评标委员会"/>
      <w:bookmarkEnd w:id="151"/>
      <w:r>
        <w:rPr>
          <w:rFonts w:hint="eastAsia" w:ascii="仿宋" w:hAnsi="仿宋" w:eastAsia="仿宋" w:cs="仿宋"/>
          <w:color w:val="auto"/>
          <w:sz w:val="24"/>
          <w:highlight w:val="none"/>
        </w:rPr>
        <w:t>26.组建评标委员会</w:t>
      </w:r>
    </w:p>
    <w:p w14:paraId="29EEA825">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评标委员会由采购人代表和评审专家组成，具体人数详见“投标人须知前附表”，其中评审专家不得少于成员总数的三分之二。</w:t>
      </w:r>
    </w:p>
    <w:p w14:paraId="4959D5FE">
      <w:pPr>
        <w:pStyle w:val="28"/>
        <w:snapToGrid w:val="0"/>
        <w:spacing w:line="360" w:lineRule="auto"/>
        <w:ind w:left="2" w:leftChars="1"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参加过采购项目前期咨询论证的专家，不得参加该采购项目的评审活动。</w:t>
      </w:r>
    </w:p>
    <w:p w14:paraId="148D14A8">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27.评标的依据</w:t>
      </w:r>
    </w:p>
    <w:p w14:paraId="5CDF12AC">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评标委员会以“第四章 评标方法和评标标准”为依据对投标文件进行评审，没有规定的方法、评审因素和标准，不作为评标依据。</w:t>
      </w:r>
    </w:p>
    <w:p w14:paraId="16A84592">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28.评标原则</w:t>
      </w:r>
    </w:p>
    <w:p w14:paraId="43CB8696">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08ACD56">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28.2</w:t>
      </w:r>
      <w:bookmarkStart w:id="152" w:name="_28.3评标方法。本项目将按须知前附表规定的评标办法进行评标，具体评标"/>
      <w:bookmarkEnd w:id="152"/>
      <w:r>
        <w:rPr>
          <w:rFonts w:hint="eastAsia" w:ascii="仿宋" w:hAnsi="仿宋" w:eastAsia="仿宋" w:cs="仿宋"/>
          <w:color w:val="auto"/>
          <w:sz w:val="24"/>
          <w:szCs w:val="24"/>
          <w:highlight w:val="none"/>
        </w:rPr>
        <w:t>评委表决。评标委员会成员对需要共同认定的事项存在争议的，应当按照少数服从多数的原则作出结论。</w:t>
      </w:r>
    </w:p>
    <w:p w14:paraId="4246CAC7">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4237722">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28.4评标过程的监控。本项目评标过程实行全程录音、录像监控，</w:t>
      </w:r>
      <w:r>
        <w:rPr>
          <w:rFonts w:hint="eastAsia" w:ascii="仿宋" w:hAnsi="仿宋" w:eastAsia="仿宋" w:cs="仿宋"/>
          <w:b/>
          <w:bCs/>
          <w:color w:val="auto"/>
          <w:sz w:val="24"/>
          <w:szCs w:val="24"/>
          <w:highlight w:val="none"/>
        </w:rPr>
        <w:t>投标人在评标过程中所进行的试图影响评标结果的不公正活动，可能导致其投标无效</w:t>
      </w:r>
      <w:r>
        <w:rPr>
          <w:rFonts w:hint="eastAsia" w:ascii="仿宋" w:hAnsi="仿宋" w:eastAsia="仿宋" w:cs="仿宋"/>
          <w:color w:val="auto"/>
          <w:sz w:val="24"/>
          <w:szCs w:val="24"/>
          <w:highlight w:val="none"/>
        </w:rPr>
        <w:t>。</w:t>
      </w:r>
    </w:p>
    <w:p w14:paraId="40AB0D78">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29.评标方法及中标候选人推荐</w:t>
      </w:r>
    </w:p>
    <w:p w14:paraId="036252F3">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29.1本项目的评标方法详见“投标人须知前附表”。</w:t>
      </w:r>
    </w:p>
    <w:p w14:paraId="2AE04164">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29.2允许负偏离的条款数量详见“投标人须知前附表”。</w:t>
      </w:r>
    </w:p>
    <w:p w14:paraId="188B4012">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29.3中标候选人推荐数量详见“投标人须知前附表”。</w:t>
      </w:r>
    </w:p>
    <w:p w14:paraId="77B5719C">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29.4评标委员会将按照“第四章 评标方法和评标标准”规定的方法、评审因素、标准和程序对投标文件进行评审。</w:t>
      </w:r>
    </w:p>
    <w:p w14:paraId="063C96D8">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29.5电子交易活动的中止。采购过程中出现以下情形，导致电子交易平台无法正常运行，或者无法保证电子交易的公平、公正和安全时，采购代理机构可中止电子交易活动：</w:t>
      </w:r>
    </w:p>
    <w:p w14:paraId="2C4E65CE">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（1）电子交易平台发生故障而无法登录访问的； </w:t>
      </w:r>
    </w:p>
    <w:p w14:paraId="0B42E331">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（2）电子交易平台应用或数据库出现错误，不能进行正常操作的；</w:t>
      </w:r>
    </w:p>
    <w:p w14:paraId="75EC7B5B">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（3）电子交易平台发现严重安全漏洞，有潜在泄密危险的；</w:t>
      </w:r>
    </w:p>
    <w:p w14:paraId="2A6639F6">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（4）病毒发作导致不能进行正常操作的； </w:t>
      </w:r>
    </w:p>
    <w:p w14:paraId="428EDDAD">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（4）其他无法保证电子交易的公平、公正和安全的情况。</w:t>
      </w:r>
    </w:p>
    <w:p w14:paraId="304FDAD9">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29.6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0A810E1A">
      <w:pPr>
        <w:pStyle w:val="5"/>
        <w:keepNext w:val="0"/>
        <w:keepLines w:val="0"/>
        <w:jc w:val="center"/>
        <w:rPr>
          <w:rFonts w:hint="eastAsia" w:ascii="仿宋" w:hAnsi="仿宋" w:eastAsia="仿宋" w:cs="仿宋"/>
          <w:color w:val="auto"/>
          <w:highlight w:val="none"/>
        </w:rPr>
      </w:pPr>
      <w:bookmarkStart w:id="153" w:name="_Toc254970546"/>
      <w:bookmarkStart w:id="154" w:name="_Toc254970687"/>
      <w:r>
        <w:rPr>
          <w:rFonts w:hint="eastAsia" w:ascii="仿宋" w:hAnsi="仿宋" w:eastAsia="仿宋" w:cs="仿宋"/>
          <w:color w:val="auto"/>
          <w:highlight w:val="none"/>
        </w:rPr>
        <w:t>七、</w:t>
      </w:r>
      <w:bookmarkEnd w:id="153"/>
      <w:bookmarkEnd w:id="154"/>
      <w:r>
        <w:rPr>
          <w:rFonts w:hint="eastAsia" w:ascii="仿宋" w:hAnsi="仿宋" w:eastAsia="仿宋" w:cs="仿宋"/>
          <w:color w:val="auto"/>
          <w:highlight w:val="none"/>
        </w:rPr>
        <w:t>中标和合同</w:t>
      </w:r>
    </w:p>
    <w:p w14:paraId="567A9DA3">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30.确定中标人</w:t>
      </w:r>
    </w:p>
    <w:p w14:paraId="1505E841">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F3D8A73">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30.2采购人在收到评标报告5个工作日内未按评标报告推荐的中标候选人顺序确定中标人，又不能说明合法理由的，视同按评标报告推荐的顺序确定排名第一的中标候选人为中标人。</w:t>
      </w:r>
    </w:p>
    <w:p w14:paraId="01823DF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30.3出现下列情形之一的，应予废标：</w:t>
      </w:r>
    </w:p>
    <w:p w14:paraId="34DD3E98">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（1）符合专业条件的供应商或者对招标文件作实质响应的供应商不足三家的；</w:t>
      </w:r>
    </w:p>
    <w:p w14:paraId="2C9F4502">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（2）出现影响采购公正的违法、违规行为的；</w:t>
      </w:r>
    </w:p>
    <w:p w14:paraId="3F3BB740">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（3）投标人的报价均超过了采购预算，采购人不能支付的；</w:t>
      </w:r>
    </w:p>
    <w:p w14:paraId="2DA74ABE">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（4）因重大变故，采购任务取消的。</w:t>
      </w:r>
    </w:p>
    <w:p w14:paraId="3DA0FB6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废标后，采购人应当将废标理由通知所有投标人。</w:t>
      </w:r>
    </w:p>
    <w:p w14:paraId="40A404E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30.4 中标人拒绝签订政府采购合同（包括但不限于放弃中标、因不可抗力不能履行合同而放弃签订合同），采购人可以按照评审报告推荐的中标候选人名单排序，确定下一候选人为中标供应商，也可以重新开展政府采购活动。拒绝签订政府采购合同的中标人不得参加对该项目重新开展的采购活动。</w:t>
      </w:r>
    </w:p>
    <w:p w14:paraId="451E4DA4">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31.结果公告</w:t>
      </w:r>
    </w:p>
    <w:p w14:paraId="0C953DFC">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31.1采购人或者采购代理机构应当自中标人确定之日起2个工作日内，在省级以上财政部门指定的媒体上公告中标结果，招标文件应当随中标结果同时公告。</w:t>
      </w:r>
      <w:r>
        <w:rPr>
          <w:rFonts w:hint="eastAsia" w:ascii="仿宋" w:hAnsi="仿宋" w:eastAsia="仿宋" w:cs="仿宋"/>
          <w:color w:val="auto"/>
          <w:sz w:val="24"/>
          <w:highlight w:val="none"/>
        </w:rPr>
        <w:t>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仿宋" w:hAnsi="仿宋" w:eastAsia="仿宋" w:cs="仿宋"/>
          <w:b w:val="0"/>
          <w:color w:val="auto"/>
          <w:sz w:val="24"/>
          <w:highlight w:val="none"/>
        </w:rPr>
        <w:t>排名第二的中标候选人因前款规定的同样原因被取消中标资格的，采购人可以确定排名第三的中标候选人为中标人，以此类推。以上信息查询记录及相关证据与采购文件一并保存。</w:t>
      </w:r>
    </w:p>
    <w:p w14:paraId="5514915D">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31.2中标供应商享受《政府采购促进中小企业发展管理办法》（财库〔2020〕46号）规定的中小企业扶持政策的，采购人、采购代理机构应当随中标结果公开中标供应商的《中小企业声明函》。</w:t>
      </w:r>
    </w:p>
    <w:p w14:paraId="54E19B16">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32.发出中标通知书</w:t>
      </w:r>
    </w:p>
    <w:p w14:paraId="4C5B922E">
      <w:pPr>
        <w:pStyle w:val="7"/>
        <w:keepNext w:val="0"/>
        <w:keepLines w:val="0"/>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74DEB85C">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33.无义务解释未中标原因</w:t>
      </w:r>
    </w:p>
    <w:p w14:paraId="16F95645">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采购代理机构无义务向未中标的投标人解释未中标原因和退还投标文件。</w:t>
      </w:r>
    </w:p>
    <w:p w14:paraId="303C932C">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34.合同授予标准</w:t>
      </w:r>
    </w:p>
    <w:p w14:paraId="733E8C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合同将授予被确定实质上响应招标文件要求，具备履行合同能力的中标人（招标文件另有约定多名中标人的除外）。</w:t>
      </w:r>
    </w:p>
    <w:p w14:paraId="5D7FB53D">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35.履约保证金</w:t>
      </w:r>
    </w:p>
    <w:p w14:paraId="531EE26D">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bookmarkStart w:id="155" w:name="_39.1中标人须于签订合同前按本须知前附表规定的金额转账或电汇到指定账"/>
      <w:bookmarkEnd w:id="155"/>
      <w:r>
        <w:rPr>
          <w:rFonts w:hint="eastAsia" w:ascii="仿宋" w:hAnsi="仿宋" w:eastAsia="仿宋" w:cs="仿宋"/>
          <w:b w:val="0"/>
          <w:color w:val="auto"/>
          <w:sz w:val="24"/>
          <w:highlight w:val="none"/>
        </w:rPr>
        <w:t>35.1 履约保证金的金额、提交方式、退付的时间和条件详见 “投标人须知前附表”。中标人未按规定提交履约保证金的，视为拒绝与采购人签订合同。</w:t>
      </w:r>
    </w:p>
    <w:p w14:paraId="5F277D5E">
      <w:pPr>
        <w:pStyle w:val="7"/>
        <w:keepNext w:val="0"/>
        <w:keepLines w:val="0"/>
        <w:spacing w:before="0" w:after="0"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rPr>
        <w:t>35.2在履约保证金退还日期前，若中标人的开户名称、开户银行、账号有变动的，请以书面形式通知履约保证金收取单位，否则由此产生的后果由中标人自行承担。</w:t>
      </w:r>
    </w:p>
    <w:p w14:paraId="55351527">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36.签订合同</w:t>
      </w:r>
    </w:p>
    <w:p w14:paraId="7370BC96">
      <w:pPr>
        <w:pStyle w:val="7"/>
        <w:keepNext w:val="0"/>
        <w:keepLines w:val="0"/>
        <w:spacing w:before="0" w:after="0" w:line="360" w:lineRule="auto"/>
        <w:ind w:firstLine="360" w:firstLineChars="150"/>
        <w:rPr>
          <w:rFonts w:hint="eastAsia" w:ascii="仿宋" w:hAnsi="仿宋" w:eastAsia="仿宋" w:cs="仿宋"/>
          <w:b w:val="0"/>
          <w:bCs/>
          <w:color w:val="auto"/>
          <w:sz w:val="24"/>
          <w:highlight w:val="none"/>
        </w:rPr>
      </w:pPr>
      <w:bookmarkStart w:id="156" w:name="_40.1投标人接到中标通知书后，按须知前附表规定向采购人出示相关资格证"/>
      <w:bookmarkEnd w:id="156"/>
      <w:r>
        <w:rPr>
          <w:rFonts w:hint="eastAsia" w:ascii="仿宋" w:hAnsi="仿宋" w:eastAsia="仿宋" w:cs="仿宋"/>
          <w:b w:val="0"/>
          <w:color w:val="auto"/>
          <w:sz w:val="24"/>
          <w:highlight w:val="none"/>
        </w:rPr>
        <w:t xml:space="preserve"> 36.1投标人领取中标通知书（书面或电子）后，按“投标人须知前附表”规定向采购人出示相关证明材料，经采购人核验合格后方可签订采购合同（书面或电子）。</w:t>
      </w:r>
      <w:r>
        <w:rPr>
          <w:rFonts w:hint="eastAsia" w:ascii="仿宋" w:hAnsi="仿宋" w:eastAsia="仿宋" w:cs="仿宋"/>
          <w:b w:val="0"/>
          <w:bCs/>
          <w:color w:val="auto"/>
          <w:sz w:val="24"/>
          <w:highlight w:val="none"/>
        </w:rPr>
        <w:t>如中标人为联合体的，联合体各方应当共同与采购人签订采购合同，就采购合同约定的事项对采购人承担连带责任。</w:t>
      </w:r>
    </w:p>
    <w:p w14:paraId="0691BAA1">
      <w:pPr>
        <w:pStyle w:val="7"/>
        <w:keepNext w:val="0"/>
        <w:keepLines w:val="0"/>
        <w:numPr>
          <w:ilvl w:val="0"/>
          <w:numId w:val="0"/>
        </w:numPr>
        <w:spacing w:before="0" w:after="0" w:line="360" w:lineRule="auto"/>
        <w:ind w:firstLine="480" w:firstLine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36.2签订合同时间：中标通知书（中标公告）发出之日起25个日历日内。</w:t>
      </w:r>
    </w:p>
    <w:p w14:paraId="2F56595E">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36.3中标人拒绝与采购人签订合同的，按照本须知正文第30.4条的规定执行。</w:t>
      </w:r>
    </w:p>
    <w:p w14:paraId="7140A9A9">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57" w:name="_41.政府采购合同公告"/>
      <w:bookmarkEnd w:id="157"/>
      <w:r>
        <w:rPr>
          <w:rFonts w:hint="eastAsia" w:ascii="仿宋" w:hAnsi="仿宋" w:eastAsia="仿宋" w:cs="仿宋"/>
          <w:color w:val="auto"/>
          <w:sz w:val="24"/>
          <w:highlight w:val="none"/>
        </w:rPr>
        <w:t>37.政府采购合同公告</w:t>
      </w:r>
    </w:p>
    <w:p w14:paraId="2791A089">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4028F72D">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38. 询问、质疑和投诉</w:t>
      </w:r>
    </w:p>
    <w:p w14:paraId="6D757D77">
      <w:pPr>
        <w:pStyle w:val="9"/>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38.1供应商对政府采购活动事项有疑问的，可以向采购人提出询问，采购人或者采购代理机构应当在3个工作日内对供应商依法提出的询问作出答复，但答复的内容不得涉及商业秘密。</w:t>
      </w:r>
    </w:p>
    <w:p w14:paraId="2DA50F9B">
      <w:pPr>
        <w:pStyle w:val="9"/>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 xml:space="preserve">38.2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7654D311">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（1）对可以质疑的招标文件提出质疑的，为收到招标文件之日或者招标文件公告期限届满之日；</w:t>
      </w:r>
    </w:p>
    <w:p w14:paraId="401F4B41">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（2）对采购过程提出质疑的，为各采购程序环节结束之日；</w:t>
      </w:r>
    </w:p>
    <w:p w14:paraId="78B99DCB">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（3）对中标结果提出质疑的，为中标结果公告期限届满之日。</w:t>
      </w:r>
    </w:p>
    <w:p w14:paraId="7324B343">
      <w:pPr>
        <w:pStyle w:val="7"/>
        <w:keepNext w:val="0"/>
        <w:keepLines w:val="0"/>
        <w:spacing w:before="0" w:after="0" w:line="360" w:lineRule="auto"/>
        <w:ind w:firstLine="360" w:firstLineChars="15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38.3</w:t>
      </w:r>
      <w:r>
        <w:rPr>
          <w:rFonts w:hint="eastAsia" w:ascii="仿宋" w:hAnsi="仿宋" w:eastAsia="仿宋" w:cs="仿宋"/>
          <w:bCs/>
          <w:color w:val="auto"/>
          <w:sz w:val="24"/>
          <w:highlight w:val="none"/>
        </w:rPr>
        <w:t>供应商提出质疑应当提交质疑函和必要的证明材料，针对同一采购程序环节的质疑必须在法定质疑期内一次性提出。质疑函应当包括下列内容（质疑函格式后附）：</w:t>
      </w:r>
    </w:p>
    <w:p w14:paraId="0F851873">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（1）供应商的姓名或者名称、地址、邮编、联系人及联系电话；</w:t>
      </w:r>
    </w:p>
    <w:p w14:paraId="4977B28D">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（2）质疑项目的名称、编号；</w:t>
      </w:r>
    </w:p>
    <w:p w14:paraId="2301CAD3">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（3）具体、明确的质疑事项和与质疑事项相关的请求；</w:t>
      </w:r>
    </w:p>
    <w:p w14:paraId="68E8DBAC">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（4）事实依据；</w:t>
      </w:r>
    </w:p>
    <w:p w14:paraId="0EC8E5A2">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（5）必要的法律依据；</w:t>
      </w:r>
    </w:p>
    <w:p w14:paraId="3711BFDC">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（6）提出质疑的日期。</w:t>
      </w:r>
    </w:p>
    <w:p w14:paraId="314088DB">
      <w:pPr>
        <w:pStyle w:val="28"/>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供应商为自然人的，应当由本人签字；供应商为法人或者其他组织的，应当由法定代表人、主要负责人，或者其委托代理人签字或者盖章，并加盖公章。</w:t>
      </w:r>
    </w:p>
    <w:p w14:paraId="5C90413D">
      <w:pPr>
        <w:pStyle w:val="7"/>
        <w:keepNext w:val="0"/>
        <w:keepLines w:val="0"/>
        <w:snapToGrid w:val="0"/>
        <w:spacing w:before="0" w:after="0" w:line="360" w:lineRule="auto"/>
        <w:ind w:firstLine="480" w:firstLineChars="200"/>
        <w:rPr>
          <w:rFonts w:hint="eastAsia" w:ascii="仿宋" w:hAnsi="仿宋" w:eastAsia="仿宋" w:cs="仿宋"/>
          <w:b w:val="0"/>
          <w:bCs/>
          <w:color w:val="auto"/>
          <w:sz w:val="24"/>
          <w:highlight w:val="none"/>
        </w:rPr>
      </w:pPr>
      <w:r>
        <w:rPr>
          <w:rFonts w:hint="eastAsia" w:ascii="仿宋" w:hAnsi="仿宋" w:eastAsia="仿宋" w:cs="仿宋"/>
          <w:b w:val="0"/>
          <w:color w:val="auto"/>
          <w:sz w:val="24"/>
          <w:highlight w:val="none"/>
        </w:rPr>
        <w:t>3</w:t>
      </w:r>
      <w:r>
        <w:rPr>
          <w:rFonts w:hint="eastAsia" w:ascii="仿宋" w:hAnsi="仿宋" w:eastAsia="仿宋" w:cs="仿宋"/>
          <w:b w:val="0"/>
          <w:bCs/>
          <w:color w:val="auto"/>
          <w:sz w:val="24"/>
          <w:highlight w:val="none"/>
        </w:rPr>
        <w:t>8.4采购人、采购代理机构认为供应商质疑不成立，或者成立但未对中标结果构成影响的，继续开展采购活动；认为供应商质疑成立且影响或者可能影响中标结果的，按照下列情况处理：</w:t>
      </w:r>
    </w:p>
    <w:p w14:paraId="0D6A808B">
      <w:pPr>
        <w:pStyle w:val="28"/>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（1）对招标文件提出的质疑，依法通过澄清或者修改可以继续开展采购活动的，澄清或者修改招标文件后继续开展采购活动；否则应当修改招标文件后重新开展采购活动。</w:t>
      </w:r>
    </w:p>
    <w:p w14:paraId="4546D58A">
      <w:pPr>
        <w:pStyle w:val="28"/>
        <w:snapToGrid w:val="0"/>
        <w:spacing w:line="360" w:lineRule="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（2）对采购过程、中标结果提出的质疑，合格供应商符合法定数量时，可以从合格的中标候选人中另行确定中标供应商的，应当依法另行确定中标供应商；否则应当重新开展采购活动。</w:t>
      </w:r>
    </w:p>
    <w:p w14:paraId="1D80BFF5">
      <w:pPr>
        <w:pStyle w:val="28"/>
        <w:snapToGrid w:val="0"/>
        <w:spacing w:line="360" w:lineRule="auto"/>
        <w:ind w:firstLine="42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质疑答复导致中标结果改变的，采购人或者采购代理机构应当将有关情况书面报告本级财政部门。</w:t>
      </w:r>
    </w:p>
    <w:p w14:paraId="1B583A51">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58" w:name="_八、其他事项"/>
      <w:bookmarkEnd w:id="158"/>
    </w:p>
    <w:p w14:paraId="28AECF5C">
      <w:pPr>
        <w:pStyle w:val="5"/>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t>八、其他事项</w:t>
      </w:r>
    </w:p>
    <w:p w14:paraId="1B1919E3">
      <w:pPr>
        <w:pStyle w:val="7"/>
        <w:keepNext w:val="0"/>
        <w:keepLines w:val="0"/>
        <w:spacing w:before="0" w:after="0" w:line="360" w:lineRule="auto"/>
        <w:ind w:left="420" w:leftChars="200"/>
        <w:rPr>
          <w:rFonts w:hint="eastAsia" w:ascii="仿宋" w:hAnsi="仿宋" w:eastAsia="仿宋" w:cs="仿宋"/>
          <w:color w:val="auto"/>
          <w:sz w:val="24"/>
          <w:highlight w:val="none"/>
        </w:rPr>
      </w:pPr>
      <w:bookmarkStart w:id="159" w:name="_42.代理服务费"/>
      <w:bookmarkEnd w:id="159"/>
      <w:r>
        <w:rPr>
          <w:rFonts w:hint="eastAsia" w:ascii="仿宋" w:hAnsi="仿宋" w:eastAsia="仿宋" w:cs="仿宋"/>
          <w:color w:val="auto"/>
          <w:sz w:val="24"/>
          <w:highlight w:val="none"/>
        </w:rPr>
        <w:t>39.代理服务费</w:t>
      </w:r>
    </w:p>
    <w:p w14:paraId="6B191C3D">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39.1代理服务收取标准及缴费账户详见“投标人须知前附表”，投标人为联合体的，可以由联合体中的一方或者多方共同交纳代理服务费。</w:t>
      </w:r>
    </w:p>
    <w:p w14:paraId="523B6B5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39.3代理服务费交纳银行账号信息：详见“投标人须知前附表”</w:t>
      </w:r>
    </w:p>
    <w:p w14:paraId="68F419AB">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40. 需要补充的其他内容</w:t>
      </w:r>
    </w:p>
    <w:p w14:paraId="42430E9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40.1本招标文件解释规则详见“投标人须知前附表”。</w:t>
      </w:r>
    </w:p>
    <w:p w14:paraId="6D57599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40.2 其他事项详见“投标人须知前附表”。</w:t>
      </w:r>
    </w:p>
    <w:p w14:paraId="6D9AEDD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40.3</w:t>
      </w:r>
      <w:bookmarkStart w:id="160" w:name="_Hlk65857140"/>
      <w:r>
        <w:rPr>
          <w:rFonts w:hint="eastAsia" w:ascii="仿宋" w:hAnsi="仿宋" w:eastAsia="仿宋" w:cs="仿宋"/>
          <w:color w:val="auto"/>
          <w:sz w:val="24"/>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6303CE72">
      <w:pPr>
        <w:pStyle w:val="28"/>
        <w:spacing w:before="120" w:after="120"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762D60D7">
      <w:pPr>
        <w:pStyle w:val="28"/>
        <w:spacing w:before="120" w:after="120"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（2）在工程采购项目中，工程由中小企业承建，即工程施工单位为中小企业，不对其中涉及的货物的制造商和服务的承接商作出要求；</w:t>
      </w:r>
    </w:p>
    <w:p w14:paraId="2C1E3579">
      <w:pPr>
        <w:pStyle w:val="28"/>
        <w:spacing w:before="120" w:after="120"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9159913">
      <w:pPr>
        <w:pStyle w:val="28"/>
        <w:spacing w:before="120" w:after="120"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22E2322">
      <w:pPr>
        <w:pStyle w:val="28"/>
        <w:spacing w:before="120" w:after="120"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依据本招标文件规定享受扶持政策获得政府采购合同的，小微企业不得将合同分包给大中型企业，中型企业不得将合同分包给大型企业。</w:t>
      </w:r>
      <w:bookmarkEnd w:id="160"/>
    </w:p>
    <w:p w14:paraId="36ECBC9B">
      <w:pPr>
        <w:pStyle w:val="28"/>
        <w:spacing w:before="120" w:after="120" w:line="360" w:lineRule="auto"/>
        <w:ind w:firstLine="480" w:firstLineChars="200"/>
        <w:contextualSpacing/>
        <w:rPr>
          <w:rFonts w:hint="eastAsia" w:ascii="仿宋" w:hAnsi="仿宋" w:eastAsia="仿宋" w:cs="仿宋"/>
          <w:color w:val="auto"/>
          <w:sz w:val="24"/>
          <w:szCs w:val="24"/>
          <w:highlight w:val="none"/>
          <w:lang w:val="en-US" w:eastAsia="zh-CN"/>
        </w:rPr>
      </w:pPr>
    </w:p>
    <w:p w14:paraId="647B02AC">
      <w:pPr>
        <w:pStyle w:val="3"/>
        <w:keepNext w:val="0"/>
        <w:keepLines w:val="0"/>
        <w:pageBreakBefore/>
        <w:spacing w:before="0" w:after="0" w:line="360" w:lineRule="auto"/>
        <w:jc w:val="center"/>
        <w:rPr>
          <w:rFonts w:hint="eastAsia" w:ascii="仿宋" w:hAnsi="仿宋" w:eastAsia="仿宋" w:cs="仿宋"/>
          <w:color w:val="auto"/>
          <w:highlight w:val="none"/>
        </w:rPr>
      </w:pPr>
      <w:bookmarkStart w:id="161" w:name="_Toc254970689"/>
      <w:bookmarkStart w:id="162" w:name="_Toc74320803"/>
      <w:bookmarkStart w:id="163" w:name="_Toc330456896"/>
      <w:bookmarkStart w:id="164" w:name="_Toc254970548"/>
      <w:r>
        <w:rPr>
          <w:rFonts w:hint="eastAsia" w:ascii="仿宋" w:hAnsi="仿宋" w:eastAsia="仿宋" w:cs="仿宋"/>
          <w:color w:val="auto"/>
          <w:highlight w:val="none"/>
        </w:rPr>
        <w:t>第四章  评标方法及评标标准</w:t>
      </w:r>
      <w:bookmarkEnd w:id="161"/>
      <w:bookmarkEnd w:id="162"/>
      <w:bookmarkEnd w:id="163"/>
      <w:bookmarkEnd w:id="164"/>
    </w:p>
    <w:p w14:paraId="062CCC28">
      <w:pPr>
        <w:pStyle w:val="5"/>
        <w:keepNext w:val="0"/>
        <w:keepLines w:val="0"/>
        <w:spacing w:before="0" w:after="0" w:line="415" w:lineRule="auto"/>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一、评标方法</w:t>
      </w:r>
    </w:p>
    <w:p w14:paraId="6915A598">
      <w:pPr>
        <w:pStyle w:val="28"/>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综合评分法，是指投标文件满足招标文件全部实质性要求，且按照评审因素的量化指标评审得分最高的投标人为中标候选人的评标方法。</w:t>
      </w:r>
    </w:p>
    <w:p w14:paraId="6F6216C3">
      <w:pPr>
        <w:pStyle w:val="5"/>
        <w:keepNext w:val="0"/>
        <w:keepLines w:val="0"/>
        <w:spacing w:before="120" w:beforeLines="50" w:after="0" w:line="360" w:lineRule="auto"/>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二、评标程序</w:t>
      </w:r>
    </w:p>
    <w:p w14:paraId="2C37958C">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1.符合性审查</w:t>
      </w:r>
    </w:p>
    <w:p w14:paraId="34FB5938">
      <w:pPr>
        <w:pStyle w:val="28"/>
        <w:snapToGrid w:val="0"/>
        <w:spacing w:line="360" w:lineRule="auto"/>
        <w:ind w:left="1" w:firstLine="420"/>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评标委员会应当对符合资格的投标人的投标文件进行投标报价、商务、技术等实质性内容符合性审查，以确定其是否满足招标文件的实质性要求。</w:t>
      </w:r>
    </w:p>
    <w:p w14:paraId="7A1232E2">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2.符合性审查不通过而导致投标无效的情形</w:t>
      </w:r>
    </w:p>
    <w:p w14:paraId="2EF47F67">
      <w:p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投标人的投标文件中存在对招标文件的任何实质性要求和条件的负偏离，将被视为投标无效。</w:t>
      </w:r>
    </w:p>
    <w:p w14:paraId="312E0723">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2.1在报价评审时，如发现下列情形之一的，将被视为投标无效：</w:t>
      </w:r>
    </w:p>
    <w:p w14:paraId="2E454A9D">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pacing w:val="-6"/>
          <w:sz w:val="24"/>
          <w:szCs w:val="24"/>
          <w:highlight w:val="none"/>
        </w:rPr>
        <w:t>报价文件</w:t>
      </w:r>
      <w:r>
        <w:rPr>
          <w:rFonts w:hint="eastAsia" w:ascii="仿宋" w:hAnsi="仿宋" w:eastAsia="仿宋" w:cs="仿宋"/>
          <w:b/>
          <w:color w:val="auto"/>
          <w:sz w:val="24"/>
          <w:szCs w:val="24"/>
          <w:highlight w:val="none"/>
        </w:rPr>
        <w:t>未提供“投标人须知前附表”第13.1条规定中“必须提供”的文件资料的；</w:t>
      </w:r>
    </w:p>
    <w:p w14:paraId="2478B797">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未采用人民币报价或者未按照招标文件标明的币种报价的；</w:t>
      </w:r>
    </w:p>
    <w:p w14:paraId="71DFA479">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各</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报价超出招标文件相应</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规定最高限价，或者超出相应</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采购预算金额的；</w:t>
      </w:r>
    </w:p>
    <w:p w14:paraId="4E629111">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投标人未就所投</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进行报价或者存在漏项报价；投标人未就所投</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的单项内容作唯一报价；投标人未就所投</w:t>
      </w:r>
      <w:r>
        <w:rPr>
          <w:rFonts w:hint="eastAsia" w:ascii="仿宋" w:hAnsi="仿宋" w:eastAsia="仿宋" w:cs="仿宋"/>
          <w:b/>
          <w:color w:val="auto"/>
          <w:sz w:val="24"/>
          <w:highlight w:val="none"/>
        </w:rPr>
        <w:t>标项</w:t>
      </w:r>
      <w:r>
        <w:rPr>
          <w:rFonts w:hint="eastAsia" w:ascii="仿宋" w:hAnsi="仿宋" w:eastAsia="仿宋" w:cs="仿宋"/>
          <w:b/>
          <w:color w:val="auto"/>
          <w:sz w:val="24"/>
          <w:szCs w:val="24"/>
          <w:highlight w:val="none"/>
        </w:rPr>
        <w:t>的全部内容作完整唯一总价报价；存在有选择、有条件报价的（招标文件允许有备选方案或者其他约定的除外）；</w:t>
      </w:r>
    </w:p>
    <w:p w14:paraId="1C88AF2E">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修正后的报价，投标人不确认的；</w:t>
      </w:r>
    </w:p>
    <w:p w14:paraId="34401DBB">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投标人属于本章第5.1条（2）或者第5.2条（2）项情形的；</w:t>
      </w:r>
    </w:p>
    <w:p w14:paraId="2B0E841C">
      <w:pPr>
        <w:pStyle w:val="9"/>
        <w:numPr>
          <w:ilvl w:val="0"/>
          <w:numId w:val="6"/>
        </w:numPr>
        <w:spacing w:line="360" w:lineRule="auto"/>
        <w:ind w:firstLine="422"/>
        <w:rPr>
          <w:rFonts w:hint="eastAsia" w:ascii="仿宋" w:hAnsi="仿宋" w:eastAsia="仿宋" w:cs="仿宋"/>
          <w:b/>
          <w:color w:val="auto"/>
          <w:sz w:val="24"/>
          <w:szCs w:val="24"/>
          <w:highlight w:val="none"/>
        </w:rPr>
      </w:pPr>
      <w:r>
        <w:rPr>
          <w:rFonts w:hint="eastAsia" w:ascii="仿宋" w:hAnsi="仿宋" w:eastAsia="仿宋" w:cs="仿宋"/>
          <w:b/>
          <w:color w:val="auto"/>
          <w:spacing w:val="-6"/>
          <w:sz w:val="24"/>
          <w:szCs w:val="24"/>
          <w:highlight w:val="none"/>
        </w:rPr>
        <w:t>报价文件</w:t>
      </w:r>
      <w:r>
        <w:rPr>
          <w:rFonts w:hint="eastAsia" w:ascii="仿宋" w:hAnsi="仿宋" w:eastAsia="仿宋" w:cs="仿宋"/>
          <w:b/>
          <w:color w:val="auto"/>
          <w:sz w:val="24"/>
          <w:szCs w:val="24"/>
          <w:highlight w:val="none"/>
        </w:rPr>
        <w:t>响应的标的数量及单位与招标文件要求实质性不一致的。</w:t>
      </w:r>
    </w:p>
    <w:p w14:paraId="483C467C">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2.2在商务评审时，如发现下列情形之一的，将被视为投标无效：</w:t>
      </w:r>
    </w:p>
    <w:p w14:paraId="51F360E4">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投标文件未按招标文件要求签署、盖章的；</w:t>
      </w:r>
    </w:p>
    <w:p w14:paraId="3E231814">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委托代理人未能出具有效身份证或者出具的身份证与授权委托书中的信息不符的；</w:t>
      </w:r>
    </w:p>
    <w:p w14:paraId="2C55471C">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为无效投标保证金的或者未按照招标文件的规定提交投标保证金的；</w:t>
      </w:r>
    </w:p>
    <w:p w14:paraId="5420AA7C">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投标文件未提供“投标人须知前附表”第13.1条规定中“必须提供”或者“委托时必须提供”的文件资料的；</w:t>
      </w:r>
    </w:p>
    <w:p w14:paraId="33FECE81">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商务要求评审允许负偏离的条款数超过“投标人须知前附表”规定项数的；</w:t>
      </w:r>
    </w:p>
    <w:p w14:paraId="7359CF2F">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投标文件的实质性内容未使用中文表述、使用计量单位不符合招标文件要求的；</w:t>
      </w:r>
    </w:p>
    <w:p w14:paraId="22406293">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投标文件中的文件资料因填写不齐全或者内容虚假或者出现其他情形而导致被评标委员会认定无效的；</w:t>
      </w:r>
    </w:p>
    <w:p w14:paraId="360CA868">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投标文件含有采购人不能接受的附加条件的；</w:t>
      </w:r>
    </w:p>
    <w:p w14:paraId="17AA55CF">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属于投标人须知正文第9.2条情形的；</w:t>
      </w:r>
    </w:p>
    <w:p w14:paraId="5C4ED1FA">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投标文件标注的项目名称或者项目编号与招标文件标注的项目名称或者项目编号不一致的；</w:t>
      </w:r>
    </w:p>
    <w:p w14:paraId="54EDBB26">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招标文件明确不允许分包，投标文件拟分包的；</w:t>
      </w:r>
    </w:p>
    <w:p w14:paraId="4B33B388">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未响应招标文件实质性要求的；</w:t>
      </w:r>
    </w:p>
    <w:p w14:paraId="613198E3">
      <w:pPr>
        <w:numPr>
          <w:ilvl w:val="0"/>
          <w:numId w:val="7"/>
        </w:numPr>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法律、法规和招标文件规定的其他无效情形。</w:t>
      </w:r>
    </w:p>
    <w:p w14:paraId="234BF24D">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2.3在技术评审时，如发现下列情形之一的，将被视为投标无效：</w:t>
      </w:r>
    </w:p>
    <w:p w14:paraId="70B82D4E">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（1）技术要求评审允许负偏离的条款数超过“投标人须知前附表”规定项数的；</w:t>
      </w:r>
    </w:p>
    <w:p w14:paraId="1052E811">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（2）投标文件未提供“投标人须知前附表”第13.1条规定中“必须提供”的文件资料的；</w:t>
      </w:r>
    </w:p>
    <w:p w14:paraId="741A3D75">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（3）虚假投标，或者出现其他情形而导致被评标委员会认定无效的；</w:t>
      </w:r>
    </w:p>
    <w:p w14:paraId="3D21A1A6">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（4）</w:t>
      </w:r>
      <w:bookmarkStart w:id="165" w:name="_Hlk71706244"/>
      <w:r>
        <w:rPr>
          <w:rFonts w:hint="eastAsia" w:ascii="仿宋" w:hAnsi="仿宋" w:eastAsia="仿宋" w:cs="仿宋"/>
          <w:b/>
          <w:color w:val="auto"/>
          <w:kern w:val="2"/>
          <w:sz w:val="24"/>
          <w:szCs w:val="24"/>
          <w:highlight w:val="none"/>
        </w:rPr>
        <w:t>招标文件未载明允许提供备选（替代）投标方案或明确不允许提供备选（替代）投标方案时，投标人提供了备选（替代）投标方案的；</w:t>
      </w:r>
      <w:bookmarkEnd w:id="165"/>
    </w:p>
    <w:p w14:paraId="0ED211C3">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（5）未响应招标文件实质性要求的。</w:t>
      </w:r>
    </w:p>
    <w:p w14:paraId="1E0122E1">
      <w:pPr>
        <w:pStyle w:val="20"/>
        <w:snapToGrid w:val="0"/>
        <w:spacing w:line="360" w:lineRule="auto"/>
        <w:ind w:firstLine="472" w:firstLineChars="196"/>
        <w:rPr>
          <w:rFonts w:hint="eastAsia" w:ascii="仿宋" w:hAnsi="仿宋" w:eastAsia="仿宋" w:cs="仿宋"/>
          <w:b/>
          <w:color w:val="auto"/>
          <w:kern w:val="2"/>
          <w:sz w:val="24"/>
          <w:szCs w:val="24"/>
          <w:highlight w:val="none"/>
        </w:rPr>
      </w:pPr>
      <w:r>
        <w:rPr>
          <w:rFonts w:hint="eastAsia" w:ascii="仿宋" w:hAnsi="仿宋" w:eastAsia="仿宋" w:cs="仿宋"/>
          <w:b/>
          <w:color w:val="auto"/>
          <w:kern w:val="2"/>
          <w:sz w:val="24"/>
          <w:szCs w:val="24"/>
          <w:highlight w:val="none"/>
        </w:rPr>
        <w:t>2.4通过符合性审查的投标人不足3家，评标委员会不得继续评标，并出具评标报告。</w:t>
      </w:r>
    </w:p>
    <w:p w14:paraId="21E66256">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3.澄清补正</w:t>
      </w:r>
    </w:p>
    <w:p w14:paraId="2EEA7B2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投标文件中含义不明确、同类问题表述不一致或者有明显文字和计算错误的内容，评标委员会以电子澄清函形式要求投标人在规定时间内作出必要的澄清、说明或者纠正。投标人的澄清、说明或者补正必须采用电子回函形式，并加盖投标人公章，或者由法定代表人或者其授权的代表签字。投标人的澄清、说明或者补正不得超出投标文件的范围或者改变投标文件的实质性内容。</w:t>
      </w:r>
    </w:p>
    <w:p w14:paraId="7ECF7F8E">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4.投标文件修正</w:t>
      </w:r>
    </w:p>
    <w:p w14:paraId="35BAE2A3">
      <w:pPr>
        <w:pStyle w:val="7"/>
        <w:keepNext w:val="0"/>
        <w:keepLines w:val="0"/>
        <w:spacing w:before="0" w:after="0" w:line="360" w:lineRule="auto"/>
        <w:ind w:left="420" w:leftChars="200"/>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4.1投标文件报价出现前后不一致的，按照下列规定修正： </w:t>
      </w:r>
    </w:p>
    <w:p w14:paraId="2973CF11">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（1）投标文件中开标一览表（报价表）内容与投标文件中相应内容不一致的，以开标一览表（报价表）为准；</w:t>
      </w:r>
    </w:p>
    <w:p w14:paraId="39DDC683">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（2）大写金额和小写金额不一致的，以大写金额为准；</w:t>
      </w:r>
    </w:p>
    <w:p w14:paraId="5956A70B">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（3）单价金额小数点或者百分比有明显错位的，以开标一览表的总价为准，并修改单价；</w:t>
      </w:r>
    </w:p>
    <w:p w14:paraId="5AC3B42F">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（4）总价金额与按单价汇总金额不一致的，以单价金额计算结果为准。</w:t>
      </w:r>
    </w:p>
    <w:p w14:paraId="69D754A0">
      <w:pPr>
        <w:pStyle w:val="28"/>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同时出现两种以上不一致的，按照以上（1）-（4）规定的顺序修正。修正后的报价经投标人确认后产生约束力，投标人不确认的，</w:t>
      </w:r>
      <w:r>
        <w:rPr>
          <w:rFonts w:hint="eastAsia" w:ascii="仿宋" w:hAnsi="仿宋" w:eastAsia="仿宋" w:cs="仿宋"/>
          <w:b/>
          <w:color w:val="auto"/>
          <w:kern w:val="2"/>
          <w:sz w:val="24"/>
          <w:szCs w:val="24"/>
          <w:highlight w:val="none"/>
        </w:rPr>
        <w:t>其投标无效</w:t>
      </w:r>
      <w:r>
        <w:rPr>
          <w:rFonts w:hint="eastAsia" w:ascii="仿宋" w:hAnsi="仿宋" w:eastAsia="仿宋" w:cs="仿宋"/>
          <w:color w:val="auto"/>
          <w:sz w:val="24"/>
          <w:szCs w:val="24"/>
          <w:highlight w:val="none"/>
        </w:rPr>
        <w:t>。</w:t>
      </w:r>
    </w:p>
    <w:p w14:paraId="3951C290">
      <w:pPr>
        <w:pStyle w:val="7"/>
        <w:keepNext w:val="0"/>
        <w:keepLines w:val="0"/>
        <w:spacing w:before="0" w:after="0" w:line="360" w:lineRule="auto"/>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 xml:space="preserve">    4.2经投标人确认修正后的报价若超过采购预算金额或者最高限价，</w:t>
      </w:r>
      <w:r>
        <w:rPr>
          <w:rFonts w:hint="eastAsia" w:ascii="仿宋" w:hAnsi="仿宋" w:eastAsia="仿宋" w:cs="仿宋"/>
          <w:color w:val="auto"/>
          <w:sz w:val="24"/>
          <w:highlight w:val="none"/>
        </w:rPr>
        <w:t>投标人的投标文件作无效投标处理</w:t>
      </w:r>
      <w:r>
        <w:rPr>
          <w:rFonts w:hint="eastAsia" w:ascii="仿宋" w:hAnsi="仿宋" w:eastAsia="仿宋" w:cs="仿宋"/>
          <w:b w:val="0"/>
          <w:color w:val="auto"/>
          <w:sz w:val="24"/>
          <w:highlight w:val="none"/>
        </w:rPr>
        <w:t>。</w:t>
      </w:r>
    </w:p>
    <w:p w14:paraId="33C1DA7F">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4.3经投标人确认修正后的报价作为签订合同的依据，并以此报价计算价格分。</w:t>
      </w:r>
    </w:p>
    <w:p w14:paraId="1265910B">
      <w:pPr>
        <w:pStyle w:val="7"/>
        <w:keepNext w:val="0"/>
        <w:keepLines w:val="0"/>
        <w:spacing w:before="0" w:after="0" w:line="360" w:lineRule="auto"/>
        <w:ind w:left="420" w:lef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5.比较与评价</w:t>
      </w:r>
    </w:p>
    <w:p w14:paraId="6E249CD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5.1评审方法：综合评分法</w:t>
      </w:r>
    </w:p>
    <w:p w14:paraId="147B602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（1）评标委员会按照招标文件中规定的评标方法及评标标准，对符合性审查合格的投标文件进行商务和技术评估，综合比较与评价。</w:t>
      </w:r>
    </w:p>
    <w:p w14:paraId="796EEF06">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（2）评标委员会独立对每个投标人的投标文件进行评价，并汇总每个投标人的得分。</w:t>
      </w:r>
    </w:p>
    <w:p w14:paraId="62E8EA5C">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仿宋" w:hAnsi="仿宋" w:eastAsia="仿宋" w:cs="仿宋"/>
          <w:b/>
          <w:color w:val="auto"/>
          <w:sz w:val="24"/>
          <w:highlight w:val="none"/>
        </w:rPr>
        <w:t>投标人不能证明其报价合理性的，评标委员会将其作为无效投标处理</w:t>
      </w:r>
      <w:r>
        <w:rPr>
          <w:rFonts w:hint="eastAsia" w:ascii="仿宋" w:hAnsi="仿宋" w:eastAsia="仿宋" w:cs="仿宋"/>
          <w:color w:val="auto"/>
          <w:sz w:val="24"/>
          <w:highlight w:val="none"/>
        </w:rPr>
        <w:t>。</w:t>
      </w:r>
    </w:p>
    <w:p w14:paraId="44AAA464">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（3）评标委员会按照招标文件中规定的评标方法和标准计算各投标人的报价得分。在计算过程中</w:t>
      </w:r>
      <w:r>
        <w:rPr>
          <w:rFonts w:hint="eastAsia" w:ascii="仿宋" w:hAnsi="仿宋" w:eastAsia="仿宋" w:cs="仿宋"/>
          <w:color w:val="auto"/>
          <w:sz w:val="24"/>
          <w:szCs w:val="24"/>
          <w:highlight w:val="none"/>
        </w:rPr>
        <w:t>，不得去掉最高报价或者最低报价。</w:t>
      </w:r>
    </w:p>
    <w:p w14:paraId="43FC739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根据《关于推动解决政府采购异常低价问题的通知》（财库〔2026〕2号）的规定，评审中出现下列情形之一的，</w:t>
      </w:r>
      <w:r>
        <w:rPr>
          <w:rFonts w:hint="eastAsia" w:ascii="仿宋" w:hAnsi="仿宋" w:eastAsia="仿宋" w:cs="仿宋"/>
          <w:color w:val="auto"/>
          <w:sz w:val="24"/>
          <w:szCs w:val="24"/>
          <w:highlight w:val="none"/>
          <w:lang w:val="en-US" w:eastAsia="zh-CN"/>
        </w:rPr>
        <w:t>评标委员会</w:t>
      </w:r>
      <w:r>
        <w:rPr>
          <w:rFonts w:hint="eastAsia" w:ascii="仿宋" w:hAnsi="仿宋" w:eastAsia="仿宋" w:cs="仿宋"/>
          <w:color w:val="auto"/>
          <w:sz w:val="24"/>
          <w:szCs w:val="24"/>
          <w:highlight w:val="none"/>
        </w:rPr>
        <w:t>应当启动异常低价投标审查程序：</w:t>
      </w:r>
    </w:p>
    <w:p w14:paraId="6C1A562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 1 \* GB3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①</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 xml:space="preserve"> 投标报价低于全部通过符合性审查供应商投标报价平均值</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rPr>
        <w:t>%的，</w:t>
      </w:r>
      <w:r>
        <w:rPr>
          <w:rFonts w:hint="eastAsia" w:ascii="仿宋" w:hAnsi="仿宋" w:eastAsia="仿宋" w:cs="仿宋"/>
          <w:b/>
          <w:color w:val="auto"/>
          <w:sz w:val="24"/>
          <w:szCs w:val="24"/>
          <w:highlight w:val="none"/>
        </w:rPr>
        <w:t>即投标报价＜全部通过符合性审查供应商投标报价平均值×</w:t>
      </w: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0%</w:t>
      </w:r>
      <w:r>
        <w:rPr>
          <w:rFonts w:hint="eastAsia" w:ascii="仿宋" w:hAnsi="仿宋" w:eastAsia="仿宋" w:cs="仿宋"/>
          <w:color w:val="auto"/>
          <w:sz w:val="24"/>
          <w:szCs w:val="24"/>
          <w:highlight w:val="none"/>
        </w:rPr>
        <w:t>；</w:t>
      </w:r>
    </w:p>
    <w:p w14:paraId="292BB59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 2 \* GB3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②</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投标报价低于通过符合性审查的次低报价供应商投标报价</w:t>
      </w:r>
      <w:r>
        <w:rPr>
          <w:rFonts w:hint="eastAsia" w:ascii="仿宋" w:hAnsi="仿宋" w:eastAsia="仿宋" w:cs="仿宋"/>
          <w:color w:val="auto"/>
          <w:sz w:val="24"/>
          <w:szCs w:val="24"/>
          <w:highlight w:val="none"/>
          <w:lang w:val="en-US" w:eastAsia="zh-CN"/>
        </w:rPr>
        <w:t>60</w:t>
      </w:r>
      <w:r>
        <w:rPr>
          <w:rFonts w:hint="eastAsia" w:ascii="仿宋" w:hAnsi="仿宋" w:eastAsia="仿宋" w:cs="仿宋"/>
          <w:color w:val="auto"/>
          <w:sz w:val="24"/>
          <w:szCs w:val="24"/>
          <w:highlight w:val="none"/>
        </w:rPr>
        <w:t>%的，</w:t>
      </w:r>
      <w:r>
        <w:rPr>
          <w:rFonts w:hint="eastAsia" w:ascii="仿宋" w:hAnsi="仿宋" w:eastAsia="仿宋" w:cs="仿宋"/>
          <w:b/>
          <w:color w:val="auto"/>
          <w:sz w:val="24"/>
          <w:szCs w:val="24"/>
          <w:highlight w:val="none"/>
        </w:rPr>
        <w:t>即投标报价＜通过符合性审查的次低报价供应商投标报价×</w:t>
      </w: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0%</w:t>
      </w:r>
      <w:r>
        <w:rPr>
          <w:rFonts w:hint="eastAsia" w:ascii="仿宋" w:hAnsi="仿宋" w:eastAsia="仿宋" w:cs="仿宋"/>
          <w:color w:val="auto"/>
          <w:sz w:val="24"/>
          <w:szCs w:val="24"/>
          <w:highlight w:val="none"/>
        </w:rPr>
        <w:t>；</w:t>
      </w:r>
    </w:p>
    <w:p w14:paraId="0031D4A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 3 \* GB3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③</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投标报价低于采购项目最高限价</w:t>
      </w:r>
      <w:r>
        <w:rPr>
          <w:rFonts w:hint="eastAsia" w:ascii="仿宋" w:hAnsi="仿宋" w:eastAsia="仿宋" w:cs="仿宋"/>
          <w:color w:val="auto"/>
          <w:sz w:val="24"/>
          <w:szCs w:val="24"/>
          <w:highlight w:val="none"/>
          <w:lang w:val="en-US" w:eastAsia="zh-CN"/>
        </w:rPr>
        <w:t>55</w:t>
      </w:r>
      <w:r>
        <w:rPr>
          <w:rFonts w:hint="eastAsia" w:ascii="仿宋" w:hAnsi="仿宋" w:eastAsia="仿宋" w:cs="仿宋"/>
          <w:color w:val="auto"/>
          <w:sz w:val="24"/>
          <w:szCs w:val="24"/>
          <w:highlight w:val="none"/>
        </w:rPr>
        <w:t>%的，</w:t>
      </w:r>
      <w:r>
        <w:rPr>
          <w:rFonts w:hint="eastAsia" w:ascii="仿宋" w:hAnsi="仿宋" w:eastAsia="仿宋" w:cs="仿宋"/>
          <w:b/>
          <w:color w:val="auto"/>
          <w:sz w:val="24"/>
          <w:szCs w:val="24"/>
          <w:highlight w:val="none"/>
        </w:rPr>
        <w:t>即投标报价＜采购项目最高限价×</w:t>
      </w:r>
      <w:r>
        <w:rPr>
          <w:rFonts w:hint="eastAsia" w:ascii="仿宋" w:hAnsi="仿宋" w:eastAsia="仿宋" w:cs="仿宋"/>
          <w:b/>
          <w:color w:val="auto"/>
          <w:sz w:val="24"/>
          <w:szCs w:val="24"/>
          <w:highlight w:val="none"/>
          <w:lang w:val="en-US" w:eastAsia="zh-CN"/>
        </w:rPr>
        <w:t>55</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w:t>
      </w:r>
    </w:p>
    <w:p w14:paraId="045A5EE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 4 \* GB3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④</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lang w:eastAsia="zh-CN"/>
        </w:rPr>
        <w:t>评标委员会</w:t>
      </w:r>
      <w:r>
        <w:rPr>
          <w:rFonts w:hint="eastAsia" w:ascii="仿宋" w:hAnsi="仿宋" w:eastAsia="仿宋" w:cs="仿宋"/>
          <w:color w:val="auto"/>
          <w:sz w:val="24"/>
          <w:szCs w:val="24"/>
          <w:highlight w:val="none"/>
        </w:rPr>
        <w:t>基于专业判断，认为供应商报价过低，有可能影响产品质量或者不能诚信履约的其他情形。</w:t>
      </w:r>
    </w:p>
    <w:p w14:paraId="55FDE1A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评标委员会</w:t>
      </w:r>
      <w:r>
        <w:rPr>
          <w:rFonts w:hint="eastAsia" w:ascii="仿宋" w:hAnsi="仿宋" w:eastAsia="仿宋" w:cs="仿宋"/>
          <w:color w:val="auto"/>
          <w:sz w:val="24"/>
          <w:szCs w:val="24"/>
          <w:highlight w:val="none"/>
        </w:rPr>
        <w:t>启动异常低价投标审查后，属于前述第1项至第4项情形的，应当要求相关供应商在评审现场</w:t>
      </w:r>
      <w:r>
        <w:rPr>
          <w:rFonts w:hint="eastAsia" w:ascii="仿宋" w:hAnsi="仿宋" w:eastAsia="仿宋" w:cs="仿宋"/>
          <w:b/>
          <w:color w:val="auto"/>
          <w:sz w:val="24"/>
          <w:szCs w:val="24"/>
          <w:highlight w:val="none"/>
        </w:rPr>
        <w:t>30分钟</w:t>
      </w:r>
      <w:r>
        <w:rPr>
          <w:rFonts w:hint="eastAsia" w:ascii="仿宋" w:hAnsi="仿宋" w:eastAsia="仿宋" w:cs="仿宋"/>
          <w:color w:val="auto"/>
          <w:sz w:val="24"/>
          <w:szCs w:val="24"/>
          <w:highlight w:val="none"/>
        </w:rPr>
        <w:t>内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720D9AE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评标委员会</w:t>
      </w:r>
      <w:r>
        <w:rPr>
          <w:rFonts w:hint="eastAsia" w:ascii="仿宋" w:hAnsi="仿宋" w:eastAsia="仿宋" w:cs="仿宋"/>
          <w:color w:val="auto"/>
          <w:sz w:val="24"/>
          <w:szCs w:val="24"/>
          <w:highlight w:val="none"/>
        </w:rPr>
        <w:t>依据专业经验，参考同类项目中标价格、类似产品市场价格水平、行业人工费用标准、国家有关部门指导行业协会发布的行业平均成本等情况，对报价合理性进行判断。</w:t>
      </w:r>
      <w:r>
        <w:rPr>
          <w:rFonts w:hint="eastAsia" w:ascii="仿宋" w:hAnsi="仿宋" w:eastAsia="仿宋" w:cs="仿宋"/>
          <w:b/>
          <w:color w:val="auto"/>
          <w:sz w:val="24"/>
          <w:szCs w:val="24"/>
          <w:highlight w:val="none"/>
        </w:rPr>
        <w:t>供应商在规定时间内不能提供书面说明、证明材料，或者提供的书面说明、证明材料不能证明其报价合理性的，</w:t>
      </w:r>
      <w:r>
        <w:rPr>
          <w:rFonts w:hint="eastAsia" w:ascii="仿宋" w:hAnsi="仿宋" w:eastAsia="仿宋" w:cs="仿宋"/>
          <w:b/>
          <w:color w:val="auto"/>
          <w:sz w:val="24"/>
          <w:szCs w:val="24"/>
          <w:highlight w:val="none"/>
          <w:lang w:eastAsia="zh-CN"/>
        </w:rPr>
        <w:t>评标委员会</w:t>
      </w:r>
      <w:r>
        <w:rPr>
          <w:rFonts w:hint="eastAsia" w:ascii="仿宋" w:hAnsi="仿宋" w:eastAsia="仿宋" w:cs="仿宋"/>
          <w:b/>
          <w:color w:val="auto"/>
          <w:sz w:val="24"/>
          <w:szCs w:val="24"/>
          <w:highlight w:val="none"/>
        </w:rPr>
        <w:t>应当将其作为无效响应处理。</w:t>
      </w:r>
    </w:p>
    <w:p w14:paraId="7107EC57">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（4）各投标人的得分为所有评委的有效评分的算术平均数。</w:t>
      </w:r>
    </w:p>
    <w:p w14:paraId="7BB27A8B">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（5）评标委员会按照招标文件中的规定推荐中标候选人。</w:t>
      </w:r>
    </w:p>
    <w:p w14:paraId="6E8C7854">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7AC64E7">
      <w:pPr>
        <w:snapToGrid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b/>
          <w:bCs/>
          <w:color w:val="auto"/>
          <w:sz w:val="32"/>
          <w:szCs w:val="32"/>
          <w:highlight w:val="none"/>
        </w:rPr>
        <w:t>三、评标标准</w:t>
      </w:r>
    </w:p>
    <w:p w14:paraId="54F560A9">
      <w:pPr>
        <w:pStyle w:val="5"/>
        <w:keepNext w:val="0"/>
        <w:keepLines w:val="0"/>
        <w:spacing w:before="0" w:after="0"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综合评分法</w:t>
      </w:r>
    </w:p>
    <w:p w14:paraId="2BC6F57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p>
    <w:tbl>
      <w:tblPr>
        <w:tblStyle w:val="52"/>
        <w:tblW w:w="10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305"/>
        <w:gridCol w:w="1191"/>
        <w:gridCol w:w="6896"/>
      </w:tblGrid>
      <w:tr w14:paraId="6EE1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noWrap w:val="0"/>
            <w:vAlign w:val="center"/>
          </w:tcPr>
          <w:p w14:paraId="559AD6C0">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序号</w:t>
            </w:r>
          </w:p>
        </w:tc>
        <w:tc>
          <w:tcPr>
            <w:tcW w:w="1305" w:type="dxa"/>
            <w:noWrap w:val="0"/>
            <w:vAlign w:val="center"/>
          </w:tcPr>
          <w:p w14:paraId="2ABAF7FF">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评审因素</w:t>
            </w:r>
          </w:p>
        </w:tc>
        <w:tc>
          <w:tcPr>
            <w:tcW w:w="8087" w:type="dxa"/>
            <w:gridSpan w:val="2"/>
            <w:noWrap w:val="0"/>
            <w:vAlign w:val="center"/>
          </w:tcPr>
          <w:p w14:paraId="445B298D">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评标标准</w:t>
            </w:r>
          </w:p>
        </w:tc>
      </w:tr>
      <w:tr w14:paraId="7413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0" w:hRule="atLeast"/>
          <w:jc w:val="center"/>
        </w:trPr>
        <w:tc>
          <w:tcPr>
            <w:tcW w:w="669" w:type="dxa"/>
            <w:noWrap w:val="0"/>
            <w:vAlign w:val="center"/>
          </w:tcPr>
          <w:p w14:paraId="033C09E9">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rPr>
              <w:t>1</w:t>
            </w:r>
          </w:p>
        </w:tc>
        <w:tc>
          <w:tcPr>
            <w:tcW w:w="1305" w:type="dxa"/>
            <w:noWrap w:val="0"/>
            <w:vAlign w:val="center"/>
          </w:tcPr>
          <w:p w14:paraId="1A6E0CCF">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价格分（满分30分）</w:t>
            </w:r>
          </w:p>
          <w:p w14:paraId="671A1E55">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p>
        </w:tc>
        <w:tc>
          <w:tcPr>
            <w:tcW w:w="8087" w:type="dxa"/>
            <w:gridSpan w:val="2"/>
            <w:noWrap w:val="0"/>
            <w:vAlign w:val="center"/>
          </w:tcPr>
          <w:p w14:paraId="192767A7">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（1）评标报价为投标人的投标报价进行政策性扣除后的价格，评标报价只是作为评标时使用。最终中标人的中标金额等于投标报价。</w:t>
            </w:r>
          </w:p>
          <w:p w14:paraId="392798A0">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按照《政府采购促进中小企业发展暂行办法》（财库[2011]181号）的规定，投标人为小型和微型企业，并在其投标文件中提供《中小企业声明函》，且其所投标产品全部为小型和微型企业产品的，对其投标价格给予10%的扣除。</w:t>
            </w:r>
          </w:p>
          <w:p w14:paraId="4E0A5302">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3AB91F0">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9245685">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（5）政策性扣除计算方法。</w:t>
            </w:r>
          </w:p>
          <w:p w14:paraId="76EBF1C8">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被评定为监狱企业或者残疾人福利性单位或者小型和微型企业且其所投标全部产品为小型和微型企业产品的，该投标人的投标报价给予10%的扣除，扣除后的价格为评标报价，即评标报价=投标报价×（1-10%）； 大中型企业和其他自然人、法人或者其他组织与小型、微型企业组成联合体投标，且联合体协议中约定小型、微型企业的协议合同金额占到联合体协议合同总金额30%以上的，联合体投标价给予3%的扣除，扣除后的价格为评标价，即评标报价=投标报价×（1-3%）；除上述情况外，评标报价=投标报价。</w:t>
            </w:r>
          </w:p>
          <w:p w14:paraId="49163FBC">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31" w:firstLineChars="13"/>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US"/>
              </w:rPr>
              <w:t>）本国产品政策性扣除计算方法。</w:t>
            </w:r>
          </w:p>
          <w:p w14:paraId="7AACF591">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31" w:firstLineChars="13"/>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0E67B2F">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31" w:firstLineChars="13"/>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3022AD8">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31" w:firstLineChars="13"/>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供应商在其投标文件中提供《关于符合本国产品标准的声明函》或财政部会同有关部门规定的有关证明文件，出具符合要求的《声明函》或有关证明文件的，该产品视为本国产品。</w:t>
            </w:r>
          </w:p>
          <w:p w14:paraId="55CB0A2C">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firstLine="31" w:firstLineChars="13"/>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如果所有参与竞争的供应商均可享受本国产品价格评审优惠，则统一不进行价格扣除。</w:t>
            </w:r>
          </w:p>
          <w:p w14:paraId="5796EA11">
            <w:pPr>
              <w:pStyle w:val="28"/>
              <w:keepNext w:val="0"/>
              <w:keepLines w:val="0"/>
              <w:pageBreakBefore w:val="0"/>
              <w:widowControl w:val="0"/>
              <w:kinsoku/>
              <w:wordWrap/>
              <w:overflowPunct/>
              <w:topLinePunct w:val="0"/>
              <w:autoSpaceDE/>
              <w:autoSpaceDN/>
              <w:bidi w:val="0"/>
              <w:adjustRightInd/>
              <w:snapToGrid/>
              <w:spacing w:line="400" w:lineRule="exact"/>
              <w:ind w:left="105" w:leftChars="50" w:right="105" w:righ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en-US"/>
              </w:rPr>
              <w:t>）中小企业折扣与本国产品折扣进行叠加计算，用扣除后的价格参加评审。即评标报价=投标报价-中小企业折扣-本国产品折扣，除上述情况外，评标报价=投标报价。</w:t>
            </w:r>
          </w:p>
          <w:p w14:paraId="0EF73FDB">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）满足招标文件要求且评标报价最低的评标报价为评标基准价，基准价报价得分为 30 分。</w:t>
            </w:r>
          </w:p>
          <w:p w14:paraId="0302BFFB">
            <w:pPr>
              <w:keepNext w:val="0"/>
              <w:keepLines w:val="0"/>
              <w:pageBreakBefore w:val="0"/>
              <w:widowControl w:val="0"/>
              <w:kinsoku/>
              <w:wordWrap/>
              <w:overflowPunct/>
              <w:topLinePunct w:val="0"/>
              <w:autoSpaceDE/>
              <w:autoSpaceDN/>
              <w:bidi w:val="0"/>
              <w:adjustRightInd/>
              <w:snapToGrid/>
              <w:spacing w:line="400" w:lineRule="exact"/>
              <w:ind w:left="105" w:leftChars="5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）价格分计算公式：价格分= (评标基准价／评标报价)×30分</w:t>
            </w:r>
          </w:p>
          <w:p w14:paraId="21A056BA">
            <w:pPr>
              <w:keepNext w:val="0"/>
              <w:keepLines w:val="0"/>
              <w:pageBreakBefore w:val="0"/>
              <w:widowControl w:val="0"/>
              <w:kinsoku/>
              <w:wordWrap/>
              <w:overflowPunct/>
              <w:topLinePunct w:val="0"/>
              <w:autoSpaceDE/>
              <w:autoSpaceDN/>
              <w:bidi w:val="0"/>
              <w:adjustRightInd/>
              <w:snapToGrid/>
              <w:spacing w:line="400" w:lineRule="exact"/>
              <w:ind w:left="105" w:leftChars="50"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ascii="仿宋" w:hAnsi="仿宋" w:eastAsia="仿宋" w:cs="仿宋"/>
                <w:bCs/>
                <w:color w:val="auto"/>
                <w:sz w:val="24"/>
                <w:szCs w:val="24"/>
                <w:highlight w:val="none"/>
              </w:rPr>
              <w:t xml:space="preserve">       </w:t>
            </w:r>
          </w:p>
        </w:tc>
      </w:tr>
      <w:tr w14:paraId="4209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669" w:type="dxa"/>
            <w:noWrap w:val="0"/>
            <w:vAlign w:val="center"/>
          </w:tcPr>
          <w:p w14:paraId="4B2DC96D">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p>
          <w:p w14:paraId="1E39ADC1">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p>
          <w:p w14:paraId="598E316D">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p>
          <w:p w14:paraId="4B802A77">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kern w:val="0"/>
                <w:sz w:val="24"/>
                <w:szCs w:val="24"/>
                <w:highlight w:val="none"/>
              </w:rPr>
            </w:pPr>
          </w:p>
          <w:p w14:paraId="23B8FFAE">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kern w:val="0"/>
                <w:sz w:val="24"/>
                <w:szCs w:val="24"/>
                <w:highlight w:val="none"/>
              </w:rPr>
            </w:pPr>
          </w:p>
        </w:tc>
        <w:tc>
          <w:tcPr>
            <w:tcW w:w="1305" w:type="dxa"/>
            <w:noWrap w:val="0"/>
            <w:vAlign w:val="center"/>
          </w:tcPr>
          <w:p w14:paraId="52A69EE7">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技术分（满分66分）</w:t>
            </w:r>
          </w:p>
        </w:tc>
        <w:tc>
          <w:tcPr>
            <w:tcW w:w="1191" w:type="dxa"/>
            <w:noWrap w:val="0"/>
            <w:vAlign w:val="center"/>
          </w:tcPr>
          <w:p w14:paraId="24023337">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rPr>
              <w:t>技术性能分（满分</w:t>
            </w:r>
            <w:r>
              <w:rPr>
                <w:rFonts w:hint="eastAsia" w:ascii="仿宋" w:hAnsi="仿宋" w:eastAsia="仿宋" w:cs="仿宋"/>
                <w:bCs/>
                <w:color w:val="auto"/>
                <w:sz w:val="24"/>
                <w:szCs w:val="24"/>
                <w:highlight w:val="none"/>
                <w:lang w:val="en-US" w:eastAsia="zh-CN"/>
              </w:rPr>
              <w:t>42</w:t>
            </w:r>
            <w:r>
              <w:rPr>
                <w:rFonts w:hint="eastAsia" w:ascii="仿宋" w:hAnsi="仿宋" w:eastAsia="仿宋" w:cs="仿宋"/>
                <w:bCs/>
                <w:color w:val="auto"/>
                <w:sz w:val="24"/>
                <w:szCs w:val="24"/>
                <w:highlight w:val="none"/>
              </w:rPr>
              <w:t>分）</w:t>
            </w:r>
          </w:p>
        </w:tc>
        <w:tc>
          <w:tcPr>
            <w:tcW w:w="6896" w:type="dxa"/>
            <w:noWrap w:val="0"/>
            <w:vAlign w:val="center"/>
          </w:tcPr>
          <w:p w14:paraId="49E80B2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评委根据招标文件要求，对满足招标文件全部实质性要求进入详评的各投标人投标文件“设备技术偏离表”的响应情况进行独立评审，并按如下计分方式确定得分：</w:t>
            </w:r>
          </w:p>
          <w:p w14:paraId="6EC6370C">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基本分：技术参数完全满足招标文件，即得基本分</w:t>
            </w:r>
            <w:r>
              <w:rPr>
                <w:rFonts w:hint="eastAsia" w:ascii="仿宋" w:hAnsi="仿宋" w:eastAsia="仿宋" w:cs="仿宋"/>
                <w:color w:val="auto"/>
                <w:sz w:val="24"/>
                <w:szCs w:val="24"/>
                <w:highlight w:val="none"/>
                <w:lang w:val="en-US" w:eastAsia="zh-CN"/>
              </w:rPr>
              <w:t>42</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eastAsia="zh-CN"/>
              </w:rPr>
              <w:t>。</w:t>
            </w:r>
          </w:p>
          <w:p w14:paraId="7CEFF4C9">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2.重要技术参数（标注</w:t>
            </w:r>
            <w:r>
              <w:rPr>
                <w:rFonts w:hint="eastAsia" w:ascii="仿宋" w:hAnsi="仿宋" w:eastAsia="仿宋" w:cs="仿宋"/>
                <w:bCs/>
                <w:color w:val="auto"/>
                <w:sz w:val="24"/>
                <w:szCs w:val="24"/>
                <w:highlight w:val="none"/>
              </w:rPr>
              <w:t>“</w:t>
            </w: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lang w:val="en-US" w:eastAsia="zh-CN"/>
              </w:rPr>
              <w:t>号的参数，共8项）每有一项负偏离或漏项扣4分，扣完32分。</w:t>
            </w:r>
          </w:p>
          <w:p w14:paraId="194C023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3.一般参数（未标注</w:t>
            </w:r>
            <w:r>
              <w:rPr>
                <w:rFonts w:hint="eastAsia" w:ascii="仿宋" w:hAnsi="仿宋" w:eastAsia="仿宋" w:cs="仿宋"/>
                <w:bCs/>
                <w:color w:val="auto"/>
                <w:sz w:val="24"/>
                <w:szCs w:val="24"/>
                <w:highlight w:val="none"/>
              </w:rPr>
              <w:t>“</w:t>
            </w:r>
            <w:r>
              <w:rPr>
                <w:rFonts w:hint="eastAsia" w:ascii="仿宋" w:hAnsi="仿宋" w:eastAsia="仿宋" w:cs="仿宋"/>
                <w:b/>
                <w:bCs/>
                <w:color w:val="auto"/>
                <w:kern w:val="0"/>
                <w:sz w:val="24"/>
                <w:szCs w:val="24"/>
                <w:highlight w:val="none"/>
              </w:rPr>
              <w:t>▲</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lang w:val="en-US" w:eastAsia="zh-CN"/>
              </w:rPr>
              <w:t>号和未标注</w:t>
            </w:r>
            <w:r>
              <w:rPr>
                <w:rFonts w:hint="eastAsia" w:ascii="仿宋" w:hAnsi="仿宋" w:eastAsia="仿宋" w:cs="仿宋"/>
                <w:bCs/>
                <w:color w:val="auto"/>
                <w:sz w:val="24"/>
                <w:szCs w:val="24"/>
                <w:highlight w:val="none"/>
              </w:rPr>
              <w:t>“</w:t>
            </w: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rPr>
              <w:t>”</w:t>
            </w:r>
            <w:r>
              <w:rPr>
                <w:rFonts w:hint="eastAsia" w:ascii="仿宋" w:hAnsi="仿宋" w:eastAsia="仿宋" w:cs="仿宋"/>
                <w:color w:val="auto"/>
                <w:sz w:val="24"/>
                <w:szCs w:val="24"/>
                <w:highlight w:val="none"/>
                <w:lang w:val="en-US" w:eastAsia="zh-CN"/>
              </w:rPr>
              <w:t>号的参数）每有一项负偏离或漏项扣1分，扣完10分为止。</w:t>
            </w:r>
          </w:p>
          <w:p w14:paraId="64D1FF02">
            <w:pPr>
              <w:pStyle w:val="28"/>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注：1.</w:t>
            </w:r>
            <w:r>
              <w:rPr>
                <w:rFonts w:hint="eastAsia" w:ascii="仿宋" w:hAnsi="仿宋" w:eastAsia="仿宋" w:cs="仿宋"/>
                <w:bCs/>
                <w:color w:val="auto"/>
                <w:sz w:val="24"/>
                <w:szCs w:val="24"/>
                <w:highlight w:val="none"/>
              </w:rPr>
              <w:t>标注“</w:t>
            </w:r>
            <w:r>
              <w:rPr>
                <w:rFonts w:hint="eastAsia" w:ascii="仿宋" w:hAnsi="仿宋" w:eastAsia="仿宋" w:cs="仿宋"/>
                <w:b/>
                <w:bCs/>
                <w:color w:val="auto"/>
                <w:kern w:val="0"/>
                <w:sz w:val="24"/>
                <w:szCs w:val="24"/>
                <w:highlight w:val="none"/>
              </w:rPr>
              <w:t>▲</w:t>
            </w:r>
            <w:r>
              <w:rPr>
                <w:rFonts w:hint="eastAsia" w:ascii="仿宋" w:hAnsi="仿宋" w:eastAsia="仿宋" w:cs="仿宋"/>
                <w:bCs/>
                <w:color w:val="auto"/>
                <w:sz w:val="24"/>
                <w:szCs w:val="24"/>
                <w:highlight w:val="none"/>
              </w:rPr>
              <w:t>”的条款或要求系指实质性条款或实质性要求，必须满足，如存在负偏离将导致响应被否决。</w:t>
            </w:r>
          </w:p>
        </w:tc>
      </w:tr>
      <w:tr w14:paraId="40E4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69" w:type="dxa"/>
            <w:vMerge w:val="restart"/>
            <w:noWrap w:val="0"/>
            <w:vAlign w:val="center"/>
          </w:tcPr>
          <w:p w14:paraId="31775424">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kern w:val="0"/>
                <w:sz w:val="24"/>
                <w:szCs w:val="24"/>
                <w:highlight w:val="none"/>
              </w:rPr>
            </w:pPr>
          </w:p>
        </w:tc>
        <w:tc>
          <w:tcPr>
            <w:tcW w:w="1305" w:type="dxa"/>
            <w:vMerge w:val="restart"/>
            <w:noWrap w:val="0"/>
            <w:vAlign w:val="center"/>
          </w:tcPr>
          <w:p w14:paraId="127EFBD2">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lang w:val="en-US" w:eastAsia="zh-CN"/>
              </w:rPr>
            </w:pPr>
          </w:p>
        </w:tc>
        <w:tc>
          <w:tcPr>
            <w:tcW w:w="1191" w:type="dxa"/>
            <w:noWrap w:val="0"/>
            <w:vAlign w:val="center"/>
          </w:tcPr>
          <w:p w14:paraId="269EA863">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售后服务分（满分1</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分）</w:t>
            </w:r>
          </w:p>
        </w:tc>
        <w:tc>
          <w:tcPr>
            <w:tcW w:w="6896" w:type="dxa"/>
            <w:noWrap w:val="0"/>
            <w:vAlign w:val="center"/>
          </w:tcPr>
          <w:p w14:paraId="5FEC9919">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评委对供应商提供的售后服务方案（包括但不仅限于：</w:t>
            </w:r>
            <w:r>
              <w:rPr>
                <w:rFonts w:hint="eastAsia" w:ascii="仿宋" w:hAnsi="仿宋" w:eastAsia="仿宋" w:cs="仿宋"/>
                <w:b w:val="0"/>
                <w:bCs w:val="0"/>
                <w:color w:val="auto"/>
                <w:sz w:val="24"/>
                <w:szCs w:val="24"/>
                <w:highlight w:val="none"/>
              </w:rPr>
              <w:t>①售后服务保障措施；②培训方案；③紧急故障处理方案及安全保障方案；④其他实质性服务或优惠措施等</w:t>
            </w:r>
            <w:r>
              <w:rPr>
                <w:rFonts w:hint="eastAsia" w:ascii="仿宋" w:hAnsi="仿宋" w:eastAsia="仿宋" w:cs="仿宋"/>
                <w:color w:val="auto"/>
                <w:sz w:val="24"/>
                <w:szCs w:val="24"/>
                <w:highlight w:val="none"/>
              </w:rPr>
              <w:t>）内进行独立评审并按以下规则独立打分</w:t>
            </w:r>
            <w:r>
              <w:rPr>
                <w:rFonts w:hint="eastAsia" w:ascii="仿宋" w:hAnsi="仿宋" w:eastAsia="仿宋" w:cs="仿宋"/>
                <w:bCs/>
                <w:color w:val="auto"/>
                <w:sz w:val="24"/>
                <w:szCs w:val="24"/>
                <w:highlight w:val="none"/>
              </w:rPr>
              <w:t>（投标人所提供的方案不能完全满足某一档次全部要求的，不予进入该档评分）</w:t>
            </w:r>
            <w:r>
              <w:rPr>
                <w:rFonts w:hint="eastAsia" w:ascii="仿宋" w:hAnsi="仿宋" w:eastAsia="仿宋" w:cs="仿宋"/>
                <w:color w:val="auto"/>
                <w:sz w:val="24"/>
                <w:szCs w:val="24"/>
                <w:highlight w:val="none"/>
              </w:rPr>
              <w:t>：</w:t>
            </w:r>
          </w:p>
          <w:p w14:paraId="61EAFDA4">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一档（0分）：未提供方案或方案不合格的。</w:t>
            </w:r>
          </w:p>
          <w:p w14:paraId="4B446482">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二档（</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分）：售后服务方案内容齐全，4项评审内容有1项经评审具有针对性、可操作性、且内容科学合理；</w:t>
            </w:r>
          </w:p>
          <w:p w14:paraId="3196DAF1">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三档（</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分）：售后服务方案内容齐全，4项评审内容有2项经评审具有针对性、可操作性、且内容科学合理；</w:t>
            </w:r>
          </w:p>
          <w:p w14:paraId="7A5FC61C">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四档（</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分）：售后服务方案内容齐全，4项评审内容有3项经评审具有针对性、可操作性、且内容科学合理；</w:t>
            </w:r>
          </w:p>
          <w:p w14:paraId="5BFAFB33">
            <w:pPr>
              <w:pStyle w:val="146"/>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五档（1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分）：售后服务方案内容齐全，4项评审内容经评审均具有针对性、可操作性、且内容科学合理。</w:t>
            </w:r>
          </w:p>
        </w:tc>
      </w:tr>
      <w:tr w14:paraId="7345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669" w:type="dxa"/>
            <w:vMerge w:val="continue"/>
            <w:noWrap w:val="0"/>
            <w:vAlign w:val="center"/>
          </w:tcPr>
          <w:p w14:paraId="286FC0EC">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bCs/>
                <w:color w:val="auto"/>
                <w:kern w:val="0"/>
                <w:sz w:val="24"/>
                <w:szCs w:val="24"/>
                <w:highlight w:val="none"/>
              </w:rPr>
            </w:pPr>
          </w:p>
        </w:tc>
        <w:tc>
          <w:tcPr>
            <w:tcW w:w="1305" w:type="dxa"/>
            <w:vMerge w:val="continue"/>
            <w:noWrap w:val="0"/>
            <w:vAlign w:val="center"/>
          </w:tcPr>
          <w:p w14:paraId="42094B40">
            <w:pPr>
              <w:keepNext w:val="0"/>
              <w:keepLines w:val="0"/>
              <w:pageBreakBefore w:val="0"/>
              <w:kinsoku/>
              <w:wordWrap/>
              <w:overflowPunct/>
              <w:topLinePunct w:val="0"/>
              <w:autoSpaceDE/>
              <w:autoSpaceDN/>
              <w:bidi w:val="0"/>
              <w:adjustRightInd/>
              <w:snapToGrid/>
              <w:spacing w:line="400" w:lineRule="exact"/>
              <w:jc w:val="left"/>
              <w:textAlignment w:val="baseline"/>
              <w:rPr>
                <w:rFonts w:hint="eastAsia" w:ascii="仿宋" w:hAnsi="仿宋" w:eastAsia="仿宋" w:cs="仿宋"/>
                <w:bCs/>
                <w:color w:val="auto"/>
                <w:sz w:val="24"/>
                <w:szCs w:val="24"/>
                <w:highlight w:val="none"/>
              </w:rPr>
            </w:pPr>
          </w:p>
        </w:tc>
        <w:tc>
          <w:tcPr>
            <w:tcW w:w="1191" w:type="dxa"/>
            <w:noWrap w:val="0"/>
            <w:vAlign w:val="center"/>
          </w:tcPr>
          <w:p w14:paraId="2D3F091A">
            <w:pPr>
              <w:keepNext w:val="0"/>
              <w:keepLines w:val="0"/>
              <w:pageBreakBefore w:val="0"/>
              <w:kinsoku/>
              <w:wordWrap/>
              <w:overflowPunct/>
              <w:topLinePunct w:val="0"/>
              <w:autoSpaceDE/>
              <w:autoSpaceDN/>
              <w:bidi w:val="0"/>
              <w:adjustRightInd/>
              <w:snapToGrid/>
              <w:spacing w:line="4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实施方案分</w:t>
            </w:r>
            <w:r>
              <w:rPr>
                <w:rFonts w:hint="eastAsia" w:ascii="仿宋" w:hAnsi="仿宋" w:eastAsia="仿宋" w:cs="仿宋"/>
                <w:bCs/>
                <w:color w:val="auto"/>
                <w:sz w:val="24"/>
                <w:szCs w:val="24"/>
                <w:highlight w:val="none"/>
              </w:rPr>
              <w:t>（满分1</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分）</w:t>
            </w:r>
          </w:p>
        </w:tc>
        <w:tc>
          <w:tcPr>
            <w:tcW w:w="6896" w:type="dxa"/>
            <w:noWrap w:val="0"/>
            <w:vAlign w:val="center"/>
          </w:tcPr>
          <w:p w14:paraId="368B369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评委根据投标人提供的项目实施方案（包含：①实施进度及供货安排计划；②保证项目实施的技术力量和人力资源安排、技术服务措施；③安装调试验收方法或方案；④质量保证措施；⑤问题解决机制等5项内容的完整性、合理性、可行性、针对性进行评定，并按以下标准独立评审并评分（投标人所提供的方案不能完全满足某一档次全部要求的，不予进入该档评分）：</w:t>
            </w:r>
          </w:p>
          <w:p w14:paraId="40B0676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一档（0分）：未提供方案或方案不合格的；</w:t>
            </w:r>
          </w:p>
          <w:p w14:paraId="6FE4262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二档（3分）：方案有缺漏且内容简单，实施方案只能基本满足项目实际需求；</w:t>
            </w:r>
          </w:p>
          <w:p w14:paraId="5B74F29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三档（6分）：方案内容无缺漏，对项目有基本理解但整体方案简单或表达逻辑不清晰或缺少关键节点，方案可以保证项目正常实施；</w:t>
            </w:r>
          </w:p>
          <w:p w14:paraId="63427A1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四档（9分）：方案内容无缺漏且表述逻辑清晰，完成实施方案各项内容的措施具体、详细，方案的5项评审内容经评审均为合理、可行的；</w:t>
            </w:r>
          </w:p>
          <w:p w14:paraId="422923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五档（12分）：方案内容和措施完整、详实、针对性强，方案能清楚的表明对本项目的熟悉程度，方案中保证项目实施的技术力量和人力资源安排全面，实施进度及供货计划和安装调试验收方法严谨和切实可行，制定了详细的质量保证措施，并配备了健全的问题解决机制。方案的5项评审内容经评审均为完整、合理、可行、针对性强。</w:t>
            </w:r>
          </w:p>
        </w:tc>
      </w:tr>
      <w:tr w14:paraId="099C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669" w:type="dxa"/>
            <w:vMerge w:val="restart"/>
            <w:noWrap w:val="0"/>
            <w:vAlign w:val="center"/>
          </w:tcPr>
          <w:p w14:paraId="541C7249">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val="en-US" w:eastAsia="zh-CN"/>
              </w:rPr>
              <w:t>3</w:t>
            </w:r>
          </w:p>
        </w:tc>
        <w:tc>
          <w:tcPr>
            <w:tcW w:w="1305" w:type="dxa"/>
            <w:vMerge w:val="restart"/>
            <w:noWrap w:val="0"/>
            <w:vAlign w:val="center"/>
          </w:tcPr>
          <w:p w14:paraId="3CFAFEDB">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商务分</w:t>
            </w:r>
            <w:r>
              <w:rPr>
                <w:rFonts w:hint="eastAsia" w:ascii="仿宋" w:hAnsi="仿宋" w:eastAsia="仿宋" w:cs="仿宋"/>
                <w:bCs/>
                <w:color w:val="auto"/>
                <w:sz w:val="24"/>
                <w:szCs w:val="24"/>
                <w:highlight w:val="none"/>
              </w:rPr>
              <w:t>（满分</w:t>
            </w:r>
            <w:r>
              <w:rPr>
                <w:rFonts w:hint="eastAsia" w:ascii="仿宋" w:hAnsi="仿宋" w:eastAsia="仿宋" w:cs="仿宋"/>
                <w:bCs/>
                <w:color w:val="auto"/>
                <w:sz w:val="24"/>
                <w:szCs w:val="24"/>
                <w:highlight w:val="none"/>
                <w:lang w:val="en-US" w:eastAsia="zh-CN"/>
              </w:rPr>
              <w:t>4</w:t>
            </w:r>
            <w:r>
              <w:rPr>
                <w:rFonts w:hint="eastAsia" w:ascii="仿宋" w:hAnsi="仿宋" w:eastAsia="仿宋" w:cs="仿宋"/>
                <w:bCs/>
                <w:color w:val="auto"/>
                <w:sz w:val="24"/>
                <w:szCs w:val="24"/>
                <w:highlight w:val="none"/>
              </w:rPr>
              <w:t>分）</w:t>
            </w:r>
          </w:p>
        </w:tc>
        <w:tc>
          <w:tcPr>
            <w:tcW w:w="1191" w:type="dxa"/>
            <w:noWrap w:val="0"/>
            <w:vAlign w:val="center"/>
          </w:tcPr>
          <w:p w14:paraId="15405003">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 xml:space="preserve">政策功能分 </w:t>
            </w:r>
            <w:r>
              <w:rPr>
                <w:rFonts w:hint="eastAsia" w:ascii="仿宋" w:hAnsi="仿宋" w:eastAsia="仿宋" w:cs="仿宋"/>
                <w:bCs/>
                <w:color w:val="auto"/>
                <w:sz w:val="24"/>
                <w:szCs w:val="24"/>
                <w:highlight w:val="none"/>
                <w:lang w:val="en-US" w:eastAsia="zh-CN"/>
              </w:rPr>
              <w:t>(</w:t>
            </w:r>
            <w:r>
              <w:rPr>
                <w:rFonts w:hint="eastAsia" w:ascii="仿宋" w:hAnsi="仿宋" w:eastAsia="仿宋" w:cs="仿宋"/>
                <w:bCs/>
                <w:color w:val="auto"/>
                <w:sz w:val="24"/>
                <w:szCs w:val="24"/>
                <w:highlight w:val="none"/>
              </w:rPr>
              <w:t>节能、环保) （满分</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分）</w:t>
            </w:r>
          </w:p>
        </w:tc>
        <w:tc>
          <w:tcPr>
            <w:tcW w:w="6896" w:type="dxa"/>
            <w:noWrap w:val="0"/>
            <w:vAlign w:val="center"/>
          </w:tcPr>
          <w:p w14:paraId="224065C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1.节能产品分（2分）：属于财政部《节能产品政府采购品目清单》内优先采购（清单内未标注“★ ”的品目）的产品（投标文件中提供国家确定的认证机构出具的有效期之内的认证证书复印件，并加盖单位公章），得1分。</w:t>
            </w:r>
          </w:p>
          <w:p w14:paraId="15790DE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rPr>
            </w:pPr>
            <w:r>
              <w:rPr>
                <w:rFonts w:hint="eastAsia" w:ascii="仿宋" w:hAnsi="仿宋" w:eastAsia="仿宋" w:cs="仿宋"/>
                <w:b w:val="0"/>
                <w:bCs/>
                <w:color w:val="auto"/>
                <w:sz w:val="24"/>
                <w:szCs w:val="24"/>
                <w:highlight w:val="none"/>
                <w:lang w:val="en-US" w:eastAsia="zh-CN"/>
              </w:rPr>
              <w:t>2.环境标志产品分（1分）：属于财政部《环境标志产品政府采购品目清单》内的产品（投标文件中提供国家确定的认证机构出具的有效期之内的认证证书复印件，并加盖单位公章），得1分。</w:t>
            </w:r>
          </w:p>
        </w:tc>
      </w:tr>
      <w:tr w14:paraId="298A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669" w:type="dxa"/>
            <w:vMerge w:val="continue"/>
            <w:noWrap w:val="0"/>
            <w:vAlign w:val="center"/>
          </w:tcPr>
          <w:p w14:paraId="1935070B">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rPr>
            </w:pPr>
          </w:p>
        </w:tc>
        <w:tc>
          <w:tcPr>
            <w:tcW w:w="1305" w:type="dxa"/>
            <w:vMerge w:val="continue"/>
            <w:noWrap w:val="0"/>
            <w:vAlign w:val="center"/>
          </w:tcPr>
          <w:p w14:paraId="0703A55F">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rPr>
            </w:pPr>
          </w:p>
        </w:tc>
        <w:tc>
          <w:tcPr>
            <w:tcW w:w="1191" w:type="dxa"/>
            <w:noWrap w:val="0"/>
            <w:vAlign w:val="center"/>
          </w:tcPr>
          <w:p w14:paraId="7C67D183">
            <w:pPr>
              <w:keepNext w:val="0"/>
              <w:keepLines w:val="0"/>
              <w:pageBreakBefore w:val="0"/>
              <w:kinsoku/>
              <w:wordWrap/>
              <w:overflowPunct/>
              <w:topLinePunct w:val="0"/>
              <w:autoSpaceDE/>
              <w:autoSpaceDN/>
              <w:bidi w:val="0"/>
              <w:adjustRightInd/>
              <w:snapToGrid/>
              <w:spacing w:line="400" w:lineRule="exact"/>
              <w:jc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履约能力（满分</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分）</w:t>
            </w:r>
          </w:p>
        </w:tc>
        <w:tc>
          <w:tcPr>
            <w:tcW w:w="6896" w:type="dxa"/>
            <w:noWrap w:val="0"/>
            <w:vAlign w:val="center"/>
          </w:tcPr>
          <w:p w14:paraId="0A7475EE">
            <w:pPr>
              <w:pStyle w:val="146"/>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投标人或所投</w:t>
            </w:r>
            <w:r>
              <w:rPr>
                <w:rFonts w:hint="eastAsia" w:ascii="仿宋" w:hAnsi="仿宋" w:eastAsia="仿宋" w:cs="仿宋"/>
                <w:color w:val="auto"/>
                <w:sz w:val="24"/>
                <w:szCs w:val="24"/>
                <w:highlight w:val="none"/>
                <w:lang w:eastAsia="zh-CN"/>
              </w:rPr>
              <w:t>设备</w:t>
            </w:r>
            <w:r>
              <w:rPr>
                <w:rFonts w:hint="eastAsia" w:ascii="仿宋" w:hAnsi="仿宋" w:eastAsia="仿宋" w:cs="仿宋"/>
                <w:color w:val="auto"/>
                <w:sz w:val="24"/>
                <w:szCs w:val="24"/>
                <w:highlight w:val="none"/>
              </w:rPr>
              <w:t>生产厂家通过ISO13485医疗器械质量管理体系认证、ISO9001质量管理体系认证（投标文件中提供相关有效认证证书复印件，加盖</w:t>
            </w:r>
            <w:r>
              <w:rPr>
                <w:rFonts w:hint="eastAsia" w:ascii="仿宋" w:hAnsi="仿宋" w:eastAsia="仿宋" w:cs="仿宋"/>
                <w:b w:val="0"/>
                <w:bCs/>
                <w:color w:val="auto"/>
                <w:sz w:val="24"/>
                <w:szCs w:val="24"/>
                <w:highlight w:val="none"/>
                <w:lang w:val="en-US" w:eastAsia="zh-CN"/>
              </w:rPr>
              <w:t>单位公章</w:t>
            </w:r>
            <w:r>
              <w:rPr>
                <w:rFonts w:hint="eastAsia" w:ascii="仿宋" w:hAnsi="仿宋" w:eastAsia="仿宋" w:cs="仿宋"/>
                <w:color w:val="auto"/>
                <w:sz w:val="24"/>
                <w:szCs w:val="24"/>
                <w:highlight w:val="none"/>
              </w:rPr>
              <w:t>），每提供1项得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分，最多得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bl>
    <w:p w14:paraId="00921434">
      <w:pPr>
        <w:spacing w:line="360" w:lineRule="auto"/>
        <w:ind w:firstLine="482" w:firstLineChars="200"/>
        <w:rPr>
          <w:rFonts w:hint="eastAsia" w:ascii="仿宋" w:hAnsi="仿宋" w:eastAsia="仿宋" w:cs="仿宋"/>
          <w:b/>
          <w:bCs/>
          <w:color w:val="auto"/>
          <w:sz w:val="24"/>
          <w:szCs w:val="24"/>
          <w:highlight w:val="none"/>
        </w:rPr>
      </w:pPr>
    </w:p>
    <w:p w14:paraId="6042D1E0">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w:t>
      </w:r>
    </w:p>
    <w:p w14:paraId="16D2BFD8">
      <w:pPr>
        <w:spacing w:line="360" w:lineRule="auto"/>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0D4290E">
      <w:pPr>
        <w:pStyle w:val="5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非单一产品采购项目，多家投标人提供的核心产品品牌相同的，按前款规定处理。</w:t>
      </w:r>
    </w:p>
    <w:p w14:paraId="48FE3F92">
      <w:pPr>
        <w:pStyle w:val="51"/>
        <w:spacing w:line="360" w:lineRule="auto"/>
        <w:ind w:left="0" w:leftChars="0" w:firstLine="0" w:firstLineChars="0"/>
        <w:rPr>
          <w:rFonts w:hint="eastAsia" w:ascii="仿宋" w:hAnsi="仿宋" w:eastAsia="仿宋" w:cs="仿宋"/>
          <w:color w:val="auto"/>
          <w:sz w:val="24"/>
          <w:szCs w:val="24"/>
          <w:highlight w:val="none"/>
        </w:rPr>
      </w:pPr>
    </w:p>
    <w:p w14:paraId="6E3566E1">
      <w:pPr>
        <w:keepNext w:val="0"/>
        <w:keepLines w:val="0"/>
        <w:pageBreakBefore w:val="0"/>
        <w:widowControl w:val="0"/>
        <w:kinsoku/>
        <w:wordWrap/>
        <w:overflowPunct/>
        <w:topLinePunct w:val="0"/>
        <w:autoSpaceDE/>
        <w:autoSpaceDN/>
        <w:bidi w:val="0"/>
        <w:adjustRightInd/>
        <w:snapToGrid/>
        <w:spacing w:line="480" w:lineRule="exact"/>
        <w:ind w:firstLine="561"/>
        <w:textAlignment w:val="auto"/>
        <w:rPr>
          <w:rFonts w:hint="eastAsia" w:ascii="仿宋" w:hAnsi="仿宋" w:eastAsia="仿宋" w:cs="仿宋"/>
          <w:color w:val="auto"/>
          <w:sz w:val="24"/>
          <w:szCs w:val="24"/>
          <w:highlight w:val="none"/>
          <w:lang w:val="en-US" w:eastAsia="zh-CN"/>
        </w:rPr>
      </w:pPr>
    </w:p>
    <w:p w14:paraId="363D6C8D">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135F6C90">
      <w:pPr>
        <w:pStyle w:val="5"/>
        <w:keepNext w:val="0"/>
        <w:keepLines w:val="0"/>
        <w:spacing w:before="0" w:after="0" w:line="415" w:lineRule="auto"/>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四、中标候选人推荐原则</w:t>
      </w:r>
    </w:p>
    <w:p w14:paraId="76812835">
      <w:pPr>
        <w:pStyle w:val="28"/>
        <w:spacing w:line="360" w:lineRule="auto"/>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（一）综合评分法</w:t>
      </w:r>
    </w:p>
    <w:p w14:paraId="25AD0A52">
      <w:pPr>
        <w:pStyle w:val="28"/>
        <w:spacing w:line="360" w:lineRule="auto"/>
        <w:ind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委员会将根据得分由高到低排列次序（得分相同时，以投标报价由低到高顺序排列；得分相同且投标报价相同的，按技术、商务得分高低顺序排列）并推荐三名中标候选供应商。招标采购人应当确定评审委员会推荐排名第一的中标候选人为中标人。排名第一的中标候选人放弃中标、因不可抗力提出不能履行合同，或者招标文件规定应当提交履约保证金而在规定的期限内未能提交的，招标采购人可以确定排名第二的中标候选人为中标人。排名第二的中标候选人因前款规定的同样原因不能签订合同的，招标采购人可以确定排名第三的中标候选人为中标人。</w:t>
      </w:r>
    </w:p>
    <w:p w14:paraId="6F53CBFA">
      <w:pPr>
        <w:pStyle w:val="4"/>
        <w:keepNext w:val="0"/>
        <w:keepLines w:val="0"/>
        <w:spacing w:before="0" w:after="0" w:line="360" w:lineRule="auto"/>
        <w:jc w:val="center"/>
        <w:rPr>
          <w:rFonts w:hint="eastAsia" w:ascii="仿宋" w:hAnsi="仿宋" w:eastAsia="仿宋" w:cs="仿宋"/>
          <w:color w:val="auto"/>
          <w:sz w:val="44"/>
          <w:szCs w:val="44"/>
          <w:highlight w:val="none"/>
        </w:rPr>
      </w:pPr>
      <w:r>
        <w:rPr>
          <w:rFonts w:hint="eastAsia" w:ascii="仿宋" w:hAnsi="仿宋" w:eastAsia="仿宋" w:cs="仿宋"/>
          <w:color w:val="auto"/>
          <w:highlight w:val="none"/>
        </w:rPr>
        <w:br w:type="page"/>
      </w:r>
      <w:bookmarkStart w:id="166" w:name="_Toc74320804"/>
      <w:r>
        <w:rPr>
          <w:rFonts w:hint="eastAsia" w:ascii="仿宋" w:hAnsi="仿宋" w:eastAsia="仿宋" w:cs="仿宋"/>
          <w:color w:val="auto"/>
          <w:sz w:val="44"/>
          <w:szCs w:val="44"/>
          <w:highlight w:val="none"/>
        </w:rPr>
        <w:t>第五章  拟签订的合同文本</w:t>
      </w:r>
      <w:bookmarkEnd w:id="166"/>
    </w:p>
    <w:p w14:paraId="083C40C1">
      <w:pPr>
        <w:spacing w:line="320" w:lineRule="atLeast"/>
        <w:jc w:val="center"/>
        <w:outlineLvl w:val="3"/>
        <w:rPr>
          <w:rFonts w:hint="eastAsia" w:ascii="仿宋" w:hAnsi="仿宋" w:eastAsia="仿宋" w:cs="仿宋"/>
          <w:b/>
          <w:bCs/>
          <w:color w:val="auto"/>
          <w:sz w:val="32"/>
          <w:szCs w:val="32"/>
          <w:highlight w:val="none"/>
        </w:rPr>
      </w:pPr>
      <w:bookmarkStart w:id="167" w:name="_Toc26520"/>
      <w:r>
        <w:rPr>
          <w:rFonts w:hint="eastAsia" w:ascii="仿宋" w:hAnsi="仿宋" w:eastAsia="仿宋" w:cs="仿宋"/>
          <w:b/>
          <w:bCs/>
          <w:color w:val="auto"/>
          <w:sz w:val="32"/>
          <w:szCs w:val="32"/>
          <w:highlight w:val="none"/>
        </w:rPr>
        <w:t>采购合同（合同主要条款及格式）</w:t>
      </w:r>
    </w:p>
    <w:p w14:paraId="449F8D4D">
      <w:pPr>
        <w:spacing w:line="400" w:lineRule="exact"/>
        <w:rPr>
          <w:rFonts w:hint="eastAsia" w:ascii="仿宋" w:hAnsi="仿宋" w:eastAsia="仿宋" w:cs="仿宋"/>
          <w:color w:val="auto"/>
          <w:highlight w:val="none"/>
        </w:rPr>
      </w:pPr>
    </w:p>
    <w:p w14:paraId="2BBB9369">
      <w:pPr>
        <w:keepNext w:val="0"/>
        <w:keepLines w:val="0"/>
        <w:pageBreakBefore w:val="0"/>
        <w:kinsoku/>
        <w:wordWrap/>
        <w:overflowPunct/>
        <w:topLinePunct w:val="0"/>
        <w:autoSpaceDE/>
        <w:autoSpaceDN/>
        <w:bidi w:val="0"/>
        <w:adjustRightInd w:val="0"/>
        <w:spacing w:line="460" w:lineRule="exact"/>
        <w:ind w:left="1675" w:right="1470" w:hanging="2233" w:hangingChars="695"/>
        <w:textAlignment w:val="baseline"/>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32"/>
          <w:szCs w:val="32"/>
          <w:highlight w:val="none"/>
        </w:rPr>
        <w:t xml:space="preserve"> </w:t>
      </w:r>
      <w:r>
        <w:rPr>
          <w:rFonts w:hint="eastAsia" w:ascii="仿宋" w:hAnsi="仿宋" w:eastAsia="仿宋" w:cs="仿宋"/>
          <w:b/>
          <w:color w:val="auto"/>
          <w:kern w:val="0"/>
          <w:sz w:val="24"/>
          <w:szCs w:val="24"/>
          <w:highlight w:val="none"/>
        </w:rPr>
        <w:t xml:space="preserve"> </w:t>
      </w:r>
    </w:p>
    <w:p w14:paraId="5838FBCD">
      <w:pPr>
        <w:keepNext w:val="0"/>
        <w:keepLines w:val="0"/>
        <w:pageBreakBefore w:val="0"/>
        <w:kinsoku/>
        <w:wordWrap/>
        <w:overflowPunct/>
        <w:topLinePunct w:val="0"/>
        <w:autoSpaceDE/>
        <w:autoSpaceDN/>
        <w:bidi w:val="0"/>
        <w:spacing w:before="120" w:after="120" w:line="460" w:lineRule="exact"/>
        <w:rPr>
          <w:rFonts w:hint="eastAsia" w:ascii="仿宋" w:hAnsi="仿宋" w:eastAsia="仿宋" w:cs="仿宋"/>
          <w:color w:val="auto"/>
          <w:sz w:val="24"/>
          <w:szCs w:val="24"/>
          <w:highlight w:val="none"/>
        </w:rPr>
      </w:pPr>
    </w:p>
    <w:p w14:paraId="1BA284E3">
      <w:pPr>
        <w:pStyle w:val="2"/>
        <w:keepNext w:val="0"/>
        <w:keepLines w:val="0"/>
        <w:pageBreakBefore w:val="0"/>
        <w:kinsoku/>
        <w:wordWrap/>
        <w:overflowPunct/>
        <w:topLinePunct w:val="0"/>
        <w:autoSpaceDE/>
        <w:autoSpaceDN/>
        <w:bidi w:val="0"/>
        <w:spacing w:line="460" w:lineRule="exact"/>
        <w:rPr>
          <w:rFonts w:hint="eastAsia" w:ascii="仿宋" w:hAnsi="仿宋" w:eastAsia="仿宋" w:cs="仿宋"/>
          <w:color w:val="auto"/>
          <w:sz w:val="24"/>
          <w:szCs w:val="24"/>
          <w:highlight w:val="none"/>
        </w:rPr>
      </w:pPr>
    </w:p>
    <w:p w14:paraId="54904CAC">
      <w:pPr>
        <w:pStyle w:val="51"/>
        <w:keepNext w:val="0"/>
        <w:keepLines w:val="0"/>
        <w:pageBreakBefore w:val="0"/>
        <w:kinsoku/>
        <w:wordWrap/>
        <w:overflowPunct/>
        <w:topLinePunct w:val="0"/>
        <w:autoSpaceDE/>
        <w:autoSpaceDN/>
        <w:bidi w:val="0"/>
        <w:spacing w:line="460" w:lineRule="exact"/>
        <w:ind w:left="0" w:leftChars="0" w:firstLine="0" w:firstLineChars="0"/>
        <w:rPr>
          <w:rFonts w:hint="eastAsia" w:ascii="仿宋" w:hAnsi="仿宋" w:eastAsia="仿宋" w:cs="仿宋"/>
          <w:color w:val="auto"/>
          <w:sz w:val="24"/>
          <w:szCs w:val="24"/>
          <w:highlight w:val="none"/>
        </w:rPr>
      </w:pPr>
    </w:p>
    <w:p w14:paraId="7C27240C">
      <w:pPr>
        <w:pStyle w:val="51"/>
        <w:keepNext w:val="0"/>
        <w:keepLines w:val="0"/>
        <w:pageBreakBefore w:val="0"/>
        <w:kinsoku/>
        <w:wordWrap/>
        <w:overflowPunct/>
        <w:topLinePunct w:val="0"/>
        <w:autoSpaceDE/>
        <w:autoSpaceDN/>
        <w:bidi w:val="0"/>
        <w:spacing w:line="460" w:lineRule="exact"/>
        <w:rPr>
          <w:rFonts w:hint="eastAsia" w:ascii="仿宋" w:hAnsi="仿宋" w:eastAsia="仿宋" w:cs="仿宋"/>
          <w:color w:val="auto"/>
          <w:sz w:val="24"/>
          <w:szCs w:val="24"/>
          <w:highlight w:val="none"/>
        </w:rPr>
      </w:pPr>
    </w:p>
    <w:p w14:paraId="261C7F13">
      <w:pPr>
        <w:pStyle w:val="2"/>
        <w:keepNext w:val="0"/>
        <w:keepLines w:val="0"/>
        <w:pageBreakBefore w:val="0"/>
        <w:kinsoku/>
        <w:wordWrap/>
        <w:overflowPunct/>
        <w:topLinePunct w:val="0"/>
        <w:autoSpaceDE/>
        <w:autoSpaceDN/>
        <w:bidi w:val="0"/>
        <w:spacing w:before="120" w:line="460" w:lineRule="exact"/>
        <w:rPr>
          <w:rFonts w:hint="eastAsia" w:ascii="仿宋" w:hAnsi="仿宋" w:eastAsia="仿宋" w:cs="仿宋"/>
          <w:color w:val="auto"/>
          <w:sz w:val="32"/>
          <w:szCs w:val="32"/>
          <w:highlight w:val="none"/>
        </w:rPr>
      </w:pPr>
    </w:p>
    <w:bookmarkEnd w:id="23"/>
    <w:bookmarkEnd w:id="167"/>
    <w:p w14:paraId="5D75F592">
      <w:pPr>
        <w:pStyle w:val="5"/>
        <w:spacing w:line="240" w:lineRule="auto"/>
        <w:ind w:firstLine="321" w:firstLineChars="100"/>
        <w:rPr>
          <w:rFonts w:hint="eastAsia" w:ascii="仿宋" w:hAnsi="仿宋" w:eastAsia="仿宋" w:cs="仿宋"/>
          <w:color w:val="auto"/>
          <w:highlight w:val="none"/>
          <w:lang w:val="en-US"/>
        </w:rPr>
      </w:pPr>
      <w:bookmarkStart w:id="168" w:name="_Toc25663"/>
      <w:bookmarkStart w:id="169" w:name="_Toc74320805"/>
    </w:p>
    <w:p w14:paraId="05D0993F">
      <w:pPr>
        <w:rPr>
          <w:rFonts w:hint="eastAsia" w:ascii="仿宋" w:hAnsi="仿宋" w:eastAsia="仿宋" w:cs="仿宋"/>
          <w:color w:val="auto"/>
          <w:highlight w:val="none"/>
        </w:rPr>
      </w:pPr>
    </w:p>
    <w:p w14:paraId="1F5291E7">
      <w:pPr>
        <w:rPr>
          <w:rFonts w:hint="eastAsia" w:ascii="仿宋" w:hAnsi="仿宋" w:eastAsia="仿宋" w:cs="仿宋"/>
          <w:color w:val="auto"/>
          <w:highlight w:val="none"/>
        </w:rPr>
      </w:pPr>
    </w:p>
    <w:p w14:paraId="5D21C85E">
      <w:pPr>
        <w:jc w:val="left"/>
        <w:rPr>
          <w:rFonts w:hint="eastAsia" w:ascii="仿宋" w:hAnsi="仿宋" w:eastAsia="仿宋" w:cs="仿宋"/>
          <w:color w:val="auto"/>
          <w:highlight w:val="none"/>
        </w:rPr>
      </w:pPr>
    </w:p>
    <w:p w14:paraId="2D4B8530">
      <w:pPr>
        <w:jc w:val="center"/>
        <w:rPr>
          <w:rFonts w:hint="eastAsia" w:ascii="仿宋" w:hAnsi="仿宋" w:eastAsia="仿宋" w:cs="仿宋"/>
          <w:color w:val="auto"/>
          <w:sz w:val="56"/>
          <w:highlight w:val="none"/>
        </w:rPr>
      </w:pPr>
    </w:p>
    <w:p w14:paraId="7100DC6F">
      <w:pPr>
        <w:jc w:val="center"/>
        <w:rPr>
          <w:rFonts w:hint="eastAsia" w:ascii="仿宋" w:hAnsi="仿宋" w:eastAsia="仿宋" w:cs="仿宋"/>
          <w:color w:val="auto"/>
          <w:sz w:val="56"/>
          <w:highlight w:val="none"/>
        </w:rPr>
      </w:pPr>
    </w:p>
    <w:p w14:paraId="6535F7A6">
      <w:pPr>
        <w:rPr>
          <w:rFonts w:hint="eastAsia" w:ascii="仿宋" w:hAnsi="仿宋" w:eastAsia="仿宋" w:cs="仿宋"/>
          <w:color w:val="auto"/>
          <w:highlight w:val="none"/>
        </w:rPr>
      </w:pPr>
    </w:p>
    <w:p w14:paraId="52408404">
      <w:pPr>
        <w:rPr>
          <w:rFonts w:hint="eastAsia" w:ascii="仿宋" w:hAnsi="仿宋" w:eastAsia="仿宋" w:cs="仿宋"/>
          <w:color w:val="auto"/>
          <w:highlight w:val="none"/>
        </w:rPr>
      </w:pPr>
    </w:p>
    <w:p w14:paraId="22EB64A1">
      <w:pPr>
        <w:jc w:val="center"/>
        <w:rPr>
          <w:rFonts w:hint="eastAsia" w:ascii="仿宋" w:hAnsi="仿宋" w:eastAsia="仿宋" w:cs="仿宋"/>
          <w:color w:val="auto"/>
          <w:sz w:val="56"/>
          <w:highlight w:val="none"/>
        </w:rPr>
      </w:pPr>
    </w:p>
    <w:p w14:paraId="2D972781">
      <w:pPr>
        <w:rPr>
          <w:rFonts w:hint="eastAsia" w:ascii="仿宋" w:hAnsi="仿宋" w:eastAsia="仿宋" w:cs="仿宋"/>
          <w:color w:val="auto"/>
          <w:sz w:val="56"/>
          <w:highlight w:val="none"/>
        </w:rPr>
      </w:pPr>
      <w:r>
        <w:rPr>
          <w:rFonts w:hint="eastAsia" w:ascii="仿宋" w:hAnsi="仿宋" w:eastAsia="仿宋" w:cs="仿宋"/>
          <w:color w:val="auto"/>
          <w:sz w:val="56"/>
          <w:highlight w:val="none"/>
        </w:rPr>
        <w:br w:type="page"/>
      </w:r>
    </w:p>
    <w:p w14:paraId="73EB9692">
      <w:pPr>
        <w:jc w:val="center"/>
        <w:rPr>
          <w:rFonts w:hint="eastAsia" w:ascii="仿宋" w:hAnsi="仿宋" w:eastAsia="仿宋" w:cs="仿宋"/>
          <w:color w:val="auto"/>
          <w:sz w:val="56"/>
          <w:highlight w:val="none"/>
        </w:rPr>
      </w:pPr>
      <w:r>
        <w:rPr>
          <w:rFonts w:hint="eastAsia" w:ascii="仿宋" w:hAnsi="仿宋" w:eastAsia="仿宋" w:cs="仿宋"/>
          <w:color w:val="auto"/>
          <w:sz w:val="56"/>
          <w:highlight w:val="none"/>
        </w:rPr>
        <w:t>医疗设备购销合同</w:t>
      </w:r>
    </w:p>
    <w:p w14:paraId="5A30142F">
      <w:pPr>
        <w:jc w:val="center"/>
        <w:rPr>
          <w:rFonts w:hint="eastAsia" w:ascii="仿宋" w:hAnsi="仿宋" w:eastAsia="仿宋" w:cs="仿宋"/>
          <w:b/>
          <w:bCs/>
          <w:color w:val="auto"/>
          <w:sz w:val="56"/>
          <w:highlight w:val="none"/>
        </w:rPr>
      </w:pPr>
    </w:p>
    <w:p w14:paraId="6752F922">
      <w:pPr>
        <w:jc w:val="center"/>
        <w:rPr>
          <w:rFonts w:hint="eastAsia" w:ascii="仿宋" w:hAnsi="仿宋" w:eastAsia="仿宋" w:cs="仿宋"/>
          <w:b/>
          <w:bCs/>
          <w:color w:val="auto"/>
          <w:sz w:val="24"/>
          <w:highlight w:val="none"/>
        </w:rPr>
      </w:pPr>
    </w:p>
    <w:p w14:paraId="6997C733">
      <w:pPr>
        <w:jc w:val="center"/>
        <w:rPr>
          <w:rFonts w:hint="eastAsia" w:ascii="仿宋" w:hAnsi="仿宋" w:eastAsia="仿宋" w:cs="仿宋"/>
          <w:b/>
          <w:bCs/>
          <w:color w:val="auto"/>
          <w:sz w:val="24"/>
          <w:highlight w:val="none"/>
        </w:rPr>
      </w:pPr>
    </w:p>
    <w:p w14:paraId="0ED789EC">
      <w:pPr>
        <w:jc w:val="center"/>
        <w:rPr>
          <w:rFonts w:hint="eastAsia" w:ascii="仿宋" w:hAnsi="仿宋" w:eastAsia="仿宋" w:cs="仿宋"/>
          <w:b/>
          <w:bCs/>
          <w:color w:val="auto"/>
          <w:sz w:val="24"/>
          <w:highlight w:val="none"/>
        </w:rPr>
      </w:pPr>
    </w:p>
    <w:p w14:paraId="0FDA0D07">
      <w:pPr>
        <w:jc w:val="center"/>
        <w:rPr>
          <w:rFonts w:hint="eastAsia" w:ascii="仿宋" w:hAnsi="仿宋" w:eastAsia="仿宋" w:cs="仿宋"/>
          <w:b/>
          <w:bCs/>
          <w:color w:val="auto"/>
          <w:sz w:val="24"/>
          <w:highlight w:val="none"/>
        </w:rPr>
      </w:pPr>
    </w:p>
    <w:p w14:paraId="29050188">
      <w:pPr>
        <w:jc w:val="center"/>
        <w:rPr>
          <w:rFonts w:hint="eastAsia" w:ascii="仿宋" w:hAnsi="仿宋" w:eastAsia="仿宋" w:cs="仿宋"/>
          <w:b/>
          <w:bCs/>
          <w:color w:val="auto"/>
          <w:sz w:val="24"/>
          <w:highlight w:val="none"/>
        </w:rPr>
      </w:pPr>
    </w:p>
    <w:p w14:paraId="3785494F">
      <w:pPr>
        <w:jc w:val="center"/>
        <w:rPr>
          <w:rFonts w:hint="eastAsia" w:ascii="仿宋" w:hAnsi="仿宋" w:eastAsia="仿宋" w:cs="仿宋"/>
          <w:b/>
          <w:bCs/>
          <w:color w:val="auto"/>
          <w:sz w:val="36"/>
          <w:highlight w:val="none"/>
        </w:rPr>
      </w:pPr>
    </w:p>
    <w:p w14:paraId="163D17B4">
      <w:pPr>
        <w:jc w:val="center"/>
        <w:rPr>
          <w:rFonts w:hint="eastAsia" w:ascii="仿宋" w:hAnsi="仿宋" w:eastAsia="仿宋" w:cs="仿宋"/>
          <w:b/>
          <w:bCs/>
          <w:color w:val="auto"/>
          <w:sz w:val="36"/>
          <w:highlight w:val="none"/>
        </w:rPr>
      </w:pPr>
    </w:p>
    <w:p w14:paraId="2BE42CEB">
      <w:pPr>
        <w:rPr>
          <w:rFonts w:hint="eastAsia" w:ascii="仿宋" w:hAnsi="仿宋" w:eastAsia="仿宋" w:cs="仿宋"/>
          <w:color w:val="auto"/>
          <w:highlight w:val="none"/>
        </w:rPr>
      </w:pPr>
    </w:p>
    <w:p w14:paraId="231F1709">
      <w:pPr>
        <w:spacing w:line="700" w:lineRule="exact"/>
        <w:ind w:firstLine="1807" w:firstLineChars="500"/>
        <w:jc w:val="left"/>
        <w:rPr>
          <w:rFonts w:hint="eastAsia" w:ascii="仿宋" w:hAnsi="仿宋" w:eastAsia="仿宋" w:cs="仿宋"/>
          <w:b/>
          <w:bCs/>
          <w:color w:val="auto"/>
          <w:sz w:val="36"/>
          <w:highlight w:val="none"/>
        </w:rPr>
      </w:pPr>
      <w:r>
        <w:rPr>
          <w:rFonts w:hint="eastAsia" w:ascii="仿宋" w:hAnsi="仿宋" w:eastAsia="仿宋" w:cs="仿宋"/>
          <w:b/>
          <w:bCs/>
          <w:color w:val="auto"/>
          <w:sz w:val="36"/>
          <w:highlight w:val="none"/>
        </w:rPr>
        <w:t xml:space="preserve">甲方： </w:t>
      </w:r>
    </w:p>
    <w:p w14:paraId="27E90943">
      <w:pPr>
        <w:spacing w:line="700" w:lineRule="exact"/>
        <w:ind w:firstLine="1807" w:firstLineChars="500"/>
        <w:jc w:val="left"/>
        <w:rPr>
          <w:rFonts w:hint="eastAsia" w:ascii="仿宋" w:hAnsi="仿宋" w:eastAsia="仿宋" w:cs="仿宋"/>
          <w:b/>
          <w:bCs/>
          <w:color w:val="auto"/>
          <w:sz w:val="36"/>
          <w:highlight w:val="none"/>
          <w:u w:val="single"/>
        </w:rPr>
      </w:pPr>
      <w:r>
        <w:rPr>
          <w:rFonts w:hint="eastAsia" w:ascii="仿宋" w:hAnsi="仿宋" w:eastAsia="仿宋" w:cs="仿宋"/>
          <w:b/>
          <w:bCs/>
          <w:color w:val="auto"/>
          <w:sz w:val="36"/>
          <w:highlight w:val="none"/>
        </w:rPr>
        <w:t>乙方：</w:t>
      </w:r>
    </w:p>
    <w:p w14:paraId="00422304">
      <w:pPr>
        <w:spacing w:line="360" w:lineRule="auto"/>
        <w:ind w:firstLine="1807" w:firstLineChars="500"/>
        <w:jc w:val="left"/>
        <w:rPr>
          <w:rFonts w:hint="eastAsia" w:ascii="仿宋" w:hAnsi="仿宋" w:eastAsia="仿宋" w:cs="仿宋"/>
          <w:b/>
          <w:bCs/>
          <w:color w:val="auto"/>
          <w:sz w:val="36"/>
          <w:highlight w:val="none"/>
        </w:rPr>
      </w:pPr>
    </w:p>
    <w:p w14:paraId="28280B54">
      <w:pPr>
        <w:spacing w:line="360" w:lineRule="auto"/>
        <w:ind w:firstLine="1807" w:firstLineChars="500"/>
        <w:jc w:val="left"/>
        <w:rPr>
          <w:rFonts w:hint="eastAsia" w:ascii="仿宋" w:hAnsi="仿宋" w:eastAsia="仿宋" w:cs="仿宋"/>
          <w:b/>
          <w:bCs/>
          <w:color w:val="auto"/>
          <w:sz w:val="36"/>
          <w:highlight w:val="none"/>
        </w:rPr>
      </w:pPr>
    </w:p>
    <w:p w14:paraId="105C96FD">
      <w:pPr>
        <w:spacing w:line="360" w:lineRule="auto"/>
        <w:ind w:firstLine="1807" w:firstLineChars="500"/>
        <w:jc w:val="left"/>
        <w:rPr>
          <w:rFonts w:hint="eastAsia" w:ascii="仿宋" w:hAnsi="仿宋" w:eastAsia="仿宋" w:cs="仿宋"/>
          <w:b/>
          <w:bCs/>
          <w:color w:val="auto"/>
          <w:sz w:val="36"/>
          <w:highlight w:val="none"/>
        </w:rPr>
      </w:pPr>
    </w:p>
    <w:p w14:paraId="25C2E9F2">
      <w:pPr>
        <w:snapToGrid w:val="0"/>
        <w:spacing w:line="360" w:lineRule="auto"/>
        <w:jc w:val="center"/>
        <w:rPr>
          <w:rFonts w:hint="eastAsia" w:ascii="仿宋" w:hAnsi="仿宋" w:eastAsia="仿宋" w:cs="仿宋"/>
          <w:b/>
          <w:bCs/>
          <w:color w:val="auto"/>
          <w:sz w:val="36"/>
          <w:highlight w:val="none"/>
        </w:rPr>
      </w:pPr>
      <w:r>
        <w:rPr>
          <w:rFonts w:hint="eastAsia" w:ascii="仿宋" w:hAnsi="仿宋" w:eastAsia="仿宋" w:cs="仿宋"/>
          <w:b/>
          <w:bCs/>
          <w:color w:val="auto"/>
          <w:sz w:val="36"/>
          <w:highlight w:val="none"/>
        </w:rPr>
        <w:t>日    期：     年   月   日</w:t>
      </w:r>
    </w:p>
    <w:p w14:paraId="754D250C">
      <w:pPr>
        <w:pStyle w:val="2"/>
        <w:rPr>
          <w:rFonts w:hint="eastAsia" w:ascii="仿宋" w:hAnsi="仿宋" w:eastAsia="仿宋" w:cs="仿宋"/>
          <w:color w:val="auto"/>
          <w:highlight w:val="none"/>
        </w:rPr>
      </w:pPr>
    </w:p>
    <w:p w14:paraId="417A93E8">
      <w:pPr>
        <w:snapToGrid w:val="0"/>
        <w:jc w:val="center"/>
        <w:rPr>
          <w:rFonts w:hint="eastAsia" w:ascii="仿宋" w:hAnsi="仿宋" w:eastAsia="仿宋" w:cs="仿宋"/>
          <w:bCs/>
          <w:color w:val="auto"/>
          <w:sz w:val="32"/>
          <w:szCs w:val="32"/>
          <w:highlight w:val="none"/>
        </w:rPr>
      </w:pPr>
    </w:p>
    <w:p w14:paraId="2BDA9A30">
      <w:pPr>
        <w:snapToGrid w:val="0"/>
        <w:spacing w:line="360" w:lineRule="auto"/>
        <w:jc w:val="center"/>
        <w:rPr>
          <w:rFonts w:hint="eastAsia" w:ascii="仿宋" w:hAnsi="仿宋" w:eastAsia="仿宋" w:cs="仿宋"/>
          <w:b/>
          <w:bCs/>
          <w:color w:val="auto"/>
          <w:sz w:val="36"/>
          <w:szCs w:val="44"/>
          <w:highlight w:val="none"/>
        </w:rPr>
      </w:pPr>
    </w:p>
    <w:p w14:paraId="1900E6EA">
      <w:pPr>
        <w:snapToGrid w:val="0"/>
        <w:ind w:right="480" w:firstLine="723" w:firstLineChars="200"/>
        <w:jc w:val="center"/>
        <w:rPr>
          <w:rFonts w:hint="eastAsia" w:ascii="仿宋" w:hAnsi="仿宋" w:eastAsia="仿宋" w:cs="仿宋"/>
          <w:b/>
          <w:bCs/>
          <w:color w:val="auto"/>
          <w:sz w:val="36"/>
          <w:szCs w:val="36"/>
          <w:highlight w:val="none"/>
        </w:rPr>
      </w:pPr>
    </w:p>
    <w:bookmarkEnd w:id="168"/>
    <w:p w14:paraId="77B37E58">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13100515">
      <w:pPr>
        <w:widowControl w:val="0"/>
        <w:kinsoku/>
        <w:autoSpaceDE/>
        <w:autoSpaceDN/>
        <w:adjustRightInd/>
        <w:snapToGrid w:val="0"/>
        <w:spacing w:line="360" w:lineRule="auto"/>
        <w:ind w:right="48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采购合同（合同主要条款及格式）</w:t>
      </w:r>
    </w:p>
    <w:p w14:paraId="2C3DC564">
      <w:pPr>
        <w:widowControl w:val="0"/>
        <w:kinsoku/>
        <w:autoSpaceDE/>
        <w:autoSpaceDN/>
        <w:adjustRightInd/>
        <w:snapToGrid w:val="0"/>
        <w:spacing w:line="360" w:lineRule="auto"/>
        <w:ind w:right="480"/>
        <w:jc w:val="center"/>
        <w:textAlignment w:val="auto"/>
        <w:rPr>
          <w:rFonts w:hint="eastAsia" w:ascii="仿宋" w:hAnsi="仿宋" w:eastAsia="仿宋" w:cs="仿宋"/>
          <w:b/>
          <w:bCs/>
          <w:color w:val="auto"/>
          <w:sz w:val="24"/>
          <w:szCs w:val="24"/>
          <w:highlight w:val="none"/>
          <w:lang w:eastAsia="zh-CN"/>
        </w:rPr>
      </w:pPr>
    </w:p>
    <w:p w14:paraId="6C6FD71D">
      <w:pPr>
        <w:widowControl w:val="0"/>
        <w:kinsoku/>
        <w:autoSpaceDE/>
        <w:autoSpaceDN/>
        <w:adjustRightInd/>
        <w:snapToGrid w:val="0"/>
        <w:spacing w:line="360" w:lineRule="auto"/>
        <w:ind w:right="480"/>
        <w:jc w:val="both"/>
        <w:textAlignment w:val="auto"/>
        <w:rPr>
          <w:rFonts w:hint="eastAsia" w:ascii="仿宋" w:hAnsi="仿宋" w:eastAsia="仿宋" w:cs="仿宋"/>
          <w:bCs/>
          <w:color w:val="auto"/>
          <w:kern w:val="2"/>
          <w:sz w:val="24"/>
          <w:szCs w:val="24"/>
          <w:highlight w:val="none"/>
          <w:u w:val="single"/>
          <w:lang w:eastAsia="zh-CN"/>
        </w:rPr>
      </w:pPr>
      <w:r>
        <w:rPr>
          <w:rFonts w:hint="eastAsia" w:ascii="仿宋" w:hAnsi="仿宋" w:eastAsia="仿宋" w:cs="仿宋"/>
          <w:color w:val="auto"/>
          <w:kern w:val="2"/>
          <w:sz w:val="24"/>
          <w:szCs w:val="24"/>
          <w:highlight w:val="none"/>
          <w:lang w:eastAsia="zh-CN"/>
        </w:rPr>
        <w:t>采购人（甲方）：广西壮族自治区南溪山医院（广西壮族自治区第二人民医院）</w:t>
      </w:r>
    </w:p>
    <w:p w14:paraId="75A86640">
      <w:pPr>
        <w:widowControl w:val="0"/>
        <w:kinsoku/>
        <w:autoSpaceDE/>
        <w:autoSpaceDN/>
        <w:adjustRightInd/>
        <w:snapToGrid w:val="0"/>
        <w:spacing w:line="360" w:lineRule="auto"/>
        <w:jc w:val="both"/>
        <w:textAlignment w:val="auto"/>
        <w:rPr>
          <w:rFonts w:hint="eastAsia" w:ascii="仿宋" w:hAnsi="仿宋" w:eastAsia="仿宋" w:cs="仿宋"/>
          <w:color w:val="auto"/>
          <w:kern w:val="2"/>
          <w:sz w:val="24"/>
          <w:szCs w:val="24"/>
          <w:highlight w:val="none"/>
          <w:u w:val="single"/>
          <w:lang w:eastAsia="zh-CN"/>
        </w:rPr>
      </w:pPr>
      <w:r>
        <w:rPr>
          <w:rFonts w:hint="eastAsia" w:ascii="仿宋" w:hAnsi="仿宋" w:eastAsia="仿宋" w:cs="仿宋"/>
          <w:color w:val="auto"/>
          <w:kern w:val="2"/>
          <w:sz w:val="24"/>
          <w:szCs w:val="24"/>
          <w:highlight w:val="none"/>
          <w:lang w:eastAsia="zh-CN"/>
        </w:rPr>
        <w:t>供应商（乙方）：</w:t>
      </w:r>
      <w:r>
        <w:rPr>
          <w:rFonts w:hint="eastAsia" w:ascii="仿宋" w:hAnsi="仿宋" w:eastAsia="仿宋" w:cs="仿宋"/>
          <w:color w:val="auto"/>
          <w:kern w:val="2"/>
          <w:sz w:val="24"/>
          <w:szCs w:val="24"/>
          <w:highlight w:val="none"/>
          <w:u w:val="single"/>
          <w:lang w:eastAsia="zh-CN"/>
        </w:rPr>
        <w:t xml:space="preserve">                         </w:t>
      </w:r>
    </w:p>
    <w:p w14:paraId="58C22128">
      <w:pPr>
        <w:widowControl w:val="0"/>
        <w:kinsoku/>
        <w:autoSpaceDE/>
        <w:autoSpaceDN/>
        <w:adjustRightInd/>
        <w:snapToGrid w:val="0"/>
        <w:spacing w:line="360" w:lineRule="auto"/>
        <w:jc w:val="both"/>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采购计划文号：</w:t>
      </w:r>
    </w:p>
    <w:p w14:paraId="2B15A7DB">
      <w:pPr>
        <w:widowControl w:val="0"/>
        <w:kinsoku/>
        <w:autoSpaceDE/>
        <w:autoSpaceDN/>
        <w:adjustRightInd/>
        <w:snapToGrid w:val="0"/>
        <w:spacing w:line="360" w:lineRule="auto"/>
        <w:jc w:val="both"/>
        <w:textAlignment w:val="auto"/>
        <w:rPr>
          <w:rFonts w:hint="eastAsia" w:ascii="仿宋" w:hAnsi="仿宋" w:eastAsia="仿宋" w:cs="仿宋"/>
          <w:color w:val="auto"/>
          <w:kern w:val="2"/>
          <w:sz w:val="24"/>
          <w:szCs w:val="24"/>
          <w:highlight w:val="none"/>
          <w:u w:val="single"/>
          <w:lang w:eastAsia="zh-CN"/>
        </w:rPr>
      </w:pPr>
      <w:r>
        <w:rPr>
          <w:rFonts w:hint="eastAsia" w:ascii="仿宋" w:hAnsi="仿宋" w:eastAsia="仿宋" w:cs="仿宋"/>
          <w:color w:val="auto"/>
          <w:kern w:val="2"/>
          <w:sz w:val="24"/>
          <w:szCs w:val="24"/>
          <w:highlight w:val="none"/>
          <w:lang w:eastAsia="zh-CN"/>
        </w:rPr>
        <w:t>项目名称：</w:t>
      </w:r>
      <w:r>
        <w:rPr>
          <w:rFonts w:hint="eastAsia" w:ascii="仿宋" w:hAnsi="仿宋" w:eastAsia="仿宋" w:cs="仿宋"/>
          <w:color w:val="auto"/>
          <w:kern w:val="2"/>
          <w:sz w:val="24"/>
          <w:szCs w:val="24"/>
          <w:highlight w:val="none"/>
          <w:u w:val="single"/>
          <w:lang w:eastAsia="zh-CN"/>
        </w:rPr>
        <w:t xml:space="preserve">                           </w:t>
      </w:r>
      <w:r>
        <w:rPr>
          <w:rFonts w:hint="eastAsia" w:ascii="仿宋" w:hAnsi="仿宋" w:eastAsia="仿宋" w:cs="仿宋"/>
          <w:color w:val="auto"/>
          <w:kern w:val="2"/>
          <w:sz w:val="24"/>
          <w:szCs w:val="24"/>
          <w:highlight w:val="none"/>
          <w:lang w:eastAsia="zh-CN"/>
        </w:rPr>
        <w:t>项目编号：</w:t>
      </w:r>
      <w:r>
        <w:rPr>
          <w:rFonts w:hint="eastAsia" w:ascii="仿宋" w:hAnsi="仿宋" w:eastAsia="仿宋" w:cs="仿宋"/>
          <w:color w:val="auto"/>
          <w:kern w:val="2"/>
          <w:sz w:val="24"/>
          <w:szCs w:val="24"/>
          <w:highlight w:val="none"/>
          <w:u w:val="single"/>
          <w:lang w:eastAsia="zh-CN"/>
        </w:rPr>
        <w:t xml:space="preserve">                       </w:t>
      </w:r>
    </w:p>
    <w:p w14:paraId="24359061">
      <w:pPr>
        <w:widowControl w:val="0"/>
        <w:kinsoku/>
        <w:autoSpaceDE/>
        <w:autoSpaceDN/>
        <w:adjustRightInd/>
        <w:snapToGrid w:val="0"/>
        <w:spacing w:line="360" w:lineRule="auto"/>
        <w:jc w:val="both"/>
        <w:textAlignment w:val="auto"/>
        <w:rPr>
          <w:rFonts w:hint="eastAsia"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合同类型：买卖合同</w:t>
      </w:r>
    </w:p>
    <w:p w14:paraId="7732C2DC">
      <w:pPr>
        <w:rPr>
          <w:rFonts w:hint="eastAsia" w:ascii="仿宋" w:hAnsi="仿宋" w:eastAsia="仿宋" w:cs="仿宋"/>
          <w:sz w:val="24"/>
          <w:szCs w:val="24"/>
          <w:highlight w:val="none"/>
        </w:rPr>
      </w:pPr>
      <w:r>
        <w:rPr>
          <w:rFonts w:hint="eastAsia" w:ascii="仿宋" w:hAnsi="仿宋" w:eastAsia="仿宋" w:cs="仿宋"/>
          <w:color w:val="auto"/>
          <w:kern w:val="2"/>
          <w:sz w:val="24"/>
          <w:szCs w:val="24"/>
          <w:highlight w:val="none"/>
          <w:lang w:eastAsia="zh-CN"/>
        </w:rPr>
        <w:t>签订地点：广西壮族自治区南溪山医院（广西壮族自治区第二人民医院）</w:t>
      </w:r>
    </w:p>
    <w:p w14:paraId="69CF02B0">
      <w:pPr>
        <w:pStyle w:val="28"/>
        <w:adjustRightInd w:val="0"/>
        <w:snapToGrid w:val="0"/>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根据《中华人民共和国政府采购法》、《政府采购货物和服务招标投标管理办法》、《中华人民共和国民法典》等法律法规规定，按照招标文件规定条款和乙方投标文件承诺，甲乙双方签订本合同。</w:t>
      </w:r>
    </w:p>
    <w:p w14:paraId="53D0D281">
      <w:pPr>
        <w:pStyle w:val="4"/>
        <w:bidi w:val="0"/>
        <w:ind w:firstLine="482" w:firstLineChars="200"/>
        <w:rPr>
          <w:rFonts w:hint="eastAsia" w:ascii="仿宋" w:hAnsi="仿宋" w:eastAsia="仿宋" w:cs="仿宋"/>
          <w:sz w:val="24"/>
          <w:szCs w:val="24"/>
          <w:highlight w:val="none"/>
          <w:lang w:eastAsia="zh-CN"/>
        </w:rPr>
      </w:pPr>
      <w:bookmarkStart w:id="170" w:name="_Toc30699"/>
      <w:r>
        <w:rPr>
          <w:rFonts w:hint="eastAsia" w:ascii="仿宋" w:hAnsi="仿宋" w:eastAsia="仿宋" w:cs="仿宋"/>
          <w:sz w:val="24"/>
          <w:szCs w:val="24"/>
          <w:highlight w:val="none"/>
        </w:rPr>
        <w:t>第一条　合同标的</w:t>
      </w:r>
      <w:bookmarkEnd w:id="170"/>
    </w:p>
    <w:tbl>
      <w:tblPr>
        <w:tblStyle w:val="52"/>
        <w:tblW w:w="9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290"/>
        <w:gridCol w:w="1305"/>
        <w:gridCol w:w="1019"/>
        <w:gridCol w:w="801"/>
        <w:gridCol w:w="1060"/>
        <w:gridCol w:w="788"/>
        <w:gridCol w:w="662"/>
        <w:gridCol w:w="935"/>
        <w:gridCol w:w="1050"/>
      </w:tblGrid>
      <w:tr w14:paraId="2100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45" w:type="dxa"/>
            <w:noWrap w:val="0"/>
            <w:vAlign w:val="center"/>
          </w:tcPr>
          <w:p w14:paraId="0E462576">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序号</w:t>
            </w:r>
          </w:p>
        </w:tc>
        <w:tc>
          <w:tcPr>
            <w:tcW w:w="1290" w:type="dxa"/>
            <w:noWrap w:val="0"/>
            <w:vAlign w:val="center"/>
          </w:tcPr>
          <w:p w14:paraId="33FC7B77">
            <w:pPr>
              <w:spacing w:line="360" w:lineRule="exact"/>
              <w:jc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标的</w:t>
            </w:r>
          </w:p>
          <w:p w14:paraId="3B3396BF">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名称</w:t>
            </w:r>
          </w:p>
        </w:tc>
        <w:tc>
          <w:tcPr>
            <w:tcW w:w="1305" w:type="dxa"/>
            <w:noWrap w:val="0"/>
            <w:vAlign w:val="center"/>
          </w:tcPr>
          <w:p w14:paraId="5A1C3D3A">
            <w:pPr>
              <w:spacing w:line="360" w:lineRule="exact"/>
              <w:jc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产品</w:t>
            </w:r>
          </w:p>
          <w:p w14:paraId="0DD19E4E">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名称</w:t>
            </w:r>
          </w:p>
        </w:tc>
        <w:tc>
          <w:tcPr>
            <w:tcW w:w="1019" w:type="dxa"/>
            <w:noWrap w:val="0"/>
            <w:vAlign w:val="center"/>
          </w:tcPr>
          <w:p w14:paraId="36D7D973">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商标品牌</w:t>
            </w:r>
          </w:p>
        </w:tc>
        <w:tc>
          <w:tcPr>
            <w:tcW w:w="801" w:type="dxa"/>
            <w:noWrap w:val="0"/>
            <w:vAlign w:val="center"/>
          </w:tcPr>
          <w:p w14:paraId="36585535">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规格型号</w:t>
            </w:r>
          </w:p>
        </w:tc>
        <w:tc>
          <w:tcPr>
            <w:tcW w:w="1060" w:type="dxa"/>
            <w:noWrap w:val="0"/>
            <w:vAlign w:val="center"/>
          </w:tcPr>
          <w:p w14:paraId="115F414F">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生产</w:t>
            </w:r>
          </w:p>
          <w:p w14:paraId="38771618">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厂家</w:t>
            </w:r>
          </w:p>
        </w:tc>
        <w:tc>
          <w:tcPr>
            <w:tcW w:w="788" w:type="dxa"/>
            <w:noWrap w:val="0"/>
            <w:vAlign w:val="center"/>
          </w:tcPr>
          <w:p w14:paraId="709D9882">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数量</w:t>
            </w:r>
          </w:p>
        </w:tc>
        <w:tc>
          <w:tcPr>
            <w:tcW w:w="662" w:type="dxa"/>
            <w:noWrap w:val="0"/>
            <w:vAlign w:val="center"/>
          </w:tcPr>
          <w:p w14:paraId="2F7F58C8">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单位</w:t>
            </w:r>
          </w:p>
        </w:tc>
        <w:tc>
          <w:tcPr>
            <w:tcW w:w="935" w:type="dxa"/>
            <w:noWrap w:val="0"/>
            <w:vAlign w:val="center"/>
          </w:tcPr>
          <w:p w14:paraId="51616817">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单价(元)</w:t>
            </w:r>
          </w:p>
        </w:tc>
        <w:tc>
          <w:tcPr>
            <w:tcW w:w="1050" w:type="dxa"/>
            <w:noWrap w:val="0"/>
            <w:vAlign w:val="center"/>
          </w:tcPr>
          <w:p w14:paraId="48814131">
            <w:pPr>
              <w:spacing w:line="360" w:lineRule="exact"/>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金额(元)</w:t>
            </w:r>
          </w:p>
        </w:tc>
      </w:tr>
      <w:tr w14:paraId="466B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5" w:type="dxa"/>
            <w:noWrap w:val="0"/>
            <w:vAlign w:val="center"/>
          </w:tcPr>
          <w:p w14:paraId="272A5172">
            <w:pPr>
              <w:widowControl/>
              <w:adjustRightInd w:val="0"/>
              <w:snapToGrid w:val="0"/>
              <w:jc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1</w:t>
            </w:r>
          </w:p>
        </w:tc>
        <w:tc>
          <w:tcPr>
            <w:tcW w:w="1290" w:type="dxa"/>
            <w:noWrap w:val="0"/>
            <w:vAlign w:val="center"/>
          </w:tcPr>
          <w:p w14:paraId="1BEFE8CD">
            <w:pPr>
              <w:rPr>
                <w:rFonts w:hint="eastAsia" w:ascii="仿宋" w:hAnsi="仿宋" w:eastAsia="仿宋" w:cs="仿宋"/>
                <w:color w:val="000000"/>
                <w:kern w:val="0"/>
                <w:sz w:val="24"/>
                <w:szCs w:val="24"/>
                <w:highlight w:val="none"/>
                <w:lang w:bidi="ar"/>
              </w:rPr>
            </w:pPr>
          </w:p>
        </w:tc>
        <w:tc>
          <w:tcPr>
            <w:tcW w:w="1305" w:type="dxa"/>
            <w:noWrap w:val="0"/>
            <w:vAlign w:val="center"/>
          </w:tcPr>
          <w:p w14:paraId="0FCC7C3F">
            <w:pPr>
              <w:rPr>
                <w:rFonts w:hint="eastAsia" w:ascii="仿宋" w:hAnsi="仿宋" w:eastAsia="仿宋" w:cs="仿宋"/>
                <w:color w:val="000000"/>
                <w:sz w:val="24"/>
                <w:szCs w:val="24"/>
                <w:highlight w:val="none"/>
              </w:rPr>
            </w:pPr>
          </w:p>
        </w:tc>
        <w:tc>
          <w:tcPr>
            <w:tcW w:w="1019" w:type="dxa"/>
            <w:noWrap w:val="0"/>
            <w:vAlign w:val="center"/>
          </w:tcPr>
          <w:p w14:paraId="1A51CF2F">
            <w:pPr>
              <w:rPr>
                <w:rFonts w:hint="eastAsia" w:ascii="仿宋" w:hAnsi="仿宋" w:eastAsia="仿宋" w:cs="仿宋"/>
                <w:color w:val="000000"/>
                <w:sz w:val="24"/>
                <w:szCs w:val="24"/>
                <w:highlight w:val="none"/>
              </w:rPr>
            </w:pPr>
          </w:p>
        </w:tc>
        <w:tc>
          <w:tcPr>
            <w:tcW w:w="801" w:type="dxa"/>
            <w:noWrap w:val="0"/>
            <w:vAlign w:val="center"/>
          </w:tcPr>
          <w:p w14:paraId="2968DA5E">
            <w:pPr>
              <w:rPr>
                <w:rFonts w:hint="eastAsia" w:ascii="仿宋" w:hAnsi="仿宋" w:eastAsia="仿宋" w:cs="仿宋"/>
                <w:color w:val="000000"/>
                <w:kern w:val="0"/>
                <w:sz w:val="24"/>
                <w:szCs w:val="24"/>
                <w:highlight w:val="none"/>
                <w:lang w:bidi="ar"/>
              </w:rPr>
            </w:pPr>
          </w:p>
        </w:tc>
        <w:tc>
          <w:tcPr>
            <w:tcW w:w="1060" w:type="dxa"/>
            <w:noWrap w:val="0"/>
            <w:vAlign w:val="center"/>
          </w:tcPr>
          <w:p w14:paraId="7FD5E378">
            <w:pPr>
              <w:rPr>
                <w:rFonts w:hint="eastAsia" w:ascii="仿宋" w:hAnsi="仿宋" w:eastAsia="仿宋" w:cs="仿宋"/>
                <w:color w:val="000000"/>
                <w:sz w:val="24"/>
                <w:szCs w:val="24"/>
                <w:highlight w:val="none"/>
              </w:rPr>
            </w:pPr>
          </w:p>
        </w:tc>
        <w:tc>
          <w:tcPr>
            <w:tcW w:w="788" w:type="dxa"/>
            <w:noWrap w:val="0"/>
            <w:vAlign w:val="center"/>
          </w:tcPr>
          <w:p w14:paraId="70F3A46B">
            <w:pPr>
              <w:widowControl/>
              <w:adjustRightInd w:val="0"/>
              <w:snapToGrid w:val="0"/>
              <w:rPr>
                <w:rFonts w:hint="eastAsia" w:ascii="仿宋" w:hAnsi="仿宋" w:eastAsia="仿宋" w:cs="仿宋"/>
                <w:color w:val="000000"/>
                <w:kern w:val="0"/>
                <w:sz w:val="24"/>
                <w:szCs w:val="24"/>
                <w:highlight w:val="none"/>
              </w:rPr>
            </w:pPr>
          </w:p>
        </w:tc>
        <w:tc>
          <w:tcPr>
            <w:tcW w:w="662" w:type="dxa"/>
            <w:noWrap w:val="0"/>
            <w:vAlign w:val="center"/>
          </w:tcPr>
          <w:p w14:paraId="310F2C14">
            <w:pPr>
              <w:widowControl/>
              <w:adjustRightInd w:val="0"/>
              <w:snapToGrid w:val="0"/>
              <w:rPr>
                <w:rFonts w:hint="eastAsia" w:ascii="仿宋" w:hAnsi="仿宋" w:eastAsia="仿宋" w:cs="仿宋"/>
                <w:color w:val="000000"/>
                <w:kern w:val="0"/>
                <w:sz w:val="24"/>
                <w:szCs w:val="24"/>
                <w:highlight w:val="none"/>
              </w:rPr>
            </w:pPr>
          </w:p>
        </w:tc>
        <w:tc>
          <w:tcPr>
            <w:tcW w:w="935" w:type="dxa"/>
            <w:noWrap w:val="0"/>
            <w:vAlign w:val="center"/>
          </w:tcPr>
          <w:p w14:paraId="6FE0B24E">
            <w:pPr>
              <w:rPr>
                <w:rFonts w:hint="eastAsia" w:ascii="仿宋" w:hAnsi="仿宋" w:eastAsia="仿宋" w:cs="仿宋"/>
                <w:color w:val="000000"/>
                <w:sz w:val="24"/>
                <w:szCs w:val="24"/>
                <w:highlight w:val="none"/>
              </w:rPr>
            </w:pPr>
          </w:p>
        </w:tc>
        <w:tc>
          <w:tcPr>
            <w:tcW w:w="1050" w:type="dxa"/>
            <w:noWrap w:val="0"/>
            <w:vAlign w:val="center"/>
          </w:tcPr>
          <w:p w14:paraId="269465D6">
            <w:pPr>
              <w:rPr>
                <w:rFonts w:hint="eastAsia" w:ascii="仿宋" w:hAnsi="仿宋" w:eastAsia="仿宋" w:cs="仿宋"/>
                <w:color w:val="000000"/>
                <w:sz w:val="24"/>
                <w:szCs w:val="24"/>
                <w:highlight w:val="none"/>
              </w:rPr>
            </w:pPr>
          </w:p>
        </w:tc>
      </w:tr>
      <w:tr w14:paraId="0BBB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45" w:type="dxa"/>
            <w:noWrap w:val="0"/>
            <w:vAlign w:val="center"/>
          </w:tcPr>
          <w:p w14:paraId="5A90DC0F">
            <w:pPr>
              <w:widowControl/>
              <w:adjustRightInd w:val="0"/>
              <w:snapToGrid w:val="0"/>
              <w:jc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w:t>
            </w:r>
          </w:p>
        </w:tc>
        <w:tc>
          <w:tcPr>
            <w:tcW w:w="1290" w:type="dxa"/>
            <w:noWrap w:val="0"/>
            <w:vAlign w:val="center"/>
          </w:tcPr>
          <w:p w14:paraId="63CB99F3">
            <w:pPr>
              <w:rPr>
                <w:rFonts w:hint="eastAsia" w:ascii="仿宋" w:hAnsi="仿宋" w:eastAsia="仿宋" w:cs="仿宋"/>
                <w:color w:val="000000"/>
                <w:kern w:val="0"/>
                <w:sz w:val="24"/>
                <w:szCs w:val="24"/>
                <w:highlight w:val="none"/>
                <w:lang w:bidi="ar"/>
              </w:rPr>
            </w:pPr>
          </w:p>
        </w:tc>
        <w:tc>
          <w:tcPr>
            <w:tcW w:w="1305" w:type="dxa"/>
            <w:noWrap w:val="0"/>
            <w:vAlign w:val="center"/>
          </w:tcPr>
          <w:p w14:paraId="7ED34C60">
            <w:pPr>
              <w:rPr>
                <w:rFonts w:hint="eastAsia" w:ascii="仿宋" w:hAnsi="仿宋" w:eastAsia="仿宋" w:cs="仿宋"/>
                <w:color w:val="000000"/>
                <w:sz w:val="24"/>
                <w:szCs w:val="24"/>
                <w:highlight w:val="none"/>
              </w:rPr>
            </w:pPr>
          </w:p>
        </w:tc>
        <w:tc>
          <w:tcPr>
            <w:tcW w:w="1019" w:type="dxa"/>
            <w:noWrap w:val="0"/>
            <w:vAlign w:val="center"/>
          </w:tcPr>
          <w:p w14:paraId="1E02A773">
            <w:pPr>
              <w:rPr>
                <w:rFonts w:hint="eastAsia" w:ascii="仿宋" w:hAnsi="仿宋" w:eastAsia="仿宋" w:cs="仿宋"/>
                <w:color w:val="000000"/>
                <w:sz w:val="24"/>
                <w:szCs w:val="24"/>
                <w:highlight w:val="none"/>
              </w:rPr>
            </w:pPr>
          </w:p>
        </w:tc>
        <w:tc>
          <w:tcPr>
            <w:tcW w:w="801" w:type="dxa"/>
            <w:noWrap w:val="0"/>
            <w:vAlign w:val="center"/>
          </w:tcPr>
          <w:p w14:paraId="011C6BB1">
            <w:pPr>
              <w:rPr>
                <w:rFonts w:hint="eastAsia" w:ascii="仿宋" w:hAnsi="仿宋" w:eastAsia="仿宋" w:cs="仿宋"/>
                <w:color w:val="000000"/>
                <w:kern w:val="0"/>
                <w:sz w:val="24"/>
                <w:szCs w:val="24"/>
                <w:highlight w:val="none"/>
                <w:lang w:bidi="ar"/>
              </w:rPr>
            </w:pPr>
          </w:p>
        </w:tc>
        <w:tc>
          <w:tcPr>
            <w:tcW w:w="1060" w:type="dxa"/>
            <w:noWrap w:val="0"/>
            <w:vAlign w:val="center"/>
          </w:tcPr>
          <w:p w14:paraId="183F2F35">
            <w:pPr>
              <w:rPr>
                <w:rFonts w:hint="eastAsia" w:ascii="仿宋" w:hAnsi="仿宋" w:eastAsia="仿宋" w:cs="仿宋"/>
                <w:color w:val="000000"/>
                <w:sz w:val="24"/>
                <w:szCs w:val="24"/>
                <w:highlight w:val="none"/>
              </w:rPr>
            </w:pPr>
          </w:p>
        </w:tc>
        <w:tc>
          <w:tcPr>
            <w:tcW w:w="788" w:type="dxa"/>
            <w:noWrap w:val="0"/>
            <w:vAlign w:val="center"/>
          </w:tcPr>
          <w:p w14:paraId="32A6E594">
            <w:pPr>
              <w:widowControl/>
              <w:adjustRightInd w:val="0"/>
              <w:snapToGrid w:val="0"/>
              <w:rPr>
                <w:rFonts w:hint="eastAsia" w:ascii="仿宋" w:hAnsi="仿宋" w:eastAsia="仿宋" w:cs="仿宋"/>
                <w:color w:val="000000"/>
                <w:kern w:val="0"/>
                <w:sz w:val="24"/>
                <w:szCs w:val="24"/>
                <w:highlight w:val="none"/>
              </w:rPr>
            </w:pPr>
          </w:p>
        </w:tc>
        <w:tc>
          <w:tcPr>
            <w:tcW w:w="662" w:type="dxa"/>
            <w:noWrap w:val="0"/>
            <w:vAlign w:val="center"/>
          </w:tcPr>
          <w:p w14:paraId="0F0F14EE">
            <w:pPr>
              <w:widowControl/>
              <w:adjustRightInd w:val="0"/>
              <w:snapToGrid w:val="0"/>
              <w:rPr>
                <w:rFonts w:hint="eastAsia" w:ascii="仿宋" w:hAnsi="仿宋" w:eastAsia="仿宋" w:cs="仿宋"/>
                <w:color w:val="000000"/>
                <w:kern w:val="0"/>
                <w:sz w:val="24"/>
                <w:szCs w:val="24"/>
                <w:highlight w:val="none"/>
              </w:rPr>
            </w:pPr>
          </w:p>
        </w:tc>
        <w:tc>
          <w:tcPr>
            <w:tcW w:w="935" w:type="dxa"/>
            <w:noWrap w:val="0"/>
            <w:vAlign w:val="center"/>
          </w:tcPr>
          <w:p w14:paraId="18523B34">
            <w:pPr>
              <w:rPr>
                <w:rFonts w:hint="eastAsia" w:ascii="仿宋" w:hAnsi="仿宋" w:eastAsia="仿宋" w:cs="仿宋"/>
                <w:color w:val="000000"/>
                <w:sz w:val="24"/>
                <w:szCs w:val="24"/>
                <w:highlight w:val="none"/>
              </w:rPr>
            </w:pPr>
          </w:p>
        </w:tc>
        <w:tc>
          <w:tcPr>
            <w:tcW w:w="1050" w:type="dxa"/>
            <w:noWrap w:val="0"/>
            <w:vAlign w:val="center"/>
          </w:tcPr>
          <w:p w14:paraId="09A19862">
            <w:pPr>
              <w:rPr>
                <w:rFonts w:hint="eastAsia" w:ascii="仿宋" w:hAnsi="仿宋" w:eastAsia="仿宋" w:cs="仿宋"/>
                <w:color w:val="000000"/>
                <w:sz w:val="24"/>
                <w:szCs w:val="24"/>
                <w:highlight w:val="none"/>
              </w:rPr>
            </w:pPr>
          </w:p>
        </w:tc>
      </w:tr>
      <w:tr w14:paraId="3E2E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555" w:type="dxa"/>
            <w:gridSpan w:val="10"/>
            <w:noWrap w:val="0"/>
            <w:vAlign w:val="center"/>
          </w:tcPr>
          <w:p w14:paraId="6DE26004">
            <w:pP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人民币合计金额(大写) ：                    (小写)¥：</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元</w:t>
            </w:r>
          </w:p>
        </w:tc>
      </w:tr>
    </w:tbl>
    <w:p w14:paraId="39DB43C0">
      <w:pPr>
        <w:pStyle w:val="4"/>
        <w:bidi w:val="0"/>
        <w:ind w:firstLine="482" w:firstLineChars="200"/>
        <w:rPr>
          <w:rFonts w:hint="eastAsia" w:ascii="仿宋" w:hAnsi="仿宋" w:eastAsia="仿宋" w:cs="仿宋"/>
          <w:sz w:val="24"/>
          <w:szCs w:val="24"/>
          <w:highlight w:val="none"/>
        </w:rPr>
      </w:pPr>
      <w:bookmarkStart w:id="171" w:name="_Toc6425"/>
      <w:r>
        <w:rPr>
          <w:rFonts w:hint="eastAsia" w:ascii="仿宋" w:hAnsi="仿宋" w:eastAsia="仿宋" w:cs="仿宋"/>
          <w:sz w:val="24"/>
          <w:szCs w:val="24"/>
          <w:highlight w:val="none"/>
        </w:rPr>
        <w:t>第二条　标的质量</w:t>
      </w:r>
      <w:bookmarkEnd w:id="171"/>
    </w:p>
    <w:p w14:paraId="2095D57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1.乙方所提供标的的名称、商标品牌、生产厂家、规格型号、技术参数</w:t>
      </w:r>
      <w:r>
        <w:rPr>
          <w:rFonts w:hint="eastAsia" w:ascii="仿宋" w:hAnsi="仿宋" w:eastAsia="仿宋" w:cs="仿宋"/>
          <w:color w:val="000000"/>
          <w:spacing w:val="-6"/>
          <w:sz w:val="24"/>
          <w:szCs w:val="24"/>
          <w:highlight w:val="none"/>
        </w:rPr>
        <w:t>等内容必须与乙方投标文件及有关承诺相一致，且满足项目实施要求。</w:t>
      </w:r>
    </w:p>
    <w:p w14:paraId="16E44D0A">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2.乙方所提供的货物必须是全新、未使用的原装产品，且在正常安装、</w:t>
      </w:r>
      <w:r>
        <w:rPr>
          <w:rFonts w:hint="eastAsia" w:ascii="仿宋" w:hAnsi="仿宋" w:eastAsia="仿宋" w:cs="仿宋"/>
          <w:color w:val="000000"/>
          <w:spacing w:val="-6"/>
          <w:sz w:val="24"/>
          <w:szCs w:val="24"/>
          <w:highlight w:val="none"/>
        </w:rPr>
        <w:t>使用和保养条件下，其使用寿命期内各项指标均达到投标文件的承诺。</w:t>
      </w:r>
    </w:p>
    <w:p w14:paraId="09C2C078">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乙方在交付产品后，甲方在任何时间如发现乙方所交付的产品不符合甲方招标文件要求或乙方在投标文件中的承诺，乙方应当提供相关证明材料或鉴定报告予以作证，乙方无法证明其交付的产品符合招标文件或投标文件的，按质量不合格处理。</w:t>
      </w:r>
    </w:p>
    <w:p w14:paraId="547F6296">
      <w:pPr>
        <w:pStyle w:val="4"/>
        <w:bidi w:val="0"/>
        <w:ind w:firstLine="482" w:firstLineChars="200"/>
        <w:rPr>
          <w:rFonts w:hint="eastAsia" w:ascii="仿宋" w:hAnsi="仿宋" w:eastAsia="仿宋" w:cs="仿宋"/>
          <w:color w:val="000000"/>
          <w:sz w:val="24"/>
          <w:szCs w:val="24"/>
          <w:highlight w:val="none"/>
        </w:rPr>
      </w:pPr>
      <w:bookmarkStart w:id="172" w:name="_Toc15229"/>
      <w:r>
        <w:rPr>
          <w:rFonts w:hint="eastAsia" w:ascii="仿宋" w:hAnsi="仿宋" w:eastAsia="仿宋" w:cs="仿宋"/>
          <w:sz w:val="24"/>
          <w:szCs w:val="24"/>
          <w:highlight w:val="none"/>
        </w:rPr>
        <w:t>第三条　履行时间（期限）、地点和方式</w:t>
      </w:r>
      <w:bookmarkEnd w:id="172"/>
    </w:p>
    <w:p w14:paraId="0D8C62C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1.履行时间（期限）：自签订合同之日起</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个日历日内安装调试合格完毕并交付使用。</w:t>
      </w:r>
    </w:p>
    <w:p w14:paraId="1A4E887C">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2.履行地点：广西桂林市内甲方指定地点。</w:t>
      </w:r>
    </w:p>
    <w:p w14:paraId="60A35E9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3.履行方式:</w:t>
      </w:r>
    </w:p>
    <w:p w14:paraId="34ACE208">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（1）乙方负责货物运输，货物的运输方式：</w:t>
      </w:r>
      <w:r>
        <w:rPr>
          <w:rFonts w:hint="eastAsia" w:ascii="仿宋" w:hAnsi="仿宋" w:eastAsia="仿宋" w:cs="仿宋"/>
          <w:color w:val="000000"/>
          <w:sz w:val="24"/>
          <w:szCs w:val="24"/>
          <w:highlight w:val="none"/>
          <w:u w:val="single"/>
        </w:rPr>
        <w:t xml:space="preserve">  不限  </w:t>
      </w:r>
      <w:r>
        <w:rPr>
          <w:rFonts w:hint="eastAsia" w:ascii="仿宋" w:hAnsi="仿宋" w:eastAsia="仿宋" w:cs="仿宋"/>
          <w:color w:val="000000"/>
          <w:sz w:val="24"/>
          <w:szCs w:val="24"/>
          <w:highlight w:val="none"/>
        </w:rPr>
        <w:t>。</w:t>
      </w:r>
    </w:p>
    <w:p w14:paraId="455DB80A">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（2）交货方式：</w:t>
      </w:r>
    </w:p>
    <w:p w14:paraId="6F422ED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☑乙方将货物送到甲方指定地点。</w:t>
      </w:r>
    </w:p>
    <w:p w14:paraId="1876131E">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□甲方自行到乙方指定地点提货。</w:t>
      </w:r>
    </w:p>
    <w:p w14:paraId="494A7F7C">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□其他：</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w:t>
      </w:r>
    </w:p>
    <w:p w14:paraId="419F118A">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（3）卸货费用由乙方承担。</w:t>
      </w:r>
    </w:p>
    <w:p w14:paraId="056B670F">
      <w:pPr>
        <w:pStyle w:val="4"/>
        <w:bidi w:val="0"/>
        <w:ind w:firstLine="482" w:firstLineChars="200"/>
        <w:rPr>
          <w:rFonts w:hint="eastAsia" w:ascii="仿宋" w:hAnsi="仿宋" w:eastAsia="仿宋" w:cs="仿宋"/>
          <w:sz w:val="24"/>
          <w:szCs w:val="24"/>
          <w:highlight w:val="none"/>
        </w:rPr>
      </w:pPr>
      <w:bookmarkStart w:id="173" w:name="_Toc17278"/>
      <w:r>
        <w:rPr>
          <w:rFonts w:hint="eastAsia" w:ascii="仿宋" w:hAnsi="仿宋" w:eastAsia="仿宋" w:cs="仿宋"/>
          <w:sz w:val="24"/>
          <w:szCs w:val="24"/>
          <w:highlight w:val="none"/>
        </w:rPr>
        <w:t>第四条　包装方式及运输</w:t>
      </w:r>
      <w:bookmarkEnd w:id="173"/>
    </w:p>
    <w:p w14:paraId="18B4F16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1.乙方提供的货物均应按投标文件承诺的包装要求进行包装及运输,要求为原厂原包装，包装完好完整、无破损、未开封。国家对包装及运输有相关强制性标准或要求的，乙方应当执行。</w:t>
      </w:r>
    </w:p>
    <w:p w14:paraId="3E674BBD">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2.乙方的包装及运输应综合考虑运输距离、防水、防潮、防震、防锈和防破损装卸等要求，以保证货物安全、完好运达甲方指定地点。国家对包装及运输有相关强制性标准或要求的，乙方应当执行。</w:t>
      </w:r>
    </w:p>
    <w:p w14:paraId="202FCCEE">
      <w:pPr>
        <w:pStyle w:val="2"/>
        <w:spacing w:after="0"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3.货物的使用说明书（货物属于进口产品的，供货时应同时附上中文使用说明书）、质量检验证明书、质量合格证、随配附件和工具以及清单一并附于货物包装内。</w:t>
      </w:r>
    </w:p>
    <w:p w14:paraId="1C25740C">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4.产品（含包装）运抵甲方指定交付地点并经甲方验收合格前发生损坏及相关风险由乙方自行承担。</w:t>
      </w:r>
    </w:p>
    <w:p w14:paraId="1339B80D">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5.乙方负责货物运输，货物运输合理损耗及计算方法：</w:t>
      </w:r>
      <w:r>
        <w:rPr>
          <w:rFonts w:hint="eastAsia" w:ascii="仿宋" w:hAnsi="仿宋" w:eastAsia="仿宋" w:cs="仿宋"/>
          <w:color w:val="000000"/>
          <w:sz w:val="24"/>
          <w:szCs w:val="24"/>
          <w:highlight w:val="none"/>
          <w:u w:val="single"/>
        </w:rPr>
        <w:t>由乙方负责</w:t>
      </w:r>
      <w:r>
        <w:rPr>
          <w:rFonts w:hint="eastAsia" w:ascii="仿宋" w:hAnsi="仿宋" w:eastAsia="仿宋" w:cs="仿宋"/>
          <w:color w:val="000000"/>
          <w:sz w:val="24"/>
          <w:szCs w:val="24"/>
          <w:highlight w:val="none"/>
        </w:rPr>
        <w:t>。</w:t>
      </w:r>
    </w:p>
    <w:p w14:paraId="432F3DF1">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6.乙方在货物发运手续办理完毕后二十四小时内或货到甲方四十八小时前通知甲方，以准备接货。</w:t>
      </w:r>
    </w:p>
    <w:p w14:paraId="15B20190">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7.乙方应将所提供货物的装箱清单、用户手册、原厂保修卡、随机资料、工具和备品、备件等一并交付给甲方，如有缺失应及时补齐，否则视为逾期交货。</w:t>
      </w:r>
    </w:p>
    <w:p w14:paraId="05498F52">
      <w:pPr>
        <w:pStyle w:val="4"/>
        <w:bidi w:val="0"/>
        <w:ind w:firstLine="482" w:firstLineChars="200"/>
        <w:rPr>
          <w:rFonts w:hint="eastAsia" w:ascii="仿宋" w:hAnsi="仿宋" w:eastAsia="仿宋" w:cs="仿宋"/>
          <w:sz w:val="24"/>
          <w:szCs w:val="24"/>
          <w:highlight w:val="none"/>
        </w:rPr>
      </w:pPr>
      <w:bookmarkStart w:id="174" w:name="_Toc6945"/>
      <w:r>
        <w:rPr>
          <w:rFonts w:hint="eastAsia" w:ascii="仿宋" w:hAnsi="仿宋" w:eastAsia="仿宋" w:cs="仿宋"/>
          <w:sz w:val="24"/>
          <w:szCs w:val="24"/>
          <w:highlight w:val="none"/>
        </w:rPr>
        <w:t>第五条　安装和培训</w:t>
      </w:r>
      <w:bookmarkEnd w:id="174"/>
    </w:p>
    <w:p w14:paraId="51D36EA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1.安装时间及地点：</w:t>
      </w:r>
      <w:r>
        <w:rPr>
          <w:rFonts w:hint="eastAsia" w:ascii="仿宋" w:hAnsi="仿宋" w:eastAsia="仿宋" w:cs="仿宋"/>
          <w:color w:val="000000"/>
          <w:sz w:val="24"/>
          <w:szCs w:val="24"/>
          <w:highlight w:val="none"/>
          <w:u w:val="single"/>
        </w:rPr>
        <w:t>甲方指定的时间和地点</w:t>
      </w:r>
      <w:r>
        <w:rPr>
          <w:rFonts w:hint="eastAsia" w:ascii="仿宋" w:hAnsi="仿宋" w:eastAsia="仿宋" w:cs="仿宋"/>
          <w:color w:val="000000"/>
          <w:sz w:val="24"/>
          <w:szCs w:val="24"/>
          <w:highlight w:val="none"/>
        </w:rPr>
        <w:t>。</w:t>
      </w:r>
    </w:p>
    <w:p w14:paraId="7E59D7D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2.安装要求：</w:t>
      </w:r>
      <w:r>
        <w:rPr>
          <w:rFonts w:hint="eastAsia" w:ascii="仿宋" w:hAnsi="仿宋" w:eastAsia="仿宋" w:cs="仿宋"/>
          <w:color w:val="000000"/>
          <w:sz w:val="24"/>
          <w:szCs w:val="24"/>
          <w:highlight w:val="none"/>
          <w:u w:val="single"/>
        </w:rPr>
        <w:t>乙方应当按招标文件要求或甲方要求进行安装</w:t>
      </w:r>
      <w:r>
        <w:rPr>
          <w:rFonts w:hint="eastAsia" w:ascii="仿宋" w:hAnsi="仿宋" w:eastAsia="仿宋" w:cs="仿宋"/>
          <w:color w:val="000000"/>
          <w:sz w:val="24"/>
          <w:szCs w:val="24"/>
          <w:highlight w:val="none"/>
        </w:rPr>
        <w:t>。</w:t>
      </w:r>
    </w:p>
    <w:p w14:paraId="3CE7AE6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3.甲方应提供必要安装条件（如场地、电源、水源等）。</w:t>
      </w:r>
    </w:p>
    <w:p w14:paraId="6D4910EC">
      <w:pPr>
        <w:pStyle w:val="2"/>
        <w:spacing w:after="0" w:line="360" w:lineRule="auto"/>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乙方应当按照投标文件的承诺负责对甲方有关人员进行培训，使甲方使用人员熟练掌握设备的全部功能，培训的相关费用包括在合同价款中，甲方不再另行支付。培训时间：货物安装调试合格完毕并交付使用后的</w:t>
      </w:r>
      <w:r>
        <w:rPr>
          <w:rFonts w:hint="eastAsia" w:ascii="仿宋" w:hAnsi="仿宋" w:eastAsia="仿宋" w:cs="仿宋"/>
          <w:color w:val="000000"/>
          <w:sz w:val="24"/>
          <w:szCs w:val="24"/>
          <w:highlight w:val="none"/>
          <w:u w:val="single"/>
          <w:lang w:val="en-US" w:eastAsia="zh-CN"/>
        </w:rPr>
        <w:t xml:space="preserve"> 1</w:t>
      </w:r>
      <w:r>
        <w:rPr>
          <w:rFonts w:hint="eastAsia" w:ascii="仿宋" w:hAnsi="仿宋" w:eastAsia="仿宋" w:cs="仿宋"/>
          <w:color w:val="000000"/>
          <w:sz w:val="24"/>
          <w:szCs w:val="24"/>
          <w:highlight w:val="none"/>
          <w:lang w:val="en-US" w:eastAsia="zh-CN"/>
        </w:rPr>
        <w:t>天内，具体时间由甲方指定；培训地点：</w:t>
      </w:r>
      <w:r>
        <w:rPr>
          <w:rFonts w:hint="eastAsia" w:ascii="仿宋" w:hAnsi="仿宋" w:eastAsia="仿宋" w:cs="仿宋"/>
          <w:color w:val="000000"/>
          <w:sz w:val="24"/>
          <w:szCs w:val="24"/>
          <w:highlight w:val="none"/>
          <w:u w:val="single"/>
          <w:lang w:val="en-US" w:eastAsia="zh-CN"/>
        </w:rPr>
        <w:t>广西桂林市内采购人指定地点</w:t>
      </w:r>
      <w:r>
        <w:rPr>
          <w:rFonts w:hint="eastAsia" w:ascii="仿宋" w:hAnsi="仿宋" w:eastAsia="仿宋" w:cs="仿宋"/>
          <w:color w:val="000000"/>
          <w:sz w:val="24"/>
          <w:szCs w:val="24"/>
          <w:highlight w:val="none"/>
          <w:lang w:val="en-US" w:eastAsia="zh-CN"/>
        </w:rPr>
        <w:t>。</w:t>
      </w:r>
    </w:p>
    <w:p w14:paraId="66EDA73D">
      <w:pPr>
        <w:pStyle w:val="2"/>
        <w:spacing w:after="0" w:line="360" w:lineRule="auto"/>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乙方在安装、调试以及培训期间，应采取严格安全保障措施，承担安全保障义务，安装调试以及培训期间发生的人身或财产损害事件，一切责任与法律后果均由乙方自行承担，给甲方造成损失的，乙方应当予以全部赔偿。</w:t>
      </w:r>
    </w:p>
    <w:p w14:paraId="4C61CDBE">
      <w:pPr>
        <w:pStyle w:val="4"/>
        <w:bidi w:val="0"/>
        <w:ind w:firstLine="482" w:firstLineChars="200"/>
        <w:rPr>
          <w:rFonts w:hint="eastAsia" w:ascii="仿宋" w:hAnsi="仿宋" w:eastAsia="仿宋" w:cs="仿宋"/>
          <w:sz w:val="24"/>
          <w:szCs w:val="24"/>
          <w:highlight w:val="none"/>
        </w:rPr>
      </w:pPr>
      <w:bookmarkStart w:id="175" w:name="_Toc19891"/>
      <w:r>
        <w:rPr>
          <w:rFonts w:hint="eastAsia" w:ascii="仿宋" w:hAnsi="仿宋" w:eastAsia="仿宋" w:cs="仿宋"/>
          <w:sz w:val="24"/>
          <w:szCs w:val="24"/>
          <w:highlight w:val="none"/>
        </w:rPr>
        <w:t>第六条　合同价款及支付</w:t>
      </w:r>
      <w:bookmarkEnd w:id="175"/>
    </w:p>
    <w:p w14:paraId="0C8FCA19">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1.本合同以人民币付款。</w:t>
      </w:r>
    </w:p>
    <w:p w14:paraId="4CA729B0">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2.合同价款 (人民币):（大写）：</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 xml:space="preserve">（小写） ¥ </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w:t>
      </w:r>
    </w:p>
    <w:p w14:paraId="1E1BD50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3.资金性质：</w:t>
      </w:r>
      <w:r>
        <w:rPr>
          <w:rFonts w:hint="eastAsia" w:ascii="仿宋" w:hAnsi="仿宋" w:eastAsia="仿宋" w:cs="仿宋"/>
          <w:color w:val="000000"/>
          <w:sz w:val="24"/>
          <w:szCs w:val="24"/>
          <w:highlight w:val="none"/>
          <w:u w:val="single"/>
        </w:rPr>
        <w:t>财政性资金</w:t>
      </w:r>
      <w:r>
        <w:rPr>
          <w:rFonts w:hint="eastAsia" w:ascii="仿宋" w:hAnsi="仿宋" w:eastAsia="仿宋" w:cs="仿宋"/>
          <w:color w:val="000000"/>
          <w:sz w:val="24"/>
          <w:szCs w:val="24"/>
          <w:highlight w:val="none"/>
        </w:rPr>
        <w:t>。</w:t>
      </w:r>
    </w:p>
    <w:p w14:paraId="2BEA47FB">
      <w:pPr>
        <w:pStyle w:val="2"/>
        <w:spacing w:after="0"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4.合同价款是履行合同的最终价格，包括所提供的货物（包括备品备件、专用工具等）的价格，</w:t>
      </w:r>
      <w:r>
        <w:rPr>
          <w:rFonts w:hint="eastAsia" w:ascii="仿宋" w:hAnsi="仿宋" w:eastAsia="仿宋" w:cs="仿宋"/>
          <w:color w:val="000000"/>
          <w:sz w:val="24"/>
          <w:szCs w:val="24"/>
          <w:highlight w:val="none"/>
          <w:lang w:val="en-US" w:eastAsia="zh-CN"/>
        </w:rPr>
        <w:t>以及</w:t>
      </w:r>
      <w:r>
        <w:rPr>
          <w:rFonts w:hint="eastAsia" w:ascii="仿宋" w:hAnsi="仿宋" w:eastAsia="仿宋" w:cs="仿宋"/>
          <w:color w:val="000000"/>
          <w:sz w:val="24"/>
          <w:szCs w:val="24"/>
          <w:highlight w:val="none"/>
        </w:rPr>
        <w:t>投标货物包装、运输、装卸、送货上门、安装、调试、检验、售后服务、技术服务、培训、保险、税金、招标文件要求提供的所有伴随服务、工程等费用和税费。</w:t>
      </w:r>
    </w:p>
    <w:p w14:paraId="0C92FDB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bCs/>
          <w:color w:val="000000"/>
          <w:sz w:val="24"/>
          <w:szCs w:val="24"/>
          <w:highlight w:val="none"/>
        </w:rPr>
        <w:t>5.</w:t>
      </w:r>
      <w:r>
        <w:rPr>
          <w:rFonts w:hint="eastAsia" w:ascii="仿宋" w:hAnsi="仿宋" w:eastAsia="仿宋" w:cs="仿宋"/>
          <w:color w:val="000000"/>
          <w:sz w:val="24"/>
          <w:szCs w:val="24"/>
          <w:highlight w:val="none"/>
        </w:rPr>
        <w:t>付款进度安排:付款进度安排:签订合同后30个工作日内，支付合同价款的30%，设备安装验收合格正常使用后30个工作日内，支付合同价款的70%。乙方须在设备验收合格后及时向甲方提供符合国家规定及甲方要求的全额有效的税务发票，甲方未收到发票的，有权不予支付相应款项直至乙方提供合格发票，并不承担延迟付款责任。发票认证通过是付款的必要前提之一</w:t>
      </w:r>
      <w:r>
        <w:rPr>
          <w:rFonts w:hint="eastAsia" w:ascii="仿宋" w:hAnsi="仿宋" w:eastAsia="仿宋" w:cs="仿宋"/>
          <w:color w:val="000000"/>
          <w:spacing w:val="-6"/>
          <w:sz w:val="24"/>
          <w:szCs w:val="24"/>
          <w:highlight w:val="none"/>
        </w:rPr>
        <w:t>。</w:t>
      </w:r>
    </w:p>
    <w:p w14:paraId="3068230C">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6.资金支付方式：</w:t>
      </w:r>
      <w:r>
        <w:rPr>
          <w:rFonts w:hint="eastAsia" w:ascii="仿宋" w:hAnsi="仿宋" w:eastAsia="仿宋" w:cs="仿宋"/>
          <w:color w:val="000000"/>
          <w:sz w:val="24"/>
          <w:szCs w:val="24"/>
          <w:highlight w:val="none"/>
          <w:u w:val="single"/>
        </w:rPr>
        <w:t xml:space="preserve">    （银行转账）   </w:t>
      </w:r>
      <w:r>
        <w:rPr>
          <w:rFonts w:hint="eastAsia" w:ascii="仿宋" w:hAnsi="仿宋" w:eastAsia="仿宋" w:cs="仿宋"/>
          <w:color w:val="000000"/>
          <w:sz w:val="24"/>
          <w:szCs w:val="24"/>
          <w:highlight w:val="none"/>
        </w:rPr>
        <w:t xml:space="preserve">。 </w:t>
      </w:r>
    </w:p>
    <w:p w14:paraId="022B8005">
      <w:pPr>
        <w:pStyle w:val="18"/>
        <w:spacing w:line="360" w:lineRule="auto"/>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乙方</w:t>
      </w:r>
      <w:r>
        <w:rPr>
          <w:rFonts w:hint="eastAsia" w:ascii="仿宋" w:hAnsi="仿宋" w:eastAsia="仿宋" w:cs="仿宋"/>
          <w:color w:val="000000"/>
          <w:sz w:val="24"/>
          <w:szCs w:val="24"/>
          <w:highlight w:val="none"/>
        </w:rPr>
        <w:t>银行账户</w:t>
      </w:r>
      <w:r>
        <w:rPr>
          <w:rFonts w:hint="eastAsia" w:ascii="仿宋" w:hAnsi="仿宋" w:eastAsia="仿宋" w:cs="仿宋"/>
          <w:color w:val="000000"/>
          <w:sz w:val="24"/>
          <w:szCs w:val="24"/>
          <w:highlight w:val="none"/>
          <w:lang w:val="en-US" w:eastAsia="zh-CN"/>
        </w:rPr>
        <w:t>信息：</w:t>
      </w:r>
    </w:p>
    <w:p w14:paraId="20A516D3">
      <w:pPr>
        <w:pStyle w:val="1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开户银行：XX银行XX支行</w:t>
      </w:r>
    </w:p>
    <w:p w14:paraId="02D6BC12">
      <w:pPr>
        <w:pStyle w:val="1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账号名称：XX</w:t>
      </w:r>
    </w:p>
    <w:p w14:paraId="20AD231E">
      <w:pPr>
        <w:pStyle w:val="18"/>
        <w:spacing w:line="360" w:lineRule="auto"/>
        <w:ind w:firstLine="480" w:firstLineChars="20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账号：XX</w:t>
      </w:r>
    </w:p>
    <w:p w14:paraId="255CBA7E">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7.采购合同履行中，甲方需追加与合同标的相同的货物的，在不改变合同其他条款的前提下，可以与乙方协商签订补充合同，但所有补充合同的采购金额不得超过原合同采购金额的10%。</w:t>
      </w:r>
    </w:p>
    <w:p w14:paraId="45EFE372">
      <w:pPr>
        <w:pStyle w:val="4"/>
        <w:bidi w:val="0"/>
        <w:ind w:firstLine="482" w:firstLineChars="200"/>
        <w:rPr>
          <w:rFonts w:hint="eastAsia" w:ascii="仿宋" w:hAnsi="仿宋" w:eastAsia="仿宋" w:cs="仿宋"/>
          <w:sz w:val="24"/>
          <w:szCs w:val="24"/>
          <w:highlight w:val="none"/>
        </w:rPr>
      </w:pPr>
      <w:bookmarkStart w:id="176" w:name="_Toc12349"/>
      <w:r>
        <w:rPr>
          <w:rFonts w:hint="eastAsia" w:ascii="仿宋" w:hAnsi="仿宋" w:eastAsia="仿宋" w:cs="仿宋"/>
          <w:sz w:val="24"/>
          <w:szCs w:val="24"/>
          <w:highlight w:val="none"/>
        </w:rPr>
        <w:t xml:space="preserve">第七条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保险、税费</w:t>
      </w:r>
      <w:bookmarkEnd w:id="176"/>
    </w:p>
    <w:p w14:paraId="28D32FB8">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bCs/>
          <w:color w:val="000000"/>
          <w:kern w:val="0"/>
          <w:sz w:val="24"/>
          <w:szCs w:val="24"/>
          <w:highlight w:val="none"/>
        </w:rPr>
        <w:t>1.若乙方为本项目标的及标的涉及的相关材料、设备、人员、运输等购买保险的，相关费用由乙方自行承担。</w:t>
      </w:r>
    </w:p>
    <w:p w14:paraId="5CC9729D">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2.本合同执行中相关的一切税费均由乙方负担。</w:t>
      </w:r>
    </w:p>
    <w:p w14:paraId="70CB00EF">
      <w:pPr>
        <w:pStyle w:val="4"/>
        <w:bidi w:val="0"/>
        <w:ind w:firstLine="482" w:firstLineChars="200"/>
        <w:rPr>
          <w:rFonts w:hint="eastAsia" w:ascii="仿宋" w:hAnsi="仿宋" w:eastAsia="仿宋" w:cs="仿宋"/>
          <w:sz w:val="24"/>
          <w:szCs w:val="24"/>
          <w:highlight w:val="none"/>
        </w:rPr>
      </w:pPr>
      <w:bookmarkStart w:id="177" w:name="_Toc26057"/>
      <w:r>
        <w:rPr>
          <w:rFonts w:hint="eastAsia" w:ascii="仿宋" w:hAnsi="仿宋" w:eastAsia="仿宋" w:cs="仿宋"/>
          <w:sz w:val="24"/>
          <w:szCs w:val="24"/>
          <w:highlight w:val="none"/>
        </w:rPr>
        <w:t>第八条　验收、交付标准和方法</w:t>
      </w:r>
      <w:bookmarkEnd w:id="177"/>
    </w:p>
    <w:p w14:paraId="55A84476">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1.履约验收时间：</w:t>
      </w:r>
    </w:p>
    <w:p w14:paraId="34ED543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（1）初步验收：标的到达甲方指定地点之日起7个工作日内。</w:t>
      </w:r>
    </w:p>
    <w:p w14:paraId="5BB003CD">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（2）交付验收：标的安装调试完毕之日起7个工作日内。</w:t>
      </w:r>
    </w:p>
    <w:p w14:paraId="1275791E">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（3）最终验收：乙方履行完合同约定的应当由乙方履行的全部事项之日起7个工作日内。</w:t>
      </w:r>
    </w:p>
    <w:p w14:paraId="53F56E1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2.履约验收程序：</w:t>
      </w:r>
    </w:p>
    <w:p w14:paraId="3F8EDC74">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标的到达甲方指定地点，甲方在规定的时间内进行初步验收；初步验收合格、标的安装调试完毕后，甲方在规定的时间内进行交付验收；交付验收合格，乙方履行完合同约定的应当由乙方履行的全部事项之日起7个工作日内进行最终验收。</w:t>
      </w:r>
    </w:p>
    <w:p w14:paraId="37E1D94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3.履约验收内容：</w:t>
      </w:r>
    </w:p>
    <w:p w14:paraId="519ABA5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甲方依据招标文件相关要求、乙方的投标承诺以及国家有关质量标准，就乙方对标的每一项技术、商务要求等相关内容进行验收。</w:t>
      </w:r>
    </w:p>
    <w:p w14:paraId="26DABA7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4.履约验收标准：</w:t>
      </w:r>
    </w:p>
    <w:p w14:paraId="012E160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（1）初步验收：</w:t>
      </w:r>
    </w:p>
    <w:p w14:paraId="3EDF4537">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标的在规定的时间内到货，标的（含包装）完整、完好，与投标承诺的产品（制造商、品牌、规格型号等）一致，标的无明显瑕疵、无损坏，装箱清单、用户手册、原厂保修卡、安装操作使用和维护手册、随机资料等所有技术资料、工具和备品、备件齐全。全部满足以上情形的，视为初步验收合格，标的不符合上述情形的，甲方在初步验收后七个工作日内以书面形式向乙方提出，乙方应自收到甲方书面异议后七个工作日内及时予以解决，否则，视为初步验收不合格，不予进行交付验收。</w:t>
      </w:r>
    </w:p>
    <w:p w14:paraId="1365FA1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（2）交付验收：</w:t>
      </w:r>
    </w:p>
    <w:p w14:paraId="697BD508">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标的的技术指标与乙方的投标承诺一致或更高，且满足招标文件全部实质性要求，视为交付验收合格。标的不符合上述情形的，甲方在交付验收后七个工作日内以书面形式向乙方提出，乙方应自收到甲方书面异议后七个工作日内及时予以解决，否则，视为交付验收不合格。</w:t>
      </w:r>
    </w:p>
    <w:p w14:paraId="185CDA8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（3）最终验收：</w:t>
      </w:r>
    </w:p>
    <w:p w14:paraId="69FFA7A0">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标的交付验收合格投入使用后，乙方提供的售后服务与其投标承诺一致或更优，且乙方履行完合同约定的应当由乙方履行的全部事项之，视为最终验收合格。</w:t>
      </w:r>
    </w:p>
    <w:p w14:paraId="7F50C51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5.其他事项：</w:t>
      </w:r>
    </w:p>
    <w:p w14:paraId="6C08ACD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（1）验收时，甲方与乙方双方应当派员在场，并对验收结果签署意见，否则视为其同意验收结果。</w:t>
      </w:r>
    </w:p>
    <w:p w14:paraId="2230E1F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由于乙方的原因造成甲方验收不合格、影响甲方正常使用的，由此造成的损失由乙方承担。初步验收或交付验收不合格的，甲方有权终止合同并全部退货，同时报相关监督管理部门处理，由此造成甲方经济损失的由乙方负责承担全部赔偿责任。</w:t>
      </w:r>
    </w:p>
    <w:p w14:paraId="5E861D1F">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（3）对技术复杂的货物，甲方可请国家认可的专业检测机构参与初步验收及交付验收，并由其出具质量检测报告，费用由乙方承担。</w:t>
      </w:r>
    </w:p>
    <w:p w14:paraId="66A5D13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（4）验收过程中所产生的一切费用均由乙方承担，乙方在投标报价时应综合考虑相关费用。</w:t>
      </w:r>
    </w:p>
    <w:p w14:paraId="75E60D1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（5）甲方对产品的验收不免除乙方的质量保证责任。</w:t>
      </w:r>
    </w:p>
    <w:p w14:paraId="7685096A">
      <w:pPr>
        <w:spacing w:line="360" w:lineRule="auto"/>
        <w:ind w:firstLine="480" w:firstLineChars="20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.交付标准和方法</w:t>
      </w:r>
      <w:r>
        <w:rPr>
          <w:rFonts w:hint="eastAsia" w:ascii="仿宋" w:hAnsi="仿宋" w:eastAsia="仿宋" w:cs="仿宋"/>
          <w:color w:val="000000"/>
          <w:sz w:val="24"/>
          <w:szCs w:val="24"/>
          <w:highlight w:val="none"/>
          <w:lang w:eastAsia="zh-CN"/>
        </w:rPr>
        <w:t>：</w:t>
      </w:r>
    </w:p>
    <w:p w14:paraId="06934988">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（1）除售后服务</w:t>
      </w:r>
      <w:r>
        <w:rPr>
          <w:rFonts w:hint="eastAsia" w:ascii="仿宋" w:hAnsi="仿宋" w:eastAsia="仿宋" w:cs="仿宋"/>
          <w:color w:val="000000"/>
          <w:spacing w:val="11"/>
          <w:sz w:val="24"/>
          <w:szCs w:val="24"/>
          <w:highlight w:val="none"/>
        </w:rPr>
        <w:t>验收外，验收结论合格的，乙方应自收到验收书</w:t>
      </w:r>
      <w:r>
        <w:rPr>
          <w:rFonts w:hint="eastAsia" w:ascii="仿宋" w:hAnsi="仿宋" w:eastAsia="仿宋" w:cs="仿宋"/>
          <w:color w:val="000000"/>
          <w:sz w:val="24"/>
          <w:szCs w:val="24"/>
          <w:highlight w:val="none"/>
        </w:rPr>
        <w:t>后</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日内向甲方交付使用。</w:t>
      </w:r>
    </w:p>
    <w:p w14:paraId="04E951FD">
      <w:pPr>
        <w:spacing w:line="360" w:lineRule="auto"/>
        <w:ind w:firstLine="480" w:firstLineChars="200"/>
        <w:rPr>
          <w:rFonts w:hint="eastAsia" w:ascii="仿宋" w:hAnsi="仿宋" w:eastAsia="仿宋" w:cs="仿宋"/>
          <w:b/>
          <w:color w:val="000000"/>
          <w:sz w:val="24"/>
          <w:szCs w:val="24"/>
          <w:highlight w:val="none"/>
        </w:rPr>
      </w:pPr>
      <w:r>
        <w:rPr>
          <w:rFonts w:hint="eastAsia" w:ascii="仿宋" w:hAnsi="仿宋" w:eastAsia="仿宋" w:cs="仿宋"/>
          <w:color w:val="000000"/>
          <w:sz w:val="24"/>
          <w:szCs w:val="24"/>
          <w:highlight w:val="none"/>
        </w:rPr>
        <w:t>（2）货物的所有权和风险自交付验收合格时起由乙方转移至甲方，货物交付甲方且经验收合格之前所有风险均由乙方承担。</w:t>
      </w:r>
    </w:p>
    <w:p w14:paraId="163F55FE">
      <w:pPr>
        <w:pStyle w:val="4"/>
        <w:bidi w:val="0"/>
        <w:ind w:firstLine="482" w:firstLineChars="200"/>
        <w:rPr>
          <w:rFonts w:hint="eastAsia" w:ascii="仿宋" w:hAnsi="仿宋" w:eastAsia="仿宋" w:cs="仿宋"/>
          <w:sz w:val="24"/>
          <w:szCs w:val="24"/>
          <w:highlight w:val="none"/>
        </w:rPr>
      </w:pPr>
      <w:bookmarkStart w:id="178" w:name="_Toc2521"/>
      <w:r>
        <w:rPr>
          <w:rFonts w:hint="eastAsia" w:ascii="仿宋" w:hAnsi="仿宋" w:eastAsia="仿宋" w:cs="仿宋"/>
          <w:sz w:val="24"/>
          <w:szCs w:val="24"/>
          <w:highlight w:val="none"/>
        </w:rPr>
        <w:t>第九条  售后服务</w:t>
      </w:r>
      <w:bookmarkEnd w:id="178"/>
    </w:p>
    <w:p w14:paraId="073B629F">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1.乙方应按照国家有关法律法规规定以及投标承诺，为甲方提供售后服务。</w:t>
      </w:r>
    </w:p>
    <w:p w14:paraId="75966B2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2.质量保修范围:</w:t>
      </w:r>
      <w:r>
        <w:rPr>
          <w:rFonts w:hint="eastAsia" w:ascii="仿宋" w:hAnsi="仿宋" w:eastAsia="仿宋" w:cs="仿宋"/>
          <w:color w:val="000000"/>
          <w:sz w:val="24"/>
          <w:szCs w:val="24"/>
          <w:highlight w:val="none"/>
          <w:u w:val="single"/>
        </w:rPr>
        <w:t xml:space="preserve"> 本项目采购范围内的所有设备</w:t>
      </w:r>
      <w:r>
        <w:rPr>
          <w:rFonts w:hint="eastAsia" w:ascii="仿宋" w:hAnsi="仿宋" w:eastAsia="仿宋" w:cs="仿宋"/>
          <w:color w:val="000000"/>
          <w:sz w:val="24"/>
          <w:szCs w:val="24"/>
          <w:highlight w:val="none"/>
        </w:rPr>
        <w:t>。免费保修期内上门维修（维修费和元器件费包含在投标报价中）、更换零部件，软件终身免费升级服务，设备生产厂家提供远程联机维护服务，能对设备进行软件升级及故障分析；保修期：按乙方投标承诺（且不低于甲方要求）执行。</w:t>
      </w:r>
    </w:p>
    <w:p w14:paraId="5EAEBCF3">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3.免费保修期：</w:t>
      </w:r>
      <w:r>
        <w:rPr>
          <w:rFonts w:hint="eastAsia" w:ascii="仿宋" w:hAnsi="仿宋" w:eastAsia="仿宋" w:cs="仿宋"/>
          <w:bCs/>
          <w:color w:val="000000"/>
          <w:sz w:val="24"/>
          <w:szCs w:val="24"/>
          <w:highlight w:val="none"/>
        </w:rPr>
        <w:t>按国家有关产品“三包”规定执行“三包”；免费保修期为</w:t>
      </w:r>
      <w:r>
        <w:rPr>
          <w:rFonts w:hint="eastAsia" w:ascii="仿宋" w:hAnsi="仿宋" w:eastAsia="仿宋" w:cs="仿宋"/>
          <w:bCs/>
          <w:color w:val="000000"/>
          <w:sz w:val="24"/>
          <w:szCs w:val="24"/>
          <w:highlight w:val="none"/>
          <w:u w:val="single"/>
        </w:rPr>
        <w:t xml:space="preserve">    </w:t>
      </w:r>
      <w:r>
        <w:rPr>
          <w:rFonts w:hint="eastAsia" w:ascii="仿宋" w:hAnsi="仿宋" w:eastAsia="仿宋" w:cs="仿宋"/>
          <w:bCs/>
          <w:color w:val="000000"/>
          <w:sz w:val="24"/>
          <w:szCs w:val="24"/>
          <w:highlight w:val="none"/>
        </w:rPr>
        <w:t>年（免费保修期从设备验收合格之日起计算），免费保修期内上门维修不收取任何费用，</w:t>
      </w:r>
      <w:r>
        <w:rPr>
          <w:rFonts w:hint="eastAsia" w:ascii="仿宋" w:hAnsi="仿宋" w:eastAsia="仿宋" w:cs="仿宋"/>
          <w:bCs/>
          <w:color w:val="000000"/>
          <w:sz w:val="24"/>
          <w:szCs w:val="24"/>
          <w:highlight w:val="none"/>
          <w:u w:val="single"/>
        </w:rPr>
        <w:t>提供备用机</w:t>
      </w:r>
      <w:r>
        <w:rPr>
          <w:rFonts w:hint="eastAsia" w:ascii="仿宋" w:hAnsi="仿宋" w:eastAsia="仿宋" w:cs="仿宋"/>
          <w:bCs/>
          <w:color w:val="000000"/>
          <w:sz w:val="24"/>
          <w:szCs w:val="24"/>
          <w:highlight w:val="none"/>
        </w:rPr>
        <w:t>。</w:t>
      </w:r>
    </w:p>
    <w:p w14:paraId="0B463DBC">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4.在免费保修期内因货物本身的质量问题发生故障，乙方应负责免费修理和更换零部件。对达不到技术要求者，根据实际情况，甲方有权按以下办法处理：</w:t>
      </w:r>
    </w:p>
    <w:p w14:paraId="055235B7">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（1）更换：由乙方承担所发生的全部费用。</w:t>
      </w:r>
    </w:p>
    <w:p w14:paraId="20B83DB2">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（2）贬值处理：由甲乙双方合议定价。</w:t>
      </w:r>
    </w:p>
    <w:p w14:paraId="72468479">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（3）退货处理：乙方应退还甲方支付的合同款，同时应承担该货物的直接费用（运输、保险、检验、货款利息及银行手续费等）。</w:t>
      </w:r>
    </w:p>
    <w:p w14:paraId="115ECB5F">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5.如在使用过程中发生质量问题，乙方在接到甲方通知后</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小时内响应，</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小时内到达现场进行处理，到达现场后</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小时内排除故障，恢复正常使用。乙方逾期响应、到达现场、排除故障或者无法排除故障的，甲方有权自行或寻找第三方机构获得维修、维护等售后服务，全部费用由乙方承担，且无需经过乙方同意、确认。</w:t>
      </w:r>
    </w:p>
    <w:p w14:paraId="25072F8F">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6.在免费保修期内，乙方应对货物出现的质量及安全问题负责处理解决并承担一切费用。</w:t>
      </w:r>
    </w:p>
    <w:p w14:paraId="023DA931">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7.本项目采购范围内的货物因人为因素出现的故障不在免费保修范围内。超过免费保修期的机器设备，提供终生维修服务，乙方仅收取合理成本。</w:t>
      </w:r>
    </w:p>
    <w:p w14:paraId="77B822DE">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8.乙方提供的货物在免费保修期内，因设计、工艺或材料的缺陷和其它质量原因造成的问题，由乙方负责，费用从最后一笔支付的合同价款当中扣除，不足以扣除的，由乙方另行支付。</w:t>
      </w:r>
    </w:p>
    <w:p w14:paraId="353082B1">
      <w:pPr>
        <w:spacing w:line="360" w:lineRule="auto"/>
        <w:ind w:firstLine="480" w:firstLineChars="200"/>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9.乙方提供的服务承诺和售后服务及免费保修期责任等其它具体约定事项。（见合同附件）</w:t>
      </w:r>
    </w:p>
    <w:p w14:paraId="395738DF">
      <w:pPr>
        <w:pStyle w:val="4"/>
        <w:bidi w:val="0"/>
        <w:ind w:firstLine="482" w:firstLineChars="200"/>
        <w:rPr>
          <w:rFonts w:hint="eastAsia" w:ascii="仿宋" w:hAnsi="仿宋" w:eastAsia="仿宋" w:cs="仿宋"/>
          <w:sz w:val="24"/>
          <w:szCs w:val="24"/>
          <w:highlight w:val="none"/>
        </w:rPr>
      </w:pPr>
      <w:bookmarkStart w:id="179" w:name="_Toc31485"/>
      <w:r>
        <w:rPr>
          <w:rFonts w:hint="eastAsia" w:ascii="仿宋" w:hAnsi="仿宋" w:eastAsia="仿宋" w:cs="仿宋"/>
          <w:sz w:val="24"/>
          <w:szCs w:val="24"/>
          <w:highlight w:val="none"/>
        </w:rPr>
        <w:t>第十条　履约保证金</w:t>
      </w:r>
      <w:bookmarkEnd w:id="179"/>
    </w:p>
    <w:p w14:paraId="3A4A6F35">
      <w:pPr>
        <w:autoSpaceDE w:val="0"/>
        <w:autoSpaceDN w:val="0"/>
        <w:spacing w:line="360" w:lineRule="auto"/>
        <w:ind w:firstLine="484" w:firstLineChars="202"/>
        <w:textAlignment w:val="bottom"/>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1.履约保证金金额：本项目不收取履约保证金。</w:t>
      </w:r>
    </w:p>
    <w:p w14:paraId="3A8507CF">
      <w:pPr>
        <w:pStyle w:val="4"/>
        <w:bidi w:val="0"/>
        <w:ind w:firstLine="480" w:firstLineChars="200"/>
        <w:rPr>
          <w:rFonts w:hint="eastAsia" w:ascii="仿宋" w:hAnsi="仿宋" w:eastAsia="仿宋" w:cs="仿宋"/>
          <w:b w:val="0"/>
          <w:bCs/>
          <w:sz w:val="24"/>
          <w:szCs w:val="24"/>
          <w:highlight w:val="none"/>
        </w:rPr>
      </w:pPr>
      <w:bookmarkStart w:id="180" w:name="_Toc27705"/>
      <w:r>
        <w:rPr>
          <w:rFonts w:hint="eastAsia" w:ascii="仿宋" w:hAnsi="仿宋" w:eastAsia="仿宋" w:cs="仿宋"/>
          <w:b w:val="0"/>
          <w:bCs/>
          <w:sz w:val="24"/>
          <w:szCs w:val="24"/>
          <w:highlight w:val="none"/>
        </w:rPr>
        <w:t>2.履约保证金的形式：银行转账、银行保函、电子保函等。</w:t>
      </w:r>
    </w:p>
    <w:p w14:paraId="69301DE1">
      <w:pPr>
        <w:pStyle w:val="4"/>
        <w:bidi w:val="0"/>
        <w:ind w:firstLine="480" w:firstLineChars="200"/>
        <w:rPr>
          <w:rFonts w:hint="eastAsia" w:ascii="仿宋" w:hAnsi="仿宋" w:eastAsia="仿宋" w:cs="仿宋"/>
          <w:b w:val="0"/>
          <w:bCs/>
          <w:sz w:val="24"/>
          <w:szCs w:val="24"/>
          <w:highlight w:val="none"/>
        </w:rPr>
      </w:pPr>
      <w:r>
        <w:rPr>
          <w:rFonts w:hint="eastAsia" w:ascii="仿宋" w:hAnsi="仿宋" w:eastAsia="仿宋" w:cs="仿宋"/>
          <w:b w:val="0"/>
          <w:bCs/>
          <w:sz w:val="24"/>
          <w:szCs w:val="24"/>
          <w:highlight w:val="none"/>
        </w:rPr>
        <w:t>3.履约保证金的缴纳时间：乙方在收到中标通知书后正式签订合同前向甲方足额提交履约保证金，否则甲方可以取消其中标资格。</w:t>
      </w:r>
    </w:p>
    <w:p w14:paraId="0380A960">
      <w:pPr>
        <w:pStyle w:val="4"/>
        <w:bidi w:val="0"/>
        <w:ind w:firstLine="482"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第十一条　违约责任</w:t>
      </w:r>
      <w:bookmarkEnd w:id="180"/>
    </w:p>
    <w:p w14:paraId="798509F9">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1.合同一方不履行合同义务、履行合同义务不符合约定或者违反合同项下所作保证的， 应向对方承担继续履行、采取修理、更换、退货等补救措施或者赔偿损失等违约责任。</w:t>
      </w:r>
    </w:p>
    <w:p w14:paraId="61F5A79C">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2.乙方延迟交付货物的，应向甲方支付延迟违约金。延迟违约金的计算方法如下：每延迟一天向对方偿付货款总额3‰违约金，超过30 天甲方有权解除合同，乙方承担因此给甲方造成的全部损失，并按照货款总额的15%向甲方支付违约金，且乙方应当退还甲方支付过的全部费用。如延迟交付必然导致合同货物安装、调试、验收等工作推迟的，相关工作应相应顺延。</w:t>
      </w:r>
    </w:p>
    <w:p w14:paraId="368B1B5C">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甲方未能按合同约定支付合同价款的，经乙方书面催告，甲方无正当理由在合理期限（不少于10个工作日）内仍未支付的，自合理期限届满之次日起，应向乙方支付延迟付款违约金。延迟付款违约金的计算方法如下：每延迟一天向乙方偿付当期应付未付金额0.3‰违约金，但违约金累计不得超过当期应付未付总额的5%。</w:t>
      </w:r>
    </w:p>
    <w:p w14:paraId="5581C22B">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乙方提供的产品不符合本合同约定或存在质量问题的，乙方应当按照本合同约定以及甲方要求进行退换，并承担由此产生的一切费用，因退换导致逾期交货的，乙方应当按照本合同第十一条第2点的内容承担逾期交货违约责任；乙方拒绝退换的，甲方有权解除合同，乙方应当自行取回货物，甲方不承担任何保管义务，并且乙方应当按照合同总金额的15%向甲方支付违约金。</w:t>
      </w:r>
    </w:p>
    <w:p w14:paraId="468302BA">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5.乙方未按本合同和投标承诺提供售后服务的，经甲方书面催告1次仍不整改的，乙方应按本合同价款（报酬）的 5%向甲方支付违约金，同时甲方有权寻找第三方机构获得售后服务，全部费用由乙方承担，且无需经过乙方同意、确认。乙方经甲方书面催告3次仍不整改的，甲方有权解除合同，甲方解除合同的，无需向乙方支付任何设备使用费、折旧费以及其他补偿，乙方应当退还甲方支付过的费用，并自行取回货物，甲方不承担任何保管义务。</w:t>
      </w:r>
    </w:p>
    <w:p w14:paraId="6798DA58">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6.因某一方原因导致变更、中止或者终止政府采购合同的，该方应当对另一方受到的损失予以赔偿或者补偿。</w:t>
      </w:r>
    </w:p>
    <w:p w14:paraId="6A7F05AF">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7.其它违约责任按《中华人民共和国民法典》处理。</w:t>
      </w:r>
    </w:p>
    <w:p w14:paraId="63E72D03">
      <w:pPr>
        <w:pStyle w:val="4"/>
        <w:bidi w:val="0"/>
        <w:ind w:firstLine="482" w:firstLineChars="200"/>
        <w:rPr>
          <w:rFonts w:hint="eastAsia" w:ascii="仿宋" w:hAnsi="仿宋" w:eastAsia="仿宋" w:cs="仿宋"/>
          <w:sz w:val="24"/>
          <w:szCs w:val="24"/>
          <w:highlight w:val="none"/>
        </w:rPr>
      </w:pPr>
      <w:bookmarkStart w:id="181" w:name="_Toc31008"/>
      <w:r>
        <w:rPr>
          <w:rFonts w:hint="eastAsia" w:ascii="仿宋" w:hAnsi="仿宋" w:eastAsia="仿宋" w:cs="仿宋"/>
          <w:sz w:val="24"/>
          <w:szCs w:val="24"/>
          <w:highlight w:val="none"/>
        </w:rPr>
        <w:t>第十二条  不可抗力事件处理</w:t>
      </w:r>
      <w:bookmarkEnd w:id="181"/>
    </w:p>
    <w:p w14:paraId="79AEA04D">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1.在合同有效期内，任何一方因不可抗力事件导致不能履行合同，则合同履行期可延长，其延长期与不可抗力影响期相同。</w:t>
      </w:r>
    </w:p>
    <w:p w14:paraId="60BF650D">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2.不可抗力事件发生后，应立即通知对方，并寄送有关权威机构出具的证明。</w:t>
      </w:r>
    </w:p>
    <w:p w14:paraId="0580818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3.不可抗力事件延续一百二十天以上，双方应通过友好协商，确定是否继续履行合同。</w:t>
      </w:r>
    </w:p>
    <w:p w14:paraId="01B78EB9">
      <w:pPr>
        <w:pStyle w:val="4"/>
        <w:bidi w:val="0"/>
        <w:ind w:firstLine="482" w:firstLineChars="200"/>
        <w:rPr>
          <w:rFonts w:hint="eastAsia" w:ascii="仿宋" w:hAnsi="仿宋" w:eastAsia="仿宋" w:cs="仿宋"/>
          <w:sz w:val="24"/>
          <w:szCs w:val="24"/>
          <w:highlight w:val="none"/>
        </w:rPr>
      </w:pPr>
      <w:bookmarkStart w:id="182" w:name="_Toc21414"/>
      <w:r>
        <w:rPr>
          <w:rFonts w:hint="eastAsia" w:ascii="仿宋" w:hAnsi="仿宋" w:eastAsia="仿宋" w:cs="仿宋"/>
          <w:sz w:val="24"/>
          <w:szCs w:val="24"/>
          <w:highlight w:val="none"/>
        </w:rPr>
        <w:t>第十三条  合同争议解决</w:t>
      </w:r>
      <w:bookmarkEnd w:id="182"/>
    </w:p>
    <w:p w14:paraId="0451141A">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因货物质量问题发生争议的，应邀请国家认可的质量检测机构对货物质量进行鉴定，鉴定工作由乙方负责，鉴定费用由乙方先行垫付。货物符合标准的，鉴定费由甲方承担；货物不符合标准的，鉴定费由乙方承担。</w:t>
      </w:r>
    </w:p>
    <w:p w14:paraId="40549CA0">
      <w:pPr>
        <w:autoSpaceDE w:val="0"/>
        <w:autoSpaceDN w:val="0"/>
        <w:spacing w:line="360" w:lineRule="auto"/>
        <w:ind w:left="100" w:right="42" w:firstLine="42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因履行本合同引起的或者与本合同有关的争议，甲乙双方应首先通过友好协商解决，如果协商不能解决，应向甲方所在地有管辖权的人民法院提起诉讼。守约方有权要求违约方支付因维护自身权益所支出的诉讼费、律师费、交通费、保险费、保全费、执行费等一切费用。</w:t>
      </w:r>
    </w:p>
    <w:p w14:paraId="02C771D2">
      <w:pPr>
        <w:autoSpaceDE w:val="0"/>
        <w:autoSpaceDN w:val="0"/>
        <w:spacing w:line="360" w:lineRule="auto"/>
        <w:ind w:left="100" w:right="42" w:firstLine="42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本合同所留单位地址为各方居住地址或者主要办事机构所在地址，本合同履行过程中发生任何纠纷，则前述地址视为法院邮寄法律文书及邮寄催收函、律师函、工作联系函等文件的法定送达地址。所留电话为文件邮寄的联系电话，邮件一旦邮寄，不管是否签收即视为送达，拒收或者退件，以拒收或者退件时间为送达时间。</w:t>
      </w:r>
    </w:p>
    <w:p w14:paraId="272FF7E7">
      <w:pPr>
        <w:pStyle w:val="4"/>
        <w:bidi w:val="0"/>
        <w:ind w:firstLine="482" w:firstLineChars="200"/>
        <w:rPr>
          <w:rFonts w:hint="eastAsia" w:ascii="仿宋" w:hAnsi="仿宋" w:eastAsia="仿宋" w:cs="仿宋"/>
          <w:sz w:val="24"/>
          <w:szCs w:val="24"/>
          <w:highlight w:val="none"/>
        </w:rPr>
      </w:pPr>
      <w:bookmarkStart w:id="183" w:name="_Toc17686"/>
      <w:r>
        <w:rPr>
          <w:rFonts w:hint="eastAsia" w:ascii="仿宋" w:hAnsi="仿宋" w:eastAsia="仿宋" w:cs="仿宋"/>
          <w:sz w:val="24"/>
          <w:szCs w:val="24"/>
          <w:highlight w:val="none"/>
        </w:rPr>
        <w:t>第十四条　合同的变更、中止或者终止</w:t>
      </w:r>
      <w:bookmarkEnd w:id="183"/>
    </w:p>
    <w:p w14:paraId="43F00F1F">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1.除《中华人民共和国政府采购法》第五十条规定的情形外，本合同一经签订，甲乙双方不得擅自变更、中止或者终止合同。</w:t>
      </w:r>
    </w:p>
    <w:p w14:paraId="4748E70A">
      <w:pPr>
        <w:pStyle w:val="2"/>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2.采购合同继续履行将损害国家利益和社会公共利益的，双方当事人应当变更、中止或者终止合同。有过错的一方应当承担赔偿责任，双方都有过错的，各自承担相应的责任。</w:t>
      </w:r>
    </w:p>
    <w:p w14:paraId="49516D07">
      <w:pPr>
        <w:pStyle w:val="4"/>
        <w:bidi w:val="0"/>
        <w:ind w:firstLine="482" w:firstLineChars="200"/>
        <w:rPr>
          <w:rFonts w:hint="eastAsia" w:ascii="仿宋" w:hAnsi="仿宋" w:eastAsia="仿宋" w:cs="仿宋"/>
          <w:sz w:val="24"/>
          <w:szCs w:val="24"/>
          <w:highlight w:val="none"/>
        </w:rPr>
      </w:pPr>
      <w:bookmarkStart w:id="184" w:name="_Toc8107"/>
      <w:r>
        <w:rPr>
          <w:rFonts w:hint="eastAsia" w:ascii="仿宋" w:hAnsi="仿宋" w:eastAsia="仿宋" w:cs="仿宋"/>
          <w:sz w:val="24"/>
          <w:szCs w:val="24"/>
          <w:highlight w:val="none"/>
        </w:rPr>
        <w:t>第十五条　知识产权、权利保证和保密要求</w:t>
      </w:r>
      <w:bookmarkEnd w:id="184"/>
    </w:p>
    <w:p w14:paraId="58272C5F">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1.甲方在履行合同过程中提供给乙方的全部图纸、文件和其他含有数据和信息的资料，其知识产权属于甲方。</w:t>
      </w:r>
    </w:p>
    <w:p w14:paraId="10BC927B">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2.除招标采购需求另有约定外，甲方不因签署和履行合同而享有乙方在履行合同过程中提供给甲方的图纸、文件、配套软件、电子辅助程序和其他含有数据和信息的资料的知识产权。</w:t>
      </w:r>
    </w:p>
    <w:p w14:paraId="6E4E3B03">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7C894F66">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4.如果甲方收到任何第三方有关知识产权或其他权利的主张、索赔或诉讼，乙方在收到甲方通知后， 应以甲方名义并在甲方的协助下，自负费用处理与第三方的索赔或诉讼，并赔偿甲方因此发生的费用和遭受的损失。如果乙方拒绝处理前述索赔或诉讼或在收到甲方通知后3日内未作表示，甲方可以自己的名义进行这些索赔或诉讼，因此发生的费用和遭受的损失均应由乙方承担，包括但不限于支付给第三方的赔偿金、补偿金、因消除负面影响或舆情产生的全部费用、因涉纠纷发生的律师费、诉讼费、保全费、保全担保保险费、差旅费等。</w:t>
      </w:r>
    </w:p>
    <w:p w14:paraId="1DC44CE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47D1C164">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6.乙方保证将要交付的货物的所有权完全属于乙方且无任何抵押、质押、查封等产权瑕疵。</w:t>
      </w:r>
    </w:p>
    <w:p w14:paraId="37484C83">
      <w:pPr>
        <w:pStyle w:val="4"/>
        <w:bidi w:val="0"/>
        <w:ind w:firstLine="482" w:firstLineChars="200"/>
        <w:rPr>
          <w:rFonts w:hint="eastAsia" w:ascii="仿宋" w:hAnsi="仿宋" w:eastAsia="仿宋" w:cs="仿宋"/>
          <w:sz w:val="24"/>
          <w:szCs w:val="24"/>
          <w:highlight w:val="none"/>
        </w:rPr>
      </w:pPr>
      <w:bookmarkStart w:id="185" w:name="_Toc11630"/>
      <w:r>
        <w:rPr>
          <w:rFonts w:hint="eastAsia" w:ascii="仿宋" w:hAnsi="仿宋" w:eastAsia="仿宋" w:cs="仿宋"/>
          <w:sz w:val="24"/>
          <w:szCs w:val="24"/>
          <w:highlight w:val="none"/>
        </w:rPr>
        <w:t>第十六条  合同生效及其它</w:t>
      </w:r>
      <w:bookmarkEnd w:id="185"/>
    </w:p>
    <w:p w14:paraId="7331255C">
      <w:pPr>
        <w:pStyle w:val="28"/>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1.合同经双方法定代表人或者委托代理人签字并加盖单位公章后生效（委托代理人签字的需后附授权委托书，格式自拟）。</w:t>
      </w:r>
    </w:p>
    <w:p w14:paraId="131C6117">
      <w:pPr>
        <w:pStyle w:val="2"/>
        <w:spacing w:after="0"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2.合同执行中涉及采购资金和采购内容修改或者补充的，并签书面补充协议，方可作为主合同不可分割的一部分。</w:t>
      </w:r>
    </w:p>
    <w:p w14:paraId="02CCE4CA">
      <w:pPr>
        <w:pStyle w:val="2"/>
        <w:spacing w:after="0"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3.合同生效后，甲乙双方不得因姓名、名称的变更或者法定代表人、负责人、承办人的变动而不履行合同义务。</w:t>
      </w:r>
    </w:p>
    <w:p w14:paraId="6D2456BF">
      <w:pPr>
        <w:pStyle w:val="28"/>
        <w:spacing w:line="360" w:lineRule="auto"/>
        <w:ind w:left="420" w:left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4.本合同未尽事宜，遵照《中华人民共和国民法典》有关条文执行。</w:t>
      </w:r>
    </w:p>
    <w:p w14:paraId="59C9CD1F">
      <w:pPr>
        <w:pStyle w:val="4"/>
        <w:bidi w:val="0"/>
        <w:ind w:firstLine="482" w:firstLineChars="200"/>
        <w:rPr>
          <w:rFonts w:hint="eastAsia" w:ascii="仿宋" w:hAnsi="仿宋" w:eastAsia="仿宋" w:cs="仿宋"/>
          <w:sz w:val="24"/>
          <w:szCs w:val="24"/>
          <w:highlight w:val="none"/>
        </w:rPr>
      </w:pPr>
      <w:bookmarkStart w:id="186" w:name="_Toc27920"/>
      <w:r>
        <w:rPr>
          <w:rFonts w:hint="eastAsia" w:ascii="仿宋" w:hAnsi="仿宋" w:eastAsia="仿宋" w:cs="仿宋"/>
          <w:sz w:val="24"/>
          <w:szCs w:val="24"/>
          <w:highlight w:val="none"/>
        </w:rPr>
        <w:t>第十七条　签订本合同依据</w:t>
      </w:r>
      <w:bookmarkEnd w:id="186"/>
    </w:p>
    <w:p w14:paraId="0E7CFE1A">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1.采购招标文件；</w:t>
      </w:r>
    </w:p>
    <w:p w14:paraId="531C8A73">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2.乙方提供的投标文件；</w:t>
      </w:r>
    </w:p>
    <w:p w14:paraId="7A9637B0">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3.中标通知书。</w:t>
      </w:r>
    </w:p>
    <w:p w14:paraId="211E7C8C">
      <w:pPr>
        <w:pStyle w:val="4"/>
        <w:bidi w:val="0"/>
        <w:ind w:firstLine="482" w:firstLineChars="200"/>
        <w:rPr>
          <w:rFonts w:hint="eastAsia" w:ascii="仿宋" w:hAnsi="仿宋" w:eastAsia="仿宋" w:cs="仿宋"/>
          <w:sz w:val="24"/>
          <w:szCs w:val="24"/>
          <w:highlight w:val="none"/>
        </w:rPr>
      </w:pPr>
      <w:bookmarkStart w:id="187" w:name="_Toc28440"/>
      <w:r>
        <w:rPr>
          <w:rFonts w:hint="eastAsia" w:ascii="仿宋" w:hAnsi="仿宋" w:eastAsia="仿宋" w:cs="仿宋"/>
          <w:sz w:val="24"/>
          <w:szCs w:val="24"/>
          <w:highlight w:val="none"/>
        </w:rPr>
        <w:t>第十八条　廉洁承诺</w:t>
      </w:r>
      <w:bookmarkEnd w:id="187"/>
    </w:p>
    <w:p w14:paraId="0A651E90">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为保证医疗设备购销领域活动的廉洁性，防止各类违法违纪案件的发生，乙方供货公司和所属人员庄严承诺如下：</w:t>
      </w:r>
    </w:p>
    <w:p w14:paraId="0D502B6E">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1.遵守国家的法律法规。依法处理医疗设备购销业务，保证不搞违法乱纪活动，自觉接受执法执纪部门的监督检查；</w:t>
      </w:r>
    </w:p>
    <w:p w14:paraId="6D70B427">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2.在医疗设备购销领域中，保证不以任何形式给予医院工作人员回扣、好处费等；</w:t>
      </w:r>
    </w:p>
    <w:p w14:paraId="3D61E20D">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3.在正常业务交往中，保证不赠送各种礼金、有价证券和贵重物品，不给对方报销应由个人支付的费用；</w:t>
      </w:r>
    </w:p>
    <w:p w14:paraId="33AC2A3A">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4.维护正常的医疗秩序，保证不以宴请、高消费娱乐、提供国（境）外学术活动等手段影响医生的用药选择权；</w:t>
      </w:r>
    </w:p>
    <w:p w14:paraId="5BDCF56F">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5.乙方给医院的捐赠款物，保证严格按照《中华人民共和国公益事业捐赠法》和《卫生计生单位接受公益事业捐赠管理办法》（国卫财务发2015 77号）等法律法规执行；</w:t>
      </w:r>
    </w:p>
    <w:p w14:paraId="64FE8E90">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6.严格对业务代表进行管理，不进入医院门诊、病区、科室向医护人员推销医疗产品，业务代表不得以任何理由让临床、设备、信息等有关人员统计医生处方和有关耗材的用量信息或要求相关人员为此提供便利；</w:t>
      </w:r>
    </w:p>
    <w:p w14:paraId="093C8570">
      <w:pPr>
        <w:pStyle w:val="28"/>
        <w:spacing w:line="360" w:lineRule="auto"/>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以上承诺如有违反，乙方愿意按照《国家卫生计生委关于建立医药购销领域商业贿赂不良记录的规定》（国卫法制发〔2013〕50号）等相关规定处理。如果情节严重的移交司法机关处理。</w:t>
      </w:r>
    </w:p>
    <w:p w14:paraId="24F49F9E">
      <w:pPr>
        <w:spacing w:line="360" w:lineRule="auto"/>
        <w:ind w:firstLine="482" w:firstLineChars="200"/>
        <w:rPr>
          <w:rFonts w:hint="eastAsia" w:ascii="仿宋" w:hAnsi="仿宋" w:eastAsia="仿宋" w:cs="仿宋"/>
          <w:color w:val="000000"/>
          <w:sz w:val="24"/>
          <w:szCs w:val="24"/>
          <w:highlight w:val="none"/>
        </w:rPr>
      </w:pPr>
      <w:r>
        <w:rPr>
          <w:rFonts w:hint="eastAsia" w:ascii="仿宋" w:hAnsi="仿宋" w:eastAsia="仿宋" w:cs="仿宋"/>
          <w:b/>
          <w:color w:val="000000"/>
          <w:sz w:val="24"/>
          <w:szCs w:val="24"/>
          <w:highlight w:val="none"/>
        </w:rPr>
        <w:t>第十九条　</w:t>
      </w:r>
      <w:r>
        <w:rPr>
          <w:rFonts w:hint="eastAsia" w:ascii="仿宋" w:hAnsi="仿宋" w:eastAsia="仿宋" w:cs="仿宋"/>
          <w:color w:val="000000"/>
          <w:sz w:val="24"/>
          <w:szCs w:val="24"/>
          <w:highlight w:val="none"/>
        </w:rPr>
        <w:t>本合同一式陆份，具有同等法律效力。甲方肆份，乙方壹份，</w:t>
      </w:r>
      <w:r>
        <w:rPr>
          <w:rFonts w:hint="eastAsia" w:ascii="仿宋" w:hAnsi="仿宋" w:eastAsia="仿宋" w:cs="仿宋"/>
          <w:color w:val="000000"/>
          <w:spacing w:val="4"/>
          <w:sz w:val="24"/>
          <w:szCs w:val="24"/>
          <w:highlight w:val="none"/>
        </w:rPr>
        <w:t>采购代理机构</w:t>
      </w:r>
      <w:r>
        <w:rPr>
          <w:rFonts w:hint="eastAsia" w:ascii="仿宋" w:hAnsi="仿宋" w:eastAsia="仿宋" w:cs="仿宋"/>
          <w:color w:val="000000"/>
          <w:sz w:val="24"/>
          <w:szCs w:val="24"/>
          <w:highlight w:val="none"/>
        </w:rPr>
        <w:t>壹份。本合同经甲乙双方法定代表人或授权代表签字并加盖单位公章后生效。</w:t>
      </w:r>
    </w:p>
    <w:p w14:paraId="1D811E31">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附：</w:t>
      </w:r>
    </w:p>
    <w:p w14:paraId="518DB02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1.中标通知书；</w:t>
      </w:r>
    </w:p>
    <w:p w14:paraId="363762C7">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2.招标文件技术、商务要求；</w:t>
      </w:r>
    </w:p>
    <w:p w14:paraId="7FFF8F77">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3.乙方的投标声明、开标一览表、技术要求偏离表、商务要求偏离表、设备性能配置清单及参数（如有）、售后服务方案（如有）、选配件、专用耗材、售后服务优惠表（如有）；</w:t>
      </w:r>
    </w:p>
    <w:p w14:paraId="02C1D39D">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4.乙方的营业执照等主体证明文件、医疗器械经营许可证（或医疗器械经营备案凭证）；</w:t>
      </w:r>
    </w:p>
    <w:p w14:paraId="0DABAE5D">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5.制造商授权书（如有）；</w:t>
      </w:r>
    </w:p>
    <w:p w14:paraId="61847525">
      <w:pPr>
        <w:spacing w:line="360" w:lineRule="auto"/>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6.制造商相关资质及合同标的对应的医疗器械注册证复印件等。</w:t>
      </w:r>
    </w:p>
    <w:p w14:paraId="7119919B">
      <w:pPr>
        <w:spacing w:line="360" w:lineRule="auto"/>
        <w:ind w:firstLine="480" w:firstLineChars="200"/>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（以下无正文，为签署页）</w:t>
      </w:r>
    </w:p>
    <w:tbl>
      <w:tblPr>
        <w:tblStyle w:val="52"/>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8"/>
        <w:gridCol w:w="4650"/>
      </w:tblGrid>
      <w:tr w14:paraId="6990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7158A0E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甲方（章）广西壮族自治区南溪山医院（广西壮族自治区第二人民医院）   </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0368B3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乙方（章）</w:t>
            </w:r>
          </w:p>
        </w:tc>
      </w:tr>
      <w:tr w14:paraId="2BC3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4E70663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单位地址：桂林市象山区崇信路46号</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358C8D6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单位地址： </w:t>
            </w:r>
          </w:p>
        </w:tc>
      </w:tr>
      <w:tr w14:paraId="2B8E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4E0C400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法定代表人：</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614CF9F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 xml:space="preserve">法定代表人： </w:t>
            </w:r>
          </w:p>
        </w:tc>
      </w:tr>
      <w:tr w14:paraId="0913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3D7F233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委托代理人：</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094A15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委托代理人：       手机号：</w:t>
            </w:r>
          </w:p>
        </w:tc>
      </w:tr>
      <w:tr w14:paraId="0716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12392D5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电话：0773-3831227</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51D2D08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电话：</w:t>
            </w:r>
          </w:p>
        </w:tc>
      </w:tr>
      <w:tr w14:paraId="2E6D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2B2A2AF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电子邮箱：nysbk3831227@163.com</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61E2E96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电子邮箱：</w:t>
            </w:r>
          </w:p>
        </w:tc>
      </w:tr>
      <w:tr w14:paraId="1A3E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5210258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纳税人识别号： 12450000498502373N</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514AF0E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纳税人识别号：</w:t>
            </w:r>
          </w:p>
        </w:tc>
      </w:tr>
      <w:tr w14:paraId="493A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76D9E9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开户银行：中国建设银行股份有限公司桂林城南支行</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6D10A9B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开户银行：</w:t>
            </w:r>
          </w:p>
        </w:tc>
      </w:tr>
      <w:tr w14:paraId="11A9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5211D3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账号：45001635305059666666</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53555F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账号：</w:t>
            </w:r>
          </w:p>
        </w:tc>
      </w:tr>
      <w:tr w14:paraId="53A8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4598" w:type="dxa"/>
            <w:tcBorders>
              <w:top w:val="single" w:color="auto" w:sz="4" w:space="0"/>
              <w:left w:val="single" w:color="auto" w:sz="4" w:space="0"/>
              <w:bottom w:val="single" w:color="auto" w:sz="4" w:space="0"/>
              <w:right w:val="single" w:color="auto" w:sz="4" w:space="0"/>
            </w:tcBorders>
            <w:noWrap w:val="0"/>
            <w:vAlign w:val="center"/>
          </w:tcPr>
          <w:p w14:paraId="27685FB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邮政编码：541002</w:t>
            </w:r>
          </w:p>
        </w:tc>
        <w:tc>
          <w:tcPr>
            <w:tcW w:w="4650" w:type="dxa"/>
            <w:tcBorders>
              <w:top w:val="single" w:color="auto" w:sz="4" w:space="0"/>
              <w:left w:val="single" w:color="auto" w:sz="4" w:space="0"/>
              <w:bottom w:val="single" w:color="auto" w:sz="4" w:space="0"/>
              <w:right w:val="single" w:color="auto" w:sz="4" w:space="0"/>
            </w:tcBorders>
            <w:noWrap w:val="0"/>
            <w:vAlign w:val="center"/>
          </w:tcPr>
          <w:p w14:paraId="1437C95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邮政编码：</w:t>
            </w:r>
          </w:p>
        </w:tc>
      </w:tr>
      <w:tr w14:paraId="776E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9248" w:type="dxa"/>
            <w:gridSpan w:val="2"/>
            <w:tcBorders>
              <w:top w:val="single" w:color="auto" w:sz="4" w:space="0"/>
              <w:left w:val="single" w:color="auto" w:sz="4" w:space="0"/>
              <w:bottom w:val="single" w:color="auto" w:sz="4" w:space="0"/>
              <w:right w:val="single" w:color="auto" w:sz="4" w:space="0"/>
            </w:tcBorders>
            <w:noWrap w:val="0"/>
            <w:vAlign w:val="top"/>
          </w:tcPr>
          <w:p w14:paraId="1770E3B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签订时间：</w:t>
            </w:r>
          </w:p>
          <w:p w14:paraId="09805117">
            <w:pPr>
              <w:adjustRightInd w:val="0"/>
              <w:snapToGrid w:val="0"/>
              <w:spacing w:line="360" w:lineRule="auto"/>
              <w:ind w:firstLine="2880" w:firstLineChars="1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年 　  月 　  日</w:t>
            </w:r>
          </w:p>
        </w:tc>
      </w:tr>
    </w:tbl>
    <w:p w14:paraId="1ED3D521">
      <w:pPr>
        <w:pStyle w:val="146"/>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000000"/>
          <w:sz w:val="24"/>
          <w:szCs w:val="24"/>
          <w:highlight w:val="none"/>
        </w:rPr>
        <w:t>备注：乙方合同签订开户银行及银行账号与乙方开具付款发票开户银行及银行账号完全一致。每份附设备配置清单及参数，公司营业执照，公司经营许可证、设备注册证、委托代理人授权书，法人及代理人身份证复印件；金额大小写之间不能留空白。</w:t>
      </w:r>
    </w:p>
    <w:p w14:paraId="3545B6A0">
      <w:pPr>
        <w:rPr>
          <w:sz w:val="21"/>
          <w:szCs w:val="21"/>
          <w:highlight w:val="none"/>
        </w:rPr>
      </w:pPr>
    </w:p>
    <w:p w14:paraId="4DC0472E">
      <w:pPr>
        <w:pStyle w:val="3"/>
        <w:keepNext w:val="0"/>
        <w:keepLines w:val="0"/>
        <w:pageBreakBefore/>
        <w:spacing w:before="0" w:after="0" w:line="360" w:lineRule="auto"/>
        <w:jc w:val="center"/>
        <w:textAlignment w:val="center"/>
        <w:rPr>
          <w:rFonts w:hint="eastAsia" w:ascii="仿宋" w:hAnsi="仿宋" w:eastAsia="仿宋" w:cs="仿宋"/>
          <w:color w:val="auto"/>
          <w:highlight w:val="none"/>
        </w:rPr>
      </w:pPr>
      <w:r>
        <w:rPr>
          <w:rFonts w:hint="eastAsia" w:ascii="仿宋" w:hAnsi="仿宋" w:eastAsia="仿宋" w:cs="仿宋"/>
          <w:color w:val="auto"/>
          <w:highlight w:val="none"/>
        </w:rPr>
        <w:t>第六章　投标文件格式</w:t>
      </w:r>
      <w:bookmarkEnd w:id="169"/>
    </w:p>
    <w:p w14:paraId="40CFBAB0">
      <w:pPr>
        <w:rPr>
          <w:rFonts w:hint="eastAsia" w:ascii="仿宋" w:hAnsi="仿宋" w:eastAsia="仿宋" w:cs="仿宋"/>
          <w:b/>
          <w:color w:val="auto"/>
          <w:sz w:val="28"/>
          <w:szCs w:val="28"/>
          <w:highlight w:val="none"/>
        </w:rPr>
      </w:pPr>
      <w:bookmarkStart w:id="188" w:name="_Toc19686836"/>
      <w:bookmarkStart w:id="189" w:name="_Toc254970557"/>
      <w:bookmarkStart w:id="190" w:name="_Toc254970698"/>
      <w:r>
        <w:rPr>
          <w:rFonts w:hint="eastAsia" w:ascii="仿宋" w:hAnsi="仿宋" w:eastAsia="仿宋" w:cs="仿宋"/>
          <w:b/>
          <w:color w:val="auto"/>
          <w:sz w:val="28"/>
          <w:szCs w:val="28"/>
          <w:highlight w:val="none"/>
        </w:rPr>
        <w:t>一、报价文件格式</w:t>
      </w:r>
      <w:bookmarkEnd w:id="188"/>
    </w:p>
    <w:p w14:paraId="6949C2F6">
      <w:pPr>
        <w:snapToGrid w:val="0"/>
        <w:spacing w:before="120" w:beforeLines="50" w:after="50" w:line="360" w:lineRule="auto"/>
        <w:ind w:left="142"/>
        <w:jc w:val="left"/>
        <w:rPr>
          <w:rFonts w:hint="eastAsia" w:ascii="仿宋" w:hAnsi="仿宋" w:eastAsia="仿宋" w:cs="仿宋"/>
          <w:color w:val="auto"/>
          <w:sz w:val="24"/>
          <w:szCs w:val="20"/>
          <w:highlight w:val="none"/>
        </w:rPr>
      </w:pPr>
      <w:r>
        <w:rPr>
          <w:rFonts w:hint="eastAsia" w:ascii="仿宋" w:hAnsi="仿宋" w:eastAsia="仿宋" w:cs="仿宋"/>
          <w:b/>
          <w:color w:val="auto"/>
          <w:sz w:val="24"/>
          <w:highlight w:val="none"/>
        </w:rPr>
        <w:t xml:space="preserve">1. 报价文件封面格式： </w:t>
      </w:r>
    </w:p>
    <w:p w14:paraId="1D23D4FE">
      <w:pPr>
        <w:snapToGrid w:val="0"/>
        <w:spacing w:before="120" w:beforeLines="50" w:after="50" w:line="400" w:lineRule="exact"/>
        <w:rPr>
          <w:rFonts w:hint="eastAsia" w:ascii="仿宋" w:hAnsi="仿宋" w:eastAsia="仿宋" w:cs="仿宋"/>
          <w:bCs/>
          <w:color w:val="auto"/>
          <w:sz w:val="32"/>
          <w:szCs w:val="20"/>
          <w:highlight w:val="none"/>
        </w:rPr>
      </w:pPr>
    </w:p>
    <w:p w14:paraId="30E84F56">
      <w:pPr>
        <w:snapToGrid w:val="0"/>
        <w:spacing w:before="120" w:beforeLines="50" w:after="50" w:line="400" w:lineRule="exact"/>
        <w:jc w:val="center"/>
        <w:rPr>
          <w:rFonts w:hint="eastAsia" w:ascii="仿宋" w:hAnsi="仿宋" w:eastAsia="仿宋" w:cs="仿宋"/>
          <w:bCs/>
          <w:color w:val="auto"/>
          <w:sz w:val="24"/>
          <w:szCs w:val="20"/>
          <w:highlight w:val="none"/>
        </w:rPr>
      </w:pPr>
    </w:p>
    <w:p w14:paraId="0A7D39B7">
      <w:pPr>
        <w:snapToGrid w:val="0"/>
        <w:spacing w:before="120" w:beforeLines="50" w:after="50"/>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投  标  文  件</w:t>
      </w:r>
    </w:p>
    <w:p w14:paraId="63185EA4">
      <w:pPr>
        <w:snapToGrid w:val="0"/>
        <w:spacing w:before="120" w:beforeLines="50" w:after="50" w:line="400" w:lineRule="exact"/>
        <w:jc w:val="center"/>
        <w:rPr>
          <w:rFonts w:hint="eastAsia" w:ascii="仿宋" w:hAnsi="仿宋" w:eastAsia="仿宋" w:cs="仿宋"/>
          <w:bCs/>
          <w:color w:val="auto"/>
          <w:sz w:val="32"/>
          <w:szCs w:val="32"/>
          <w:highlight w:val="none"/>
        </w:rPr>
      </w:pPr>
    </w:p>
    <w:p w14:paraId="798B1180">
      <w:pPr>
        <w:snapToGrid w:val="0"/>
        <w:spacing w:before="120" w:beforeLines="50" w:after="50" w:line="40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报  价  文  件</w:t>
      </w:r>
    </w:p>
    <w:p w14:paraId="3C856A16">
      <w:pPr>
        <w:snapToGrid w:val="0"/>
        <w:spacing w:before="120" w:beforeLines="50" w:after="50" w:line="400" w:lineRule="exact"/>
        <w:rPr>
          <w:rFonts w:hint="eastAsia" w:ascii="仿宋" w:hAnsi="仿宋" w:eastAsia="仿宋" w:cs="仿宋"/>
          <w:bCs/>
          <w:color w:val="auto"/>
          <w:sz w:val="24"/>
          <w:szCs w:val="20"/>
          <w:highlight w:val="none"/>
        </w:rPr>
      </w:pPr>
    </w:p>
    <w:p w14:paraId="104A266D">
      <w:pPr>
        <w:snapToGrid w:val="0"/>
        <w:spacing w:before="120" w:beforeLines="50" w:after="50" w:line="400" w:lineRule="exact"/>
        <w:rPr>
          <w:rFonts w:hint="eastAsia" w:ascii="仿宋" w:hAnsi="仿宋" w:eastAsia="仿宋" w:cs="仿宋"/>
          <w:bCs/>
          <w:color w:val="auto"/>
          <w:sz w:val="24"/>
          <w:szCs w:val="20"/>
          <w:highlight w:val="none"/>
        </w:rPr>
      </w:pPr>
    </w:p>
    <w:p w14:paraId="20F14646">
      <w:pPr>
        <w:snapToGrid w:val="0"/>
        <w:spacing w:before="120" w:beforeLines="50" w:after="50" w:line="400" w:lineRule="exact"/>
        <w:rPr>
          <w:rFonts w:hint="eastAsia" w:ascii="仿宋" w:hAnsi="仿宋" w:eastAsia="仿宋" w:cs="仿宋"/>
          <w:bCs/>
          <w:color w:val="auto"/>
          <w:sz w:val="24"/>
          <w:szCs w:val="20"/>
          <w:highlight w:val="none"/>
        </w:rPr>
      </w:pPr>
    </w:p>
    <w:p w14:paraId="0A6E4C8C">
      <w:pPr>
        <w:snapToGrid w:val="0"/>
        <w:spacing w:before="120" w:beforeLines="50" w:after="50" w:line="400" w:lineRule="exact"/>
        <w:rPr>
          <w:rFonts w:hint="eastAsia" w:ascii="仿宋" w:hAnsi="仿宋" w:eastAsia="仿宋" w:cs="仿宋"/>
          <w:bCs/>
          <w:color w:val="auto"/>
          <w:sz w:val="24"/>
          <w:szCs w:val="20"/>
          <w:highlight w:val="none"/>
        </w:rPr>
      </w:pPr>
    </w:p>
    <w:p w14:paraId="2FAF5800">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项目名称： </w:t>
      </w:r>
    </w:p>
    <w:p w14:paraId="2E7E47B5">
      <w:pPr>
        <w:snapToGrid w:val="0"/>
        <w:spacing w:before="120" w:beforeLines="50" w:after="50" w:line="400" w:lineRule="exact"/>
        <w:ind w:firstLine="360" w:firstLineChars="150"/>
        <w:rPr>
          <w:rFonts w:hint="eastAsia" w:ascii="仿宋" w:hAnsi="仿宋" w:eastAsia="仿宋" w:cs="仿宋"/>
          <w:bCs/>
          <w:color w:val="auto"/>
          <w:sz w:val="24"/>
          <w:highlight w:val="none"/>
        </w:rPr>
      </w:pPr>
    </w:p>
    <w:p w14:paraId="5370758B">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项目编号： </w:t>
      </w:r>
    </w:p>
    <w:p w14:paraId="5914355B">
      <w:pPr>
        <w:snapToGrid w:val="0"/>
        <w:spacing w:before="120" w:beforeLines="50" w:after="50" w:line="400" w:lineRule="exact"/>
        <w:ind w:firstLine="360" w:firstLineChars="150"/>
        <w:rPr>
          <w:rFonts w:hint="eastAsia" w:ascii="仿宋" w:hAnsi="仿宋" w:eastAsia="仿宋" w:cs="仿宋"/>
          <w:bCs/>
          <w:color w:val="auto"/>
          <w:sz w:val="24"/>
          <w:highlight w:val="none"/>
        </w:rPr>
      </w:pPr>
    </w:p>
    <w:p w14:paraId="04EBAC3A">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31B05824">
      <w:pPr>
        <w:snapToGrid w:val="0"/>
        <w:spacing w:before="120" w:beforeLines="50" w:after="50" w:line="400" w:lineRule="exact"/>
        <w:ind w:firstLine="360" w:firstLineChars="150"/>
        <w:rPr>
          <w:rFonts w:hint="eastAsia" w:ascii="仿宋" w:hAnsi="仿宋" w:eastAsia="仿宋" w:cs="仿宋"/>
          <w:bCs/>
          <w:color w:val="auto"/>
          <w:sz w:val="24"/>
          <w:highlight w:val="none"/>
        </w:rPr>
      </w:pPr>
    </w:p>
    <w:p w14:paraId="2E9B3246">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投标人地址：</w:t>
      </w:r>
    </w:p>
    <w:p w14:paraId="04A30991">
      <w:pPr>
        <w:pStyle w:val="9"/>
        <w:snapToGrid w:val="0"/>
        <w:spacing w:before="50" w:after="50" w:line="400" w:lineRule="exact"/>
        <w:ind w:firstLine="960" w:firstLineChars="400"/>
        <w:rPr>
          <w:rFonts w:hint="eastAsia" w:ascii="仿宋" w:hAnsi="仿宋" w:eastAsia="仿宋" w:cs="仿宋"/>
          <w:bCs/>
          <w:color w:val="auto"/>
          <w:sz w:val="24"/>
          <w:szCs w:val="24"/>
          <w:highlight w:val="none"/>
        </w:rPr>
      </w:pPr>
    </w:p>
    <w:p w14:paraId="510C8074">
      <w:pPr>
        <w:snapToGrid w:val="0"/>
        <w:spacing w:before="120" w:beforeLines="50" w:after="50" w:line="400" w:lineRule="exact"/>
        <w:rPr>
          <w:rFonts w:hint="eastAsia" w:ascii="仿宋" w:hAnsi="仿宋" w:eastAsia="仿宋" w:cs="仿宋"/>
          <w:color w:val="auto"/>
          <w:sz w:val="30"/>
          <w:szCs w:val="20"/>
          <w:highlight w:val="none"/>
        </w:rPr>
      </w:pPr>
      <w:r>
        <w:rPr>
          <w:rFonts w:hint="eastAsia" w:ascii="仿宋" w:hAnsi="仿宋" w:eastAsia="仿宋" w:cs="仿宋"/>
          <w:color w:val="auto"/>
          <w:sz w:val="24"/>
          <w:highlight w:val="none"/>
        </w:rPr>
        <w:t xml:space="preserve">                                   年  月  日</w:t>
      </w:r>
    </w:p>
    <w:p w14:paraId="0D72DD06">
      <w:pPr>
        <w:snapToGrid w:val="0"/>
        <w:spacing w:before="120" w:beforeLines="50" w:after="50" w:line="360" w:lineRule="auto"/>
        <w:jc w:val="left"/>
        <w:rPr>
          <w:rFonts w:hint="eastAsia" w:ascii="仿宋" w:hAnsi="仿宋" w:eastAsia="仿宋" w:cs="仿宋"/>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2.</w:t>
      </w:r>
      <w:r>
        <w:rPr>
          <w:rFonts w:hint="eastAsia" w:ascii="仿宋" w:hAnsi="仿宋" w:eastAsia="仿宋" w:cs="仿宋"/>
          <w:b/>
          <w:bCs/>
          <w:color w:val="auto"/>
          <w:sz w:val="24"/>
          <w:highlight w:val="none"/>
        </w:rPr>
        <w:t>报价文件目录</w:t>
      </w:r>
    </w:p>
    <w:p w14:paraId="072752D0">
      <w:pPr>
        <w:snapToGrid w:val="0"/>
        <w:spacing w:before="50" w:after="120" w:afterLines="50" w:line="360" w:lineRule="auto"/>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根据招标文件规定及投标人提供的材料自行编写目录。</w:t>
      </w:r>
    </w:p>
    <w:p w14:paraId="13E26750">
      <w:pPr>
        <w:snapToGrid w:val="0"/>
        <w:spacing w:before="120" w:beforeLines="50" w:after="50"/>
        <w:rPr>
          <w:rFonts w:hint="eastAsia" w:ascii="仿宋" w:hAnsi="仿宋" w:eastAsia="仿宋" w:cs="仿宋"/>
          <w:b/>
          <w:color w:val="auto"/>
          <w:sz w:val="24"/>
          <w:highlight w:val="none"/>
        </w:rPr>
      </w:pPr>
    </w:p>
    <w:p w14:paraId="14CAF0C8">
      <w:pPr>
        <w:snapToGrid w:val="0"/>
        <w:spacing w:before="120" w:beforeLines="50" w:after="50"/>
        <w:rPr>
          <w:rFonts w:hint="eastAsia" w:ascii="仿宋" w:hAnsi="仿宋" w:eastAsia="仿宋" w:cs="仿宋"/>
          <w:b/>
          <w:color w:val="auto"/>
          <w:sz w:val="24"/>
          <w:highlight w:val="none"/>
        </w:rPr>
      </w:pPr>
    </w:p>
    <w:p w14:paraId="3B56CB2C">
      <w:pPr>
        <w:snapToGrid w:val="0"/>
        <w:spacing w:before="120" w:beforeLines="50" w:after="50"/>
        <w:rPr>
          <w:rFonts w:hint="eastAsia" w:ascii="仿宋" w:hAnsi="仿宋" w:eastAsia="仿宋" w:cs="仿宋"/>
          <w:b/>
          <w:color w:val="auto"/>
          <w:sz w:val="24"/>
          <w:highlight w:val="none"/>
        </w:rPr>
      </w:pPr>
    </w:p>
    <w:p w14:paraId="73B77A99">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3. 投标函格式：</w:t>
      </w:r>
    </w:p>
    <w:p w14:paraId="6F9CF75F">
      <w:pPr>
        <w:snapToGrid w:val="0"/>
        <w:spacing w:before="120" w:beforeLines="50" w:after="50" w:line="360" w:lineRule="auto"/>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投 标 函</w:t>
      </w:r>
    </w:p>
    <w:p w14:paraId="43EB6F40">
      <w:pPr>
        <w:keepNext w:val="0"/>
        <w:keepLines w:val="0"/>
        <w:pageBreakBefore w:val="0"/>
        <w:widowControl w:val="0"/>
        <w:kinsoku/>
        <w:wordWrap/>
        <w:overflowPunct/>
        <w:topLinePunct w:val="0"/>
        <w:autoSpaceDE/>
        <w:autoSpaceDN/>
        <w:bidi w:val="0"/>
        <w:adjustRightInd/>
        <w:snapToGrid/>
        <w:spacing w:line="420" w:lineRule="exact"/>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采购人名称 </w:t>
      </w:r>
    </w:p>
    <w:p w14:paraId="7ED771DB">
      <w:pPr>
        <w:keepNext w:val="0"/>
        <w:keepLines w:val="0"/>
        <w:pageBreakBefore w:val="0"/>
        <w:widowControl w:val="0"/>
        <w:kinsoku/>
        <w:wordWrap/>
        <w:overflowPunct/>
        <w:topLinePunct w:val="0"/>
        <w:autoSpaceDE/>
        <w:autoSpaceDN/>
        <w:bidi w:val="0"/>
        <w:adjustRightInd/>
        <w:snapToGrid/>
        <w:spacing w:line="420" w:lineRule="exact"/>
        <w:ind w:firstLine="48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）的招标公告，签字代表______（姓名）经正式授权并代表投标人（投标人名称）提交投标文件。</w:t>
      </w:r>
    </w:p>
    <w:p w14:paraId="6EDFE4E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据此函，我方宣布同意如下：</w:t>
      </w:r>
    </w:p>
    <w:p w14:paraId="23F2974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D94EE0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2.我方在投标之前已经完全理解并接受招标文件的各项规定和要求，对招标文件的合理性、合法性不再有异议。</w:t>
      </w:r>
    </w:p>
    <w:p w14:paraId="2738270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3.本投标有效期自投标截止之日起</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日。</w:t>
      </w:r>
    </w:p>
    <w:p w14:paraId="3DE4F1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4.如中标，本投标文件至本项目合同履行完毕止均保持有效，我方将按“招标文件”及政府采购法律、法规的规定履行合同责任和义务。</w:t>
      </w:r>
    </w:p>
    <w:p w14:paraId="0E2783B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5.我方同意按照贵方要求提供与投标有关的一切数据或者资料。</w:t>
      </w:r>
    </w:p>
    <w:p w14:paraId="50250DBB">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6.我方向贵方提交的所有投标文件、资料都是准确的和真实的。</w:t>
      </w:r>
    </w:p>
    <w:p w14:paraId="3514A19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7.以上事项如有虚假或者隐瞒，我方愿意承担一切后果，并不再寻求任何旨在减轻或者免除法律责任的辩解。</w:t>
      </w:r>
    </w:p>
    <w:p w14:paraId="299EDDB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19A009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□我方本次投标文件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289E6FC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□我方本次投标文件</w:t>
      </w:r>
      <w:r>
        <w:rPr>
          <w:rFonts w:hint="eastAsia" w:ascii="仿宋" w:hAnsi="仿宋" w:eastAsia="仿宋" w:cs="仿宋"/>
          <w:color w:val="auto"/>
          <w:kern w:val="0"/>
          <w:sz w:val="24"/>
          <w:highlight w:val="none"/>
        </w:rPr>
        <w:t>涉及商业秘密的内容有：；</w:t>
      </w:r>
    </w:p>
    <w:p w14:paraId="71D1E83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9.与本投标有关的一切正式往来信函请寄：</w:t>
      </w:r>
    </w:p>
    <w:p w14:paraId="64AAE227">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地址：邮编：</w:t>
      </w:r>
    </w:p>
    <w:p w14:paraId="71FF2EA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电话：传真：</w:t>
      </w:r>
    </w:p>
    <w:p w14:paraId="7BD744E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p w14:paraId="5ED5333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p w14:paraId="77E9618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jc w:val="left"/>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银行账号：</w:t>
      </w:r>
    </w:p>
    <w:p w14:paraId="20703929">
      <w:pPr>
        <w:pStyle w:val="28"/>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jc w:val="left"/>
        <w:textAlignment w:val="auto"/>
        <w:outlineLvl w:val="9"/>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法定代表人或者委托代理人[签字</w:t>
      </w:r>
      <w:r>
        <w:rPr>
          <w:rFonts w:hint="eastAsia" w:ascii="仿宋" w:hAnsi="仿宋" w:eastAsia="仿宋" w:cs="仿宋"/>
          <w:color w:val="auto"/>
          <w:sz w:val="24"/>
          <w:szCs w:val="24"/>
          <w:highlight w:val="none"/>
          <w:u w:val="none"/>
          <w:lang w:val="en-US" w:eastAsia="zh-CN"/>
        </w:rPr>
        <w:t>或</w:t>
      </w:r>
      <w:r>
        <w:rPr>
          <w:rFonts w:hint="eastAsia" w:ascii="仿宋" w:hAnsi="仿宋" w:eastAsia="仿宋" w:cs="仿宋"/>
          <w:color w:val="auto"/>
          <w:sz w:val="24"/>
          <w:szCs w:val="24"/>
          <w:highlight w:val="none"/>
          <w:u w:val="none"/>
        </w:rPr>
        <w:t xml:space="preserve">CA签章、自然人除外]:___________ </w:t>
      </w:r>
    </w:p>
    <w:p w14:paraId="2AAE3261">
      <w:pPr>
        <w:pStyle w:val="28"/>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jc w:val="left"/>
        <w:textAlignment w:val="auto"/>
        <w:outlineLvl w:val="9"/>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投标人[</w:t>
      </w:r>
      <w:r>
        <w:rPr>
          <w:rFonts w:hint="eastAsia" w:ascii="仿宋" w:hAnsi="仿宋" w:eastAsia="仿宋" w:cs="仿宋"/>
          <w:color w:val="auto"/>
          <w:sz w:val="24"/>
          <w:szCs w:val="24"/>
          <w:highlight w:val="none"/>
          <w:u w:val="none"/>
          <w:lang w:eastAsia="zh-CN"/>
        </w:rPr>
        <w:t>公章(或CA签章)</w:t>
      </w:r>
      <w:r>
        <w:rPr>
          <w:rFonts w:hint="eastAsia" w:ascii="仿宋" w:hAnsi="仿宋" w:eastAsia="仿宋" w:cs="仿宋"/>
          <w:color w:val="auto"/>
          <w:sz w:val="24"/>
          <w:szCs w:val="24"/>
          <w:highlight w:val="none"/>
          <w:u w:val="none"/>
        </w:rPr>
        <w:t>、自然人除外]：</w:t>
      </w:r>
    </w:p>
    <w:p w14:paraId="01053D1C">
      <w:pPr>
        <w:pStyle w:val="28"/>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outlineLvl w:val="9"/>
        <w:rPr>
          <w:rFonts w:hint="eastAsia" w:ascii="仿宋" w:hAnsi="仿宋" w:eastAsia="仿宋" w:cs="仿宋"/>
          <w:color w:val="auto"/>
          <w:sz w:val="24"/>
          <w:szCs w:val="24"/>
          <w:highlight w:val="none"/>
          <w:u w:val="single"/>
        </w:rPr>
      </w:pPr>
    </w:p>
    <w:p w14:paraId="5282FDA4">
      <w:pPr>
        <w:pStyle w:val="28"/>
        <w:keepNext w:val="0"/>
        <w:keepLines w:val="0"/>
        <w:pageBreakBefore w:val="0"/>
        <w:widowControl w:val="0"/>
        <w:kinsoku/>
        <w:wordWrap/>
        <w:overflowPunct/>
        <w:topLinePunct w:val="0"/>
        <w:autoSpaceDE/>
        <w:autoSpaceDN/>
        <w:bidi w:val="0"/>
        <w:adjustRightInd/>
        <w:snapToGrid/>
        <w:spacing w:line="420" w:lineRule="exact"/>
        <w:ind w:firstLine="960" w:firstLineChars="400"/>
        <w:contextualSpacing/>
        <w:textAlignment w:val="auto"/>
        <w:outlineLvl w:val="9"/>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年   月   日</w:t>
      </w:r>
    </w:p>
    <w:p w14:paraId="45204192">
      <w:pPr>
        <w:snapToGrid w:val="0"/>
        <w:spacing w:before="120" w:beforeLines="50" w:after="50" w:line="440" w:lineRule="exact"/>
        <w:jc w:val="left"/>
        <w:rPr>
          <w:rFonts w:hint="eastAsia" w:ascii="仿宋" w:hAnsi="仿宋" w:eastAsia="仿宋" w:cs="仿宋"/>
          <w:b/>
          <w:color w:val="auto"/>
          <w:sz w:val="24"/>
          <w:szCs w:val="20"/>
          <w:highlight w:val="none"/>
        </w:rPr>
      </w:pPr>
      <w:r>
        <w:rPr>
          <w:rFonts w:hint="eastAsia" w:ascii="仿宋" w:hAnsi="仿宋" w:eastAsia="仿宋" w:cs="仿宋"/>
          <w:color w:val="auto"/>
          <w:highlight w:val="none"/>
          <w:u w:val="single"/>
        </w:rPr>
        <w:br w:type="page"/>
      </w:r>
      <w:r>
        <w:rPr>
          <w:rFonts w:hint="eastAsia" w:ascii="仿宋" w:hAnsi="仿宋" w:eastAsia="仿宋" w:cs="仿宋"/>
          <w:b/>
          <w:color w:val="auto"/>
          <w:sz w:val="24"/>
          <w:highlight w:val="none"/>
        </w:rPr>
        <w:t>4. 开标一览表格式</w:t>
      </w:r>
    </w:p>
    <w:p w14:paraId="5B7CA933">
      <w:pPr>
        <w:snapToGrid w:val="0"/>
        <w:spacing w:before="50" w:after="50"/>
        <w:jc w:val="center"/>
        <w:rPr>
          <w:rFonts w:hint="eastAsia" w:ascii="仿宋" w:hAnsi="仿宋" w:eastAsia="仿宋" w:cs="仿宋"/>
          <w:b/>
          <w:color w:val="auto"/>
          <w:sz w:val="30"/>
          <w:highlight w:val="none"/>
        </w:rPr>
      </w:pPr>
      <w:r>
        <w:rPr>
          <w:rFonts w:hint="eastAsia" w:ascii="仿宋" w:hAnsi="仿宋" w:eastAsia="仿宋" w:cs="仿宋"/>
          <w:b/>
          <w:color w:val="auto"/>
          <w:sz w:val="30"/>
          <w:highlight w:val="none"/>
        </w:rPr>
        <w:t>开标一览表</w:t>
      </w:r>
    </w:p>
    <w:p w14:paraId="03F858CD">
      <w:pPr>
        <w:snapToGrid w:val="0"/>
        <w:spacing w:before="50" w:after="50"/>
        <w:jc w:val="center"/>
        <w:rPr>
          <w:rFonts w:hint="eastAsia" w:ascii="仿宋" w:hAnsi="仿宋" w:eastAsia="仿宋" w:cs="仿宋"/>
          <w:b/>
          <w:color w:val="auto"/>
          <w:sz w:val="30"/>
          <w:szCs w:val="20"/>
          <w:highlight w:val="none"/>
        </w:rPr>
      </w:pPr>
    </w:p>
    <w:p w14:paraId="72786D9F">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4CB8B93">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单位：元</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6"/>
        <w:gridCol w:w="2627"/>
        <w:gridCol w:w="809"/>
        <w:gridCol w:w="957"/>
        <w:gridCol w:w="957"/>
        <w:gridCol w:w="3130"/>
      </w:tblGrid>
      <w:tr w14:paraId="4A85CE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56" w:type="dxa"/>
            <w:tcBorders>
              <w:top w:val="single" w:color="auto" w:sz="4" w:space="0"/>
              <w:left w:val="single" w:color="auto" w:sz="4" w:space="0"/>
              <w:bottom w:val="single" w:color="auto" w:sz="4" w:space="0"/>
              <w:right w:val="single" w:color="auto" w:sz="4" w:space="0"/>
            </w:tcBorders>
            <w:noWrap w:val="0"/>
            <w:vAlign w:val="center"/>
          </w:tcPr>
          <w:p w14:paraId="27F8BC72">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627" w:type="dxa"/>
            <w:tcBorders>
              <w:top w:val="single" w:color="auto" w:sz="4" w:space="0"/>
              <w:left w:val="single" w:color="auto" w:sz="4" w:space="0"/>
              <w:bottom w:val="single" w:color="auto" w:sz="4" w:space="0"/>
              <w:right w:val="single" w:color="auto" w:sz="4" w:space="0"/>
            </w:tcBorders>
            <w:noWrap w:val="0"/>
            <w:vAlign w:val="center"/>
          </w:tcPr>
          <w:p w14:paraId="656810AB">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标的的名称</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36AC7623">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26D539F9">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数量及单位①</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E45053D">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p w14:paraId="6C985ACD">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②</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0E2A1506">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w:t>
            </w:r>
          </w:p>
          <w:p w14:paraId="69AE34C7">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③=①×②</w:t>
            </w:r>
          </w:p>
        </w:tc>
      </w:tr>
      <w:tr w14:paraId="543CA7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756" w:type="dxa"/>
            <w:tcBorders>
              <w:top w:val="single" w:color="auto" w:sz="4" w:space="0"/>
              <w:left w:val="single" w:color="auto" w:sz="4" w:space="0"/>
              <w:bottom w:val="single" w:color="auto" w:sz="4" w:space="0"/>
              <w:right w:val="single" w:color="auto" w:sz="4" w:space="0"/>
            </w:tcBorders>
            <w:noWrap w:val="0"/>
            <w:vAlign w:val="center"/>
          </w:tcPr>
          <w:p w14:paraId="20200516">
            <w:pPr>
              <w:snapToGrid w:val="0"/>
              <w:spacing w:before="50" w:after="50"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p>
        </w:tc>
        <w:tc>
          <w:tcPr>
            <w:tcW w:w="2627" w:type="dxa"/>
            <w:tcBorders>
              <w:top w:val="single" w:color="auto" w:sz="4" w:space="0"/>
              <w:left w:val="single" w:color="auto" w:sz="4" w:space="0"/>
              <w:bottom w:val="single" w:color="auto" w:sz="4" w:space="0"/>
              <w:right w:val="single" w:color="auto" w:sz="4" w:space="0"/>
            </w:tcBorders>
            <w:noWrap w:val="0"/>
            <w:vAlign w:val="center"/>
          </w:tcPr>
          <w:p w14:paraId="07684B32">
            <w:pPr>
              <w:snapToGrid w:val="0"/>
              <w:spacing w:before="50" w:after="50" w:line="360" w:lineRule="auto"/>
              <w:jc w:val="center"/>
              <w:rPr>
                <w:rFonts w:hint="eastAsia" w:ascii="仿宋" w:hAnsi="仿宋" w:eastAsia="仿宋" w:cs="仿宋"/>
                <w:b/>
                <w:color w:val="auto"/>
                <w:sz w:val="24"/>
                <w:highlight w:val="none"/>
              </w:rPr>
            </w:pPr>
          </w:p>
        </w:tc>
        <w:tc>
          <w:tcPr>
            <w:tcW w:w="809" w:type="dxa"/>
            <w:tcBorders>
              <w:top w:val="single" w:color="auto" w:sz="4" w:space="0"/>
              <w:left w:val="single" w:color="auto" w:sz="4" w:space="0"/>
              <w:bottom w:val="single" w:color="auto" w:sz="4" w:space="0"/>
              <w:right w:val="single" w:color="auto" w:sz="4" w:space="0"/>
            </w:tcBorders>
            <w:noWrap w:val="0"/>
            <w:vAlign w:val="center"/>
          </w:tcPr>
          <w:p w14:paraId="5026AA73">
            <w:pPr>
              <w:snapToGrid w:val="0"/>
              <w:spacing w:before="50" w:after="50" w:line="360" w:lineRule="auto"/>
              <w:rPr>
                <w:rFonts w:hint="eastAsia" w:ascii="仿宋" w:hAnsi="仿宋" w:eastAsia="仿宋" w:cs="仿宋"/>
                <w:color w:val="auto"/>
                <w:sz w:val="24"/>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35BD150F">
            <w:pPr>
              <w:snapToGrid w:val="0"/>
              <w:spacing w:before="50" w:after="50" w:line="360" w:lineRule="auto"/>
              <w:rPr>
                <w:rFonts w:hint="eastAsia" w:ascii="仿宋" w:hAnsi="仿宋" w:eastAsia="仿宋" w:cs="仿宋"/>
                <w:color w:val="auto"/>
                <w:sz w:val="24"/>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560AE102">
            <w:pPr>
              <w:snapToGrid w:val="0"/>
              <w:spacing w:before="50" w:after="50" w:line="360" w:lineRule="auto"/>
              <w:rPr>
                <w:rFonts w:hint="eastAsia" w:ascii="仿宋" w:hAnsi="仿宋" w:eastAsia="仿宋" w:cs="仿宋"/>
                <w:color w:val="auto"/>
                <w:sz w:val="24"/>
                <w:highlight w:val="none"/>
              </w:rPr>
            </w:pPr>
          </w:p>
        </w:tc>
        <w:tc>
          <w:tcPr>
            <w:tcW w:w="3130" w:type="dxa"/>
            <w:tcBorders>
              <w:top w:val="single" w:color="auto" w:sz="4" w:space="0"/>
              <w:left w:val="single" w:color="auto" w:sz="4" w:space="0"/>
              <w:bottom w:val="single" w:color="auto" w:sz="4" w:space="0"/>
              <w:right w:val="single" w:color="auto" w:sz="4" w:space="0"/>
            </w:tcBorders>
            <w:noWrap w:val="0"/>
            <w:vAlign w:val="center"/>
          </w:tcPr>
          <w:p w14:paraId="73A3D7F6">
            <w:pPr>
              <w:snapToGrid w:val="0"/>
              <w:spacing w:before="50" w:after="50" w:line="360" w:lineRule="auto"/>
              <w:rPr>
                <w:rFonts w:hint="eastAsia" w:ascii="仿宋" w:hAnsi="仿宋" w:eastAsia="仿宋" w:cs="仿宋"/>
                <w:color w:val="auto"/>
                <w:sz w:val="24"/>
                <w:highlight w:val="none"/>
              </w:rPr>
            </w:pPr>
          </w:p>
        </w:tc>
      </w:tr>
      <w:tr w14:paraId="5FFEF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9236" w:type="dxa"/>
            <w:gridSpan w:val="6"/>
            <w:tcBorders>
              <w:top w:val="single" w:color="auto" w:sz="4" w:space="0"/>
              <w:left w:val="single" w:color="auto" w:sz="4" w:space="0"/>
              <w:bottom w:val="single" w:color="auto" w:sz="4" w:space="0"/>
              <w:right w:val="single" w:color="auto" w:sz="4" w:space="0"/>
            </w:tcBorders>
            <w:noWrap w:val="0"/>
            <w:vAlign w:val="center"/>
          </w:tcPr>
          <w:p w14:paraId="7D11901B">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合计金额大写：人民币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tc>
      </w:tr>
    </w:tbl>
    <w:p w14:paraId="7CA8C611">
      <w:pPr>
        <w:snapToGrid w:val="0"/>
        <w:spacing w:before="50" w:after="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注: </w:t>
      </w:r>
    </w:p>
    <w:p w14:paraId="308260F4">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1.投标人的开标一览表必须加盖投标人公章并由法定代表人或者委托代理人签字，</w:t>
      </w:r>
      <w:r>
        <w:rPr>
          <w:rFonts w:hint="eastAsia" w:ascii="仿宋" w:hAnsi="仿宋" w:eastAsia="仿宋" w:cs="仿宋"/>
          <w:b/>
          <w:color w:val="auto"/>
          <w:sz w:val="24"/>
          <w:highlight w:val="none"/>
        </w:rPr>
        <w:t>否则其投标作无效标处理</w:t>
      </w:r>
      <w:r>
        <w:rPr>
          <w:rFonts w:hint="eastAsia" w:ascii="仿宋" w:hAnsi="仿宋" w:eastAsia="仿宋" w:cs="仿宋"/>
          <w:color w:val="auto"/>
          <w:sz w:val="24"/>
          <w:highlight w:val="none"/>
        </w:rPr>
        <w:t>。</w:t>
      </w:r>
    </w:p>
    <w:p w14:paraId="618317EA">
      <w:pPr>
        <w:snapToGrid w:val="0"/>
        <w:spacing w:before="50" w:after="50" w:line="360" w:lineRule="auto"/>
        <w:ind w:firstLine="480" w:firstLineChars="200"/>
        <w:jc w:val="left"/>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报价一经涂改，应在涂改处加盖投标人公章或者由法定代表人或者委托代理人签字或者盖章</w:t>
      </w:r>
      <w:r>
        <w:rPr>
          <w:rFonts w:hint="eastAsia" w:ascii="仿宋" w:hAnsi="仿宋" w:eastAsia="仿宋" w:cs="仿宋"/>
          <w:b/>
          <w:color w:val="auto"/>
          <w:sz w:val="24"/>
          <w:highlight w:val="none"/>
        </w:rPr>
        <w:t>，否则其投标作无效标处理。</w:t>
      </w:r>
    </w:p>
    <w:p w14:paraId="4912C65C">
      <w:pPr>
        <w:snapToGrid w:val="0"/>
        <w:spacing w:before="50" w:after="50"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3.招标文件中列明采购专用耗材的，应按招标文件规定的耗材量或者按耗材的常规试用量提供报价。</w:t>
      </w:r>
    </w:p>
    <w:p w14:paraId="274B3519">
      <w:pPr>
        <w:snapToGrid w:val="0"/>
        <w:spacing w:before="50" w:after="50" w:line="360" w:lineRule="auto"/>
        <w:ind w:firstLine="482" w:firstLineChars="200"/>
        <w:rPr>
          <w:rFonts w:hint="eastAsia" w:ascii="仿宋" w:hAnsi="仿宋" w:eastAsia="仿宋" w:cs="仿宋"/>
          <w:b/>
          <w:color w:val="auto"/>
          <w:sz w:val="24"/>
          <w:highlight w:val="none"/>
        </w:rPr>
      </w:pPr>
    </w:p>
    <w:p w14:paraId="75E613A5">
      <w:pPr>
        <w:snapToGrid w:val="0"/>
        <w:spacing w:before="50" w:after="50" w:line="360" w:lineRule="auto"/>
        <w:ind w:firstLine="482" w:firstLineChars="200"/>
        <w:rPr>
          <w:rFonts w:hint="eastAsia" w:ascii="仿宋" w:hAnsi="仿宋" w:eastAsia="仿宋" w:cs="仿宋"/>
          <w:b/>
          <w:color w:val="auto"/>
          <w:sz w:val="24"/>
          <w:highlight w:val="none"/>
        </w:rPr>
      </w:pPr>
    </w:p>
    <w:p w14:paraId="62807AE6">
      <w:pPr>
        <w:snapToGrid w:val="0"/>
        <w:spacing w:before="50" w:after="50" w:line="360" w:lineRule="auto"/>
        <w:ind w:left="-3" w:leftChars="-15" w:right="-817" w:rightChars="-389" w:hanging="28" w:hangingChars="12"/>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法定代表人或者委托代理人[签字或CA签章、自然人除外]:___________ </w:t>
      </w:r>
    </w:p>
    <w:p w14:paraId="10EC1DBC">
      <w:pPr>
        <w:snapToGrid w:val="0"/>
        <w:spacing w:before="50" w:after="50" w:line="360" w:lineRule="auto"/>
        <w:ind w:left="-3" w:leftChars="-15" w:right="-817" w:rightChars="-389" w:hanging="28" w:hangingChars="12"/>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公章(或CA签章)</w:t>
      </w:r>
      <w:r>
        <w:rPr>
          <w:rFonts w:hint="eastAsia" w:ascii="仿宋" w:hAnsi="仿宋" w:eastAsia="仿宋" w:cs="仿宋"/>
          <w:color w:val="auto"/>
          <w:sz w:val="24"/>
          <w:highlight w:val="none"/>
        </w:rPr>
        <w:t>、自然人除外]：</w:t>
      </w:r>
    </w:p>
    <w:p w14:paraId="5BE46521">
      <w:pPr>
        <w:snapToGrid w:val="0"/>
        <w:spacing w:before="50" w:after="50" w:line="360" w:lineRule="auto"/>
        <w:ind w:left="-3" w:leftChars="-15" w:right="-817" w:rightChars="-389" w:hanging="28" w:hangingChars="12"/>
        <w:rPr>
          <w:rFonts w:hint="eastAsia" w:ascii="仿宋" w:hAnsi="仿宋" w:eastAsia="仿宋" w:cs="仿宋"/>
          <w:color w:val="auto"/>
          <w:szCs w:val="21"/>
          <w:highlight w:val="none"/>
        </w:rPr>
      </w:pPr>
      <w:r>
        <w:rPr>
          <w:rFonts w:hint="eastAsia" w:ascii="仿宋" w:hAnsi="仿宋" w:eastAsia="仿宋" w:cs="仿宋"/>
          <w:color w:val="auto"/>
          <w:sz w:val="24"/>
          <w:highlight w:val="none"/>
        </w:rPr>
        <w:t>日期：    年   月   日</w:t>
      </w:r>
    </w:p>
    <w:p w14:paraId="131CE5FA">
      <w:pPr>
        <w:rPr>
          <w:rFonts w:hint="eastAsia" w:ascii="仿宋" w:hAnsi="仿宋" w:eastAsia="仿宋" w:cs="仿宋"/>
          <w:b/>
          <w:bCs/>
          <w:color w:val="auto"/>
          <w:sz w:val="24"/>
          <w:highlight w:val="none"/>
        </w:rPr>
      </w:pPr>
    </w:p>
    <w:p w14:paraId="189BBE0D">
      <w:pPr>
        <w:rPr>
          <w:rFonts w:hint="eastAsia" w:ascii="仿宋" w:hAnsi="仿宋" w:eastAsia="仿宋" w:cs="仿宋"/>
          <w:b/>
          <w:bCs/>
          <w:color w:val="auto"/>
          <w:sz w:val="24"/>
          <w:highlight w:val="none"/>
        </w:rPr>
      </w:pPr>
    </w:p>
    <w:p w14:paraId="311CE0DE">
      <w:pPr>
        <w:rPr>
          <w:rFonts w:hint="eastAsia" w:ascii="仿宋" w:hAnsi="仿宋" w:eastAsia="仿宋" w:cs="仿宋"/>
          <w:b/>
          <w:color w:val="auto"/>
          <w:sz w:val="28"/>
          <w:szCs w:val="28"/>
          <w:highlight w:val="none"/>
        </w:rPr>
      </w:pPr>
      <w:r>
        <w:rPr>
          <w:rFonts w:hint="eastAsia" w:ascii="仿宋" w:hAnsi="仿宋" w:eastAsia="仿宋" w:cs="仿宋"/>
          <w:b/>
          <w:bCs/>
          <w:color w:val="auto"/>
          <w:sz w:val="24"/>
          <w:highlight w:val="none"/>
        </w:rPr>
        <w:t>5、投标人针对报价需要说明的其他文件和说明（格式自拟）</w:t>
      </w:r>
      <w:r>
        <w:rPr>
          <w:rFonts w:hint="eastAsia" w:ascii="仿宋" w:hAnsi="仿宋" w:eastAsia="仿宋" w:cs="仿宋"/>
          <w:b/>
          <w:bCs/>
          <w:color w:val="auto"/>
          <w:sz w:val="24"/>
          <w:highlight w:val="none"/>
        </w:rPr>
        <w:br w:type="page"/>
      </w:r>
      <w:bookmarkStart w:id="191" w:name="_Toc19686837"/>
      <w:r>
        <w:rPr>
          <w:rFonts w:hint="eastAsia" w:ascii="仿宋" w:hAnsi="仿宋" w:eastAsia="仿宋" w:cs="仿宋"/>
          <w:b/>
          <w:color w:val="auto"/>
          <w:sz w:val="28"/>
          <w:szCs w:val="28"/>
          <w:highlight w:val="none"/>
        </w:rPr>
        <w:t>二、资格证明文件格式</w:t>
      </w:r>
      <w:bookmarkEnd w:id="189"/>
      <w:bookmarkEnd w:id="190"/>
      <w:bookmarkEnd w:id="191"/>
    </w:p>
    <w:p w14:paraId="53727944">
      <w:pPr>
        <w:numPr>
          <w:ilvl w:val="2"/>
          <w:numId w:val="8"/>
        </w:numPr>
        <w:snapToGrid w:val="0"/>
        <w:spacing w:before="120" w:beforeLines="50" w:after="50" w:line="360" w:lineRule="auto"/>
        <w:ind w:left="0" w:firstLine="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资格证明文件封面格式： </w:t>
      </w:r>
    </w:p>
    <w:p w14:paraId="16F2C800">
      <w:pPr>
        <w:snapToGrid w:val="0"/>
        <w:spacing w:before="120" w:beforeLines="50" w:after="50"/>
        <w:rPr>
          <w:rFonts w:hint="eastAsia" w:ascii="仿宋" w:hAnsi="仿宋" w:eastAsia="仿宋" w:cs="仿宋"/>
          <w:bCs/>
          <w:color w:val="auto"/>
          <w:sz w:val="32"/>
          <w:szCs w:val="20"/>
          <w:highlight w:val="none"/>
        </w:rPr>
      </w:pPr>
    </w:p>
    <w:p w14:paraId="7417CDFB">
      <w:pPr>
        <w:snapToGrid w:val="0"/>
        <w:spacing w:before="120" w:beforeLines="50" w:after="50"/>
        <w:rPr>
          <w:rFonts w:hint="eastAsia" w:ascii="仿宋" w:hAnsi="仿宋" w:eastAsia="仿宋" w:cs="仿宋"/>
          <w:color w:val="auto"/>
          <w:sz w:val="24"/>
          <w:szCs w:val="20"/>
          <w:highlight w:val="none"/>
        </w:rPr>
      </w:pPr>
    </w:p>
    <w:p w14:paraId="6B01902F">
      <w:pPr>
        <w:snapToGrid w:val="0"/>
        <w:spacing w:before="120" w:beforeLines="50" w:after="50"/>
        <w:rPr>
          <w:rFonts w:hint="eastAsia" w:ascii="仿宋" w:hAnsi="仿宋" w:eastAsia="仿宋" w:cs="仿宋"/>
          <w:color w:val="auto"/>
          <w:sz w:val="24"/>
          <w:szCs w:val="20"/>
          <w:highlight w:val="none"/>
        </w:rPr>
      </w:pPr>
    </w:p>
    <w:p w14:paraId="589A8622">
      <w:pPr>
        <w:snapToGrid w:val="0"/>
        <w:spacing w:before="120" w:beforeLines="50" w:after="50"/>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投  标  文  件</w:t>
      </w:r>
    </w:p>
    <w:p w14:paraId="63589574">
      <w:pPr>
        <w:snapToGrid w:val="0"/>
        <w:spacing w:before="120" w:beforeLines="50" w:after="50"/>
        <w:rPr>
          <w:rFonts w:hint="eastAsia" w:ascii="仿宋" w:hAnsi="仿宋" w:eastAsia="仿宋" w:cs="仿宋"/>
          <w:color w:val="auto"/>
          <w:sz w:val="24"/>
          <w:szCs w:val="20"/>
          <w:highlight w:val="none"/>
        </w:rPr>
      </w:pPr>
    </w:p>
    <w:p w14:paraId="3E2E1EDD">
      <w:pPr>
        <w:snapToGrid w:val="0"/>
        <w:spacing w:before="120" w:beforeLines="50" w:after="50"/>
        <w:rPr>
          <w:rFonts w:hint="eastAsia" w:ascii="仿宋" w:hAnsi="仿宋" w:eastAsia="仿宋" w:cs="仿宋"/>
          <w:color w:val="auto"/>
          <w:sz w:val="24"/>
          <w:szCs w:val="20"/>
          <w:highlight w:val="none"/>
        </w:rPr>
      </w:pPr>
    </w:p>
    <w:p w14:paraId="620BC86D">
      <w:pPr>
        <w:snapToGrid w:val="0"/>
        <w:spacing w:before="120" w:beforeLines="50" w:after="50"/>
        <w:jc w:val="center"/>
        <w:rPr>
          <w:rFonts w:hint="eastAsia" w:ascii="仿宋" w:hAnsi="仿宋" w:eastAsia="仿宋" w:cs="仿宋"/>
          <w:b/>
          <w:color w:val="auto"/>
          <w:sz w:val="24"/>
          <w:szCs w:val="20"/>
          <w:highlight w:val="none"/>
        </w:rPr>
      </w:pPr>
      <w:r>
        <w:rPr>
          <w:rFonts w:hint="eastAsia" w:ascii="仿宋" w:hAnsi="仿宋" w:eastAsia="仿宋" w:cs="仿宋"/>
          <w:b/>
          <w:color w:val="auto"/>
          <w:sz w:val="32"/>
          <w:szCs w:val="32"/>
          <w:highlight w:val="none"/>
        </w:rPr>
        <w:t>资 格 证 明 文 件</w:t>
      </w:r>
    </w:p>
    <w:p w14:paraId="05994D0D">
      <w:pPr>
        <w:snapToGrid w:val="0"/>
        <w:spacing w:before="120" w:beforeLines="50" w:after="50"/>
        <w:rPr>
          <w:rFonts w:hint="eastAsia" w:ascii="仿宋" w:hAnsi="仿宋" w:eastAsia="仿宋" w:cs="仿宋"/>
          <w:bCs/>
          <w:color w:val="auto"/>
          <w:sz w:val="24"/>
          <w:szCs w:val="20"/>
          <w:highlight w:val="none"/>
        </w:rPr>
      </w:pPr>
    </w:p>
    <w:p w14:paraId="3BB95D5E">
      <w:pPr>
        <w:snapToGrid w:val="0"/>
        <w:spacing w:before="120" w:beforeLines="50" w:after="50"/>
        <w:rPr>
          <w:rFonts w:hint="eastAsia" w:ascii="仿宋" w:hAnsi="仿宋" w:eastAsia="仿宋" w:cs="仿宋"/>
          <w:bCs/>
          <w:color w:val="auto"/>
          <w:sz w:val="24"/>
          <w:szCs w:val="20"/>
          <w:highlight w:val="none"/>
        </w:rPr>
      </w:pPr>
    </w:p>
    <w:p w14:paraId="2A21DE4C">
      <w:pPr>
        <w:snapToGrid w:val="0"/>
        <w:spacing w:before="120" w:beforeLines="50" w:after="50"/>
        <w:rPr>
          <w:rFonts w:hint="eastAsia" w:ascii="仿宋" w:hAnsi="仿宋" w:eastAsia="仿宋" w:cs="仿宋"/>
          <w:bCs/>
          <w:color w:val="auto"/>
          <w:sz w:val="24"/>
          <w:szCs w:val="20"/>
          <w:highlight w:val="none"/>
        </w:rPr>
      </w:pPr>
    </w:p>
    <w:p w14:paraId="4202E74C">
      <w:pPr>
        <w:snapToGrid w:val="0"/>
        <w:spacing w:before="120" w:beforeLines="50" w:after="50"/>
        <w:rPr>
          <w:rFonts w:hint="eastAsia" w:ascii="仿宋" w:hAnsi="仿宋" w:eastAsia="仿宋" w:cs="仿宋"/>
          <w:bCs/>
          <w:color w:val="auto"/>
          <w:sz w:val="24"/>
          <w:szCs w:val="20"/>
          <w:highlight w:val="none"/>
        </w:rPr>
      </w:pPr>
    </w:p>
    <w:p w14:paraId="64F3D645">
      <w:pPr>
        <w:snapToGrid w:val="0"/>
        <w:spacing w:before="120" w:beforeLines="50" w:after="50"/>
        <w:rPr>
          <w:rFonts w:hint="eastAsia" w:ascii="仿宋" w:hAnsi="仿宋" w:eastAsia="仿宋" w:cs="仿宋"/>
          <w:bCs/>
          <w:color w:val="auto"/>
          <w:sz w:val="24"/>
          <w:szCs w:val="20"/>
          <w:highlight w:val="none"/>
        </w:rPr>
      </w:pPr>
    </w:p>
    <w:p w14:paraId="6094F56C">
      <w:pPr>
        <w:snapToGrid w:val="0"/>
        <w:spacing w:before="120"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p w14:paraId="1906C939">
      <w:pPr>
        <w:snapToGrid w:val="0"/>
        <w:spacing w:before="120" w:beforeLines="50" w:after="50"/>
        <w:ind w:firstLine="540" w:firstLineChars="225"/>
        <w:rPr>
          <w:rFonts w:hint="eastAsia" w:ascii="仿宋" w:hAnsi="仿宋" w:eastAsia="仿宋" w:cs="仿宋"/>
          <w:bCs/>
          <w:color w:val="auto"/>
          <w:sz w:val="24"/>
          <w:szCs w:val="20"/>
          <w:highlight w:val="none"/>
        </w:rPr>
      </w:pPr>
    </w:p>
    <w:p w14:paraId="5111509C">
      <w:pPr>
        <w:snapToGrid w:val="0"/>
        <w:spacing w:before="120"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项目编号：</w:t>
      </w:r>
    </w:p>
    <w:p w14:paraId="4C83367A">
      <w:pPr>
        <w:snapToGrid w:val="0"/>
        <w:spacing w:before="120" w:beforeLines="50" w:after="50"/>
        <w:ind w:firstLine="540" w:firstLineChars="225"/>
        <w:rPr>
          <w:rFonts w:hint="eastAsia" w:ascii="仿宋" w:hAnsi="仿宋" w:eastAsia="仿宋" w:cs="仿宋"/>
          <w:bCs/>
          <w:color w:val="auto"/>
          <w:sz w:val="24"/>
          <w:szCs w:val="20"/>
          <w:highlight w:val="none"/>
        </w:rPr>
      </w:pPr>
    </w:p>
    <w:p w14:paraId="64D83B67">
      <w:pPr>
        <w:pStyle w:val="9"/>
        <w:snapToGrid w:val="0"/>
        <w:spacing w:before="50" w:after="50"/>
        <w:ind w:firstLine="540" w:firstLineChars="225"/>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投标人名称：</w:t>
      </w:r>
    </w:p>
    <w:p w14:paraId="5E90197B">
      <w:pPr>
        <w:pStyle w:val="9"/>
        <w:snapToGrid w:val="0"/>
        <w:spacing w:before="50" w:after="50"/>
        <w:ind w:firstLine="540" w:firstLineChars="225"/>
        <w:rPr>
          <w:rFonts w:hint="eastAsia" w:ascii="仿宋" w:hAnsi="仿宋" w:eastAsia="仿宋" w:cs="仿宋"/>
          <w:bCs/>
          <w:color w:val="auto"/>
          <w:sz w:val="24"/>
          <w:szCs w:val="24"/>
          <w:highlight w:val="none"/>
        </w:rPr>
      </w:pPr>
    </w:p>
    <w:p w14:paraId="77C5D142">
      <w:pPr>
        <w:pStyle w:val="9"/>
        <w:snapToGrid w:val="0"/>
        <w:spacing w:before="50" w:after="50"/>
        <w:ind w:firstLine="960" w:firstLineChars="400"/>
        <w:rPr>
          <w:rFonts w:hint="eastAsia" w:ascii="仿宋" w:hAnsi="仿宋" w:eastAsia="仿宋" w:cs="仿宋"/>
          <w:bCs/>
          <w:color w:val="auto"/>
          <w:sz w:val="24"/>
          <w:szCs w:val="24"/>
          <w:highlight w:val="none"/>
        </w:rPr>
      </w:pPr>
    </w:p>
    <w:p w14:paraId="422A756A">
      <w:pPr>
        <w:snapToGrid w:val="0"/>
        <w:spacing w:before="120" w:beforeLines="50" w:after="50"/>
        <w:ind w:firstLine="645"/>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76DA6331">
      <w:pPr>
        <w:snapToGrid w:val="0"/>
        <w:spacing w:before="120" w:beforeLines="50" w:after="50"/>
        <w:rPr>
          <w:rFonts w:hint="eastAsia" w:ascii="仿宋" w:hAnsi="仿宋" w:eastAsia="仿宋" w:cs="仿宋"/>
          <w:color w:val="auto"/>
          <w:sz w:val="24"/>
          <w:szCs w:val="20"/>
          <w:highlight w:val="none"/>
        </w:rPr>
      </w:pPr>
    </w:p>
    <w:p w14:paraId="715A7211">
      <w:pPr>
        <w:snapToGrid w:val="0"/>
        <w:spacing w:before="120" w:beforeLines="50" w:after="50"/>
        <w:rPr>
          <w:rFonts w:hint="eastAsia" w:ascii="仿宋" w:hAnsi="仿宋" w:eastAsia="仿宋" w:cs="仿宋"/>
          <w:color w:val="auto"/>
          <w:sz w:val="24"/>
          <w:szCs w:val="20"/>
          <w:highlight w:val="none"/>
        </w:rPr>
      </w:pPr>
    </w:p>
    <w:p w14:paraId="229D0EA3">
      <w:pPr>
        <w:tabs>
          <w:tab w:val="left" w:pos="1815"/>
        </w:tabs>
        <w:snapToGrid w:val="0"/>
        <w:spacing w:before="120" w:beforeLines="50" w:after="50" w:line="360" w:lineRule="auto"/>
        <w:jc w:val="left"/>
        <w:rPr>
          <w:rFonts w:hint="eastAsia" w:ascii="仿宋" w:hAnsi="仿宋" w:eastAsia="仿宋" w:cs="仿宋"/>
          <w:b/>
          <w:color w:val="auto"/>
          <w:sz w:val="24"/>
          <w:szCs w:val="20"/>
          <w:highlight w:val="none"/>
        </w:rPr>
      </w:pPr>
      <w:r>
        <w:rPr>
          <w:rFonts w:hint="eastAsia" w:ascii="仿宋" w:hAnsi="仿宋" w:eastAsia="仿宋" w:cs="仿宋"/>
          <w:b/>
          <w:bCs/>
          <w:color w:val="auto"/>
          <w:sz w:val="24"/>
          <w:highlight w:val="none"/>
        </w:rPr>
        <w:br w:type="page"/>
      </w:r>
      <w:r>
        <w:rPr>
          <w:rFonts w:hint="eastAsia" w:ascii="仿宋" w:hAnsi="仿宋" w:eastAsia="仿宋" w:cs="仿宋"/>
          <w:b/>
          <w:bCs/>
          <w:color w:val="auto"/>
          <w:sz w:val="24"/>
          <w:highlight w:val="none"/>
        </w:rPr>
        <w:t>2.资格证明文件目录</w:t>
      </w:r>
    </w:p>
    <w:p w14:paraId="618E56ED">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根据招标文件规定及投标人提供的材料自行编写目录。</w:t>
      </w:r>
    </w:p>
    <w:p w14:paraId="41B3728F">
      <w:pPr>
        <w:snapToGrid w:val="0"/>
        <w:spacing w:before="50" w:after="120" w:afterLines="50"/>
        <w:jc w:val="left"/>
        <w:rPr>
          <w:rFonts w:hint="eastAsia" w:ascii="仿宋" w:hAnsi="仿宋" w:eastAsia="仿宋" w:cs="仿宋"/>
          <w:color w:val="auto"/>
          <w:sz w:val="24"/>
          <w:highlight w:val="none"/>
        </w:rPr>
      </w:pPr>
    </w:p>
    <w:p w14:paraId="6593E61C">
      <w:pPr>
        <w:snapToGrid w:val="0"/>
        <w:spacing w:before="50" w:after="120" w:afterLines="50"/>
        <w:jc w:val="left"/>
        <w:rPr>
          <w:rFonts w:hint="eastAsia" w:ascii="仿宋" w:hAnsi="仿宋" w:eastAsia="仿宋" w:cs="仿宋"/>
          <w:color w:val="auto"/>
          <w:sz w:val="24"/>
          <w:highlight w:val="none"/>
        </w:rPr>
      </w:pPr>
    </w:p>
    <w:p w14:paraId="1692632B">
      <w:pPr>
        <w:numPr>
          <w:ilvl w:val="0"/>
          <w:numId w:val="0"/>
        </w:numPr>
        <w:snapToGrid w:val="0"/>
        <w:spacing w:before="120" w:beforeLines="50" w:after="50"/>
        <w:ind w:leftChars="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投标人直接控股、管理关系信息表</w:t>
      </w:r>
      <w:r>
        <w:rPr>
          <w:rFonts w:hint="eastAsia" w:ascii="仿宋" w:hAnsi="仿宋" w:eastAsia="仿宋" w:cs="仿宋"/>
          <w:b/>
          <w:color w:val="auto"/>
          <w:sz w:val="24"/>
          <w:highlight w:val="none"/>
          <w:lang w:val="en-US" w:eastAsia="zh-CN"/>
        </w:rPr>
        <w:t>格式</w:t>
      </w:r>
    </w:p>
    <w:p w14:paraId="6D61B258">
      <w:pPr>
        <w:snapToGrid w:val="0"/>
        <w:spacing w:before="50" w:after="120" w:afterLines="50"/>
        <w:jc w:val="center"/>
        <w:rPr>
          <w:rFonts w:hint="eastAsia" w:ascii="仿宋" w:hAnsi="仿宋" w:eastAsia="仿宋" w:cs="仿宋"/>
          <w:b/>
          <w:color w:val="auto"/>
          <w:sz w:val="28"/>
          <w:szCs w:val="28"/>
          <w:highlight w:val="none"/>
        </w:rPr>
      </w:pPr>
    </w:p>
    <w:p w14:paraId="028BBB00">
      <w:pPr>
        <w:snapToGrid w:val="0"/>
        <w:spacing w:before="50" w:after="120" w:afterLines="50"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投标人直接控股股东信息表</w:t>
      </w:r>
    </w:p>
    <w:tbl>
      <w:tblPr>
        <w:tblStyle w:val="52"/>
        <w:tblW w:w="9476" w:type="dxa"/>
        <w:jc w:val="center"/>
        <w:tblLayout w:type="fixed"/>
        <w:tblCellMar>
          <w:top w:w="0" w:type="dxa"/>
          <w:left w:w="0" w:type="dxa"/>
          <w:bottom w:w="0" w:type="dxa"/>
          <w:right w:w="0" w:type="dxa"/>
        </w:tblCellMar>
      </w:tblPr>
      <w:tblGrid>
        <w:gridCol w:w="828"/>
        <w:gridCol w:w="2269"/>
        <w:gridCol w:w="1239"/>
        <w:gridCol w:w="3722"/>
        <w:gridCol w:w="1418"/>
      </w:tblGrid>
      <w:tr w14:paraId="3DF04C58">
        <w:tblPrEx>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913169">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71DD88">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7A2D72">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83B734">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8B971B">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0654700E">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EAF9BF">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6B3C6F">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EF300E">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2A620C">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63BB9E">
            <w:pPr>
              <w:spacing w:line="360" w:lineRule="auto"/>
              <w:jc w:val="center"/>
              <w:rPr>
                <w:rFonts w:hint="eastAsia" w:ascii="仿宋" w:hAnsi="仿宋" w:eastAsia="仿宋" w:cs="仿宋"/>
                <w:color w:val="auto"/>
                <w:kern w:val="0"/>
                <w:sz w:val="24"/>
                <w:highlight w:val="none"/>
              </w:rPr>
            </w:pPr>
          </w:p>
        </w:tc>
      </w:tr>
      <w:tr w14:paraId="5E16F48E">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456298">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9DEC2B">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889304">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39479D">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7F00DD">
            <w:pPr>
              <w:spacing w:line="360" w:lineRule="auto"/>
              <w:jc w:val="center"/>
              <w:rPr>
                <w:rFonts w:hint="eastAsia" w:ascii="仿宋" w:hAnsi="仿宋" w:eastAsia="仿宋" w:cs="仿宋"/>
                <w:color w:val="auto"/>
                <w:kern w:val="0"/>
                <w:sz w:val="24"/>
                <w:highlight w:val="none"/>
              </w:rPr>
            </w:pPr>
          </w:p>
        </w:tc>
      </w:tr>
      <w:tr w14:paraId="3F8BBF89">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99A967">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FDB897">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1A1C1D">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983541">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BEEBF6">
            <w:pPr>
              <w:spacing w:line="360" w:lineRule="auto"/>
              <w:jc w:val="center"/>
              <w:rPr>
                <w:rFonts w:hint="eastAsia" w:ascii="仿宋" w:hAnsi="仿宋" w:eastAsia="仿宋" w:cs="仿宋"/>
                <w:color w:val="auto"/>
                <w:kern w:val="0"/>
                <w:sz w:val="24"/>
                <w:highlight w:val="none"/>
              </w:rPr>
            </w:pPr>
          </w:p>
        </w:tc>
      </w:tr>
      <w:tr w14:paraId="121908E3">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4584B0">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4C80C1">
            <w:pPr>
              <w:spacing w:line="360" w:lineRule="auto"/>
              <w:jc w:val="center"/>
              <w:rPr>
                <w:rFonts w:hint="eastAsia" w:ascii="仿宋" w:hAnsi="仿宋" w:eastAsia="仿宋" w:cs="仿宋"/>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6D98D7">
            <w:pPr>
              <w:spacing w:line="360" w:lineRule="auto"/>
              <w:jc w:val="center"/>
              <w:rPr>
                <w:rFonts w:hint="eastAsia" w:ascii="仿宋" w:hAnsi="仿宋" w:eastAsia="仿宋" w:cs="仿宋"/>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A5AE30">
            <w:pPr>
              <w:spacing w:line="360" w:lineRule="auto"/>
              <w:jc w:val="center"/>
              <w:rPr>
                <w:rFonts w:hint="eastAsia" w:ascii="仿宋" w:hAnsi="仿宋" w:eastAsia="仿宋" w:cs="仿宋"/>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AF1A61">
            <w:pPr>
              <w:spacing w:line="360" w:lineRule="auto"/>
              <w:jc w:val="center"/>
              <w:rPr>
                <w:rFonts w:hint="eastAsia" w:ascii="仿宋" w:hAnsi="仿宋" w:eastAsia="仿宋" w:cs="仿宋"/>
                <w:color w:val="auto"/>
                <w:kern w:val="0"/>
                <w:sz w:val="24"/>
                <w:highlight w:val="none"/>
              </w:rPr>
            </w:pPr>
          </w:p>
        </w:tc>
      </w:tr>
    </w:tbl>
    <w:p w14:paraId="1B8330E5">
      <w:pPr>
        <w:snapToGrid w:val="0"/>
        <w:spacing w:before="120" w:before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378759C2">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BEFE89E">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2.本表所指的控股关系仅限于直接控股关系，不包括间接的控股关系。公司实际控制人与公司之间的关系不属于本表所指的直接控股关系。</w:t>
      </w:r>
    </w:p>
    <w:p w14:paraId="640BC774">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3.供应商不存在直接控股股东的，则填“无”。</w:t>
      </w:r>
    </w:p>
    <w:p w14:paraId="0B51BEAC">
      <w:pPr>
        <w:snapToGrid w:val="0"/>
        <w:spacing w:line="360" w:lineRule="auto"/>
        <w:jc w:val="left"/>
        <w:rPr>
          <w:rFonts w:hint="eastAsia" w:ascii="仿宋" w:hAnsi="仿宋" w:eastAsia="仿宋" w:cs="仿宋"/>
          <w:color w:val="auto"/>
          <w:sz w:val="24"/>
          <w:highlight w:val="none"/>
        </w:rPr>
      </w:pPr>
    </w:p>
    <w:p w14:paraId="6E99DD72">
      <w:pPr>
        <w:snapToGrid w:val="0"/>
        <w:spacing w:line="360" w:lineRule="auto"/>
        <w:jc w:val="left"/>
        <w:rPr>
          <w:rFonts w:hint="eastAsia" w:ascii="仿宋" w:hAnsi="仿宋" w:eastAsia="仿宋" w:cs="仿宋"/>
          <w:color w:val="auto"/>
          <w:sz w:val="24"/>
          <w:highlight w:val="none"/>
        </w:rPr>
      </w:pPr>
    </w:p>
    <w:p w14:paraId="4F051BFD">
      <w:pPr>
        <w:snapToGrid w:val="0"/>
        <w:spacing w:line="360" w:lineRule="auto"/>
        <w:jc w:val="left"/>
        <w:rPr>
          <w:rFonts w:hint="eastAsia" w:ascii="仿宋" w:hAnsi="仿宋" w:eastAsia="仿宋" w:cs="仿宋"/>
          <w:color w:val="auto"/>
          <w:sz w:val="24"/>
          <w:highlight w:val="none"/>
        </w:rPr>
      </w:pPr>
    </w:p>
    <w:p w14:paraId="6A5E0F4E">
      <w:pPr>
        <w:snapToGrid w:val="0"/>
        <w:spacing w:line="360" w:lineRule="auto"/>
        <w:jc w:val="left"/>
        <w:rPr>
          <w:rFonts w:hint="eastAsia" w:ascii="仿宋" w:hAnsi="仿宋" w:eastAsia="仿宋" w:cs="仿宋"/>
          <w:color w:val="auto"/>
          <w:sz w:val="24"/>
          <w:highlight w:val="none"/>
        </w:rPr>
      </w:pPr>
    </w:p>
    <w:p w14:paraId="31739E57">
      <w:pPr>
        <w:snapToGrid w:val="0"/>
        <w:spacing w:before="120" w:beforeLines="50" w:line="360" w:lineRule="auto"/>
        <w:ind w:right="480" w:firstLine="3967" w:firstLineChars="1653"/>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法定代表人或者委托代理人（签字或CA签章）：</w:t>
      </w:r>
    </w:p>
    <w:p w14:paraId="74075223">
      <w:pPr>
        <w:snapToGrid w:val="0"/>
        <w:spacing w:before="120" w:beforeLines="50" w:after="50" w:line="360" w:lineRule="auto"/>
        <w:ind w:right="480" w:firstLine="5520" w:firstLineChars="23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投标人（盖公章或CA签章）：</w:t>
      </w:r>
    </w:p>
    <w:p w14:paraId="713491BC">
      <w:pPr>
        <w:snapToGrid w:val="0"/>
        <w:spacing w:before="120" w:beforeLines="50" w:after="50" w:line="360" w:lineRule="auto"/>
        <w:ind w:right="480" w:firstLine="5520" w:firstLineChars="2300"/>
        <w:rPr>
          <w:rFonts w:hint="eastAsia" w:ascii="仿宋" w:hAnsi="仿宋" w:eastAsia="仿宋" w:cs="仿宋"/>
          <w:color w:val="auto"/>
          <w:szCs w:val="21"/>
          <w:highlight w:val="none"/>
        </w:rPr>
      </w:pPr>
      <w:r>
        <w:rPr>
          <w:rFonts w:hint="eastAsia" w:ascii="仿宋" w:hAnsi="仿宋" w:eastAsia="仿宋" w:cs="仿宋"/>
          <w:color w:val="auto"/>
          <w:sz w:val="24"/>
          <w:highlight w:val="none"/>
        </w:rPr>
        <w:t>年    月    日</w:t>
      </w:r>
    </w:p>
    <w:p w14:paraId="4CC8E7E7">
      <w:pPr>
        <w:snapToGrid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投标人直接管理关系信息表</w:t>
      </w:r>
    </w:p>
    <w:tbl>
      <w:tblPr>
        <w:tblStyle w:val="52"/>
        <w:tblW w:w="9652" w:type="dxa"/>
        <w:jc w:val="center"/>
        <w:tblLayout w:type="fixed"/>
        <w:tblCellMar>
          <w:top w:w="0" w:type="dxa"/>
          <w:left w:w="0" w:type="dxa"/>
          <w:bottom w:w="0" w:type="dxa"/>
          <w:right w:w="0" w:type="dxa"/>
        </w:tblCellMar>
      </w:tblPr>
      <w:tblGrid>
        <w:gridCol w:w="1005"/>
        <w:gridCol w:w="2659"/>
        <w:gridCol w:w="3924"/>
        <w:gridCol w:w="2064"/>
      </w:tblGrid>
      <w:tr w14:paraId="3CDAC104">
        <w:tblPrEx>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982F0A8">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CAC92B">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CB4A8C1">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DBB159">
            <w:pPr>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5E914A6B">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CA4B44B">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DFCBF12">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D88CDD2">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C66F179">
            <w:pPr>
              <w:spacing w:line="360" w:lineRule="auto"/>
              <w:jc w:val="center"/>
              <w:rPr>
                <w:rFonts w:hint="eastAsia" w:ascii="仿宋" w:hAnsi="仿宋" w:eastAsia="仿宋" w:cs="仿宋"/>
                <w:color w:val="auto"/>
                <w:kern w:val="0"/>
                <w:sz w:val="24"/>
                <w:highlight w:val="none"/>
              </w:rPr>
            </w:pPr>
          </w:p>
        </w:tc>
      </w:tr>
      <w:tr w14:paraId="05C4FB62">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AB656E">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CD28C5">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A1FF93F">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550DAA">
            <w:pPr>
              <w:spacing w:line="360" w:lineRule="auto"/>
              <w:jc w:val="center"/>
              <w:rPr>
                <w:rFonts w:hint="eastAsia" w:ascii="仿宋" w:hAnsi="仿宋" w:eastAsia="仿宋" w:cs="仿宋"/>
                <w:color w:val="auto"/>
                <w:kern w:val="0"/>
                <w:sz w:val="24"/>
                <w:highlight w:val="none"/>
              </w:rPr>
            </w:pPr>
          </w:p>
        </w:tc>
      </w:tr>
      <w:tr w14:paraId="1B9A82CB">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B96B81">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F3B1B12">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A132EED">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5777D56">
            <w:pPr>
              <w:spacing w:line="360" w:lineRule="auto"/>
              <w:jc w:val="center"/>
              <w:rPr>
                <w:rFonts w:hint="eastAsia" w:ascii="仿宋" w:hAnsi="仿宋" w:eastAsia="仿宋" w:cs="仿宋"/>
                <w:color w:val="auto"/>
                <w:kern w:val="0"/>
                <w:sz w:val="24"/>
                <w:highlight w:val="none"/>
              </w:rPr>
            </w:pPr>
          </w:p>
        </w:tc>
      </w:tr>
      <w:tr w14:paraId="6FA23F2D">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1D6CEE">
            <w:pPr>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BD8EF5">
            <w:pPr>
              <w:spacing w:line="360" w:lineRule="auto"/>
              <w:jc w:val="center"/>
              <w:rPr>
                <w:rFonts w:hint="eastAsia" w:ascii="仿宋" w:hAnsi="仿宋" w:eastAsia="仿宋" w:cs="仿宋"/>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BF45C4">
            <w:pPr>
              <w:spacing w:line="360" w:lineRule="auto"/>
              <w:jc w:val="center"/>
              <w:rPr>
                <w:rFonts w:hint="eastAsia" w:ascii="仿宋" w:hAnsi="仿宋" w:eastAsia="仿宋" w:cs="仿宋"/>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F1866F">
            <w:pPr>
              <w:spacing w:line="360" w:lineRule="auto"/>
              <w:jc w:val="center"/>
              <w:rPr>
                <w:rFonts w:hint="eastAsia" w:ascii="仿宋" w:hAnsi="仿宋" w:eastAsia="仿宋" w:cs="仿宋"/>
                <w:color w:val="auto"/>
                <w:kern w:val="0"/>
                <w:sz w:val="24"/>
                <w:highlight w:val="none"/>
              </w:rPr>
            </w:pPr>
          </w:p>
        </w:tc>
      </w:tr>
    </w:tbl>
    <w:p w14:paraId="5B53AFDF">
      <w:pPr>
        <w:snapToGrid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14:paraId="20408D51">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1.管理关系：是指不具有出资持股关系的其他单位之间存在的管理与被管理关系，如一些上下级关系的事业单位和团体组织。</w:t>
      </w:r>
    </w:p>
    <w:p w14:paraId="6D3DBF7F">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pacing w:val="-6"/>
          <w:sz w:val="24"/>
          <w:highlight w:val="none"/>
        </w:rPr>
        <w:t>本表所指的管理关系仅限于直接管理关系，不包括间接的管理关系。</w:t>
      </w:r>
    </w:p>
    <w:p w14:paraId="24CFA6A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3.供应商不存在直接管理关系的，则填“无”。</w:t>
      </w:r>
    </w:p>
    <w:p w14:paraId="2CE3C415">
      <w:pPr>
        <w:snapToGrid w:val="0"/>
        <w:spacing w:line="360" w:lineRule="auto"/>
        <w:jc w:val="left"/>
        <w:rPr>
          <w:rFonts w:hint="eastAsia" w:ascii="仿宋" w:hAnsi="仿宋" w:eastAsia="仿宋" w:cs="仿宋"/>
          <w:color w:val="auto"/>
          <w:sz w:val="24"/>
          <w:highlight w:val="none"/>
        </w:rPr>
      </w:pPr>
    </w:p>
    <w:p w14:paraId="6406C192">
      <w:pPr>
        <w:snapToGrid w:val="0"/>
        <w:spacing w:line="360" w:lineRule="auto"/>
        <w:jc w:val="left"/>
        <w:rPr>
          <w:rFonts w:hint="eastAsia" w:ascii="仿宋" w:hAnsi="仿宋" w:eastAsia="仿宋" w:cs="仿宋"/>
          <w:color w:val="auto"/>
          <w:sz w:val="24"/>
          <w:highlight w:val="none"/>
        </w:rPr>
      </w:pPr>
    </w:p>
    <w:p w14:paraId="689AE7BE">
      <w:pPr>
        <w:snapToGrid w:val="0"/>
        <w:spacing w:line="360" w:lineRule="auto"/>
        <w:jc w:val="left"/>
        <w:rPr>
          <w:rFonts w:hint="eastAsia" w:ascii="仿宋" w:hAnsi="仿宋" w:eastAsia="仿宋" w:cs="仿宋"/>
          <w:color w:val="auto"/>
          <w:sz w:val="24"/>
          <w:highlight w:val="none"/>
        </w:rPr>
      </w:pPr>
    </w:p>
    <w:p w14:paraId="007C5D34">
      <w:pPr>
        <w:snapToGrid w:val="0"/>
        <w:spacing w:line="360" w:lineRule="auto"/>
        <w:jc w:val="left"/>
        <w:rPr>
          <w:rFonts w:hint="eastAsia" w:ascii="仿宋" w:hAnsi="仿宋" w:eastAsia="仿宋" w:cs="仿宋"/>
          <w:color w:val="auto"/>
          <w:sz w:val="24"/>
          <w:highlight w:val="none"/>
        </w:rPr>
      </w:pPr>
    </w:p>
    <w:p w14:paraId="1F9637ED">
      <w:pPr>
        <w:snapToGrid w:val="0"/>
        <w:spacing w:line="360" w:lineRule="auto"/>
        <w:jc w:val="left"/>
        <w:rPr>
          <w:rFonts w:hint="eastAsia" w:ascii="仿宋" w:hAnsi="仿宋" w:eastAsia="仿宋" w:cs="仿宋"/>
          <w:color w:val="auto"/>
          <w:sz w:val="24"/>
          <w:highlight w:val="none"/>
        </w:rPr>
      </w:pPr>
    </w:p>
    <w:p w14:paraId="7D255EAB">
      <w:pPr>
        <w:snapToGrid w:val="0"/>
        <w:spacing w:line="360" w:lineRule="auto"/>
        <w:jc w:val="left"/>
        <w:rPr>
          <w:rFonts w:hint="eastAsia" w:ascii="仿宋" w:hAnsi="仿宋" w:eastAsia="仿宋" w:cs="仿宋"/>
          <w:color w:val="auto"/>
          <w:sz w:val="24"/>
          <w:highlight w:val="none"/>
        </w:rPr>
      </w:pPr>
    </w:p>
    <w:p w14:paraId="0AF77759">
      <w:pPr>
        <w:snapToGrid w:val="0"/>
        <w:spacing w:line="360" w:lineRule="auto"/>
        <w:jc w:val="left"/>
        <w:rPr>
          <w:rFonts w:hint="eastAsia" w:ascii="仿宋" w:hAnsi="仿宋" w:eastAsia="仿宋" w:cs="仿宋"/>
          <w:color w:val="auto"/>
          <w:sz w:val="24"/>
          <w:highlight w:val="none"/>
        </w:rPr>
      </w:pPr>
    </w:p>
    <w:p w14:paraId="1D2BB52F">
      <w:pPr>
        <w:snapToGrid w:val="0"/>
        <w:spacing w:before="120" w:beforeLines="50" w:line="360" w:lineRule="auto"/>
        <w:ind w:right="480" w:firstLine="3967" w:firstLineChars="1653"/>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法定代表人或者委托代理人（签字或CA签章）：</w:t>
      </w:r>
    </w:p>
    <w:p w14:paraId="11F28248">
      <w:pPr>
        <w:snapToGrid w:val="0"/>
        <w:spacing w:before="120" w:beforeLines="50" w:after="50" w:line="360" w:lineRule="auto"/>
        <w:ind w:right="480" w:firstLine="5520" w:firstLineChars="23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投标人（盖公章或CA签章）：</w:t>
      </w:r>
    </w:p>
    <w:p w14:paraId="6412DAD7">
      <w:pPr>
        <w:snapToGrid w:val="0"/>
        <w:spacing w:before="120" w:beforeLines="50" w:after="50" w:line="360" w:lineRule="auto"/>
        <w:ind w:right="480" w:firstLine="240" w:firstLineChars="1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6CBA7BDA">
      <w:pPr>
        <w:snapToGrid w:val="0"/>
        <w:spacing w:before="50" w:after="120" w:afterLines="50"/>
        <w:jc w:val="left"/>
        <w:rPr>
          <w:rFonts w:hint="eastAsia" w:ascii="仿宋" w:hAnsi="仿宋" w:eastAsia="仿宋" w:cs="仿宋"/>
          <w:color w:val="auto"/>
          <w:szCs w:val="21"/>
          <w:highlight w:val="none"/>
        </w:rPr>
      </w:pPr>
    </w:p>
    <w:p w14:paraId="06D052F5">
      <w:pPr>
        <w:numPr>
          <w:ilvl w:val="0"/>
          <w:numId w:val="0"/>
        </w:numPr>
        <w:snapToGrid w:val="0"/>
        <w:spacing w:before="120" w:beforeLines="50" w:after="50"/>
        <w:ind w:leftChars="0"/>
        <w:jc w:val="left"/>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投标声明格式</w:t>
      </w:r>
    </w:p>
    <w:p w14:paraId="6D3CDE51">
      <w:pPr>
        <w:snapToGrid w:val="0"/>
        <w:spacing w:before="50" w:after="120" w:afterLines="50"/>
        <w:jc w:val="left"/>
        <w:rPr>
          <w:rFonts w:hint="eastAsia" w:ascii="仿宋" w:hAnsi="仿宋" w:eastAsia="仿宋" w:cs="仿宋"/>
          <w:color w:val="auto"/>
          <w:highlight w:val="none"/>
        </w:rPr>
      </w:pPr>
    </w:p>
    <w:p w14:paraId="6D7D5946">
      <w:pPr>
        <w:snapToGrid w:val="0"/>
        <w:spacing w:before="50" w:after="120" w:afterLines="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投标声明</w:t>
      </w:r>
    </w:p>
    <w:p w14:paraId="338F5172">
      <w:pPr>
        <w:snapToGrid w:val="0"/>
        <w:spacing w:before="50" w:after="120" w:afterLines="50"/>
        <w:jc w:val="center"/>
        <w:rPr>
          <w:rFonts w:hint="eastAsia" w:ascii="仿宋" w:hAnsi="仿宋" w:eastAsia="仿宋" w:cs="仿宋"/>
          <w:bCs/>
          <w:color w:val="auto"/>
          <w:sz w:val="44"/>
          <w:szCs w:val="44"/>
          <w:highlight w:val="none"/>
        </w:rPr>
      </w:pPr>
    </w:p>
    <w:p w14:paraId="37CE7E52">
      <w:pPr>
        <w:spacing w:line="400" w:lineRule="exact"/>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6F230C8C">
      <w:pPr>
        <w:spacing w:line="400" w:lineRule="exact"/>
        <w:ind w:firstLine="523" w:firstLineChars="218"/>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我方参加贵单位组织项目（项目编号：）的政府采购活动。我方在此郑重声明：</w:t>
      </w:r>
    </w:p>
    <w:p w14:paraId="6E9C8A4E">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320E6F4">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2.我方不是为本次采购项目提供整体设计、规范编制或者项目管理、监理、检测等服务的供应商。</w:t>
      </w:r>
    </w:p>
    <w:p w14:paraId="5879C7F4">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 我方承诺符合《中华人民共和国政府采购法》第二十二条规定：</w:t>
      </w:r>
    </w:p>
    <w:p w14:paraId="754E9C53">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（一）具有独立承担民事责任的能力；</w:t>
      </w:r>
    </w:p>
    <w:p w14:paraId="6273D08F">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（二）具有良好的商业信誉和健全的财务会计制度；</w:t>
      </w:r>
    </w:p>
    <w:p w14:paraId="008CF7F8">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（三）具有履行合同所必需的设备和专业技术能力；</w:t>
      </w:r>
    </w:p>
    <w:p w14:paraId="7A2AD088">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（四）有依法缴纳税收和社会保障资金的良好记录；</w:t>
      </w:r>
    </w:p>
    <w:p w14:paraId="3330C0EC">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（五）参加政府采购活动前三年内，在经营活动中没有重大违法记录；</w:t>
      </w:r>
    </w:p>
    <w:p w14:paraId="1DCF3D0E">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（六）法律、行政法规规定的其他条件。</w:t>
      </w:r>
    </w:p>
    <w:p w14:paraId="229B01AF">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4.以上事项如有虚假或者隐瞒，我方愿意承担一切后果，并不再寻求任何旨在减轻或者免除法律责任的辩解。</w:t>
      </w:r>
    </w:p>
    <w:p w14:paraId="1DFFDEAF">
      <w:pPr>
        <w:spacing w:line="400" w:lineRule="exact"/>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特此承诺。</w:t>
      </w:r>
    </w:p>
    <w:p w14:paraId="2B6821EA">
      <w:pPr>
        <w:spacing w:line="400" w:lineRule="exact"/>
        <w:contextualSpacing/>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注：如为联合体投标，盖章处须加盖联合体各方公章并由联合体各方法定代表人分别签字，否则投标无效。</w:t>
      </w:r>
    </w:p>
    <w:p w14:paraId="38A82779">
      <w:pPr>
        <w:spacing w:line="480" w:lineRule="auto"/>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法定代表人（签字或</w:t>
      </w:r>
      <w:r>
        <w:rPr>
          <w:rFonts w:hint="eastAsia" w:ascii="仿宋" w:hAnsi="仿宋" w:eastAsia="仿宋" w:cs="仿宋"/>
          <w:color w:val="auto"/>
          <w:sz w:val="24"/>
          <w:highlight w:val="none"/>
          <w:lang w:val="en-US" w:eastAsia="zh-CN"/>
        </w:rPr>
        <w:t>CA签章</w:t>
      </w:r>
      <w:r>
        <w:rPr>
          <w:rFonts w:hint="eastAsia" w:ascii="仿宋" w:hAnsi="仿宋" w:eastAsia="仿宋" w:cs="仿宋"/>
          <w:color w:val="auto"/>
          <w:sz w:val="24"/>
          <w:highlight w:val="none"/>
        </w:rPr>
        <w:t>）：</w:t>
      </w:r>
    </w:p>
    <w:p w14:paraId="45FAFF21">
      <w:pPr>
        <w:spacing w:line="480" w:lineRule="auto"/>
        <w:contextualSpacing/>
        <w:jc w:val="lef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投标人（盖公章或</w:t>
      </w:r>
      <w:r>
        <w:rPr>
          <w:rFonts w:hint="eastAsia" w:ascii="仿宋" w:hAnsi="仿宋" w:eastAsia="仿宋" w:cs="仿宋"/>
          <w:color w:val="auto"/>
          <w:sz w:val="24"/>
          <w:highlight w:val="none"/>
          <w:lang w:val="en-US" w:eastAsia="zh-CN"/>
        </w:rPr>
        <w:t>CA签章</w:t>
      </w:r>
      <w:r>
        <w:rPr>
          <w:rFonts w:hint="eastAsia" w:ascii="仿宋" w:hAnsi="仿宋" w:eastAsia="仿宋" w:cs="仿宋"/>
          <w:color w:val="auto"/>
          <w:sz w:val="24"/>
          <w:highlight w:val="none"/>
        </w:rPr>
        <w:t>）：</w:t>
      </w:r>
    </w:p>
    <w:p w14:paraId="181C663D">
      <w:pPr>
        <w:spacing w:line="480" w:lineRule="auto"/>
        <w:contextualSpacing/>
        <w:jc w:val="left"/>
        <w:rPr>
          <w:rFonts w:hint="eastAsia" w:ascii="仿宋" w:hAnsi="仿宋" w:eastAsia="仿宋" w:cs="仿宋"/>
          <w:color w:val="auto"/>
          <w:highlight w:val="none"/>
        </w:rPr>
      </w:pPr>
      <w:r>
        <w:rPr>
          <w:rFonts w:hint="eastAsia" w:ascii="仿宋" w:hAnsi="仿宋" w:eastAsia="仿宋" w:cs="仿宋"/>
          <w:color w:val="auto"/>
          <w:sz w:val="24"/>
          <w:highlight w:val="none"/>
        </w:rPr>
        <w:t xml:space="preserve">                                                  年    月    日</w:t>
      </w:r>
    </w:p>
    <w:p w14:paraId="397B6F0A">
      <w:pPr>
        <w:rPr>
          <w:rFonts w:hint="eastAsia" w:ascii="仿宋" w:hAnsi="仿宋" w:eastAsia="仿宋" w:cs="仿宋"/>
          <w:b/>
          <w:color w:val="auto"/>
          <w:sz w:val="28"/>
          <w:szCs w:val="28"/>
          <w:highlight w:val="none"/>
          <w:lang w:val="en-US" w:eastAsia="zh-CN"/>
        </w:rPr>
      </w:pPr>
      <w:bookmarkStart w:id="192" w:name="_Toc19686838"/>
      <w:r>
        <w:rPr>
          <w:rFonts w:hint="eastAsia" w:ascii="仿宋" w:hAnsi="仿宋" w:eastAsia="仿宋" w:cs="仿宋"/>
          <w:b/>
          <w:color w:val="auto"/>
          <w:sz w:val="28"/>
          <w:szCs w:val="28"/>
          <w:highlight w:val="none"/>
          <w:lang w:val="en-US" w:eastAsia="zh-CN"/>
        </w:rPr>
        <w:br w:type="page"/>
      </w:r>
    </w:p>
    <w:p w14:paraId="34BE65E4">
      <w:pPr>
        <w:numPr>
          <w:ilvl w:val="0"/>
          <w:numId w:val="0"/>
        </w:numPr>
        <w:tabs>
          <w:tab w:val="left" w:pos="1890"/>
        </w:tabs>
        <w:spacing w:line="480" w:lineRule="auto"/>
        <w:ind w:left="420" w:leftChars="0"/>
        <w:contextualSpacing/>
        <w:jc w:val="lef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5.</w:t>
      </w:r>
      <w:r>
        <w:rPr>
          <w:rFonts w:hint="eastAsia" w:ascii="仿宋" w:hAnsi="仿宋" w:eastAsia="仿宋" w:cs="仿宋"/>
          <w:b/>
          <w:color w:val="auto"/>
          <w:sz w:val="28"/>
          <w:szCs w:val="28"/>
          <w:highlight w:val="none"/>
        </w:rPr>
        <w:t>投标人参加本项目无回避事项的承诺函格式</w:t>
      </w:r>
    </w:p>
    <w:p w14:paraId="020E8BD3">
      <w:pPr>
        <w:pStyle w:val="64"/>
        <w:tabs>
          <w:tab w:val="left" w:pos="1890"/>
        </w:tabs>
        <w:ind w:firstLine="0"/>
        <w:jc w:val="center"/>
        <w:rPr>
          <w:rFonts w:hint="eastAsia" w:ascii="仿宋" w:hAnsi="仿宋" w:eastAsia="仿宋" w:cs="仿宋"/>
          <w:b/>
          <w:color w:val="auto"/>
          <w:sz w:val="28"/>
          <w:szCs w:val="28"/>
          <w:highlight w:val="none"/>
        </w:rPr>
      </w:pPr>
    </w:p>
    <w:p w14:paraId="7708511A">
      <w:pPr>
        <w:pStyle w:val="64"/>
        <w:tabs>
          <w:tab w:val="left" w:pos="1890"/>
        </w:tabs>
        <w:ind w:firstLine="0"/>
        <w:jc w:val="center"/>
        <w:rPr>
          <w:rFonts w:hint="eastAsia" w:ascii="仿宋" w:hAnsi="仿宋" w:eastAsia="仿宋" w:cs="仿宋"/>
          <w:color w:val="auto"/>
          <w:highlight w:val="none"/>
        </w:rPr>
      </w:pPr>
      <w:r>
        <w:rPr>
          <w:rFonts w:hint="eastAsia" w:ascii="仿宋" w:hAnsi="仿宋" w:eastAsia="仿宋" w:cs="仿宋"/>
          <w:b/>
          <w:color w:val="auto"/>
          <w:sz w:val="28"/>
          <w:szCs w:val="28"/>
          <w:highlight w:val="none"/>
        </w:rPr>
        <w:t>投标人参加本项目无回避事项的承诺函</w:t>
      </w:r>
    </w:p>
    <w:p w14:paraId="3E5BE65E">
      <w:pPr>
        <w:tabs>
          <w:tab w:val="left" w:pos="1890"/>
        </w:tabs>
        <w:spacing w:line="400" w:lineRule="exact"/>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p w14:paraId="385ADE43">
      <w:pPr>
        <w:spacing w:line="400" w:lineRule="exact"/>
        <w:ind w:firstLine="523" w:firstLineChars="218"/>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我方参加贵单位组织项目</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）的政府采购活动。我方在此郑重承诺：</w:t>
      </w:r>
    </w:p>
    <w:p w14:paraId="2D428746">
      <w:pPr>
        <w:spacing w:line="40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1.我方承诺参加本项目的政府采购活动中与采购人员及相关人员不存在《中华人民共和国政府采购法实施条例》第九条情形；如有，自行提出回避申请：</w:t>
      </w:r>
    </w:p>
    <w:p w14:paraId="07A3CBAA">
      <w:pPr>
        <w:pStyle w:val="7"/>
        <w:keepNext w:val="0"/>
        <w:keepLines w:val="0"/>
        <w:spacing w:before="0" w:after="0" w:line="360" w:lineRule="auto"/>
        <w:ind w:firstLine="420" w:firstLineChars="175"/>
        <w:rPr>
          <w:rFonts w:hint="eastAsia" w:ascii="仿宋" w:hAnsi="仿宋" w:eastAsia="仿宋" w:cs="仿宋"/>
          <w:b w:val="0"/>
          <w:color w:val="auto"/>
          <w:sz w:val="24"/>
          <w:highlight w:val="none"/>
        </w:rPr>
      </w:pPr>
      <w:r>
        <w:rPr>
          <w:rFonts w:hint="eastAsia" w:ascii="仿宋" w:hAnsi="仿宋" w:eastAsia="仿宋" w:cs="仿宋"/>
          <w:b w:val="0"/>
          <w:color w:val="auto"/>
          <w:sz w:val="24"/>
          <w:highlight w:val="none"/>
        </w:rPr>
        <w:t>在政府采购活动中，采购人员及相关人员与供应商有下列利害关系之一的，应当回避：</w:t>
      </w:r>
    </w:p>
    <w:p w14:paraId="28F59A66">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（1）参加采购活动前3年内与供应商存在劳动关系；</w:t>
      </w:r>
    </w:p>
    <w:p w14:paraId="4437CB4B">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（2）参加采购活动前3年内担任供应商的董事、监事；</w:t>
      </w:r>
    </w:p>
    <w:p w14:paraId="3F15E21B">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（3）参加采购活动前3年内是供应商的控股股东或者实际控制人；</w:t>
      </w:r>
    </w:p>
    <w:p w14:paraId="50A1EB2E">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（4）与供应商的法定代表人或者负责人有夫妻、直系血亲、三代以内旁系血亲或者近姻亲关系；</w:t>
      </w:r>
    </w:p>
    <w:p w14:paraId="79045A24">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（5）与供应商有其他可能影响政府采购活动公平、公正进行的关系。</w:t>
      </w:r>
    </w:p>
    <w:p w14:paraId="09D05B31">
      <w:pPr>
        <w:pStyle w:val="28"/>
        <w:snapToGrid w:val="0"/>
        <w:spacing w:line="360" w:lineRule="auto"/>
        <w:ind w:left="2" w:leftChars="1"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00D7921">
      <w:pPr>
        <w:spacing w:line="400" w:lineRule="exact"/>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特此承诺。</w:t>
      </w:r>
    </w:p>
    <w:p w14:paraId="57F0EC3E">
      <w:pPr>
        <w:spacing w:line="440" w:lineRule="exact"/>
        <w:ind w:firstLine="482" w:firstLineChars="200"/>
        <w:contextualSpacing/>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以上情形一经核查属实，我方愿意承担一切后果，并不再寻求任何旨在减轻或者免除法律责任的辩解。</w:t>
      </w:r>
    </w:p>
    <w:p w14:paraId="697FE165">
      <w:pPr>
        <w:spacing w:line="360" w:lineRule="auto"/>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法定代表人（签字或</w:t>
      </w:r>
      <w:r>
        <w:rPr>
          <w:rFonts w:hint="eastAsia" w:ascii="仿宋" w:hAnsi="仿宋" w:eastAsia="仿宋" w:cs="仿宋"/>
          <w:color w:val="auto"/>
          <w:sz w:val="24"/>
          <w:highlight w:val="none"/>
          <w:lang w:val="en-US" w:eastAsia="zh-CN"/>
        </w:rPr>
        <w:t>CA签章</w:t>
      </w:r>
      <w:r>
        <w:rPr>
          <w:rFonts w:hint="eastAsia" w:ascii="仿宋" w:hAnsi="仿宋" w:eastAsia="仿宋" w:cs="仿宋"/>
          <w:color w:val="auto"/>
          <w:sz w:val="24"/>
          <w:highlight w:val="none"/>
        </w:rPr>
        <w:t>）：</w:t>
      </w:r>
    </w:p>
    <w:p w14:paraId="45626273">
      <w:pPr>
        <w:spacing w:line="360" w:lineRule="auto"/>
        <w:contextualSpacing/>
        <w:jc w:val="lef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投标人（盖公章</w:t>
      </w:r>
      <w:r>
        <w:rPr>
          <w:rFonts w:hint="eastAsia" w:ascii="仿宋" w:hAnsi="仿宋" w:eastAsia="仿宋" w:cs="仿宋"/>
          <w:color w:val="auto"/>
          <w:sz w:val="24"/>
          <w:highlight w:val="none"/>
          <w:lang w:val="en-US" w:eastAsia="zh-CN"/>
        </w:rPr>
        <w:t>或CA签章</w:t>
      </w:r>
      <w:r>
        <w:rPr>
          <w:rFonts w:hint="eastAsia" w:ascii="仿宋" w:hAnsi="仿宋" w:eastAsia="仿宋" w:cs="仿宋"/>
          <w:color w:val="auto"/>
          <w:sz w:val="24"/>
          <w:highlight w:val="none"/>
        </w:rPr>
        <w:t>）：</w:t>
      </w:r>
    </w:p>
    <w:p w14:paraId="668D7B20">
      <w:pPr>
        <w:spacing w:line="360" w:lineRule="auto"/>
        <w:contextualSpacing/>
        <w:jc w:val="left"/>
        <w:rPr>
          <w:rFonts w:hint="eastAsia" w:ascii="仿宋" w:hAnsi="仿宋" w:eastAsia="仿宋" w:cs="仿宋"/>
          <w:color w:val="auto"/>
          <w:highlight w:val="none"/>
        </w:rPr>
      </w:pPr>
      <w:r>
        <w:rPr>
          <w:rFonts w:hint="eastAsia" w:ascii="仿宋" w:hAnsi="仿宋" w:eastAsia="仿宋" w:cs="仿宋"/>
          <w:color w:val="auto"/>
          <w:sz w:val="24"/>
          <w:highlight w:val="none"/>
        </w:rPr>
        <w:t xml:space="preserve">                                                  年    月    日</w:t>
      </w:r>
    </w:p>
    <w:p w14:paraId="5C5B191C">
      <w:pPr>
        <w:spacing w:line="360" w:lineRule="auto"/>
        <w:rPr>
          <w:rFonts w:hint="eastAsia" w:ascii="仿宋" w:hAnsi="仿宋" w:eastAsia="仿宋" w:cs="仿宋"/>
          <w:color w:val="auto"/>
          <w:highlight w:val="none"/>
        </w:rPr>
      </w:pPr>
    </w:p>
    <w:p w14:paraId="53C1F682">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546074FD">
      <w:pPr>
        <w:jc w:val="left"/>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6.关于符合本国产品标准的声明函格式</w:t>
      </w:r>
    </w:p>
    <w:p w14:paraId="7E452F74">
      <w:pPr>
        <w:pStyle w:val="149"/>
        <w:ind w:firstLine="420"/>
        <w:jc w:val="center"/>
        <w:rPr>
          <w:rFonts w:hint="eastAsia" w:ascii="仿宋" w:hAnsi="仿宋" w:eastAsia="仿宋" w:cs="仿宋"/>
          <w:color w:val="auto"/>
          <w:highlight w:val="none"/>
        </w:rPr>
      </w:pPr>
      <w:r>
        <w:rPr>
          <w:rFonts w:hint="eastAsia" w:ascii="仿宋" w:hAnsi="仿宋" w:eastAsia="仿宋" w:cs="仿宋"/>
          <w:b/>
          <w:color w:val="auto"/>
          <w:sz w:val="28"/>
          <w:szCs w:val="28"/>
          <w:highlight w:val="none"/>
          <w:lang w:val="en-US" w:eastAsia="zh-CN"/>
        </w:rPr>
        <w:t>关于符合本国产品标准的声明函</w:t>
      </w:r>
    </w:p>
    <w:p w14:paraId="502468B1">
      <w:pPr>
        <w:pStyle w:val="2"/>
        <w:spacing w:line="500" w:lineRule="exact"/>
        <w:ind w:right="142"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联合体）郑重声明，根据《国务院办公厅关于在政府采购中实施本国产品标准及相关政策的通知》（国办发〔2025〕34号）的规定，本公司（单位）提供的以下产品属于本国产品。具体情况如下：</w:t>
      </w:r>
    </w:p>
    <w:p w14:paraId="06F94EAC">
      <w:pPr>
        <w:pStyle w:val="46"/>
        <w:shd w:val="clear" w:color="auto" w:fill="FFFFFF"/>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Style w:val="59"/>
          <w:rFonts w:hint="eastAsia" w:ascii="仿宋" w:hAnsi="仿宋" w:eastAsia="仿宋" w:cs="仿宋"/>
          <w:color w:val="auto"/>
          <w:sz w:val="24"/>
          <w:szCs w:val="24"/>
          <w:highlight w:val="none"/>
          <w:u w:val="single"/>
        </w:rPr>
        <w:t>（产品名称1）</w:t>
      </w:r>
      <w:r>
        <w:rPr>
          <w:rStyle w:val="59"/>
          <w:rFonts w:hint="eastAsia" w:ascii="仿宋" w:hAnsi="仿宋" w:eastAsia="仿宋" w:cs="仿宋"/>
          <w:color w:val="auto"/>
          <w:sz w:val="24"/>
          <w:szCs w:val="24"/>
          <w:highlight w:val="none"/>
          <w:u w:val="single"/>
          <w:vertAlign w:val="superscript"/>
        </w:rPr>
        <w:t>1</w:t>
      </w:r>
      <w:r>
        <w:rPr>
          <w:rFonts w:hint="eastAsia" w:ascii="仿宋" w:hAnsi="仿宋" w:eastAsia="仿宋" w:cs="仿宋"/>
          <w:color w:val="auto"/>
          <w:sz w:val="24"/>
          <w:szCs w:val="24"/>
          <w:highlight w:val="none"/>
        </w:rPr>
        <w:t>，生产厂为</w:t>
      </w:r>
      <w:r>
        <w:rPr>
          <w:rStyle w:val="59"/>
          <w:rFonts w:hint="eastAsia" w:ascii="仿宋" w:hAnsi="仿宋" w:eastAsia="仿宋" w:cs="仿宋"/>
          <w:color w:val="auto"/>
          <w:sz w:val="24"/>
          <w:szCs w:val="24"/>
          <w:highlight w:val="none"/>
          <w:u w:val="single"/>
        </w:rPr>
        <w:t>（厂名）</w:t>
      </w:r>
      <w:r>
        <w:rPr>
          <w:rStyle w:val="59"/>
          <w:rFonts w:hint="eastAsia" w:ascii="仿宋" w:hAnsi="仿宋" w:eastAsia="仿宋" w:cs="仿宋"/>
          <w:color w:val="auto"/>
          <w:sz w:val="24"/>
          <w:szCs w:val="24"/>
          <w:highlight w:val="none"/>
          <w:u w:val="single"/>
          <w:vertAlign w:val="superscript"/>
        </w:rPr>
        <w:t>2</w:t>
      </w:r>
      <w:r>
        <w:rPr>
          <w:rFonts w:hint="eastAsia" w:ascii="仿宋" w:hAnsi="仿宋" w:eastAsia="仿宋" w:cs="仿宋"/>
          <w:color w:val="auto"/>
          <w:sz w:val="24"/>
          <w:szCs w:val="24"/>
          <w:highlight w:val="none"/>
        </w:rPr>
        <w:t>，厂址为</w:t>
      </w:r>
      <w:r>
        <w:rPr>
          <w:rStyle w:val="59"/>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Style w:val="59"/>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的中国境内生产的组件成本占比≥</w:t>
      </w:r>
      <w:r>
        <w:rPr>
          <w:rStyle w:val="59"/>
          <w:rFonts w:hint="eastAsia" w:ascii="仿宋" w:hAnsi="仿宋" w:eastAsia="仿宋" w:cs="仿宋"/>
          <w:color w:val="auto"/>
          <w:sz w:val="24"/>
          <w:szCs w:val="24"/>
          <w:highlight w:val="none"/>
          <w:u w:val="single"/>
        </w:rPr>
        <w:t>（规定比例）</w:t>
      </w:r>
      <w:r>
        <w:rPr>
          <w:rStyle w:val="59"/>
          <w:rFonts w:hint="eastAsia" w:ascii="仿宋" w:hAnsi="仿宋" w:eastAsia="仿宋" w:cs="仿宋"/>
          <w:color w:val="auto"/>
          <w:sz w:val="24"/>
          <w:szCs w:val="24"/>
          <w:highlight w:val="none"/>
          <w:u w:val="single"/>
          <w:vertAlign w:val="superscript"/>
        </w:rPr>
        <w:t>3</w:t>
      </w:r>
      <w:r>
        <w:rPr>
          <w:rFonts w:hint="eastAsia" w:ascii="仿宋" w:hAnsi="仿宋" w:eastAsia="仿宋" w:cs="仿宋"/>
          <w:color w:val="auto"/>
          <w:sz w:val="24"/>
          <w:szCs w:val="24"/>
          <w:highlight w:val="none"/>
        </w:rPr>
        <w:t>。</w:t>
      </w:r>
      <w:r>
        <w:rPr>
          <w:rStyle w:val="59"/>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Style w:val="59"/>
          <w:rFonts w:hint="eastAsia" w:ascii="仿宋" w:hAnsi="仿宋" w:eastAsia="仿宋" w:cs="仿宋"/>
          <w:color w:val="auto"/>
          <w:sz w:val="24"/>
          <w:szCs w:val="24"/>
          <w:highlight w:val="none"/>
          <w:u w:val="single"/>
        </w:rPr>
        <w:t>（关键组件）</w:t>
      </w:r>
      <w:r>
        <w:rPr>
          <w:rStyle w:val="59"/>
          <w:rFonts w:hint="eastAsia" w:ascii="仿宋" w:hAnsi="仿宋" w:eastAsia="仿宋" w:cs="仿宋"/>
          <w:color w:val="auto"/>
          <w:sz w:val="24"/>
          <w:szCs w:val="24"/>
          <w:highlight w:val="none"/>
          <w:u w:val="single"/>
          <w:vertAlign w:val="superscript"/>
        </w:rPr>
        <w:t>4</w:t>
      </w:r>
      <w:r>
        <w:rPr>
          <w:rFonts w:hint="eastAsia" w:ascii="仿宋" w:hAnsi="仿宋" w:eastAsia="仿宋" w:cs="仿宋"/>
          <w:color w:val="auto"/>
          <w:sz w:val="24"/>
          <w:szCs w:val="24"/>
          <w:highlight w:val="none"/>
        </w:rPr>
        <w:t>在中国境内生产。</w:t>
      </w:r>
      <w:r>
        <w:rPr>
          <w:rStyle w:val="59"/>
          <w:rFonts w:hint="eastAsia" w:ascii="仿宋" w:hAnsi="仿宋" w:eastAsia="仿宋" w:cs="仿宋"/>
          <w:color w:val="auto"/>
          <w:sz w:val="24"/>
          <w:szCs w:val="24"/>
          <w:highlight w:val="none"/>
          <w:u w:val="single"/>
        </w:rPr>
        <w:t>（产品名称1）</w:t>
      </w:r>
      <w:r>
        <w:rPr>
          <w:rFonts w:hint="eastAsia" w:ascii="仿宋" w:hAnsi="仿宋" w:eastAsia="仿宋" w:cs="仿宋"/>
          <w:color w:val="auto"/>
          <w:sz w:val="24"/>
          <w:szCs w:val="24"/>
          <w:highlight w:val="none"/>
        </w:rPr>
        <w:t>的</w:t>
      </w:r>
      <w:r>
        <w:rPr>
          <w:rStyle w:val="59"/>
          <w:rFonts w:hint="eastAsia" w:ascii="仿宋" w:hAnsi="仿宋" w:eastAsia="仿宋" w:cs="仿宋"/>
          <w:color w:val="auto"/>
          <w:sz w:val="24"/>
          <w:szCs w:val="24"/>
          <w:highlight w:val="none"/>
          <w:u w:val="single"/>
        </w:rPr>
        <w:t>（关键工序）</w:t>
      </w:r>
      <w:r>
        <w:rPr>
          <w:rStyle w:val="59"/>
          <w:rFonts w:hint="eastAsia" w:ascii="仿宋" w:hAnsi="仿宋" w:eastAsia="仿宋" w:cs="仿宋"/>
          <w:color w:val="auto"/>
          <w:sz w:val="24"/>
          <w:szCs w:val="24"/>
          <w:highlight w:val="none"/>
          <w:u w:val="single"/>
          <w:vertAlign w:val="superscript"/>
        </w:rPr>
        <w:t>5</w:t>
      </w:r>
      <w:r>
        <w:rPr>
          <w:rFonts w:hint="eastAsia" w:ascii="仿宋" w:hAnsi="仿宋" w:eastAsia="仿宋" w:cs="仿宋"/>
          <w:color w:val="auto"/>
          <w:sz w:val="24"/>
          <w:szCs w:val="24"/>
          <w:highlight w:val="none"/>
        </w:rPr>
        <w:t>在中国境内完成。</w:t>
      </w:r>
    </w:p>
    <w:p w14:paraId="1F85C91C">
      <w:pPr>
        <w:pStyle w:val="46"/>
        <w:shd w:val="clear" w:color="auto" w:fill="FFFFFF"/>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Style w:val="59"/>
          <w:rFonts w:hint="eastAsia" w:ascii="仿宋" w:hAnsi="仿宋" w:eastAsia="仿宋" w:cs="仿宋"/>
          <w:color w:val="auto"/>
          <w:sz w:val="24"/>
          <w:szCs w:val="24"/>
          <w:highlight w:val="none"/>
          <w:u w:val="single"/>
        </w:rPr>
        <w:t>（产品名称2）</w:t>
      </w:r>
      <w:r>
        <w:rPr>
          <w:rFonts w:hint="eastAsia" w:ascii="仿宋" w:hAnsi="仿宋" w:eastAsia="仿宋" w:cs="仿宋"/>
          <w:color w:val="auto"/>
          <w:sz w:val="24"/>
          <w:szCs w:val="24"/>
          <w:highlight w:val="none"/>
        </w:rPr>
        <w:t>，生产厂为</w:t>
      </w:r>
      <w:r>
        <w:rPr>
          <w:rStyle w:val="59"/>
          <w:rFonts w:hint="eastAsia" w:ascii="仿宋" w:hAnsi="仿宋" w:eastAsia="仿宋" w:cs="仿宋"/>
          <w:color w:val="auto"/>
          <w:sz w:val="24"/>
          <w:szCs w:val="24"/>
          <w:highlight w:val="none"/>
          <w:u w:val="single"/>
        </w:rPr>
        <w:t>（厂名）</w:t>
      </w:r>
      <w:r>
        <w:rPr>
          <w:rFonts w:hint="eastAsia" w:ascii="仿宋" w:hAnsi="仿宋" w:eastAsia="仿宋" w:cs="仿宋"/>
          <w:color w:val="auto"/>
          <w:sz w:val="24"/>
          <w:szCs w:val="24"/>
          <w:highlight w:val="none"/>
        </w:rPr>
        <w:t>，厂址为</w:t>
      </w:r>
      <w:r>
        <w:rPr>
          <w:rStyle w:val="59"/>
          <w:rFonts w:hint="eastAsia" w:ascii="仿宋" w:hAnsi="仿宋" w:eastAsia="仿宋" w:cs="仿宋"/>
          <w:color w:val="auto"/>
          <w:sz w:val="24"/>
          <w:szCs w:val="24"/>
          <w:highlight w:val="none"/>
          <w:u w:val="single"/>
        </w:rPr>
        <w:t>（生产厂址）</w:t>
      </w:r>
      <w:r>
        <w:rPr>
          <w:rFonts w:hint="eastAsia" w:ascii="仿宋" w:hAnsi="仿宋" w:eastAsia="仿宋" w:cs="仿宋"/>
          <w:color w:val="auto"/>
          <w:sz w:val="24"/>
          <w:szCs w:val="24"/>
          <w:highlight w:val="none"/>
        </w:rPr>
        <w:t>。</w:t>
      </w:r>
      <w:r>
        <w:rPr>
          <w:rStyle w:val="59"/>
          <w:rFonts w:hint="eastAsia" w:ascii="仿宋" w:hAnsi="仿宋" w:eastAsia="仿宋" w:cs="仿宋"/>
          <w:color w:val="auto"/>
          <w:sz w:val="24"/>
          <w:szCs w:val="24"/>
          <w:highlight w:val="none"/>
          <w:u w:val="single"/>
        </w:rPr>
        <w:t>（产品名称2）</w:t>
      </w:r>
      <w:r>
        <w:rPr>
          <w:rFonts w:hint="eastAsia" w:ascii="仿宋" w:hAnsi="仿宋" w:eastAsia="仿宋" w:cs="仿宋"/>
          <w:color w:val="auto"/>
          <w:sz w:val="24"/>
          <w:szCs w:val="24"/>
          <w:highlight w:val="none"/>
        </w:rPr>
        <w:t>的中国境内生产的组件成本占比≥</w:t>
      </w:r>
      <w:r>
        <w:rPr>
          <w:rStyle w:val="59"/>
          <w:rFonts w:hint="eastAsia" w:ascii="仿宋" w:hAnsi="仿宋" w:eastAsia="仿宋" w:cs="仿宋"/>
          <w:color w:val="auto"/>
          <w:sz w:val="24"/>
          <w:szCs w:val="24"/>
          <w:highlight w:val="none"/>
          <w:u w:val="single"/>
        </w:rPr>
        <w:t>（规定比例）</w:t>
      </w:r>
      <w:r>
        <w:rPr>
          <w:rFonts w:hint="eastAsia" w:ascii="仿宋" w:hAnsi="仿宋" w:eastAsia="仿宋" w:cs="仿宋"/>
          <w:color w:val="auto"/>
          <w:sz w:val="24"/>
          <w:szCs w:val="24"/>
          <w:highlight w:val="none"/>
        </w:rPr>
        <w:t>。</w:t>
      </w:r>
      <w:r>
        <w:rPr>
          <w:rStyle w:val="59"/>
          <w:rFonts w:hint="eastAsia" w:ascii="仿宋" w:hAnsi="仿宋" w:eastAsia="仿宋" w:cs="仿宋"/>
          <w:color w:val="auto"/>
          <w:sz w:val="24"/>
          <w:szCs w:val="24"/>
          <w:highlight w:val="none"/>
          <w:u w:val="single"/>
        </w:rPr>
        <w:t>（产品名称2）</w:t>
      </w:r>
      <w:r>
        <w:rPr>
          <w:rFonts w:hint="eastAsia" w:ascii="仿宋" w:hAnsi="仿宋" w:eastAsia="仿宋" w:cs="仿宋"/>
          <w:color w:val="auto"/>
          <w:sz w:val="24"/>
          <w:szCs w:val="24"/>
          <w:highlight w:val="none"/>
        </w:rPr>
        <w:t>的</w:t>
      </w:r>
      <w:r>
        <w:rPr>
          <w:rStyle w:val="59"/>
          <w:rFonts w:hint="eastAsia" w:ascii="仿宋" w:hAnsi="仿宋" w:eastAsia="仿宋" w:cs="仿宋"/>
          <w:color w:val="auto"/>
          <w:sz w:val="24"/>
          <w:szCs w:val="24"/>
          <w:highlight w:val="none"/>
          <w:u w:val="single"/>
        </w:rPr>
        <w:t>（关键组件）</w:t>
      </w:r>
      <w:r>
        <w:rPr>
          <w:rFonts w:hint="eastAsia" w:ascii="仿宋" w:hAnsi="仿宋" w:eastAsia="仿宋" w:cs="仿宋"/>
          <w:color w:val="auto"/>
          <w:sz w:val="24"/>
          <w:szCs w:val="24"/>
          <w:highlight w:val="none"/>
        </w:rPr>
        <w:t>在中国境内生产。</w:t>
      </w:r>
      <w:r>
        <w:rPr>
          <w:rStyle w:val="59"/>
          <w:rFonts w:hint="eastAsia" w:ascii="仿宋" w:hAnsi="仿宋" w:eastAsia="仿宋" w:cs="仿宋"/>
          <w:color w:val="auto"/>
          <w:sz w:val="24"/>
          <w:szCs w:val="24"/>
          <w:highlight w:val="none"/>
          <w:u w:val="single"/>
        </w:rPr>
        <w:t>（产品名称2）</w:t>
      </w:r>
      <w:r>
        <w:rPr>
          <w:rFonts w:hint="eastAsia" w:ascii="仿宋" w:hAnsi="仿宋" w:eastAsia="仿宋" w:cs="仿宋"/>
          <w:color w:val="auto"/>
          <w:sz w:val="24"/>
          <w:szCs w:val="24"/>
          <w:highlight w:val="none"/>
        </w:rPr>
        <w:t>的</w:t>
      </w:r>
      <w:r>
        <w:rPr>
          <w:rStyle w:val="59"/>
          <w:rFonts w:hint="eastAsia" w:ascii="仿宋" w:hAnsi="仿宋" w:eastAsia="仿宋" w:cs="仿宋"/>
          <w:color w:val="auto"/>
          <w:sz w:val="24"/>
          <w:szCs w:val="24"/>
          <w:highlight w:val="none"/>
          <w:u w:val="single"/>
        </w:rPr>
        <w:t>（关键工序）</w:t>
      </w:r>
      <w:r>
        <w:rPr>
          <w:rFonts w:hint="eastAsia" w:ascii="仿宋" w:hAnsi="仿宋" w:eastAsia="仿宋" w:cs="仿宋"/>
          <w:color w:val="auto"/>
          <w:sz w:val="24"/>
          <w:szCs w:val="24"/>
          <w:highlight w:val="none"/>
        </w:rPr>
        <w:t>在中国境内完成。</w:t>
      </w:r>
    </w:p>
    <w:p w14:paraId="520F6125">
      <w:pPr>
        <w:pStyle w:val="2"/>
        <w:spacing w:line="50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4E53A327">
      <w:pPr>
        <w:pStyle w:val="2"/>
        <w:spacing w:line="500" w:lineRule="exact"/>
        <w:ind w:right="142" w:firstLine="705" w:firstLineChars="29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本公司（单位）对上述声明内容的真实性负责。如有虚假，愿承担相应法律责任。</w:t>
      </w:r>
    </w:p>
    <w:p w14:paraId="3F29AE79">
      <w:pPr>
        <w:pStyle w:val="51"/>
        <w:rPr>
          <w:rFonts w:hint="eastAsia" w:ascii="仿宋" w:hAnsi="仿宋" w:eastAsia="仿宋" w:cs="仿宋"/>
          <w:color w:val="auto"/>
          <w:sz w:val="24"/>
          <w:szCs w:val="24"/>
          <w:highlight w:val="none"/>
        </w:rPr>
      </w:pPr>
    </w:p>
    <w:p w14:paraId="1D099993">
      <w:pPr>
        <w:pStyle w:val="46"/>
        <w:shd w:val="clear" w:color="auto" w:fill="FFFFFF"/>
        <w:spacing w:before="24" w:after="24" w:line="360" w:lineRule="auto"/>
        <w:ind w:right="480" w:firstLine="4440" w:firstLineChars="18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供应商（盖公章</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highlight w:val="none"/>
          <w:lang w:val="en-US" w:eastAsia="zh-CN"/>
        </w:rPr>
        <w:t>CA签章</w:t>
      </w:r>
      <w:r>
        <w:rPr>
          <w:rFonts w:hint="eastAsia" w:ascii="仿宋" w:hAnsi="仿宋" w:eastAsia="仿宋" w:cs="仿宋"/>
          <w:color w:val="auto"/>
          <w:sz w:val="24"/>
          <w:szCs w:val="24"/>
          <w:highlight w:val="none"/>
        </w:rPr>
        <w:t>）：      </w:t>
      </w:r>
    </w:p>
    <w:p w14:paraId="779E0EA8">
      <w:pPr>
        <w:pStyle w:val="46"/>
        <w:shd w:val="clear" w:color="auto" w:fill="FFFFFF"/>
        <w:spacing w:before="24" w:after="24" w:line="360" w:lineRule="auto"/>
        <w:ind w:right="480" w:firstLine="4440" w:firstLineChars="18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　　　年　 月 　日    </w:t>
      </w:r>
    </w:p>
    <w:p w14:paraId="0685B82C">
      <w:pPr>
        <w:pStyle w:val="46"/>
        <w:shd w:val="clear" w:color="auto" w:fill="FFFFFF"/>
        <w:spacing w:before="24" w:after="24"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_______________________________________________________________________________</w:t>
      </w:r>
    </w:p>
    <w:p w14:paraId="57F93852">
      <w:pPr>
        <w:pStyle w:val="2"/>
        <w:spacing w:line="44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1.产品如有型号，请在“产品名称”栏一并填写。</w:t>
      </w:r>
    </w:p>
    <w:p w14:paraId="2C6293A6">
      <w:pPr>
        <w:pStyle w:val="2"/>
        <w:spacing w:line="44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2.生产厂名与厂址应与生产厂营业执照载明的相关信息保持一致。</w:t>
      </w:r>
    </w:p>
    <w:p w14:paraId="5F741251">
      <w:pPr>
        <w:pStyle w:val="2"/>
        <w:spacing w:line="44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3.该产品的中国境内生产的组件成本占比相关要求实施前，“规定比例”栏可不填，下同。</w:t>
      </w:r>
    </w:p>
    <w:p w14:paraId="411BF75B">
      <w:pPr>
        <w:pStyle w:val="2"/>
        <w:spacing w:line="44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4.该产品的关键组件要求实施前，“关键组件”栏可不填，下同。</w:t>
      </w:r>
    </w:p>
    <w:p w14:paraId="0AC863A7">
      <w:pPr>
        <w:pStyle w:val="2"/>
        <w:spacing w:line="440" w:lineRule="exact"/>
        <w:ind w:right="142" w:firstLine="705" w:firstLineChars="294"/>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5.该产品的关键工序要求实施前，“关键工序”栏可不填，下同。</w:t>
      </w:r>
    </w:p>
    <w:p w14:paraId="771C8E83">
      <w:pPr>
        <w:pStyle w:val="2"/>
        <w:spacing w:line="440" w:lineRule="exact"/>
        <w:ind w:right="142" w:firstLine="705" w:firstLineChars="29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《声明函》不符合</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"https://www.gov.cn/zhengce/content/202509/content_7042999.htm" \t "_blank"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《关于在政府采购中实施本国产品标准及相关政策的通知》</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（财库〔2017〕141号）规定要求的，供应商提供的相关产品视为不符合本国产品标准。</w:t>
      </w:r>
    </w:p>
    <w:p w14:paraId="0C7A2DA9">
      <w:pPr>
        <w:rPr>
          <w:rFonts w:hint="eastAsia" w:ascii="仿宋" w:hAnsi="仿宋" w:eastAsia="仿宋" w:cs="仿宋"/>
          <w:b/>
          <w:color w:val="auto"/>
          <w:sz w:val="28"/>
          <w:szCs w:val="28"/>
          <w:highlight w:val="none"/>
        </w:rPr>
      </w:pPr>
      <w:r>
        <w:rPr>
          <w:rFonts w:hint="eastAsia" w:ascii="仿宋" w:hAnsi="仿宋" w:eastAsia="仿宋" w:cs="仿宋"/>
          <w:color w:val="auto"/>
          <w:sz w:val="24"/>
          <w:szCs w:val="24"/>
          <w:highlight w:val="none"/>
        </w:rPr>
        <w:br w:type="page"/>
      </w:r>
      <w:r>
        <w:rPr>
          <w:rFonts w:hint="eastAsia" w:ascii="仿宋" w:hAnsi="仿宋" w:eastAsia="仿宋" w:cs="仿宋"/>
          <w:b/>
          <w:color w:val="auto"/>
          <w:sz w:val="28"/>
          <w:szCs w:val="28"/>
          <w:highlight w:val="none"/>
        </w:rPr>
        <w:t>三、商务文件格式</w:t>
      </w:r>
      <w:bookmarkEnd w:id="192"/>
    </w:p>
    <w:p w14:paraId="732E8A28">
      <w:pPr>
        <w:snapToGrid w:val="0"/>
        <w:spacing w:before="120" w:beforeLines="50" w:after="50" w:line="360" w:lineRule="auto"/>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1.商务文件封面格式： </w:t>
      </w:r>
    </w:p>
    <w:p w14:paraId="580AB547">
      <w:pPr>
        <w:snapToGrid w:val="0"/>
        <w:spacing w:before="120" w:beforeLines="50" w:after="50"/>
        <w:rPr>
          <w:rFonts w:hint="eastAsia" w:ascii="仿宋" w:hAnsi="仿宋" w:eastAsia="仿宋" w:cs="仿宋"/>
          <w:bCs/>
          <w:color w:val="auto"/>
          <w:sz w:val="32"/>
          <w:szCs w:val="20"/>
          <w:highlight w:val="none"/>
        </w:rPr>
      </w:pPr>
    </w:p>
    <w:p w14:paraId="7A2C6E5E">
      <w:pPr>
        <w:snapToGrid w:val="0"/>
        <w:spacing w:before="120" w:beforeLines="50" w:after="50"/>
        <w:rPr>
          <w:rFonts w:hint="eastAsia" w:ascii="仿宋" w:hAnsi="仿宋" w:eastAsia="仿宋" w:cs="仿宋"/>
          <w:color w:val="auto"/>
          <w:sz w:val="24"/>
          <w:szCs w:val="20"/>
          <w:highlight w:val="none"/>
        </w:rPr>
      </w:pPr>
    </w:p>
    <w:p w14:paraId="3075A8B3">
      <w:pPr>
        <w:snapToGrid w:val="0"/>
        <w:spacing w:before="120" w:beforeLines="50" w:after="50"/>
        <w:rPr>
          <w:rFonts w:hint="eastAsia" w:ascii="仿宋" w:hAnsi="仿宋" w:eastAsia="仿宋" w:cs="仿宋"/>
          <w:color w:val="auto"/>
          <w:sz w:val="24"/>
          <w:szCs w:val="20"/>
          <w:highlight w:val="none"/>
        </w:rPr>
      </w:pPr>
    </w:p>
    <w:p w14:paraId="40DC04A8">
      <w:pPr>
        <w:snapToGrid w:val="0"/>
        <w:spacing w:before="120" w:beforeLines="50" w:after="50"/>
        <w:rPr>
          <w:rFonts w:hint="eastAsia" w:ascii="仿宋" w:hAnsi="仿宋" w:eastAsia="仿宋" w:cs="仿宋"/>
          <w:color w:val="auto"/>
          <w:sz w:val="24"/>
          <w:szCs w:val="20"/>
          <w:highlight w:val="none"/>
        </w:rPr>
      </w:pPr>
    </w:p>
    <w:p w14:paraId="5752BB4E">
      <w:pPr>
        <w:snapToGrid w:val="0"/>
        <w:spacing w:before="120" w:beforeLines="50" w:after="50"/>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投  标  文  件</w:t>
      </w:r>
    </w:p>
    <w:p w14:paraId="28D8E0EB">
      <w:pPr>
        <w:snapToGrid w:val="0"/>
        <w:spacing w:before="120" w:beforeLines="50" w:after="50"/>
        <w:rPr>
          <w:rFonts w:hint="eastAsia" w:ascii="仿宋" w:hAnsi="仿宋" w:eastAsia="仿宋" w:cs="仿宋"/>
          <w:color w:val="auto"/>
          <w:sz w:val="24"/>
          <w:szCs w:val="20"/>
          <w:highlight w:val="none"/>
        </w:rPr>
      </w:pPr>
    </w:p>
    <w:p w14:paraId="48247B3C">
      <w:pPr>
        <w:snapToGrid w:val="0"/>
        <w:spacing w:before="120" w:beforeLines="50" w:after="50"/>
        <w:rPr>
          <w:rFonts w:hint="eastAsia" w:ascii="仿宋" w:hAnsi="仿宋" w:eastAsia="仿宋" w:cs="仿宋"/>
          <w:color w:val="auto"/>
          <w:sz w:val="24"/>
          <w:szCs w:val="20"/>
          <w:highlight w:val="none"/>
        </w:rPr>
      </w:pPr>
    </w:p>
    <w:p w14:paraId="6241D142">
      <w:pPr>
        <w:snapToGrid w:val="0"/>
        <w:spacing w:before="120" w:beforeLines="50" w:after="50"/>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商  务  文  件</w:t>
      </w:r>
    </w:p>
    <w:p w14:paraId="4D8FE976">
      <w:pPr>
        <w:snapToGrid w:val="0"/>
        <w:spacing w:before="120" w:beforeLines="50" w:after="50"/>
        <w:rPr>
          <w:rFonts w:hint="eastAsia" w:ascii="仿宋" w:hAnsi="仿宋" w:eastAsia="仿宋" w:cs="仿宋"/>
          <w:bCs/>
          <w:color w:val="auto"/>
          <w:sz w:val="24"/>
          <w:szCs w:val="20"/>
          <w:highlight w:val="none"/>
        </w:rPr>
      </w:pPr>
    </w:p>
    <w:p w14:paraId="17B8F09A">
      <w:pPr>
        <w:snapToGrid w:val="0"/>
        <w:spacing w:before="120" w:beforeLines="50" w:after="50"/>
        <w:ind w:firstLine="540" w:firstLineChars="225"/>
        <w:rPr>
          <w:rFonts w:hint="eastAsia" w:ascii="仿宋" w:hAnsi="仿宋" w:eastAsia="仿宋" w:cs="仿宋"/>
          <w:bCs/>
          <w:color w:val="auto"/>
          <w:sz w:val="24"/>
          <w:highlight w:val="none"/>
        </w:rPr>
      </w:pPr>
    </w:p>
    <w:p w14:paraId="4C5529ED">
      <w:pPr>
        <w:snapToGrid w:val="0"/>
        <w:spacing w:before="120" w:beforeLines="50" w:after="50"/>
        <w:ind w:firstLine="540" w:firstLineChars="225"/>
        <w:rPr>
          <w:rFonts w:hint="eastAsia" w:ascii="仿宋" w:hAnsi="仿宋" w:eastAsia="仿宋" w:cs="仿宋"/>
          <w:bCs/>
          <w:color w:val="auto"/>
          <w:sz w:val="24"/>
          <w:highlight w:val="none"/>
        </w:rPr>
      </w:pPr>
    </w:p>
    <w:p w14:paraId="49A59C4E">
      <w:pPr>
        <w:snapToGrid w:val="0"/>
        <w:spacing w:before="120" w:beforeLines="50" w:after="50"/>
        <w:ind w:firstLine="540" w:firstLineChars="225"/>
        <w:rPr>
          <w:rFonts w:hint="eastAsia" w:ascii="仿宋" w:hAnsi="仿宋" w:eastAsia="仿宋" w:cs="仿宋"/>
          <w:bCs/>
          <w:color w:val="auto"/>
          <w:sz w:val="24"/>
          <w:highlight w:val="none"/>
        </w:rPr>
      </w:pPr>
    </w:p>
    <w:p w14:paraId="78431D45">
      <w:pPr>
        <w:snapToGrid w:val="0"/>
        <w:spacing w:before="120"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项目名称：</w:t>
      </w:r>
    </w:p>
    <w:p w14:paraId="03AA91D1">
      <w:pPr>
        <w:snapToGrid w:val="0"/>
        <w:spacing w:before="120" w:beforeLines="50" w:after="50"/>
        <w:ind w:firstLine="540" w:firstLineChars="225"/>
        <w:rPr>
          <w:rFonts w:hint="eastAsia" w:ascii="仿宋" w:hAnsi="仿宋" w:eastAsia="仿宋" w:cs="仿宋"/>
          <w:bCs/>
          <w:color w:val="auto"/>
          <w:sz w:val="24"/>
          <w:szCs w:val="20"/>
          <w:highlight w:val="none"/>
        </w:rPr>
      </w:pPr>
    </w:p>
    <w:p w14:paraId="13714339">
      <w:pPr>
        <w:snapToGrid w:val="0"/>
        <w:spacing w:before="120" w:beforeLines="50" w:after="50"/>
        <w:ind w:firstLine="540" w:firstLineChars="225"/>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项目编号：</w:t>
      </w:r>
    </w:p>
    <w:p w14:paraId="7CE852E7">
      <w:pPr>
        <w:snapToGrid w:val="0"/>
        <w:spacing w:before="120" w:beforeLines="50" w:after="50"/>
        <w:ind w:firstLine="540" w:firstLineChars="225"/>
        <w:rPr>
          <w:rFonts w:hint="eastAsia" w:ascii="仿宋" w:hAnsi="仿宋" w:eastAsia="仿宋" w:cs="仿宋"/>
          <w:bCs/>
          <w:color w:val="auto"/>
          <w:sz w:val="24"/>
          <w:szCs w:val="20"/>
          <w:highlight w:val="none"/>
        </w:rPr>
      </w:pPr>
    </w:p>
    <w:p w14:paraId="2EA2502E">
      <w:pPr>
        <w:pStyle w:val="9"/>
        <w:snapToGrid w:val="0"/>
        <w:spacing w:before="50" w:after="50"/>
        <w:ind w:firstLine="540" w:firstLineChars="225"/>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投标人名称：</w:t>
      </w:r>
    </w:p>
    <w:p w14:paraId="7FACBBE2">
      <w:pPr>
        <w:pStyle w:val="9"/>
        <w:snapToGrid w:val="0"/>
        <w:spacing w:before="50" w:after="50"/>
        <w:ind w:firstLine="540" w:firstLineChars="225"/>
        <w:rPr>
          <w:rFonts w:hint="eastAsia" w:ascii="仿宋" w:hAnsi="仿宋" w:eastAsia="仿宋" w:cs="仿宋"/>
          <w:bCs/>
          <w:color w:val="auto"/>
          <w:sz w:val="24"/>
          <w:szCs w:val="24"/>
          <w:highlight w:val="none"/>
        </w:rPr>
      </w:pPr>
    </w:p>
    <w:p w14:paraId="70863A3A">
      <w:pPr>
        <w:pStyle w:val="9"/>
        <w:snapToGrid w:val="0"/>
        <w:spacing w:before="50" w:after="50"/>
        <w:ind w:firstLine="960" w:firstLineChars="400"/>
        <w:rPr>
          <w:rFonts w:hint="eastAsia" w:ascii="仿宋" w:hAnsi="仿宋" w:eastAsia="仿宋" w:cs="仿宋"/>
          <w:bCs/>
          <w:color w:val="auto"/>
          <w:sz w:val="24"/>
          <w:szCs w:val="24"/>
          <w:highlight w:val="none"/>
        </w:rPr>
      </w:pPr>
    </w:p>
    <w:p w14:paraId="78DB1C73">
      <w:pPr>
        <w:snapToGrid w:val="0"/>
        <w:spacing w:before="120" w:beforeLines="50" w:after="50"/>
        <w:ind w:firstLine="645"/>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1BEE75F9">
      <w:pPr>
        <w:snapToGrid w:val="0"/>
        <w:spacing w:before="120" w:beforeLines="50" w:after="50"/>
        <w:rPr>
          <w:rFonts w:hint="eastAsia" w:ascii="仿宋" w:hAnsi="仿宋" w:eastAsia="仿宋" w:cs="仿宋"/>
          <w:color w:val="auto"/>
          <w:sz w:val="24"/>
          <w:szCs w:val="20"/>
          <w:highlight w:val="none"/>
        </w:rPr>
      </w:pPr>
    </w:p>
    <w:p w14:paraId="538C9BB8">
      <w:pPr>
        <w:snapToGrid w:val="0"/>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color w:val="auto"/>
          <w:sz w:val="24"/>
          <w:szCs w:val="20"/>
          <w:highlight w:val="none"/>
        </w:rPr>
        <w:br w:type="page"/>
      </w:r>
      <w:r>
        <w:rPr>
          <w:rFonts w:hint="eastAsia" w:ascii="仿宋" w:hAnsi="仿宋" w:eastAsia="仿宋" w:cs="仿宋"/>
          <w:b/>
          <w:bCs/>
          <w:color w:val="auto"/>
          <w:sz w:val="24"/>
          <w:highlight w:val="none"/>
        </w:rPr>
        <w:t>2.商务文件目录</w:t>
      </w:r>
    </w:p>
    <w:p w14:paraId="015B6B22">
      <w:pPr>
        <w:snapToGrid w:val="0"/>
        <w:spacing w:before="50" w:after="120" w:afterLines="50" w:line="360" w:lineRule="auto"/>
        <w:ind w:firstLine="480" w:firstLineChars="200"/>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t>根据招标文件规定及投标人提供的材料自行编写目录。</w:t>
      </w:r>
    </w:p>
    <w:p w14:paraId="679FC8F2">
      <w:pPr>
        <w:snapToGrid w:val="0"/>
        <w:spacing w:before="50" w:after="120" w:afterLines="50"/>
        <w:jc w:val="left"/>
        <w:rPr>
          <w:rFonts w:hint="eastAsia" w:ascii="仿宋" w:hAnsi="仿宋" w:eastAsia="仿宋" w:cs="仿宋"/>
          <w:color w:val="auto"/>
          <w:highlight w:val="none"/>
        </w:rPr>
      </w:pPr>
    </w:p>
    <w:p w14:paraId="5E698158">
      <w:pPr>
        <w:snapToGrid w:val="0"/>
        <w:spacing w:before="120" w:beforeLines="50" w:after="50"/>
        <w:jc w:val="left"/>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3.投标人参加本项目无围标串标行为的承诺</w:t>
      </w:r>
      <w:r>
        <w:rPr>
          <w:rFonts w:hint="eastAsia" w:ascii="仿宋" w:hAnsi="仿宋" w:eastAsia="仿宋" w:cs="仿宋"/>
          <w:b/>
          <w:color w:val="auto"/>
          <w:sz w:val="24"/>
          <w:highlight w:val="none"/>
          <w:lang w:val="en-US" w:eastAsia="zh-CN"/>
        </w:rPr>
        <w:t>格式</w:t>
      </w:r>
    </w:p>
    <w:p w14:paraId="5CA56CEA">
      <w:pPr>
        <w:snapToGrid w:val="0"/>
        <w:spacing w:before="120" w:beforeLines="50" w:after="50"/>
        <w:jc w:val="left"/>
        <w:rPr>
          <w:rFonts w:hint="eastAsia" w:ascii="仿宋" w:hAnsi="仿宋" w:eastAsia="仿宋" w:cs="仿宋"/>
          <w:b/>
          <w:color w:val="auto"/>
          <w:sz w:val="24"/>
          <w:highlight w:val="none"/>
        </w:rPr>
      </w:pPr>
    </w:p>
    <w:p w14:paraId="07F7FB5F">
      <w:pPr>
        <w:spacing w:line="360" w:lineRule="auto"/>
        <w:ind w:left="420"/>
        <w:contextualSpacing/>
        <w:jc w:val="center"/>
        <w:rPr>
          <w:rFonts w:hint="eastAsia" w:ascii="仿宋" w:hAnsi="仿宋" w:eastAsia="仿宋" w:cs="仿宋"/>
          <w:b/>
          <w:color w:val="auto"/>
          <w:sz w:val="24"/>
          <w:highlight w:val="none"/>
        </w:rPr>
      </w:pPr>
      <w:r>
        <w:rPr>
          <w:rFonts w:hint="eastAsia" w:ascii="仿宋" w:hAnsi="仿宋" w:eastAsia="仿宋" w:cs="仿宋"/>
          <w:bCs/>
          <w:color w:val="auto"/>
          <w:spacing w:val="-11"/>
          <w:sz w:val="44"/>
          <w:szCs w:val="44"/>
          <w:highlight w:val="none"/>
        </w:rPr>
        <w:t>投标人参加本项目无围标串标行为的承诺函</w:t>
      </w:r>
    </w:p>
    <w:p w14:paraId="13FE3290">
      <w:pPr>
        <w:spacing w:line="440" w:lineRule="exact"/>
        <w:contextualSpacing/>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一、我方承诺无下列相互串通投标的情形：</w:t>
      </w:r>
    </w:p>
    <w:p w14:paraId="509270B5">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1.不同投标人的投标文件由同一单位或者个人编制；</w:t>
      </w:r>
    </w:p>
    <w:p w14:paraId="005F7348">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2.不同投标人委托同一单位或者个人办理投标事宜；</w:t>
      </w:r>
    </w:p>
    <w:p w14:paraId="1FF6F15D">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3.不同的投标人的投标文件载明的项目管理员为同一个人；</w:t>
      </w:r>
    </w:p>
    <w:p w14:paraId="530D3AA5">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4.不同投标人的投标文件异常一致或者投标报价呈规律性差异；</w:t>
      </w:r>
    </w:p>
    <w:p w14:paraId="10B9B1AE">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5.不同投标人的投标文件相互混装；</w:t>
      </w:r>
    </w:p>
    <w:p w14:paraId="4E0ACDD3">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6.不同投标人的投标保证金从同一单位或者个人账户转出。</w:t>
      </w:r>
    </w:p>
    <w:p w14:paraId="517035D2">
      <w:pPr>
        <w:spacing w:line="440" w:lineRule="exact"/>
        <w:contextualSpacing/>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二、我方承诺无下列恶意串通的情形：</w:t>
      </w:r>
    </w:p>
    <w:p w14:paraId="5B777E5C">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1.投标人直接或者间接从采购人或者采购代理机构处获得其他投标人的相关信息并修改其投标文件或者响应文件；</w:t>
      </w:r>
    </w:p>
    <w:p w14:paraId="2D4E5DEC">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2.投标人按照采购人或者采购代理机构的授意撤换、修改投标文件或者响应文件；</w:t>
      </w:r>
    </w:p>
    <w:p w14:paraId="5A8E3603">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3.投标人之间协商报价、技术方案等投标文件或者响应文件的实质性内容；</w:t>
      </w:r>
    </w:p>
    <w:p w14:paraId="23B125DA">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4.属于同一集团、协会、商会等组织成员的投标人按照该组织要求协同参加政府采购活动；</w:t>
      </w:r>
    </w:p>
    <w:p w14:paraId="4F954521">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506CB70">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6.投标人之间商定部分投标人放弃参加政府采购活动或者放弃中标；</w:t>
      </w:r>
    </w:p>
    <w:p w14:paraId="0317D846">
      <w:pPr>
        <w:spacing w:line="440" w:lineRule="exact"/>
        <w:ind w:firstLine="470" w:firstLineChars="196"/>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7.投标人与采购人或者采购代理机构之间、投标人相互之间，为谋求特定投标人中标或者排斥其他投标人的其他串通行为。</w:t>
      </w:r>
    </w:p>
    <w:p w14:paraId="435757C1">
      <w:pPr>
        <w:spacing w:line="440" w:lineRule="exact"/>
        <w:ind w:firstLine="472" w:firstLineChars="196"/>
        <w:contextualSpacing/>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以上情形一经核查属实，我方愿意承担一切后果，并不再寻求任何旨在减轻或者免除法律责任的辩解。</w:t>
      </w:r>
    </w:p>
    <w:p w14:paraId="04378AD5">
      <w:pPr>
        <w:pStyle w:val="28"/>
        <w:spacing w:line="440" w:lineRule="exact"/>
        <w:ind w:firstLine="6840" w:firstLineChars="2850"/>
        <w:contextualSpacing/>
        <w:rPr>
          <w:rFonts w:hint="eastAsia" w:ascii="仿宋" w:hAnsi="仿宋" w:eastAsia="仿宋" w:cs="仿宋"/>
          <w:color w:val="auto"/>
          <w:sz w:val="24"/>
          <w:szCs w:val="24"/>
          <w:highlight w:val="none"/>
        </w:rPr>
      </w:pPr>
    </w:p>
    <w:p w14:paraId="485999BD">
      <w:pPr>
        <w:pStyle w:val="28"/>
        <w:spacing w:line="440" w:lineRule="exact"/>
        <w:contextualSpacing/>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投标人名称（公章</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highlight w:val="none"/>
          <w:lang w:val="en-US" w:eastAsia="zh-CN"/>
        </w:rPr>
        <w:t>CA签章</w:t>
      </w:r>
      <w:r>
        <w:rPr>
          <w:rFonts w:hint="eastAsia" w:ascii="仿宋" w:hAnsi="仿宋" w:eastAsia="仿宋" w:cs="仿宋"/>
          <w:color w:val="auto"/>
          <w:sz w:val="24"/>
          <w:szCs w:val="24"/>
          <w:highlight w:val="none"/>
        </w:rPr>
        <w:t>）：</w:t>
      </w:r>
    </w:p>
    <w:p w14:paraId="5F535FFD">
      <w:pPr>
        <w:pStyle w:val="28"/>
        <w:spacing w:line="440" w:lineRule="exact"/>
        <w:ind w:firstLine="4320" w:firstLineChars="180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6EAC65E7">
      <w:pPr>
        <w:snapToGrid w:val="0"/>
        <w:spacing w:before="120" w:beforeLines="50" w:after="50"/>
        <w:jc w:val="left"/>
        <w:rPr>
          <w:rFonts w:hint="eastAsia" w:ascii="仿宋" w:hAnsi="仿宋" w:eastAsia="仿宋" w:cs="仿宋"/>
          <w:b/>
          <w:color w:val="auto"/>
          <w:sz w:val="24"/>
          <w:highlight w:val="none"/>
        </w:rPr>
      </w:pPr>
    </w:p>
    <w:p w14:paraId="4338FBFA">
      <w:pPr>
        <w:snapToGrid w:val="0"/>
        <w:spacing w:before="120" w:beforeLines="50" w:after="50"/>
        <w:jc w:val="left"/>
        <w:rPr>
          <w:rFonts w:hint="eastAsia" w:ascii="仿宋" w:hAnsi="仿宋" w:eastAsia="仿宋" w:cs="仿宋"/>
          <w:b/>
          <w:color w:val="auto"/>
          <w:sz w:val="24"/>
          <w:highlight w:val="none"/>
        </w:rPr>
      </w:pPr>
    </w:p>
    <w:p w14:paraId="3A4836EC">
      <w:pPr>
        <w:snapToGrid w:val="0"/>
        <w:spacing w:before="120" w:beforeLines="50" w:after="50"/>
        <w:jc w:val="left"/>
        <w:rPr>
          <w:rFonts w:hint="eastAsia" w:ascii="仿宋" w:hAnsi="仿宋" w:eastAsia="仿宋" w:cs="仿宋"/>
          <w:b/>
          <w:color w:val="auto"/>
          <w:sz w:val="24"/>
          <w:highlight w:val="none"/>
        </w:rPr>
      </w:pPr>
    </w:p>
    <w:p w14:paraId="267C656B">
      <w:pPr>
        <w:snapToGrid w:val="0"/>
        <w:spacing w:before="120" w:beforeLines="50" w:after="50"/>
        <w:jc w:val="left"/>
        <w:rPr>
          <w:rFonts w:hint="eastAsia" w:ascii="仿宋" w:hAnsi="仿宋" w:eastAsia="仿宋" w:cs="仿宋"/>
          <w:b/>
          <w:color w:val="auto"/>
          <w:sz w:val="24"/>
          <w:highlight w:val="none"/>
        </w:rPr>
      </w:pPr>
    </w:p>
    <w:p w14:paraId="7FC0D979">
      <w:pPr>
        <w:snapToGrid w:val="0"/>
        <w:spacing w:before="120" w:beforeLines="50" w:after="50"/>
        <w:jc w:val="left"/>
        <w:rPr>
          <w:rFonts w:hint="eastAsia" w:ascii="仿宋" w:hAnsi="仿宋" w:eastAsia="仿宋" w:cs="仿宋"/>
          <w:b/>
          <w:color w:val="auto"/>
          <w:sz w:val="24"/>
          <w:highlight w:val="none"/>
        </w:rPr>
      </w:pPr>
    </w:p>
    <w:p w14:paraId="61E8EB30">
      <w:pPr>
        <w:snapToGrid w:val="0"/>
        <w:spacing w:before="120" w:beforeLines="50" w:after="50"/>
        <w:jc w:val="left"/>
        <w:rPr>
          <w:rFonts w:hint="eastAsia" w:ascii="仿宋" w:hAnsi="仿宋" w:eastAsia="仿宋" w:cs="仿宋"/>
          <w:b/>
          <w:color w:val="auto"/>
          <w:sz w:val="24"/>
          <w:szCs w:val="20"/>
          <w:highlight w:val="none"/>
          <w:lang w:val="en-US" w:eastAsia="zh-CN"/>
        </w:rPr>
      </w:pPr>
      <w:r>
        <w:rPr>
          <w:rFonts w:hint="eastAsia" w:ascii="仿宋" w:hAnsi="仿宋" w:eastAsia="仿宋" w:cs="仿宋"/>
          <w:b/>
          <w:color w:val="auto"/>
          <w:sz w:val="24"/>
          <w:highlight w:val="none"/>
        </w:rPr>
        <w:t>4.法定代表人身份证明</w:t>
      </w:r>
      <w:r>
        <w:rPr>
          <w:rFonts w:hint="eastAsia" w:ascii="仿宋" w:hAnsi="仿宋" w:eastAsia="仿宋" w:cs="仿宋"/>
          <w:b/>
          <w:color w:val="auto"/>
          <w:sz w:val="24"/>
          <w:highlight w:val="none"/>
          <w:lang w:val="en-US" w:eastAsia="zh-CN"/>
        </w:rPr>
        <w:t>格式</w:t>
      </w:r>
    </w:p>
    <w:p w14:paraId="41F2012A">
      <w:pPr>
        <w:spacing w:before="240" w:beforeLines="100" w:after="120" w:afterLines="50"/>
        <w:ind w:left="54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法定代表人身份证明</w:t>
      </w:r>
    </w:p>
    <w:p w14:paraId="4E59BB09">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p>
    <w:p w14:paraId="3E367897">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p>
    <w:p w14:paraId="1FC2A934">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性      别：</w:t>
      </w:r>
    </w:p>
    <w:p w14:paraId="07E5A552">
      <w:pPr>
        <w:spacing w:line="500" w:lineRule="exact"/>
        <w:ind w:left="54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                     职      务：</w:t>
      </w:r>
    </w:p>
    <w:p w14:paraId="79BB30B7">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p>
    <w:p w14:paraId="48C42591">
      <w:pPr>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（投标人名称）              </w:t>
      </w:r>
      <w:r>
        <w:rPr>
          <w:rFonts w:hint="eastAsia" w:ascii="仿宋" w:hAnsi="仿宋" w:eastAsia="仿宋" w:cs="仿宋"/>
          <w:color w:val="auto"/>
          <w:sz w:val="24"/>
          <w:highlight w:val="none"/>
        </w:rPr>
        <w:t>的法定代表人。</w:t>
      </w:r>
    </w:p>
    <w:p w14:paraId="737E30FB">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5F278C5A">
      <w:pPr>
        <w:spacing w:line="500" w:lineRule="exact"/>
        <w:ind w:left="540"/>
        <w:rPr>
          <w:rFonts w:hint="eastAsia" w:ascii="仿宋" w:hAnsi="仿宋" w:eastAsia="仿宋" w:cs="仿宋"/>
          <w:color w:val="auto"/>
          <w:sz w:val="24"/>
          <w:highlight w:val="none"/>
        </w:rPr>
      </w:pPr>
    </w:p>
    <w:p w14:paraId="553761EC">
      <w:pPr>
        <w:spacing w:line="500" w:lineRule="exact"/>
        <w:ind w:left="540"/>
        <w:rPr>
          <w:rFonts w:hint="eastAsia" w:ascii="仿宋" w:hAnsi="仿宋" w:eastAsia="仿宋" w:cs="仿宋"/>
          <w:color w:val="auto"/>
          <w:sz w:val="24"/>
          <w:highlight w:val="none"/>
        </w:rPr>
      </w:pPr>
    </w:p>
    <w:p w14:paraId="34BF2CAB">
      <w:pPr>
        <w:spacing w:line="500" w:lineRule="exact"/>
        <w:ind w:left="540"/>
        <w:rPr>
          <w:rFonts w:hint="eastAsia" w:ascii="仿宋" w:hAnsi="仿宋" w:eastAsia="仿宋" w:cs="仿宋"/>
          <w:color w:val="auto"/>
          <w:sz w:val="24"/>
          <w:highlight w:val="none"/>
        </w:rPr>
      </w:pPr>
      <w:r>
        <w:rPr>
          <w:rFonts w:hint="eastAsia" w:ascii="仿宋" w:hAnsi="仿宋" w:eastAsia="仿宋" w:cs="仿宋"/>
          <w:color w:val="auto"/>
          <w:sz w:val="24"/>
          <w:highlight w:val="none"/>
        </w:rPr>
        <w:t>附件：法定代表人有效身份证正反面复印件</w:t>
      </w:r>
    </w:p>
    <w:p w14:paraId="185037E4">
      <w:pPr>
        <w:spacing w:line="500" w:lineRule="exact"/>
        <w:ind w:left="540"/>
        <w:rPr>
          <w:rFonts w:hint="eastAsia" w:ascii="仿宋" w:hAnsi="仿宋" w:eastAsia="仿宋" w:cs="仿宋"/>
          <w:color w:val="auto"/>
          <w:sz w:val="24"/>
          <w:highlight w:val="none"/>
        </w:rPr>
      </w:pPr>
    </w:p>
    <w:p w14:paraId="64A88870">
      <w:pPr>
        <w:spacing w:line="500" w:lineRule="exact"/>
        <w:ind w:left="54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投标人名称（公章</w:t>
      </w:r>
      <w:r>
        <w:rPr>
          <w:rFonts w:hint="eastAsia" w:ascii="仿宋" w:hAnsi="仿宋" w:eastAsia="仿宋" w:cs="仿宋"/>
          <w:color w:val="auto"/>
          <w:sz w:val="24"/>
          <w:highlight w:val="none"/>
          <w:lang w:val="en-US" w:eastAsia="zh-CN"/>
        </w:rPr>
        <w:t>或CA签章</w:t>
      </w:r>
      <w:r>
        <w:rPr>
          <w:rFonts w:hint="eastAsia" w:ascii="仿宋" w:hAnsi="仿宋" w:eastAsia="仿宋" w:cs="仿宋"/>
          <w:color w:val="auto"/>
          <w:sz w:val="24"/>
          <w:highlight w:val="none"/>
        </w:rPr>
        <w:t>）</w:t>
      </w:r>
    </w:p>
    <w:p w14:paraId="0E2B93F2">
      <w:pPr>
        <w:wordWrap w:val="0"/>
        <w:snapToGrid w:val="0"/>
        <w:spacing w:before="120" w:beforeLines="50" w:after="50"/>
        <w:ind w:left="54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7DD06AD">
      <w:pPr>
        <w:snapToGrid w:val="0"/>
        <w:spacing w:before="120" w:beforeLines="50" w:after="50"/>
        <w:jc w:val="center"/>
        <w:rPr>
          <w:rFonts w:hint="eastAsia" w:ascii="仿宋" w:hAnsi="仿宋" w:eastAsia="仿宋" w:cs="仿宋"/>
          <w:b/>
          <w:color w:val="auto"/>
          <w:sz w:val="24"/>
          <w:highlight w:val="none"/>
        </w:rPr>
      </w:pPr>
    </w:p>
    <w:p w14:paraId="77A4B23A">
      <w:pPr>
        <w:snapToGrid w:val="0"/>
        <w:spacing w:before="120" w:beforeLines="50" w:after="50"/>
        <w:jc w:val="left"/>
        <w:rPr>
          <w:rFonts w:hint="eastAsia" w:ascii="仿宋" w:hAnsi="仿宋" w:eastAsia="仿宋" w:cs="仿宋"/>
          <w:b/>
          <w:color w:val="auto"/>
          <w:sz w:val="24"/>
          <w:szCs w:val="20"/>
          <w:highlight w:val="none"/>
        </w:rPr>
      </w:pPr>
      <w:r>
        <w:rPr>
          <w:rFonts w:hint="eastAsia" w:ascii="仿宋" w:hAnsi="仿宋" w:eastAsia="仿宋" w:cs="仿宋"/>
          <w:color w:val="auto"/>
          <w:sz w:val="24"/>
          <w:highlight w:val="none"/>
        </w:rPr>
        <w:t>注：自然人投标的无需提供</w:t>
      </w:r>
    </w:p>
    <w:p w14:paraId="2E862AAA">
      <w:pPr>
        <w:snapToGrid w:val="0"/>
        <w:spacing w:before="120" w:beforeLines="50" w:after="50"/>
        <w:jc w:val="left"/>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5.授权委托书格式</w:t>
      </w:r>
    </w:p>
    <w:p w14:paraId="32E1BC21">
      <w:pPr>
        <w:snapToGrid w:val="0"/>
        <w:spacing w:before="120" w:beforeLines="50" w:after="50"/>
        <w:jc w:val="center"/>
        <w:rPr>
          <w:rFonts w:hint="eastAsia" w:ascii="仿宋" w:hAnsi="仿宋" w:eastAsia="仿宋" w:cs="仿宋"/>
          <w:b/>
          <w:color w:val="auto"/>
          <w:sz w:val="44"/>
          <w:szCs w:val="44"/>
          <w:highlight w:val="none"/>
        </w:rPr>
      </w:pPr>
    </w:p>
    <w:p w14:paraId="683D317F">
      <w:pPr>
        <w:spacing w:line="360" w:lineRule="auto"/>
        <w:contextualSpacing/>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授权委托书</w:t>
      </w:r>
    </w:p>
    <w:p w14:paraId="41371271">
      <w:pPr>
        <w:spacing w:line="360" w:lineRule="auto"/>
        <w:contextualSpacing/>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（非联合体投标格式）</w:t>
      </w:r>
    </w:p>
    <w:p w14:paraId="2ADCEF04">
      <w:pPr>
        <w:spacing w:line="360" w:lineRule="auto"/>
        <w:contextualSpacing/>
        <w:jc w:val="center"/>
        <w:rPr>
          <w:rFonts w:hint="eastAsia" w:ascii="仿宋" w:hAnsi="仿宋" w:eastAsia="仿宋" w:cs="仿宋"/>
          <w:bCs/>
          <w:color w:val="auto"/>
          <w:sz w:val="24"/>
          <w:highlight w:val="none"/>
        </w:rPr>
      </w:pPr>
      <w:r>
        <w:rPr>
          <w:rFonts w:hint="eastAsia" w:ascii="仿宋" w:hAnsi="仿宋" w:eastAsia="仿宋" w:cs="仿宋"/>
          <w:bCs/>
          <w:color w:val="auto"/>
          <w:sz w:val="32"/>
          <w:szCs w:val="32"/>
          <w:highlight w:val="none"/>
        </w:rPr>
        <w:t>（如有委托时）</w:t>
      </w:r>
    </w:p>
    <w:p w14:paraId="6438905A">
      <w:pPr>
        <w:spacing w:line="440" w:lineRule="exact"/>
        <w:contextualSpacing/>
        <w:jc w:val="center"/>
        <w:rPr>
          <w:rFonts w:hint="eastAsia" w:ascii="仿宋" w:hAnsi="仿宋" w:eastAsia="仿宋" w:cs="仿宋"/>
          <w:b/>
          <w:color w:val="auto"/>
          <w:sz w:val="24"/>
          <w:highlight w:val="none"/>
        </w:rPr>
      </w:pPr>
    </w:p>
    <w:p w14:paraId="2BC77B98">
      <w:pPr>
        <w:spacing w:line="440" w:lineRule="exact"/>
        <w:contextualSpacing/>
        <w:rPr>
          <w:rFonts w:hint="eastAsia" w:ascii="仿宋" w:hAnsi="仿宋" w:eastAsia="仿宋" w:cs="仿宋"/>
          <w:b/>
          <w:bCs/>
          <w:color w:val="auto"/>
          <w:sz w:val="24"/>
          <w:highlight w:val="none"/>
        </w:rPr>
      </w:pPr>
      <w:r>
        <w:rPr>
          <w:rFonts w:hint="eastAsia" w:ascii="仿宋" w:hAnsi="仿宋" w:eastAsia="仿宋" w:cs="仿宋"/>
          <w:bCs/>
          <w:color w:val="auto"/>
          <w:sz w:val="24"/>
          <w:highlight w:val="none"/>
        </w:rPr>
        <w:t>致：</w:t>
      </w:r>
      <w:r>
        <w:rPr>
          <w:rFonts w:hint="eastAsia" w:ascii="仿宋" w:hAnsi="仿宋" w:eastAsia="仿宋" w:cs="仿宋"/>
          <w:color w:val="auto"/>
          <w:sz w:val="24"/>
          <w:highlight w:val="none"/>
          <w:u w:val="single"/>
        </w:rPr>
        <w:t>采购人名称</w:t>
      </w:r>
    </w:p>
    <w:p w14:paraId="3D0CBD13">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（投标人名称）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（姓名）</w:t>
      </w:r>
      <w:r>
        <w:rPr>
          <w:rFonts w:hint="eastAsia" w:ascii="仿宋" w:hAnsi="仿宋" w:eastAsia="仿宋" w:cs="仿宋"/>
          <w:color w:val="auto"/>
          <w:sz w:val="24"/>
          <w:highlight w:val="none"/>
        </w:rPr>
        <w:t>以我方的名义参加项目（项目编号：）的投标活动，并代表我方全权办理针对上述项目的所有采购程序和环节的具体事务和签署相关文件。</w:t>
      </w:r>
    </w:p>
    <w:p w14:paraId="0C30D3D4">
      <w:pPr>
        <w:spacing w:line="440" w:lineRule="exact"/>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我方对委托代理人的签字事项负全部责任。</w:t>
      </w:r>
    </w:p>
    <w:p w14:paraId="6B9D9D33">
      <w:pPr>
        <w:spacing w:line="440" w:lineRule="exact"/>
        <w:ind w:firstLine="48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本授权书自签署之日起生效，在撤销授权的书面通知以前，本授权书一直有效。委托代理人在授权书有效期内签署的所有文件不因授权的撤销而失效。</w:t>
      </w:r>
    </w:p>
    <w:p w14:paraId="1B33308D">
      <w:pPr>
        <w:spacing w:line="440" w:lineRule="exact"/>
        <w:ind w:firstLine="48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049148E5">
      <w:pPr>
        <w:spacing w:line="440" w:lineRule="exact"/>
        <w:ind w:firstLine="48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附：法定代表人身份证明及委托代理人有效身份证正反面复印件</w:t>
      </w:r>
    </w:p>
    <w:p w14:paraId="263F6A36">
      <w:pPr>
        <w:spacing w:line="440" w:lineRule="exact"/>
        <w:contextualSpacing/>
        <w:rPr>
          <w:rFonts w:hint="eastAsia" w:ascii="仿宋" w:hAnsi="仿宋" w:eastAsia="仿宋" w:cs="仿宋"/>
          <w:color w:val="auto"/>
          <w:sz w:val="24"/>
          <w:highlight w:val="none"/>
        </w:rPr>
      </w:pPr>
    </w:p>
    <w:p w14:paraId="0C7842E2">
      <w:pPr>
        <w:spacing w:line="440" w:lineRule="exact"/>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委托代理人（签字）：        法定代表人（签字或者盖章）：</w:t>
      </w:r>
    </w:p>
    <w:p w14:paraId="1DE910F7">
      <w:pPr>
        <w:spacing w:line="440" w:lineRule="exact"/>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委托代理人身份证号码：</w:t>
      </w:r>
    </w:p>
    <w:p w14:paraId="568D3F3A">
      <w:pPr>
        <w:spacing w:line="440" w:lineRule="exact"/>
        <w:contextualSpacing/>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投标人（盖公章</w:t>
      </w:r>
      <w:r>
        <w:rPr>
          <w:rFonts w:hint="eastAsia" w:ascii="仿宋" w:hAnsi="仿宋" w:eastAsia="仿宋" w:cs="仿宋"/>
          <w:color w:val="auto"/>
          <w:sz w:val="24"/>
          <w:highlight w:val="none"/>
          <w:lang w:val="en-US" w:eastAsia="zh-CN"/>
        </w:rPr>
        <w:t>或CA签章</w:t>
      </w:r>
      <w:r>
        <w:rPr>
          <w:rFonts w:hint="eastAsia" w:ascii="仿宋" w:hAnsi="仿宋" w:eastAsia="仿宋" w:cs="仿宋"/>
          <w:color w:val="auto"/>
          <w:sz w:val="24"/>
          <w:highlight w:val="none"/>
        </w:rPr>
        <w:t>）：</w:t>
      </w:r>
    </w:p>
    <w:p w14:paraId="1157802F">
      <w:pPr>
        <w:spacing w:line="440" w:lineRule="exact"/>
        <w:contextualSpacing/>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年    月    日</w:t>
      </w:r>
    </w:p>
    <w:p w14:paraId="32B5F12C">
      <w:pPr>
        <w:spacing w:line="440" w:lineRule="exact"/>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注：1.</w:t>
      </w:r>
      <w:bookmarkStart w:id="193" w:name="_Hlk65851555"/>
      <w:bookmarkStart w:id="194" w:name="_Hlk65851620"/>
      <w:r>
        <w:rPr>
          <w:rFonts w:hint="eastAsia" w:ascii="仿宋" w:hAnsi="仿宋" w:eastAsia="仿宋" w:cs="仿宋"/>
          <w:color w:val="auto"/>
          <w:sz w:val="24"/>
          <w:highlight w:val="none"/>
        </w:rPr>
        <w:t>法定代表人必须在授权委托书上亲笔签字或者盖章，</w:t>
      </w:r>
      <w:bookmarkEnd w:id="193"/>
      <w:r>
        <w:rPr>
          <w:rFonts w:hint="eastAsia" w:ascii="仿宋" w:hAnsi="仿宋" w:eastAsia="仿宋" w:cs="仿宋"/>
          <w:color w:val="auto"/>
          <w:sz w:val="24"/>
          <w:highlight w:val="none"/>
        </w:rPr>
        <w:t>委托代理人必须在授权委托书上亲笔签字，</w:t>
      </w:r>
      <w:r>
        <w:rPr>
          <w:rFonts w:hint="eastAsia" w:ascii="仿宋" w:hAnsi="仿宋" w:eastAsia="仿宋" w:cs="仿宋"/>
          <w:b/>
          <w:bCs/>
          <w:color w:val="auto"/>
          <w:sz w:val="24"/>
          <w:highlight w:val="none"/>
        </w:rPr>
        <w:t>否则按无效投标处理</w:t>
      </w:r>
      <w:r>
        <w:rPr>
          <w:rFonts w:hint="eastAsia" w:ascii="仿宋" w:hAnsi="仿宋" w:eastAsia="仿宋" w:cs="仿宋"/>
          <w:color w:val="auto"/>
          <w:sz w:val="24"/>
          <w:highlight w:val="none"/>
        </w:rPr>
        <w:t>；</w:t>
      </w:r>
      <w:bookmarkEnd w:id="194"/>
    </w:p>
    <w:p w14:paraId="3335EF80">
      <w:pPr>
        <w:spacing w:line="44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2.法人、其他组织投标时“我方”是指“我单位”，自然人投标时“我方”是指“本人”。</w:t>
      </w:r>
    </w:p>
    <w:p w14:paraId="60261099">
      <w:pPr>
        <w:snapToGrid w:val="0"/>
        <w:spacing w:before="120" w:beforeLines="50" w:after="50"/>
        <w:ind w:firstLine="566" w:firstLineChars="236"/>
        <w:jc w:val="center"/>
        <w:rPr>
          <w:rFonts w:hint="eastAsia" w:ascii="仿宋" w:hAnsi="仿宋" w:eastAsia="仿宋" w:cs="仿宋"/>
          <w:color w:val="auto"/>
          <w:sz w:val="44"/>
          <w:szCs w:val="44"/>
          <w:highlight w:val="none"/>
        </w:rPr>
      </w:pPr>
      <w:r>
        <w:rPr>
          <w:rFonts w:hint="eastAsia" w:ascii="仿宋" w:hAnsi="仿宋" w:eastAsia="仿宋" w:cs="仿宋"/>
          <w:color w:val="auto"/>
          <w:sz w:val="24"/>
          <w:highlight w:val="none"/>
        </w:rPr>
        <w:br w:type="page"/>
      </w:r>
      <w:r>
        <w:rPr>
          <w:rFonts w:hint="eastAsia" w:ascii="仿宋" w:hAnsi="仿宋" w:eastAsia="仿宋" w:cs="仿宋"/>
          <w:color w:val="auto"/>
          <w:sz w:val="44"/>
          <w:szCs w:val="44"/>
          <w:highlight w:val="none"/>
        </w:rPr>
        <w:t>授权委托书</w:t>
      </w:r>
    </w:p>
    <w:p w14:paraId="6797F8E7">
      <w:pPr>
        <w:snapToGrid w:val="0"/>
        <w:spacing w:before="120" w:beforeLines="50" w:after="50"/>
        <w:ind w:firstLine="755" w:firstLineChars="236"/>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（联合体投标格式）</w:t>
      </w:r>
    </w:p>
    <w:p w14:paraId="70775EF1">
      <w:pPr>
        <w:snapToGrid w:val="0"/>
        <w:spacing w:before="120" w:beforeLines="50" w:after="50"/>
        <w:ind w:firstLine="755" w:firstLineChars="236"/>
        <w:jc w:val="center"/>
        <w:rPr>
          <w:rFonts w:hint="eastAsia" w:ascii="仿宋" w:hAnsi="仿宋" w:eastAsia="仿宋" w:cs="仿宋"/>
          <w:color w:val="auto"/>
          <w:sz w:val="24"/>
          <w:highlight w:val="none"/>
        </w:rPr>
      </w:pPr>
      <w:r>
        <w:rPr>
          <w:rFonts w:hint="eastAsia" w:ascii="仿宋" w:hAnsi="仿宋" w:eastAsia="仿宋" w:cs="仿宋"/>
          <w:color w:val="auto"/>
          <w:sz w:val="32"/>
          <w:szCs w:val="32"/>
          <w:highlight w:val="none"/>
        </w:rPr>
        <w:t>（如有委托时）</w:t>
      </w:r>
    </w:p>
    <w:p w14:paraId="2BD8A1F0">
      <w:pPr>
        <w:spacing w:line="440" w:lineRule="exact"/>
        <w:contextualSpacing/>
        <w:jc w:val="left"/>
        <w:rPr>
          <w:rFonts w:hint="eastAsia" w:ascii="仿宋" w:hAnsi="仿宋" w:eastAsia="仿宋" w:cs="仿宋"/>
          <w:color w:val="auto"/>
          <w:sz w:val="24"/>
          <w:highlight w:val="none"/>
        </w:rPr>
      </w:pPr>
      <w:r>
        <w:rPr>
          <w:rFonts w:hint="eastAsia" w:ascii="仿宋" w:hAnsi="仿宋" w:eastAsia="仿宋" w:cs="仿宋"/>
          <w:bCs/>
          <w:color w:val="auto"/>
          <w:sz w:val="24"/>
          <w:highlight w:val="none"/>
        </w:rPr>
        <w:t>致：</w:t>
      </w:r>
      <w:r>
        <w:rPr>
          <w:rFonts w:hint="eastAsia" w:ascii="仿宋" w:hAnsi="仿宋" w:eastAsia="仿宋" w:cs="仿宋"/>
          <w:color w:val="auto"/>
          <w:sz w:val="24"/>
          <w:highlight w:val="none"/>
          <w:u w:val="single"/>
        </w:rPr>
        <w:t>采购人名称</w:t>
      </w:r>
      <w:r>
        <w:rPr>
          <w:rFonts w:hint="eastAsia" w:ascii="仿宋" w:hAnsi="仿宋" w:eastAsia="仿宋" w:cs="仿宋"/>
          <w:color w:val="auto"/>
          <w:sz w:val="24"/>
          <w:highlight w:val="none"/>
        </w:rPr>
        <w:t>：</w:t>
      </w:r>
    </w:p>
    <w:p w14:paraId="4F3D4CB6">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根据 </w:t>
      </w:r>
      <w:r>
        <w:rPr>
          <w:rFonts w:hint="eastAsia" w:ascii="仿宋" w:hAnsi="仿宋" w:eastAsia="仿宋" w:cs="仿宋"/>
          <w:color w:val="auto"/>
          <w:sz w:val="24"/>
          <w:highlight w:val="none"/>
          <w:u w:val="single"/>
        </w:rPr>
        <w:t xml:space="preserve"> （牵头人名称）</w:t>
      </w:r>
      <w:r>
        <w:rPr>
          <w:rFonts w:hint="eastAsia" w:ascii="仿宋" w:hAnsi="仿宋" w:eastAsia="仿宋" w:cs="仿宋"/>
          <w:color w:val="auto"/>
          <w:sz w:val="24"/>
          <w:highlight w:val="none"/>
        </w:rPr>
        <w:t>与</w:t>
      </w:r>
      <w:r>
        <w:rPr>
          <w:rFonts w:hint="eastAsia" w:ascii="仿宋" w:hAnsi="仿宋" w:eastAsia="仿宋" w:cs="仿宋"/>
          <w:color w:val="auto"/>
          <w:sz w:val="24"/>
          <w:highlight w:val="none"/>
          <w:u w:val="single"/>
        </w:rPr>
        <w:t>（联合体其他成员名称）</w:t>
      </w:r>
      <w:r>
        <w:rPr>
          <w:rFonts w:hint="eastAsia" w:ascii="仿宋" w:hAnsi="仿宋" w:eastAsia="仿宋" w:cs="仿宋"/>
          <w:color w:val="auto"/>
          <w:sz w:val="24"/>
          <w:highlight w:val="none"/>
        </w:rPr>
        <w:t>签订的《联合体投标协议书》的内容，</w:t>
      </w:r>
      <w:r>
        <w:rPr>
          <w:rFonts w:hint="eastAsia" w:ascii="仿宋" w:hAnsi="仿宋" w:eastAsia="仿宋" w:cs="仿宋"/>
          <w:color w:val="auto"/>
          <w:sz w:val="24"/>
          <w:highlight w:val="none"/>
          <w:u w:val="single"/>
        </w:rPr>
        <w:t>（牵头人名称）</w:t>
      </w:r>
      <w:r>
        <w:rPr>
          <w:rFonts w:hint="eastAsia" w:ascii="仿宋" w:hAnsi="仿宋" w:eastAsia="仿宋" w:cs="仿宋"/>
          <w:color w:val="auto"/>
          <w:sz w:val="24"/>
          <w:highlight w:val="none"/>
        </w:rPr>
        <w:t>的法定代表人</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（姓名）</w:t>
      </w:r>
      <w:r>
        <w:rPr>
          <w:rFonts w:hint="eastAsia" w:ascii="仿宋" w:hAnsi="仿宋" w:eastAsia="仿宋" w:cs="仿宋"/>
          <w:color w:val="auto"/>
          <w:sz w:val="24"/>
          <w:highlight w:val="none"/>
        </w:rPr>
        <w:t>以我方的名义参加项目（项目编号：）的投标活动，并代表我方全权办理针对上述项目的所有采购程序和环节的具体事务和签署相关文件。</w:t>
      </w:r>
    </w:p>
    <w:p w14:paraId="0D4CFB20">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我方对委托代理人的签字事项负全部责任。</w:t>
      </w:r>
    </w:p>
    <w:p w14:paraId="433F593C">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4C8337BE">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53398AA0">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附：牵头人法定代表人身份证明及委托代理人有效身份证正反面复印件</w:t>
      </w:r>
    </w:p>
    <w:p w14:paraId="319C966F">
      <w:pPr>
        <w:spacing w:line="440" w:lineRule="exact"/>
        <w:ind w:firstLine="566" w:firstLineChars="236"/>
        <w:contextualSpacing/>
        <w:rPr>
          <w:rFonts w:hint="eastAsia" w:ascii="仿宋" w:hAnsi="仿宋" w:eastAsia="仿宋" w:cs="仿宋"/>
          <w:color w:val="auto"/>
          <w:sz w:val="24"/>
          <w:highlight w:val="none"/>
        </w:rPr>
      </w:pPr>
    </w:p>
    <w:p w14:paraId="00046C19">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牵头人法定代表人（签字或者盖章）：</w:t>
      </w:r>
    </w:p>
    <w:p w14:paraId="2909772B">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牵头人（盖公章</w:t>
      </w:r>
      <w:r>
        <w:rPr>
          <w:rFonts w:hint="eastAsia" w:ascii="仿宋" w:hAnsi="仿宋" w:eastAsia="仿宋" w:cs="仿宋"/>
          <w:color w:val="auto"/>
          <w:sz w:val="24"/>
          <w:highlight w:val="none"/>
          <w:lang w:val="en-US" w:eastAsia="zh-CN"/>
        </w:rPr>
        <w:t>或CA签章</w:t>
      </w:r>
      <w:r>
        <w:rPr>
          <w:rFonts w:hint="eastAsia" w:ascii="仿宋" w:hAnsi="仿宋" w:eastAsia="仿宋" w:cs="仿宋"/>
          <w:color w:val="auto"/>
          <w:sz w:val="24"/>
          <w:highlight w:val="none"/>
        </w:rPr>
        <w:t>）：</w:t>
      </w:r>
    </w:p>
    <w:p w14:paraId="1039C89E">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C3B89E">
      <w:pPr>
        <w:spacing w:line="440" w:lineRule="exact"/>
        <w:ind w:firstLine="566" w:firstLineChars="236"/>
        <w:contextualSpacing/>
        <w:rPr>
          <w:rFonts w:hint="eastAsia" w:ascii="仿宋" w:hAnsi="仿宋" w:eastAsia="仿宋" w:cs="仿宋"/>
          <w:color w:val="auto"/>
          <w:sz w:val="24"/>
          <w:highlight w:val="none"/>
        </w:rPr>
      </w:pPr>
    </w:p>
    <w:p w14:paraId="46201C20">
      <w:pPr>
        <w:spacing w:line="440" w:lineRule="exact"/>
        <w:ind w:firstLine="566" w:firstLineChars="236"/>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被授权人（签字）：</w:t>
      </w:r>
    </w:p>
    <w:p w14:paraId="1455B222">
      <w:pPr>
        <w:spacing w:line="440" w:lineRule="exact"/>
        <w:ind w:firstLine="566" w:firstLineChars="236"/>
        <w:contextualSpacing/>
        <w:rPr>
          <w:rFonts w:hint="eastAsia" w:ascii="仿宋" w:hAnsi="仿宋" w:eastAsia="仿宋" w:cs="仿宋"/>
          <w:color w:val="auto"/>
          <w:sz w:val="32"/>
          <w:szCs w:val="32"/>
          <w:highlight w:val="none"/>
        </w:rPr>
      </w:pPr>
      <w:r>
        <w:rPr>
          <w:rFonts w:hint="eastAsia" w:ascii="仿宋" w:hAnsi="仿宋" w:eastAsia="仿宋" w:cs="仿宋"/>
          <w:color w:val="auto"/>
          <w:sz w:val="24"/>
          <w:highlight w:val="none"/>
        </w:rPr>
        <w:t>日期：    年   月   日</w:t>
      </w:r>
    </w:p>
    <w:p w14:paraId="501A1BF0">
      <w:pPr>
        <w:spacing w:line="440" w:lineRule="exact"/>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注：1. 法定代表人必须在授权委托书上亲笔签字或者盖章，委托代理人必须在授权委托书上亲笔签字，</w:t>
      </w:r>
      <w:r>
        <w:rPr>
          <w:rFonts w:hint="eastAsia" w:ascii="仿宋" w:hAnsi="仿宋" w:eastAsia="仿宋" w:cs="仿宋"/>
          <w:b/>
          <w:bCs/>
          <w:color w:val="auto"/>
          <w:sz w:val="24"/>
          <w:highlight w:val="none"/>
        </w:rPr>
        <w:t>否则按无效投标处理</w:t>
      </w:r>
      <w:r>
        <w:rPr>
          <w:rFonts w:hint="eastAsia" w:ascii="仿宋" w:hAnsi="仿宋" w:eastAsia="仿宋" w:cs="仿宋"/>
          <w:color w:val="auto"/>
          <w:sz w:val="24"/>
          <w:highlight w:val="none"/>
        </w:rPr>
        <w:t>；</w:t>
      </w:r>
    </w:p>
    <w:p w14:paraId="4BF1E5DA">
      <w:pPr>
        <w:spacing w:line="44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2.本授权委托书应由联合体牵头人的法定代表人按上述规定签字。</w:t>
      </w:r>
    </w:p>
    <w:p w14:paraId="369E6A1B">
      <w:pPr>
        <w:spacing w:line="440" w:lineRule="exact"/>
        <w:ind w:firstLine="480" w:firstLineChars="200"/>
        <w:contextualSpacing/>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3.法人、其他组织投标时“我方”是指“我单位”，自然人投标时“我方”是指“本人”。</w:t>
      </w:r>
    </w:p>
    <w:p w14:paraId="27968BA9">
      <w:pPr>
        <w:snapToGrid w:val="0"/>
        <w:spacing w:before="50" w:after="120" w:afterLines="50"/>
        <w:ind w:firstLine="480" w:firstLineChars="200"/>
        <w:jc w:val="left"/>
        <w:rPr>
          <w:rFonts w:hint="eastAsia" w:ascii="仿宋" w:hAnsi="仿宋" w:eastAsia="仿宋" w:cs="仿宋"/>
          <w:color w:val="auto"/>
          <w:sz w:val="24"/>
          <w:highlight w:val="none"/>
        </w:rPr>
        <w:sectPr>
          <w:footerReference r:id="rId8" w:type="first"/>
          <w:headerReference r:id="rId5" w:type="default"/>
          <w:footerReference r:id="rId6" w:type="default"/>
          <w:footerReference r:id="rId7" w:type="even"/>
          <w:pgSz w:w="11906" w:h="16838"/>
          <w:pgMar w:top="907" w:right="851" w:bottom="907" w:left="851" w:header="680" w:footer="567" w:gutter="0"/>
          <w:pgNumType w:fmt="numberInDash" w:start="0"/>
          <w:cols w:space="720" w:num="1"/>
          <w:titlePg/>
          <w:docGrid w:linePitch="312" w:charSpace="0"/>
        </w:sectPr>
      </w:pPr>
    </w:p>
    <w:p w14:paraId="6E6B409A">
      <w:pPr>
        <w:rPr>
          <w:rFonts w:hint="eastAsia" w:ascii="仿宋" w:hAnsi="仿宋" w:eastAsia="仿宋" w:cs="仿宋"/>
          <w:b/>
          <w:color w:val="auto"/>
          <w:sz w:val="24"/>
          <w:szCs w:val="20"/>
          <w:highlight w:val="none"/>
        </w:rPr>
      </w:pPr>
      <w:r>
        <w:rPr>
          <w:rFonts w:hint="eastAsia" w:ascii="仿宋" w:hAnsi="仿宋" w:eastAsia="仿宋" w:cs="仿宋"/>
          <w:b/>
          <w:color w:val="auto"/>
          <w:sz w:val="24"/>
          <w:highlight w:val="none"/>
        </w:rPr>
        <w:t>6.</w:t>
      </w:r>
      <w:r>
        <w:rPr>
          <w:rFonts w:hint="eastAsia" w:ascii="仿宋" w:hAnsi="仿宋" w:eastAsia="仿宋" w:cs="仿宋"/>
          <w:b/>
          <w:color w:val="auto"/>
          <w:sz w:val="24"/>
          <w:highlight w:val="none"/>
          <w:lang w:eastAsia="zh-CN"/>
        </w:rPr>
        <w:t>商务</w:t>
      </w:r>
      <w:r>
        <w:rPr>
          <w:rFonts w:hint="eastAsia" w:ascii="仿宋" w:hAnsi="仿宋" w:eastAsia="仿宋" w:cs="仿宋"/>
          <w:b/>
          <w:color w:val="auto"/>
          <w:sz w:val="24"/>
          <w:highlight w:val="none"/>
        </w:rPr>
        <w:t>响应表格式（注：按第二章“采购需求”内容填写）</w:t>
      </w:r>
    </w:p>
    <w:p w14:paraId="686B44C9">
      <w:pPr>
        <w:snapToGrid w:val="0"/>
        <w:spacing w:before="50"/>
        <w:jc w:val="center"/>
        <w:rPr>
          <w:rFonts w:hint="eastAsia" w:ascii="仿宋" w:hAnsi="仿宋" w:eastAsia="仿宋" w:cs="仿宋"/>
          <w:b/>
          <w:bCs/>
          <w:color w:val="auto"/>
          <w:sz w:val="32"/>
          <w:highlight w:val="none"/>
        </w:rPr>
      </w:pPr>
      <w:r>
        <w:rPr>
          <w:rFonts w:hint="eastAsia" w:ascii="仿宋" w:hAnsi="仿宋" w:eastAsia="仿宋" w:cs="仿宋"/>
          <w:b/>
          <w:color w:val="auto"/>
          <w:sz w:val="32"/>
          <w:szCs w:val="32"/>
          <w:highlight w:val="none"/>
          <w:lang w:val="en-US" w:eastAsia="zh-CN"/>
        </w:rPr>
        <w:t>商务</w:t>
      </w:r>
      <w:r>
        <w:rPr>
          <w:rFonts w:hint="eastAsia" w:ascii="仿宋" w:hAnsi="仿宋" w:eastAsia="仿宋" w:cs="仿宋"/>
          <w:b/>
          <w:color w:val="auto"/>
          <w:sz w:val="32"/>
          <w:szCs w:val="32"/>
          <w:highlight w:val="none"/>
          <w:lang w:eastAsia="zh-CN"/>
        </w:rPr>
        <w:t>响应表</w:t>
      </w:r>
      <w:r>
        <w:rPr>
          <w:rFonts w:hint="eastAsia" w:ascii="仿宋" w:hAnsi="仿宋" w:eastAsia="仿宋" w:cs="仿宋"/>
          <w:b/>
          <w:bCs/>
          <w:color w:val="auto"/>
          <w:sz w:val="32"/>
          <w:highlight w:val="none"/>
        </w:rPr>
        <w:t>（格式）</w:t>
      </w:r>
    </w:p>
    <w:tbl>
      <w:tblPr>
        <w:tblStyle w:val="52"/>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2"/>
        <w:gridCol w:w="3571"/>
        <w:gridCol w:w="1987"/>
        <w:gridCol w:w="2298"/>
      </w:tblGrid>
      <w:tr w14:paraId="68D68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02" w:type="dxa"/>
            <w:tcBorders>
              <w:top w:val="single" w:color="auto" w:sz="4" w:space="0"/>
              <w:left w:val="single" w:color="auto" w:sz="4" w:space="0"/>
              <w:bottom w:val="single" w:color="auto" w:sz="4" w:space="0"/>
              <w:right w:val="single" w:color="auto" w:sz="4" w:space="0"/>
            </w:tcBorders>
            <w:noWrap w:val="0"/>
            <w:vAlign w:val="top"/>
          </w:tcPr>
          <w:p w14:paraId="4A436E4A">
            <w:pPr>
              <w:snapToGrid w:val="0"/>
              <w:spacing w:before="120" w:beforeLines="50"/>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val="en-US" w:eastAsia="zh-CN"/>
              </w:rPr>
              <w:t>条款</w:t>
            </w:r>
          </w:p>
        </w:tc>
        <w:tc>
          <w:tcPr>
            <w:tcW w:w="3571" w:type="dxa"/>
            <w:tcBorders>
              <w:top w:val="single" w:color="auto" w:sz="4" w:space="0"/>
              <w:left w:val="single" w:color="auto" w:sz="4" w:space="0"/>
              <w:bottom w:val="single" w:color="auto" w:sz="4" w:space="0"/>
              <w:right w:val="single" w:color="auto" w:sz="4" w:space="0"/>
            </w:tcBorders>
            <w:noWrap w:val="0"/>
            <w:vAlign w:val="top"/>
          </w:tcPr>
          <w:p w14:paraId="5A79FF51">
            <w:pPr>
              <w:snapToGrid w:val="0"/>
              <w:spacing w:before="120" w:beforeLines="5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招标文件商务条款要求</w:t>
            </w:r>
          </w:p>
        </w:tc>
        <w:tc>
          <w:tcPr>
            <w:tcW w:w="1987" w:type="dxa"/>
            <w:tcBorders>
              <w:top w:val="single" w:color="auto" w:sz="4" w:space="0"/>
              <w:left w:val="single" w:color="auto" w:sz="4" w:space="0"/>
              <w:bottom w:val="single" w:color="auto" w:sz="4" w:space="0"/>
              <w:right w:val="single" w:color="auto" w:sz="4" w:space="0"/>
            </w:tcBorders>
            <w:noWrap w:val="0"/>
            <w:vAlign w:val="top"/>
          </w:tcPr>
          <w:p w14:paraId="589E75F6">
            <w:pPr>
              <w:snapToGrid w:val="0"/>
              <w:spacing w:before="120" w:beforeLines="5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投标人的承诺</w:t>
            </w:r>
          </w:p>
        </w:tc>
        <w:tc>
          <w:tcPr>
            <w:tcW w:w="2298" w:type="dxa"/>
            <w:tcBorders>
              <w:top w:val="single" w:color="auto" w:sz="4" w:space="0"/>
              <w:left w:val="single" w:color="auto" w:sz="4" w:space="0"/>
              <w:bottom w:val="single" w:color="auto" w:sz="4" w:space="0"/>
              <w:right w:val="single" w:color="auto" w:sz="4" w:space="0"/>
            </w:tcBorders>
            <w:noWrap w:val="0"/>
            <w:vAlign w:val="top"/>
          </w:tcPr>
          <w:p w14:paraId="083658A9">
            <w:pPr>
              <w:snapToGrid w:val="0"/>
              <w:spacing w:before="120" w:beforeLines="5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偏离说明</w:t>
            </w:r>
          </w:p>
        </w:tc>
      </w:tr>
      <w:tr w14:paraId="62EDF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902" w:type="dxa"/>
            <w:tcBorders>
              <w:top w:val="single" w:color="auto" w:sz="4" w:space="0"/>
              <w:left w:val="single" w:color="auto" w:sz="4" w:space="0"/>
              <w:bottom w:val="single" w:color="auto" w:sz="4" w:space="0"/>
              <w:right w:val="single" w:color="auto" w:sz="4" w:space="0"/>
            </w:tcBorders>
            <w:noWrap w:val="0"/>
            <w:vAlign w:val="center"/>
          </w:tcPr>
          <w:p w14:paraId="1CABA1FD">
            <w:pPr>
              <w:jc w:val="center"/>
              <w:rPr>
                <w:rFonts w:hint="eastAsia" w:ascii="仿宋" w:hAnsi="仿宋" w:eastAsia="仿宋" w:cs="仿宋"/>
                <w:color w:val="auto"/>
                <w:sz w:val="24"/>
                <w:szCs w:val="24"/>
                <w:highlight w:val="none"/>
              </w:rPr>
            </w:pPr>
          </w:p>
        </w:tc>
        <w:tc>
          <w:tcPr>
            <w:tcW w:w="3571" w:type="dxa"/>
            <w:tcBorders>
              <w:top w:val="single" w:color="auto" w:sz="4" w:space="0"/>
              <w:left w:val="single" w:color="auto" w:sz="4" w:space="0"/>
              <w:bottom w:val="single" w:color="auto" w:sz="4" w:space="0"/>
              <w:right w:val="single" w:color="auto" w:sz="4" w:space="0"/>
            </w:tcBorders>
            <w:noWrap w:val="0"/>
            <w:vAlign w:val="top"/>
          </w:tcPr>
          <w:p w14:paraId="18DCCFC1">
            <w:pPr>
              <w:snapToGrid w:val="0"/>
              <w:spacing w:before="120" w:beforeLines="50"/>
              <w:jc w:val="center"/>
              <w:rPr>
                <w:rFonts w:hint="eastAsia" w:ascii="仿宋" w:hAnsi="仿宋" w:eastAsia="仿宋" w:cs="仿宋"/>
                <w:color w:val="auto"/>
                <w:sz w:val="24"/>
                <w:szCs w:val="24"/>
                <w:highlight w:val="none"/>
              </w:rPr>
            </w:pPr>
          </w:p>
        </w:tc>
        <w:tc>
          <w:tcPr>
            <w:tcW w:w="1987" w:type="dxa"/>
            <w:tcBorders>
              <w:top w:val="single" w:color="auto" w:sz="4" w:space="0"/>
              <w:left w:val="single" w:color="auto" w:sz="4" w:space="0"/>
              <w:bottom w:val="single" w:color="auto" w:sz="4" w:space="0"/>
              <w:right w:val="single" w:color="auto" w:sz="4" w:space="0"/>
            </w:tcBorders>
            <w:noWrap w:val="0"/>
            <w:vAlign w:val="top"/>
          </w:tcPr>
          <w:p w14:paraId="01C77E34">
            <w:pPr>
              <w:snapToGrid w:val="0"/>
              <w:spacing w:before="120" w:beforeLines="50"/>
              <w:jc w:val="center"/>
              <w:rPr>
                <w:rFonts w:hint="eastAsia" w:ascii="仿宋" w:hAnsi="仿宋" w:eastAsia="仿宋" w:cs="仿宋"/>
                <w:color w:val="auto"/>
                <w:sz w:val="24"/>
                <w:szCs w:val="24"/>
                <w:highlight w:val="none"/>
              </w:rPr>
            </w:pPr>
          </w:p>
        </w:tc>
        <w:tc>
          <w:tcPr>
            <w:tcW w:w="2298" w:type="dxa"/>
            <w:tcBorders>
              <w:top w:val="single" w:color="auto" w:sz="4" w:space="0"/>
              <w:left w:val="single" w:color="auto" w:sz="4" w:space="0"/>
              <w:bottom w:val="single" w:color="auto" w:sz="4" w:space="0"/>
              <w:right w:val="single" w:color="auto" w:sz="4" w:space="0"/>
            </w:tcBorders>
            <w:noWrap w:val="0"/>
            <w:vAlign w:val="top"/>
          </w:tcPr>
          <w:p w14:paraId="5BE661CC">
            <w:pPr>
              <w:snapToGrid w:val="0"/>
              <w:spacing w:before="120" w:beforeLines="50"/>
              <w:jc w:val="center"/>
              <w:rPr>
                <w:rFonts w:hint="eastAsia" w:ascii="仿宋" w:hAnsi="仿宋" w:eastAsia="仿宋" w:cs="仿宋"/>
                <w:color w:val="auto"/>
                <w:sz w:val="24"/>
                <w:szCs w:val="24"/>
                <w:highlight w:val="none"/>
              </w:rPr>
            </w:pPr>
          </w:p>
        </w:tc>
      </w:tr>
      <w:tr w14:paraId="4569F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1902" w:type="dxa"/>
            <w:tcBorders>
              <w:top w:val="single" w:color="auto" w:sz="4" w:space="0"/>
              <w:left w:val="single" w:color="auto" w:sz="4" w:space="0"/>
              <w:bottom w:val="single" w:color="auto" w:sz="4" w:space="0"/>
              <w:right w:val="single" w:color="auto" w:sz="4" w:space="0"/>
            </w:tcBorders>
            <w:noWrap w:val="0"/>
            <w:vAlign w:val="center"/>
          </w:tcPr>
          <w:p w14:paraId="41B833E8">
            <w:pPr>
              <w:jc w:val="center"/>
              <w:rPr>
                <w:rFonts w:hint="eastAsia" w:ascii="仿宋" w:hAnsi="仿宋" w:eastAsia="仿宋" w:cs="仿宋"/>
                <w:color w:val="auto"/>
                <w:sz w:val="24"/>
                <w:szCs w:val="24"/>
                <w:highlight w:val="none"/>
              </w:rPr>
            </w:pPr>
          </w:p>
        </w:tc>
        <w:tc>
          <w:tcPr>
            <w:tcW w:w="3571" w:type="dxa"/>
            <w:tcBorders>
              <w:top w:val="single" w:color="auto" w:sz="4" w:space="0"/>
              <w:left w:val="single" w:color="auto" w:sz="4" w:space="0"/>
              <w:bottom w:val="single" w:color="auto" w:sz="4" w:space="0"/>
              <w:right w:val="single" w:color="auto" w:sz="4" w:space="0"/>
            </w:tcBorders>
            <w:noWrap w:val="0"/>
            <w:vAlign w:val="top"/>
          </w:tcPr>
          <w:p w14:paraId="51F3B16E">
            <w:pPr>
              <w:snapToGrid w:val="0"/>
              <w:spacing w:before="120" w:beforeLines="50"/>
              <w:rPr>
                <w:rFonts w:hint="eastAsia" w:ascii="仿宋" w:hAnsi="仿宋" w:eastAsia="仿宋" w:cs="仿宋"/>
                <w:color w:val="auto"/>
                <w:sz w:val="24"/>
                <w:szCs w:val="24"/>
                <w:highlight w:val="none"/>
                <w:u w:val="single"/>
              </w:rPr>
            </w:pPr>
          </w:p>
        </w:tc>
        <w:tc>
          <w:tcPr>
            <w:tcW w:w="1987" w:type="dxa"/>
            <w:tcBorders>
              <w:top w:val="single" w:color="auto" w:sz="4" w:space="0"/>
              <w:left w:val="single" w:color="auto" w:sz="4" w:space="0"/>
              <w:bottom w:val="single" w:color="auto" w:sz="4" w:space="0"/>
              <w:right w:val="single" w:color="auto" w:sz="4" w:space="0"/>
            </w:tcBorders>
            <w:noWrap w:val="0"/>
            <w:vAlign w:val="top"/>
          </w:tcPr>
          <w:p w14:paraId="5D1305F3">
            <w:pPr>
              <w:snapToGrid w:val="0"/>
              <w:spacing w:before="120" w:beforeLines="50"/>
              <w:ind w:left="43"/>
              <w:jc w:val="center"/>
              <w:rPr>
                <w:rFonts w:hint="eastAsia" w:ascii="仿宋" w:hAnsi="仿宋" w:eastAsia="仿宋" w:cs="仿宋"/>
                <w:color w:val="auto"/>
                <w:sz w:val="24"/>
                <w:szCs w:val="24"/>
                <w:highlight w:val="none"/>
              </w:rPr>
            </w:pPr>
          </w:p>
        </w:tc>
        <w:tc>
          <w:tcPr>
            <w:tcW w:w="2298" w:type="dxa"/>
            <w:tcBorders>
              <w:top w:val="single" w:color="auto" w:sz="4" w:space="0"/>
              <w:left w:val="single" w:color="auto" w:sz="4" w:space="0"/>
              <w:bottom w:val="single" w:color="auto" w:sz="4" w:space="0"/>
              <w:right w:val="single" w:color="auto" w:sz="4" w:space="0"/>
            </w:tcBorders>
            <w:noWrap w:val="0"/>
            <w:vAlign w:val="top"/>
          </w:tcPr>
          <w:p w14:paraId="0C864437">
            <w:pPr>
              <w:snapToGrid w:val="0"/>
              <w:spacing w:before="120" w:beforeLines="50"/>
              <w:ind w:left="43"/>
              <w:jc w:val="center"/>
              <w:rPr>
                <w:rFonts w:hint="eastAsia" w:ascii="仿宋" w:hAnsi="仿宋" w:eastAsia="仿宋" w:cs="仿宋"/>
                <w:color w:val="auto"/>
                <w:sz w:val="24"/>
                <w:szCs w:val="24"/>
                <w:highlight w:val="none"/>
              </w:rPr>
            </w:pPr>
          </w:p>
        </w:tc>
      </w:tr>
      <w:tr w14:paraId="79D3E1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902" w:type="dxa"/>
            <w:tcBorders>
              <w:top w:val="single" w:color="auto" w:sz="4" w:space="0"/>
              <w:left w:val="single" w:color="auto" w:sz="4" w:space="0"/>
              <w:bottom w:val="single" w:color="auto" w:sz="4" w:space="0"/>
              <w:right w:val="single" w:color="auto" w:sz="4" w:space="0"/>
            </w:tcBorders>
            <w:noWrap w:val="0"/>
            <w:vAlign w:val="center"/>
          </w:tcPr>
          <w:p w14:paraId="628D6344">
            <w:pPr>
              <w:jc w:val="center"/>
              <w:rPr>
                <w:rFonts w:hint="eastAsia" w:ascii="仿宋" w:hAnsi="仿宋" w:eastAsia="仿宋" w:cs="仿宋"/>
                <w:color w:val="auto"/>
                <w:sz w:val="24"/>
                <w:szCs w:val="24"/>
                <w:highlight w:val="none"/>
              </w:rPr>
            </w:pPr>
          </w:p>
        </w:tc>
        <w:tc>
          <w:tcPr>
            <w:tcW w:w="3571" w:type="dxa"/>
            <w:tcBorders>
              <w:top w:val="single" w:color="auto" w:sz="4" w:space="0"/>
              <w:left w:val="single" w:color="auto" w:sz="4" w:space="0"/>
              <w:bottom w:val="single" w:color="auto" w:sz="4" w:space="0"/>
              <w:right w:val="single" w:color="auto" w:sz="4" w:space="0"/>
            </w:tcBorders>
            <w:noWrap w:val="0"/>
            <w:vAlign w:val="top"/>
          </w:tcPr>
          <w:p w14:paraId="674CF656">
            <w:pPr>
              <w:snapToGrid w:val="0"/>
              <w:spacing w:before="120" w:beforeLines="50"/>
              <w:rPr>
                <w:rFonts w:hint="eastAsia" w:ascii="仿宋" w:hAnsi="仿宋" w:eastAsia="仿宋" w:cs="仿宋"/>
                <w:color w:val="auto"/>
                <w:sz w:val="24"/>
                <w:szCs w:val="24"/>
                <w:highlight w:val="none"/>
              </w:rPr>
            </w:pPr>
          </w:p>
        </w:tc>
        <w:tc>
          <w:tcPr>
            <w:tcW w:w="1987" w:type="dxa"/>
            <w:tcBorders>
              <w:top w:val="single" w:color="auto" w:sz="4" w:space="0"/>
              <w:left w:val="single" w:color="auto" w:sz="4" w:space="0"/>
              <w:bottom w:val="single" w:color="auto" w:sz="4" w:space="0"/>
              <w:right w:val="single" w:color="auto" w:sz="4" w:space="0"/>
            </w:tcBorders>
            <w:noWrap w:val="0"/>
            <w:vAlign w:val="top"/>
          </w:tcPr>
          <w:p w14:paraId="3B502E6D">
            <w:pPr>
              <w:snapToGrid w:val="0"/>
              <w:spacing w:before="120" w:beforeLines="50"/>
              <w:jc w:val="center"/>
              <w:rPr>
                <w:rFonts w:hint="eastAsia" w:ascii="仿宋" w:hAnsi="仿宋" w:eastAsia="仿宋" w:cs="仿宋"/>
                <w:color w:val="auto"/>
                <w:sz w:val="24"/>
                <w:szCs w:val="24"/>
                <w:highlight w:val="none"/>
              </w:rPr>
            </w:pPr>
          </w:p>
        </w:tc>
        <w:tc>
          <w:tcPr>
            <w:tcW w:w="2298" w:type="dxa"/>
            <w:tcBorders>
              <w:top w:val="single" w:color="auto" w:sz="4" w:space="0"/>
              <w:left w:val="single" w:color="auto" w:sz="4" w:space="0"/>
              <w:bottom w:val="single" w:color="auto" w:sz="4" w:space="0"/>
              <w:right w:val="single" w:color="auto" w:sz="4" w:space="0"/>
            </w:tcBorders>
            <w:noWrap w:val="0"/>
            <w:vAlign w:val="top"/>
          </w:tcPr>
          <w:p w14:paraId="2DACD205">
            <w:pPr>
              <w:snapToGrid w:val="0"/>
              <w:spacing w:before="120" w:beforeLines="50"/>
              <w:jc w:val="center"/>
              <w:rPr>
                <w:rFonts w:hint="eastAsia" w:ascii="仿宋" w:hAnsi="仿宋" w:eastAsia="仿宋" w:cs="仿宋"/>
                <w:color w:val="auto"/>
                <w:sz w:val="24"/>
                <w:szCs w:val="24"/>
                <w:highlight w:val="none"/>
              </w:rPr>
            </w:pPr>
          </w:p>
        </w:tc>
      </w:tr>
      <w:tr w14:paraId="20B07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1902" w:type="dxa"/>
            <w:tcBorders>
              <w:top w:val="single" w:color="auto" w:sz="4" w:space="0"/>
              <w:left w:val="single" w:color="auto" w:sz="4" w:space="0"/>
              <w:bottom w:val="single" w:color="auto" w:sz="4" w:space="0"/>
              <w:right w:val="single" w:color="auto" w:sz="4" w:space="0"/>
            </w:tcBorders>
            <w:noWrap w:val="0"/>
            <w:vAlign w:val="top"/>
          </w:tcPr>
          <w:p w14:paraId="6D263D40">
            <w:pPr>
              <w:snapToGrid w:val="0"/>
              <w:spacing w:before="120" w:beforeLines="5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3571" w:type="dxa"/>
            <w:tcBorders>
              <w:top w:val="single" w:color="auto" w:sz="4" w:space="0"/>
              <w:left w:val="single" w:color="auto" w:sz="4" w:space="0"/>
              <w:bottom w:val="single" w:color="auto" w:sz="4" w:space="0"/>
              <w:right w:val="single" w:color="auto" w:sz="4" w:space="0"/>
            </w:tcBorders>
            <w:noWrap w:val="0"/>
            <w:vAlign w:val="top"/>
          </w:tcPr>
          <w:p w14:paraId="6C31A37A">
            <w:pPr>
              <w:snapToGrid w:val="0"/>
              <w:spacing w:before="120" w:beforeLines="50"/>
              <w:jc w:val="center"/>
              <w:rPr>
                <w:rFonts w:hint="eastAsia" w:ascii="仿宋" w:hAnsi="仿宋" w:eastAsia="仿宋" w:cs="仿宋"/>
                <w:color w:val="auto"/>
                <w:sz w:val="24"/>
                <w:szCs w:val="24"/>
                <w:highlight w:val="none"/>
              </w:rPr>
            </w:pPr>
          </w:p>
        </w:tc>
        <w:tc>
          <w:tcPr>
            <w:tcW w:w="1987" w:type="dxa"/>
            <w:tcBorders>
              <w:top w:val="single" w:color="auto" w:sz="4" w:space="0"/>
              <w:left w:val="single" w:color="auto" w:sz="4" w:space="0"/>
              <w:bottom w:val="single" w:color="auto" w:sz="4" w:space="0"/>
              <w:right w:val="single" w:color="auto" w:sz="4" w:space="0"/>
            </w:tcBorders>
            <w:noWrap w:val="0"/>
            <w:vAlign w:val="top"/>
          </w:tcPr>
          <w:p w14:paraId="2DF8A769">
            <w:pPr>
              <w:snapToGrid w:val="0"/>
              <w:spacing w:before="120" w:beforeLines="50"/>
              <w:jc w:val="center"/>
              <w:rPr>
                <w:rFonts w:hint="eastAsia" w:ascii="仿宋" w:hAnsi="仿宋" w:eastAsia="仿宋" w:cs="仿宋"/>
                <w:color w:val="auto"/>
                <w:sz w:val="24"/>
                <w:szCs w:val="24"/>
                <w:highlight w:val="none"/>
              </w:rPr>
            </w:pPr>
          </w:p>
        </w:tc>
        <w:tc>
          <w:tcPr>
            <w:tcW w:w="2298" w:type="dxa"/>
            <w:tcBorders>
              <w:top w:val="single" w:color="auto" w:sz="4" w:space="0"/>
              <w:left w:val="single" w:color="auto" w:sz="4" w:space="0"/>
              <w:bottom w:val="single" w:color="auto" w:sz="4" w:space="0"/>
              <w:right w:val="single" w:color="auto" w:sz="4" w:space="0"/>
            </w:tcBorders>
            <w:noWrap w:val="0"/>
            <w:vAlign w:val="top"/>
          </w:tcPr>
          <w:p w14:paraId="5E866271">
            <w:pPr>
              <w:snapToGrid w:val="0"/>
              <w:spacing w:before="120" w:beforeLines="50"/>
              <w:jc w:val="center"/>
              <w:rPr>
                <w:rFonts w:hint="eastAsia" w:ascii="仿宋" w:hAnsi="仿宋" w:eastAsia="仿宋" w:cs="仿宋"/>
                <w:color w:val="auto"/>
                <w:sz w:val="24"/>
                <w:szCs w:val="24"/>
                <w:highlight w:val="none"/>
              </w:rPr>
            </w:pPr>
          </w:p>
        </w:tc>
      </w:tr>
    </w:tbl>
    <w:p w14:paraId="5731CD6F">
      <w:pPr>
        <w:pStyle w:val="19"/>
        <w:spacing w:beforeLines="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6AB0D6CF">
      <w:pPr>
        <w:pStyle w:val="20"/>
        <w:spacing w:beforeLines="0" w:line="360" w:lineRule="auto"/>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说明：应对照招标文件“第二章 采购需求”中的商务条款逐条实质性响应，并作出偏离说明。</w:t>
      </w:r>
    </w:p>
    <w:p w14:paraId="2BA18415">
      <w:pPr>
        <w:pStyle w:val="19"/>
        <w:spacing w:beforeLines="0" w:line="360" w:lineRule="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2.投标人应根据自身的承诺，对照招标文件要求在“偏离说明”中注明“</w:t>
      </w:r>
      <w:r>
        <w:rPr>
          <w:rFonts w:hint="eastAsia" w:ascii="仿宋" w:hAnsi="仿宋" w:eastAsia="仿宋" w:cs="仿宋"/>
          <w:color w:val="auto"/>
          <w:sz w:val="24"/>
          <w:szCs w:val="24"/>
          <w:highlight w:val="none"/>
        </w:rPr>
        <w:t>正偏离</w:t>
      </w:r>
      <w:r>
        <w:rPr>
          <w:rFonts w:hint="eastAsia" w:ascii="仿宋" w:hAnsi="仿宋" w:eastAsia="仿宋" w:cs="仿宋"/>
          <w:b w:val="0"/>
          <w:bCs w:val="0"/>
          <w:color w:val="auto"/>
          <w:sz w:val="24"/>
          <w:szCs w:val="24"/>
          <w:highlight w:val="none"/>
        </w:rPr>
        <w:t>”、“</w:t>
      </w:r>
      <w:r>
        <w:rPr>
          <w:rFonts w:hint="eastAsia" w:ascii="仿宋" w:hAnsi="仿宋" w:eastAsia="仿宋" w:cs="仿宋"/>
          <w:color w:val="auto"/>
          <w:sz w:val="24"/>
          <w:szCs w:val="24"/>
          <w:highlight w:val="none"/>
        </w:rPr>
        <w:t>负偏离</w:t>
      </w:r>
      <w:r>
        <w:rPr>
          <w:rFonts w:hint="eastAsia" w:ascii="仿宋" w:hAnsi="仿宋" w:eastAsia="仿宋" w:cs="仿宋"/>
          <w:b w:val="0"/>
          <w:bCs w:val="0"/>
          <w:color w:val="auto"/>
          <w:sz w:val="24"/>
          <w:szCs w:val="24"/>
          <w:highlight w:val="none"/>
        </w:rPr>
        <w:t>”或者“</w:t>
      </w:r>
      <w:r>
        <w:rPr>
          <w:rFonts w:hint="eastAsia" w:ascii="仿宋" w:hAnsi="仿宋" w:eastAsia="仿宋" w:cs="仿宋"/>
          <w:color w:val="auto"/>
          <w:sz w:val="24"/>
          <w:szCs w:val="24"/>
          <w:highlight w:val="none"/>
        </w:rPr>
        <w:t>无偏离</w:t>
      </w:r>
      <w:r>
        <w:rPr>
          <w:rFonts w:hint="eastAsia" w:ascii="仿宋" w:hAnsi="仿宋" w:eastAsia="仿宋" w:cs="仿宋"/>
          <w:b w:val="0"/>
          <w:bCs w:val="0"/>
          <w:color w:val="auto"/>
          <w:sz w:val="24"/>
          <w:szCs w:val="24"/>
          <w:highlight w:val="none"/>
        </w:rPr>
        <w:t>”。既不属于“</w:t>
      </w:r>
      <w:r>
        <w:rPr>
          <w:rFonts w:hint="eastAsia" w:ascii="仿宋" w:hAnsi="仿宋" w:eastAsia="仿宋" w:cs="仿宋"/>
          <w:color w:val="auto"/>
          <w:sz w:val="24"/>
          <w:szCs w:val="24"/>
          <w:highlight w:val="none"/>
        </w:rPr>
        <w:t>正偏离</w:t>
      </w:r>
      <w:r>
        <w:rPr>
          <w:rFonts w:hint="eastAsia" w:ascii="仿宋" w:hAnsi="仿宋" w:eastAsia="仿宋" w:cs="仿宋"/>
          <w:b w:val="0"/>
          <w:bCs w:val="0"/>
          <w:color w:val="auto"/>
          <w:sz w:val="24"/>
          <w:szCs w:val="24"/>
          <w:highlight w:val="none"/>
        </w:rPr>
        <w:t>”也不属于“</w:t>
      </w:r>
      <w:r>
        <w:rPr>
          <w:rFonts w:hint="eastAsia" w:ascii="仿宋" w:hAnsi="仿宋" w:eastAsia="仿宋" w:cs="仿宋"/>
          <w:color w:val="auto"/>
          <w:sz w:val="24"/>
          <w:szCs w:val="24"/>
          <w:highlight w:val="none"/>
        </w:rPr>
        <w:t>负偏离</w:t>
      </w:r>
      <w:r>
        <w:rPr>
          <w:rFonts w:hint="eastAsia" w:ascii="仿宋" w:hAnsi="仿宋" w:eastAsia="仿宋" w:cs="仿宋"/>
          <w:b w:val="0"/>
          <w:bCs w:val="0"/>
          <w:color w:val="auto"/>
          <w:sz w:val="24"/>
          <w:szCs w:val="24"/>
          <w:highlight w:val="none"/>
        </w:rPr>
        <w:t>”即为“</w:t>
      </w:r>
      <w:r>
        <w:rPr>
          <w:rFonts w:hint="eastAsia" w:ascii="仿宋" w:hAnsi="仿宋" w:eastAsia="仿宋" w:cs="仿宋"/>
          <w:color w:val="auto"/>
          <w:sz w:val="24"/>
          <w:szCs w:val="24"/>
          <w:highlight w:val="none"/>
        </w:rPr>
        <w:t>无偏离</w:t>
      </w:r>
      <w:r>
        <w:rPr>
          <w:rFonts w:hint="eastAsia" w:ascii="仿宋" w:hAnsi="仿宋" w:eastAsia="仿宋" w:cs="仿宋"/>
          <w:b w:val="0"/>
          <w:bCs w:val="0"/>
          <w:color w:val="auto"/>
          <w:sz w:val="24"/>
          <w:szCs w:val="24"/>
          <w:highlight w:val="none"/>
        </w:rPr>
        <w:t>”。</w:t>
      </w:r>
    </w:p>
    <w:p w14:paraId="5F862015">
      <w:pPr>
        <w:pStyle w:val="28"/>
        <w:spacing w:line="400" w:lineRule="exact"/>
        <w:rPr>
          <w:rFonts w:hint="eastAsia" w:ascii="仿宋" w:hAnsi="仿宋" w:eastAsia="仿宋" w:cs="仿宋"/>
          <w:b/>
          <w:color w:val="auto"/>
          <w:sz w:val="24"/>
          <w:szCs w:val="24"/>
          <w:highlight w:val="none"/>
        </w:rPr>
      </w:pPr>
    </w:p>
    <w:p w14:paraId="5DAC78FF">
      <w:pPr>
        <w:pStyle w:val="19"/>
        <w:rPr>
          <w:rFonts w:hint="eastAsia" w:ascii="仿宋" w:hAnsi="仿宋" w:eastAsia="仿宋" w:cs="仿宋"/>
          <w:b w:val="0"/>
          <w:bCs w:val="0"/>
          <w:color w:val="auto"/>
          <w:sz w:val="24"/>
          <w:szCs w:val="24"/>
          <w:highlight w:val="none"/>
        </w:rPr>
      </w:pPr>
    </w:p>
    <w:p w14:paraId="503479EA">
      <w:pPr>
        <w:pStyle w:val="28"/>
        <w:spacing w:beforeLines="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z w:val="24"/>
          <w:szCs w:val="24"/>
          <w:highlight w:val="none"/>
        </w:rPr>
        <w:t>法定代表人或者委托代理人</w:t>
      </w:r>
      <w:r>
        <w:rPr>
          <w:rFonts w:hint="eastAsia" w:ascii="仿宋" w:hAnsi="仿宋" w:eastAsia="仿宋" w:cs="仿宋"/>
          <w:color w:val="auto"/>
          <w:spacing w:val="20"/>
          <w:sz w:val="24"/>
          <w:szCs w:val="24"/>
          <w:highlight w:val="none"/>
        </w:rPr>
        <w:t>签字</w:t>
      </w:r>
      <w:r>
        <w:rPr>
          <w:rFonts w:hint="eastAsia" w:ascii="仿宋" w:hAnsi="仿宋" w:eastAsia="仿宋" w:cs="仿宋"/>
          <w:color w:val="auto"/>
          <w:sz w:val="24"/>
          <w:szCs w:val="24"/>
          <w:highlight w:val="none"/>
        </w:rPr>
        <w:t>[或盖章(CA签章)]（属自然人的应在签名处加盖大拇指指印或个人CA签章）</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20"/>
          <w:sz w:val="24"/>
          <w:szCs w:val="24"/>
          <w:highlight w:val="none"/>
          <w:u w:val="single"/>
        </w:rPr>
        <w:t xml:space="preserve">        </w:t>
      </w:r>
    </w:p>
    <w:p w14:paraId="679D06E6">
      <w:pPr>
        <w:snapToGrid w:val="0"/>
        <w:spacing w:before="0" w:beforeLines="0" w:line="360" w:lineRule="auto"/>
        <w:rPr>
          <w:rFonts w:hint="eastAsia"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投标人</w:t>
      </w:r>
      <w:r>
        <w:rPr>
          <w:rFonts w:hint="eastAsia" w:ascii="仿宋" w:hAnsi="仿宋" w:eastAsia="仿宋" w:cs="仿宋"/>
          <w:bCs/>
          <w:color w:val="auto"/>
          <w:sz w:val="24"/>
          <w:szCs w:val="24"/>
          <w:highlight w:val="none"/>
        </w:rPr>
        <w:t>[公章</w:t>
      </w:r>
      <w:r>
        <w:rPr>
          <w:rFonts w:hint="eastAsia" w:ascii="仿宋" w:hAnsi="仿宋" w:eastAsia="仿宋" w:cs="仿宋"/>
          <w:bCs/>
          <w:color w:val="auto"/>
          <w:sz w:val="24"/>
          <w:szCs w:val="24"/>
          <w:highlight w:val="none"/>
          <w:lang w:val="en-US" w:eastAsia="zh-CN"/>
        </w:rPr>
        <w:t>或</w:t>
      </w:r>
      <w:r>
        <w:rPr>
          <w:rFonts w:hint="eastAsia" w:ascii="仿宋" w:hAnsi="仿宋" w:eastAsia="仿宋" w:cs="仿宋"/>
          <w:bCs/>
          <w:color w:val="auto"/>
          <w:sz w:val="24"/>
          <w:szCs w:val="24"/>
          <w:highlight w:val="none"/>
        </w:rPr>
        <w:t>(CA签章)、自然人除外]</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 xml:space="preserve">   </w:t>
      </w:r>
    </w:p>
    <w:p w14:paraId="2669F2AF">
      <w:pPr>
        <w:snapToGrid w:val="0"/>
        <w:spacing w:before="0" w:beforeLines="0" w:line="360" w:lineRule="auto"/>
        <w:rPr>
          <w:rFonts w:hint="eastAsia" w:ascii="仿宋" w:hAnsi="仿宋" w:eastAsia="仿宋" w:cs="仿宋"/>
          <w:color w:val="auto"/>
          <w:sz w:val="24"/>
          <w:szCs w:val="24"/>
          <w:highlight w:val="none"/>
        </w:rPr>
      </w:pPr>
      <w:r>
        <w:rPr>
          <w:rFonts w:hint="eastAsia" w:ascii="仿宋" w:hAnsi="仿宋" w:eastAsia="仿宋" w:cs="仿宋"/>
          <w:color w:val="auto"/>
          <w:spacing w:val="20"/>
          <w:sz w:val="24"/>
          <w:szCs w:val="24"/>
          <w:highlight w:val="none"/>
        </w:rPr>
        <w:t>日  期：</w:t>
      </w:r>
      <w:r>
        <w:rPr>
          <w:rFonts w:hint="eastAsia" w:ascii="仿宋" w:hAnsi="仿宋" w:eastAsia="仿宋" w:cs="仿宋"/>
          <w:color w:val="auto"/>
          <w:spacing w:val="20"/>
          <w:sz w:val="24"/>
          <w:szCs w:val="24"/>
          <w:highlight w:val="none"/>
          <w:u w:val="single"/>
        </w:rPr>
        <w:t xml:space="preserve">         </w:t>
      </w:r>
    </w:p>
    <w:p w14:paraId="3D35DB1F">
      <w:pPr>
        <w:snapToGrid w:val="0"/>
        <w:spacing w:before="120" w:beforeLines="50"/>
        <w:rPr>
          <w:rFonts w:hint="eastAsia" w:ascii="仿宋" w:hAnsi="仿宋" w:eastAsia="仿宋" w:cs="仿宋"/>
          <w:color w:val="auto"/>
          <w:sz w:val="24"/>
          <w:szCs w:val="20"/>
          <w:highlight w:val="none"/>
        </w:rPr>
      </w:pPr>
    </w:p>
    <w:p w14:paraId="0C0A9DD0">
      <w:pPr>
        <w:pStyle w:val="28"/>
        <w:jc w:val="center"/>
        <w:rPr>
          <w:rFonts w:hint="eastAsia" w:ascii="仿宋" w:hAnsi="仿宋" w:eastAsia="仿宋" w:cs="仿宋"/>
          <w:b/>
          <w:bCs/>
          <w:color w:val="auto"/>
          <w:sz w:val="32"/>
          <w:highlight w:val="none"/>
        </w:rPr>
      </w:pPr>
    </w:p>
    <w:p w14:paraId="7CD3ADF8">
      <w:pPr>
        <w:pStyle w:val="28"/>
        <w:jc w:val="center"/>
        <w:rPr>
          <w:rFonts w:hint="eastAsia" w:ascii="仿宋" w:hAnsi="仿宋" w:eastAsia="仿宋" w:cs="仿宋"/>
          <w:b/>
          <w:bCs/>
          <w:color w:val="auto"/>
          <w:sz w:val="32"/>
          <w:highlight w:val="none"/>
        </w:rPr>
      </w:pPr>
    </w:p>
    <w:p w14:paraId="41B427E5">
      <w:pPr>
        <w:pStyle w:val="28"/>
        <w:jc w:val="center"/>
        <w:rPr>
          <w:rFonts w:hint="eastAsia" w:ascii="仿宋" w:hAnsi="仿宋" w:eastAsia="仿宋" w:cs="仿宋"/>
          <w:b/>
          <w:bCs/>
          <w:color w:val="auto"/>
          <w:sz w:val="32"/>
          <w:highlight w:val="none"/>
        </w:rPr>
      </w:pPr>
    </w:p>
    <w:p w14:paraId="419E96AC">
      <w:pPr>
        <w:pStyle w:val="28"/>
        <w:jc w:val="center"/>
        <w:rPr>
          <w:rFonts w:hint="eastAsia" w:ascii="仿宋" w:hAnsi="仿宋" w:eastAsia="仿宋" w:cs="仿宋"/>
          <w:b/>
          <w:bCs/>
          <w:color w:val="auto"/>
          <w:sz w:val="32"/>
          <w:highlight w:val="none"/>
        </w:rPr>
      </w:pPr>
    </w:p>
    <w:p w14:paraId="22B42536">
      <w:pPr>
        <w:pStyle w:val="28"/>
        <w:jc w:val="center"/>
        <w:rPr>
          <w:rFonts w:hint="eastAsia" w:ascii="仿宋" w:hAnsi="仿宋" w:eastAsia="仿宋" w:cs="仿宋"/>
          <w:b/>
          <w:bCs/>
          <w:color w:val="auto"/>
          <w:sz w:val="32"/>
          <w:highlight w:val="none"/>
        </w:rPr>
      </w:pPr>
    </w:p>
    <w:p w14:paraId="0947C070">
      <w:pPr>
        <w:snapToGrid w:val="0"/>
        <w:spacing w:before="120" w:beforeLines="50" w:after="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7.投标人业绩证明材料</w:t>
      </w:r>
    </w:p>
    <w:p w14:paraId="0694BE0C">
      <w:pPr>
        <w:pStyle w:val="38"/>
        <w:snapToGrid w:val="0"/>
        <w:ind w:left="480" w:hanging="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投标人业绩情况一览表格式： </w:t>
      </w:r>
    </w:p>
    <w:p w14:paraId="762827ED">
      <w:pPr>
        <w:snapToGrid w:val="0"/>
        <w:spacing w:before="50"/>
        <w:ind w:right="240"/>
        <w:jc w:val="center"/>
        <w:rPr>
          <w:rFonts w:hint="eastAsia" w:ascii="仿宋" w:hAnsi="仿宋" w:eastAsia="仿宋" w:cs="仿宋"/>
          <w:color w:val="auto"/>
          <w:sz w:val="24"/>
          <w:highlight w:val="none"/>
        </w:rPr>
      </w:pPr>
      <w:r>
        <w:rPr>
          <w:rFonts w:hint="eastAsia" w:ascii="仿宋" w:hAnsi="仿宋" w:eastAsia="仿宋" w:cs="仿宋"/>
          <w:b/>
          <w:color w:val="auto"/>
          <w:sz w:val="28"/>
          <w:highlight w:val="none"/>
        </w:rPr>
        <w:t>业绩情况一览表</w:t>
      </w:r>
    </w:p>
    <w:p w14:paraId="7C1D2DF1">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tbl>
      <w:tblPr>
        <w:tblStyle w:val="52"/>
        <w:tblW w:w="99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77"/>
        <w:gridCol w:w="2054"/>
        <w:gridCol w:w="2055"/>
        <w:gridCol w:w="3314"/>
      </w:tblGrid>
      <w:tr w14:paraId="51385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92" w:hRule="atLeast"/>
          <w:jc w:val="center"/>
        </w:trPr>
        <w:tc>
          <w:tcPr>
            <w:tcW w:w="2477" w:type="dxa"/>
            <w:vMerge w:val="restart"/>
            <w:tcBorders>
              <w:top w:val="single" w:color="auto" w:sz="4" w:space="0"/>
              <w:left w:val="single" w:color="auto" w:sz="4" w:space="0"/>
              <w:bottom w:val="single" w:color="auto" w:sz="4" w:space="0"/>
              <w:right w:val="single" w:color="auto" w:sz="4" w:space="0"/>
            </w:tcBorders>
            <w:vAlign w:val="center"/>
          </w:tcPr>
          <w:p w14:paraId="054966D0">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采购人名称</w:t>
            </w:r>
          </w:p>
        </w:tc>
        <w:tc>
          <w:tcPr>
            <w:tcW w:w="2054" w:type="dxa"/>
            <w:vMerge w:val="restart"/>
            <w:tcBorders>
              <w:top w:val="single" w:color="auto" w:sz="4" w:space="0"/>
              <w:left w:val="single" w:color="auto" w:sz="4" w:space="0"/>
              <w:bottom w:val="single" w:color="auto" w:sz="4" w:space="0"/>
              <w:right w:val="single" w:color="auto" w:sz="4" w:space="0"/>
            </w:tcBorders>
            <w:vAlign w:val="center"/>
          </w:tcPr>
          <w:p w14:paraId="543C9868">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项目名称</w:t>
            </w:r>
          </w:p>
        </w:tc>
        <w:tc>
          <w:tcPr>
            <w:tcW w:w="2055" w:type="dxa"/>
            <w:vMerge w:val="restart"/>
            <w:tcBorders>
              <w:top w:val="single" w:color="auto" w:sz="4" w:space="0"/>
              <w:left w:val="single" w:color="auto" w:sz="4" w:space="0"/>
              <w:bottom w:val="single" w:color="auto" w:sz="4" w:space="0"/>
              <w:right w:val="single" w:color="auto" w:sz="4" w:space="0"/>
            </w:tcBorders>
            <w:vAlign w:val="center"/>
          </w:tcPr>
          <w:p w14:paraId="6F63AA89">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合同金额</w:t>
            </w:r>
          </w:p>
          <w:p w14:paraId="3B8E3461">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（万元）</w:t>
            </w:r>
          </w:p>
        </w:tc>
        <w:tc>
          <w:tcPr>
            <w:tcW w:w="3314" w:type="dxa"/>
            <w:vMerge w:val="restart"/>
            <w:tcBorders>
              <w:top w:val="single" w:color="auto" w:sz="4" w:space="0"/>
              <w:left w:val="single" w:color="auto" w:sz="4" w:space="0"/>
              <w:bottom w:val="single" w:color="auto" w:sz="4" w:space="0"/>
              <w:right w:val="single" w:color="auto" w:sz="4" w:space="0"/>
            </w:tcBorders>
            <w:vAlign w:val="center"/>
          </w:tcPr>
          <w:p w14:paraId="0721F4F2">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采购人联系人及</w:t>
            </w:r>
          </w:p>
          <w:p w14:paraId="05A379D2">
            <w:pPr>
              <w:snapToGrid w:val="0"/>
              <w:spacing w:line="240" w:lineRule="exact"/>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联系电话</w:t>
            </w:r>
          </w:p>
        </w:tc>
      </w:tr>
      <w:tr w14:paraId="608D2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8" w:hRule="atLeast"/>
          <w:jc w:val="center"/>
        </w:trPr>
        <w:tc>
          <w:tcPr>
            <w:tcW w:w="2477" w:type="dxa"/>
            <w:vMerge w:val="continue"/>
            <w:tcBorders>
              <w:top w:val="single" w:color="auto" w:sz="4" w:space="0"/>
              <w:left w:val="single" w:color="auto" w:sz="4" w:space="0"/>
              <w:bottom w:val="single" w:color="auto" w:sz="4" w:space="0"/>
              <w:right w:val="single" w:color="auto" w:sz="4" w:space="0"/>
            </w:tcBorders>
            <w:vAlign w:val="center"/>
          </w:tcPr>
          <w:p w14:paraId="4ED560D9">
            <w:pPr>
              <w:jc w:val="left"/>
              <w:rPr>
                <w:rFonts w:hint="eastAsia" w:ascii="仿宋" w:hAnsi="仿宋" w:eastAsia="仿宋" w:cs="仿宋"/>
                <w:color w:val="auto"/>
                <w:sz w:val="24"/>
                <w:highlight w:val="none"/>
              </w:rPr>
            </w:pPr>
          </w:p>
        </w:tc>
        <w:tc>
          <w:tcPr>
            <w:tcW w:w="2054" w:type="dxa"/>
            <w:vMerge w:val="continue"/>
            <w:tcBorders>
              <w:top w:val="single" w:color="auto" w:sz="4" w:space="0"/>
              <w:left w:val="single" w:color="auto" w:sz="4" w:space="0"/>
              <w:bottom w:val="single" w:color="auto" w:sz="4" w:space="0"/>
              <w:right w:val="single" w:color="auto" w:sz="4" w:space="0"/>
            </w:tcBorders>
            <w:vAlign w:val="center"/>
          </w:tcPr>
          <w:p w14:paraId="43E7686F">
            <w:pPr>
              <w:jc w:val="left"/>
              <w:rPr>
                <w:rFonts w:hint="eastAsia" w:ascii="仿宋" w:hAnsi="仿宋" w:eastAsia="仿宋" w:cs="仿宋"/>
                <w:color w:val="auto"/>
                <w:sz w:val="24"/>
                <w:highlight w:val="none"/>
              </w:rPr>
            </w:pPr>
          </w:p>
        </w:tc>
        <w:tc>
          <w:tcPr>
            <w:tcW w:w="2055" w:type="dxa"/>
            <w:vMerge w:val="continue"/>
            <w:tcBorders>
              <w:top w:val="single" w:color="auto" w:sz="4" w:space="0"/>
              <w:left w:val="single" w:color="auto" w:sz="4" w:space="0"/>
              <w:bottom w:val="single" w:color="auto" w:sz="4" w:space="0"/>
              <w:right w:val="single" w:color="auto" w:sz="4" w:space="0"/>
            </w:tcBorders>
            <w:vAlign w:val="center"/>
          </w:tcPr>
          <w:p w14:paraId="62314180">
            <w:pPr>
              <w:jc w:val="left"/>
              <w:rPr>
                <w:rFonts w:hint="eastAsia" w:ascii="仿宋" w:hAnsi="仿宋" w:eastAsia="仿宋" w:cs="仿宋"/>
                <w:color w:val="auto"/>
                <w:sz w:val="24"/>
                <w:highlight w:val="none"/>
              </w:rPr>
            </w:pPr>
          </w:p>
        </w:tc>
        <w:tc>
          <w:tcPr>
            <w:tcW w:w="3314" w:type="dxa"/>
            <w:vMerge w:val="continue"/>
            <w:tcBorders>
              <w:top w:val="single" w:color="auto" w:sz="4" w:space="0"/>
              <w:left w:val="single" w:color="auto" w:sz="4" w:space="0"/>
              <w:bottom w:val="single" w:color="auto" w:sz="4" w:space="0"/>
              <w:right w:val="single" w:color="auto" w:sz="4" w:space="0"/>
            </w:tcBorders>
            <w:vAlign w:val="center"/>
          </w:tcPr>
          <w:p w14:paraId="4019DBB3">
            <w:pPr>
              <w:jc w:val="left"/>
              <w:rPr>
                <w:rFonts w:hint="eastAsia" w:ascii="仿宋" w:hAnsi="仿宋" w:eastAsia="仿宋" w:cs="仿宋"/>
                <w:color w:val="auto"/>
                <w:sz w:val="24"/>
                <w:highlight w:val="none"/>
              </w:rPr>
            </w:pPr>
          </w:p>
        </w:tc>
      </w:tr>
      <w:tr w14:paraId="3960F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2477" w:type="dxa"/>
            <w:tcBorders>
              <w:top w:val="single" w:color="auto" w:sz="4" w:space="0"/>
              <w:left w:val="single" w:color="auto" w:sz="4" w:space="0"/>
              <w:bottom w:val="single" w:color="auto" w:sz="4" w:space="0"/>
              <w:right w:val="single" w:color="auto" w:sz="4" w:space="0"/>
            </w:tcBorders>
          </w:tcPr>
          <w:p w14:paraId="77B1F2D4">
            <w:pPr>
              <w:snapToGrid w:val="0"/>
              <w:spacing w:line="240" w:lineRule="exact"/>
              <w:jc w:val="left"/>
              <w:rPr>
                <w:rFonts w:hint="eastAsia" w:ascii="仿宋" w:hAnsi="仿宋" w:eastAsia="仿宋" w:cs="仿宋"/>
                <w:color w:val="auto"/>
                <w:sz w:val="24"/>
                <w:highlight w:val="none"/>
              </w:rPr>
            </w:pPr>
          </w:p>
        </w:tc>
        <w:tc>
          <w:tcPr>
            <w:tcW w:w="2054" w:type="dxa"/>
            <w:tcBorders>
              <w:top w:val="single" w:color="auto" w:sz="4" w:space="0"/>
              <w:left w:val="single" w:color="auto" w:sz="4" w:space="0"/>
              <w:bottom w:val="single" w:color="auto" w:sz="4" w:space="0"/>
              <w:right w:val="single" w:color="auto" w:sz="4" w:space="0"/>
            </w:tcBorders>
          </w:tcPr>
          <w:p w14:paraId="48B89825">
            <w:pPr>
              <w:snapToGrid w:val="0"/>
              <w:spacing w:line="240" w:lineRule="exact"/>
              <w:jc w:val="left"/>
              <w:rPr>
                <w:rFonts w:hint="eastAsia" w:ascii="仿宋" w:hAnsi="仿宋" w:eastAsia="仿宋" w:cs="仿宋"/>
                <w:color w:val="auto"/>
                <w:sz w:val="24"/>
                <w:highlight w:val="none"/>
              </w:rPr>
            </w:pPr>
          </w:p>
        </w:tc>
        <w:tc>
          <w:tcPr>
            <w:tcW w:w="2055" w:type="dxa"/>
            <w:tcBorders>
              <w:top w:val="single" w:color="auto" w:sz="4" w:space="0"/>
              <w:left w:val="single" w:color="auto" w:sz="4" w:space="0"/>
              <w:bottom w:val="single" w:color="auto" w:sz="4" w:space="0"/>
              <w:right w:val="single" w:color="auto" w:sz="4" w:space="0"/>
            </w:tcBorders>
          </w:tcPr>
          <w:p w14:paraId="07DB3223">
            <w:pPr>
              <w:snapToGrid w:val="0"/>
              <w:spacing w:line="240" w:lineRule="exact"/>
              <w:jc w:val="left"/>
              <w:rPr>
                <w:rFonts w:hint="eastAsia" w:ascii="仿宋" w:hAnsi="仿宋" w:eastAsia="仿宋" w:cs="仿宋"/>
                <w:color w:val="auto"/>
                <w:sz w:val="24"/>
                <w:highlight w:val="none"/>
              </w:rPr>
            </w:pPr>
          </w:p>
        </w:tc>
        <w:tc>
          <w:tcPr>
            <w:tcW w:w="3314" w:type="dxa"/>
            <w:tcBorders>
              <w:top w:val="single" w:color="auto" w:sz="4" w:space="0"/>
              <w:left w:val="single" w:color="auto" w:sz="4" w:space="0"/>
              <w:bottom w:val="single" w:color="auto" w:sz="4" w:space="0"/>
              <w:right w:val="single" w:color="auto" w:sz="4" w:space="0"/>
            </w:tcBorders>
          </w:tcPr>
          <w:p w14:paraId="6929AA25">
            <w:pPr>
              <w:snapToGrid w:val="0"/>
              <w:spacing w:line="240" w:lineRule="exact"/>
              <w:jc w:val="left"/>
              <w:rPr>
                <w:rFonts w:hint="eastAsia" w:ascii="仿宋" w:hAnsi="仿宋" w:eastAsia="仿宋" w:cs="仿宋"/>
                <w:color w:val="auto"/>
                <w:sz w:val="24"/>
                <w:highlight w:val="none"/>
              </w:rPr>
            </w:pPr>
          </w:p>
        </w:tc>
      </w:tr>
      <w:tr w14:paraId="6E3837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2477" w:type="dxa"/>
            <w:tcBorders>
              <w:top w:val="single" w:color="auto" w:sz="4" w:space="0"/>
              <w:left w:val="single" w:color="auto" w:sz="4" w:space="0"/>
              <w:bottom w:val="single" w:color="auto" w:sz="4" w:space="0"/>
              <w:right w:val="single" w:color="auto" w:sz="4" w:space="0"/>
            </w:tcBorders>
          </w:tcPr>
          <w:p w14:paraId="1F17A42D">
            <w:pPr>
              <w:snapToGrid w:val="0"/>
              <w:spacing w:before="50" w:after="120" w:afterLines="50" w:line="400" w:lineRule="exact"/>
              <w:jc w:val="left"/>
              <w:rPr>
                <w:rFonts w:hint="eastAsia" w:ascii="仿宋" w:hAnsi="仿宋" w:eastAsia="仿宋" w:cs="仿宋"/>
                <w:color w:val="auto"/>
                <w:sz w:val="24"/>
                <w:highlight w:val="none"/>
              </w:rPr>
            </w:pPr>
          </w:p>
        </w:tc>
        <w:tc>
          <w:tcPr>
            <w:tcW w:w="2054" w:type="dxa"/>
            <w:tcBorders>
              <w:top w:val="single" w:color="auto" w:sz="4" w:space="0"/>
              <w:left w:val="single" w:color="auto" w:sz="4" w:space="0"/>
              <w:bottom w:val="single" w:color="auto" w:sz="4" w:space="0"/>
              <w:right w:val="single" w:color="auto" w:sz="4" w:space="0"/>
            </w:tcBorders>
          </w:tcPr>
          <w:p w14:paraId="6AED5453">
            <w:pPr>
              <w:snapToGrid w:val="0"/>
              <w:spacing w:before="50" w:after="120" w:afterLines="50" w:line="400" w:lineRule="exact"/>
              <w:jc w:val="left"/>
              <w:rPr>
                <w:rFonts w:hint="eastAsia" w:ascii="仿宋" w:hAnsi="仿宋" w:eastAsia="仿宋" w:cs="仿宋"/>
                <w:color w:val="auto"/>
                <w:sz w:val="24"/>
                <w:highlight w:val="none"/>
              </w:rPr>
            </w:pPr>
          </w:p>
        </w:tc>
        <w:tc>
          <w:tcPr>
            <w:tcW w:w="2055" w:type="dxa"/>
            <w:tcBorders>
              <w:top w:val="single" w:color="auto" w:sz="4" w:space="0"/>
              <w:left w:val="single" w:color="auto" w:sz="4" w:space="0"/>
              <w:bottom w:val="single" w:color="auto" w:sz="4" w:space="0"/>
              <w:right w:val="single" w:color="auto" w:sz="4" w:space="0"/>
            </w:tcBorders>
          </w:tcPr>
          <w:p w14:paraId="3DAC04C9">
            <w:pPr>
              <w:snapToGrid w:val="0"/>
              <w:spacing w:before="50" w:after="120" w:afterLines="50" w:line="400" w:lineRule="exact"/>
              <w:jc w:val="left"/>
              <w:rPr>
                <w:rFonts w:hint="eastAsia" w:ascii="仿宋" w:hAnsi="仿宋" w:eastAsia="仿宋" w:cs="仿宋"/>
                <w:color w:val="auto"/>
                <w:sz w:val="24"/>
                <w:highlight w:val="none"/>
              </w:rPr>
            </w:pPr>
          </w:p>
        </w:tc>
        <w:tc>
          <w:tcPr>
            <w:tcW w:w="3314" w:type="dxa"/>
            <w:tcBorders>
              <w:top w:val="single" w:color="auto" w:sz="4" w:space="0"/>
              <w:left w:val="single" w:color="auto" w:sz="4" w:space="0"/>
              <w:bottom w:val="single" w:color="auto" w:sz="4" w:space="0"/>
              <w:right w:val="single" w:color="auto" w:sz="4" w:space="0"/>
            </w:tcBorders>
          </w:tcPr>
          <w:p w14:paraId="110EDD6E">
            <w:pPr>
              <w:snapToGrid w:val="0"/>
              <w:spacing w:before="50" w:after="120" w:afterLines="50" w:line="400" w:lineRule="exact"/>
              <w:jc w:val="left"/>
              <w:rPr>
                <w:rFonts w:hint="eastAsia" w:ascii="仿宋" w:hAnsi="仿宋" w:eastAsia="仿宋" w:cs="仿宋"/>
                <w:color w:val="auto"/>
                <w:sz w:val="24"/>
                <w:highlight w:val="none"/>
              </w:rPr>
            </w:pPr>
          </w:p>
        </w:tc>
      </w:tr>
      <w:tr w14:paraId="11728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2477" w:type="dxa"/>
            <w:tcBorders>
              <w:top w:val="single" w:color="auto" w:sz="4" w:space="0"/>
              <w:left w:val="single" w:color="auto" w:sz="4" w:space="0"/>
              <w:bottom w:val="single" w:color="auto" w:sz="4" w:space="0"/>
              <w:right w:val="single" w:color="auto" w:sz="4" w:space="0"/>
            </w:tcBorders>
          </w:tcPr>
          <w:p w14:paraId="09378CC3">
            <w:pPr>
              <w:snapToGrid w:val="0"/>
              <w:spacing w:before="50" w:after="120" w:afterLines="50" w:line="400" w:lineRule="exact"/>
              <w:jc w:val="left"/>
              <w:rPr>
                <w:rFonts w:hint="eastAsia" w:ascii="仿宋" w:hAnsi="仿宋" w:eastAsia="仿宋" w:cs="仿宋"/>
                <w:color w:val="auto"/>
                <w:sz w:val="24"/>
                <w:highlight w:val="none"/>
              </w:rPr>
            </w:pPr>
          </w:p>
        </w:tc>
        <w:tc>
          <w:tcPr>
            <w:tcW w:w="2054" w:type="dxa"/>
            <w:tcBorders>
              <w:top w:val="single" w:color="auto" w:sz="4" w:space="0"/>
              <w:left w:val="single" w:color="auto" w:sz="4" w:space="0"/>
              <w:bottom w:val="single" w:color="auto" w:sz="4" w:space="0"/>
              <w:right w:val="single" w:color="auto" w:sz="4" w:space="0"/>
            </w:tcBorders>
          </w:tcPr>
          <w:p w14:paraId="7292EE54">
            <w:pPr>
              <w:snapToGrid w:val="0"/>
              <w:spacing w:before="50" w:after="120" w:afterLines="50" w:line="400" w:lineRule="exact"/>
              <w:jc w:val="left"/>
              <w:rPr>
                <w:rFonts w:hint="eastAsia" w:ascii="仿宋" w:hAnsi="仿宋" w:eastAsia="仿宋" w:cs="仿宋"/>
                <w:color w:val="auto"/>
                <w:sz w:val="24"/>
                <w:highlight w:val="none"/>
              </w:rPr>
            </w:pPr>
          </w:p>
        </w:tc>
        <w:tc>
          <w:tcPr>
            <w:tcW w:w="2055" w:type="dxa"/>
            <w:tcBorders>
              <w:top w:val="single" w:color="auto" w:sz="4" w:space="0"/>
              <w:left w:val="single" w:color="auto" w:sz="4" w:space="0"/>
              <w:bottom w:val="single" w:color="auto" w:sz="4" w:space="0"/>
              <w:right w:val="single" w:color="auto" w:sz="4" w:space="0"/>
            </w:tcBorders>
          </w:tcPr>
          <w:p w14:paraId="5C9E42B7">
            <w:pPr>
              <w:snapToGrid w:val="0"/>
              <w:spacing w:before="50" w:after="120" w:afterLines="50" w:line="400" w:lineRule="exact"/>
              <w:jc w:val="left"/>
              <w:rPr>
                <w:rFonts w:hint="eastAsia" w:ascii="仿宋" w:hAnsi="仿宋" w:eastAsia="仿宋" w:cs="仿宋"/>
                <w:color w:val="auto"/>
                <w:sz w:val="24"/>
                <w:highlight w:val="none"/>
              </w:rPr>
            </w:pPr>
          </w:p>
        </w:tc>
        <w:tc>
          <w:tcPr>
            <w:tcW w:w="3314" w:type="dxa"/>
            <w:tcBorders>
              <w:top w:val="single" w:color="auto" w:sz="4" w:space="0"/>
              <w:left w:val="single" w:color="auto" w:sz="4" w:space="0"/>
              <w:bottom w:val="single" w:color="auto" w:sz="4" w:space="0"/>
              <w:right w:val="single" w:color="auto" w:sz="4" w:space="0"/>
            </w:tcBorders>
          </w:tcPr>
          <w:p w14:paraId="5A32C7E1">
            <w:pPr>
              <w:snapToGrid w:val="0"/>
              <w:spacing w:before="50" w:after="120" w:afterLines="50" w:line="400" w:lineRule="exact"/>
              <w:jc w:val="left"/>
              <w:rPr>
                <w:rFonts w:hint="eastAsia" w:ascii="仿宋" w:hAnsi="仿宋" w:eastAsia="仿宋" w:cs="仿宋"/>
                <w:color w:val="auto"/>
                <w:sz w:val="24"/>
                <w:highlight w:val="none"/>
              </w:rPr>
            </w:pPr>
          </w:p>
        </w:tc>
      </w:tr>
      <w:tr w14:paraId="3179A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2477" w:type="dxa"/>
            <w:tcBorders>
              <w:top w:val="single" w:color="auto" w:sz="4" w:space="0"/>
              <w:left w:val="single" w:color="auto" w:sz="4" w:space="0"/>
              <w:bottom w:val="single" w:color="auto" w:sz="4" w:space="0"/>
              <w:right w:val="single" w:color="auto" w:sz="4" w:space="0"/>
            </w:tcBorders>
          </w:tcPr>
          <w:p w14:paraId="5CE2E658">
            <w:pPr>
              <w:snapToGrid w:val="0"/>
              <w:spacing w:before="50" w:after="120" w:afterLines="50" w:line="400" w:lineRule="exact"/>
              <w:jc w:val="left"/>
              <w:rPr>
                <w:rFonts w:hint="eastAsia" w:ascii="仿宋" w:hAnsi="仿宋" w:eastAsia="仿宋" w:cs="仿宋"/>
                <w:color w:val="auto"/>
                <w:sz w:val="24"/>
                <w:highlight w:val="none"/>
              </w:rPr>
            </w:pPr>
          </w:p>
        </w:tc>
        <w:tc>
          <w:tcPr>
            <w:tcW w:w="2054" w:type="dxa"/>
            <w:tcBorders>
              <w:top w:val="single" w:color="auto" w:sz="4" w:space="0"/>
              <w:left w:val="single" w:color="auto" w:sz="4" w:space="0"/>
              <w:bottom w:val="single" w:color="auto" w:sz="4" w:space="0"/>
              <w:right w:val="single" w:color="auto" w:sz="4" w:space="0"/>
            </w:tcBorders>
          </w:tcPr>
          <w:p w14:paraId="29742869">
            <w:pPr>
              <w:snapToGrid w:val="0"/>
              <w:spacing w:before="50" w:after="120" w:afterLines="50" w:line="400" w:lineRule="exact"/>
              <w:jc w:val="left"/>
              <w:rPr>
                <w:rFonts w:hint="eastAsia" w:ascii="仿宋" w:hAnsi="仿宋" w:eastAsia="仿宋" w:cs="仿宋"/>
                <w:color w:val="auto"/>
                <w:sz w:val="24"/>
                <w:highlight w:val="none"/>
              </w:rPr>
            </w:pPr>
          </w:p>
        </w:tc>
        <w:tc>
          <w:tcPr>
            <w:tcW w:w="2055" w:type="dxa"/>
            <w:tcBorders>
              <w:top w:val="single" w:color="auto" w:sz="4" w:space="0"/>
              <w:left w:val="single" w:color="auto" w:sz="4" w:space="0"/>
              <w:bottom w:val="single" w:color="auto" w:sz="4" w:space="0"/>
              <w:right w:val="single" w:color="auto" w:sz="4" w:space="0"/>
            </w:tcBorders>
          </w:tcPr>
          <w:p w14:paraId="79AB467B">
            <w:pPr>
              <w:snapToGrid w:val="0"/>
              <w:spacing w:before="50" w:after="120" w:afterLines="50" w:line="400" w:lineRule="exact"/>
              <w:jc w:val="left"/>
              <w:rPr>
                <w:rFonts w:hint="eastAsia" w:ascii="仿宋" w:hAnsi="仿宋" w:eastAsia="仿宋" w:cs="仿宋"/>
                <w:color w:val="auto"/>
                <w:sz w:val="24"/>
                <w:highlight w:val="none"/>
              </w:rPr>
            </w:pPr>
          </w:p>
        </w:tc>
        <w:tc>
          <w:tcPr>
            <w:tcW w:w="3314" w:type="dxa"/>
            <w:tcBorders>
              <w:top w:val="single" w:color="auto" w:sz="4" w:space="0"/>
              <w:left w:val="single" w:color="auto" w:sz="4" w:space="0"/>
              <w:bottom w:val="single" w:color="auto" w:sz="4" w:space="0"/>
              <w:right w:val="single" w:color="auto" w:sz="4" w:space="0"/>
            </w:tcBorders>
          </w:tcPr>
          <w:p w14:paraId="135DB41A">
            <w:pPr>
              <w:snapToGrid w:val="0"/>
              <w:spacing w:before="50" w:after="120" w:afterLines="50" w:line="400" w:lineRule="exact"/>
              <w:jc w:val="left"/>
              <w:rPr>
                <w:rFonts w:hint="eastAsia" w:ascii="仿宋" w:hAnsi="仿宋" w:eastAsia="仿宋" w:cs="仿宋"/>
                <w:color w:val="auto"/>
                <w:sz w:val="24"/>
                <w:highlight w:val="none"/>
              </w:rPr>
            </w:pPr>
          </w:p>
        </w:tc>
      </w:tr>
      <w:tr w14:paraId="2A1D1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2477" w:type="dxa"/>
            <w:tcBorders>
              <w:top w:val="single" w:color="auto" w:sz="4" w:space="0"/>
              <w:left w:val="single" w:color="auto" w:sz="4" w:space="0"/>
              <w:bottom w:val="single" w:color="auto" w:sz="4" w:space="0"/>
              <w:right w:val="single" w:color="auto" w:sz="4" w:space="0"/>
            </w:tcBorders>
          </w:tcPr>
          <w:p w14:paraId="104D9D3B">
            <w:pPr>
              <w:snapToGrid w:val="0"/>
              <w:spacing w:before="50" w:after="120" w:afterLines="50" w:line="400" w:lineRule="exact"/>
              <w:jc w:val="left"/>
              <w:rPr>
                <w:rFonts w:hint="eastAsia" w:ascii="仿宋" w:hAnsi="仿宋" w:eastAsia="仿宋" w:cs="仿宋"/>
                <w:color w:val="auto"/>
                <w:sz w:val="24"/>
                <w:highlight w:val="none"/>
              </w:rPr>
            </w:pPr>
          </w:p>
        </w:tc>
        <w:tc>
          <w:tcPr>
            <w:tcW w:w="2054" w:type="dxa"/>
            <w:tcBorders>
              <w:top w:val="single" w:color="auto" w:sz="4" w:space="0"/>
              <w:left w:val="single" w:color="auto" w:sz="4" w:space="0"/>
              <w:bottom w:val="single" w:color="auto" w:sz="4" w:space="0"/>
              <w:right w:val="single" w:color="auto" w:sz="4" w:space="0"/>
            </w:tcBorders>
          </w:tcPr>
          <w:p w14:paraId="53A3909A">
            <w:pPr>
              <w:snapToGrid w:val="0"/>
              <w:spacing w:before="50" w:after="120" w:afterLines="50" w:line="400" w:lineRule="exact"/>
              <w:jc w:val="left"/>
              <w:rPr>
                <w:rFonts w:hint="eastAsia" w:ascii="仿宋" w:hAnsi="仿宋" w:eastAsia="仿宋" w:cs="仿宋"/>
                <w:color w:val="auto"/>
                <w:sz w:val="24"/>
                <w:highlight w:val="none"/>
              </w:rPr>
            </w:pPr>
          </w:p>
        </w:tc>
        <w:tc>
          <w:tcPr>
            <w:tcW w:w="2055" w:type="dxa"/>
            <w:tcBorders>
              <w:top w:val="single" w:color="auto" w:sz="4" w:space="0"/>
              <w:left w:val="single" w:color="auto" w:sz="4" w:space="0"/>
              <w:bottom w:val="single" w:color="auto" w:sz="4" w:space="0"/>
              <w:right w:val="single" w:color="auto" w:sz="4" w:space="0"/>
            </w:tcBorders>
          </w:tcPr>
          <w:p w14:paraId="1060F761">
            <w:pPr>
              <w:snapToGrid w:val="0"/>
              <w:spacing w:before="50" w:after="120" w:afterLines="50" w:line="400" w:lineRule="exact"/>
              <w:jc w:val="left"/>
              <w:rPr>
                <w:rFonts w:hint="eastAsia" w:ascii="仿宋" w:hAnsi="仿宋" w:eastAsia="仿宋" w:cs="仿宋"/>
                <w:color w:val="auto"/>
                <w:sz w:val="24"/>
                <w:highlight w:val="none"/>
              </w:rPr>
            </w:pPr>
          </w:p>
        </w:tc>
        <w:tc>
          <w:tcPr>
            <w:tcW w:w="3314" w:type="dxa"/>
            <w:tcBorders>
              <w:top w:val="single" w:color="auto" w:sz="4" w:space="0"/>
              <w:left w:val="single" w:color="auto" w:sz="4" w:space="0"/>
              <w:bottom w:val="single" w:color="auto" w:sz="4" w:space="0"/>
              <w:right w:val="single" w:color="auto" w:sz="4" w:space="0"/>
            </w:tcBorders>
          </w:tcPr>
          <w:p w14:paraId="4F612AA6">
            <w:pPr>
              <w:snapToGrid w:val="0"/>
              <w:spacing w:before="50" w:after="120" w:afterLines="50" w:line="400" w:lineRule="exact"/>
              <w:jc w:val="left"/>
              <w:rPr>
                <w:rFonts w:hint="eastAsia" w:ascii="仿宋" w:hAnsi="仿宋" w:eastAsia="仿宋" w:cs="仿宋"/>
                <w:color w:val="auto"/>
                <w:sz w:val="24"/>
                <w:highlight w:val="none"/>
              </w:rPr>
            </w:pPr>
          </w:p>
        </w:tc>
      </w:tr>
    </w:tbl>
    <w:p w14:paraId="70D8AE82">
      <w:pPr>
        <w:pStyle w:val="16"/>
        <w:spacing w:before="0" w:after="0" w:line="360" w:lineRule="auto"/>
        <w:contextualSpacing/>
        <w:rPr>
          <w:rFonts w:hint="eastAsia" w:ascii="仿宋" w:hAnsi="仿宋" w:eastAsia="仿宋" w:cs="仿宋"/>
          <w:color w:val="auto"/>
          <w:sz w:val="24"/>
          <w:szCs w:val="24"/>
          <w:highlight w:val="none"/>
        </w:rPr>
      </w:pPr>
    </w:p>
    <w:p w14:paraId="015546FA">
      <w:pPr>
        <w:pStyle w:val="16"/>
        <w:spacing w:before="0" w:after="0" w:line="360" w:lineRule="auto"/>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highlight w:val="none"/>
        </w:rPr>
        <w:t>投标人根据评标标准具体要求附业绩证明材料。</w:t>
      </w:r>
    </w:p>
    <w:p w14:paraId="7EE6288F">
      <w:pPr>
        <w:pStyle w:val="16"/>
        <w:spacing w:before="0" w:after="0" w:line="360" w:lineRule="auto"/>
        <w:contextualSpacing/>
        <w:jc w:val="left"/>
        <w:rPr>
          <w:rFonts w:hint="eastAsia" w:ascii="仿宋" w:hAnsi="仿宋" w:eastAsia="仿宋" w:cs="仿宋"/>
          <w:color w:val="auto"/>
          <w:sz w:val="24"/>
          <w:szCs w:val="24"/>
          <w:highlight w:val="none"/>
        </w:rPr>
      </w:pPr>
    </w:p>
    <w:p w14:paraId="1C5887E4">
      <w:pPr>
        <w:pStyle w:val="28"/>
        <w:spacing w:beforeLines="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z w:val="24"/>
          <w:szCs w:val="24"/>
          <w:highlight w:val="none"/>
        </w:rPr>
        <w:t>法定代表人或者委托代理人</w:t>
      </w:r>
      <w:r>
        <w:rPr>
          <w:rFonts w:hint="eastAsia" w:ascii="仿宋" w:hAnsi="仿宋" w:eastAsia="仿宋" w:cs="仿宋"/>
          <w:color w:val="auto"/>
          <w:spacing w:val="20"/>
          <w:sz w:val="24"/>
          <w:szCs w:val="24"/>
          <w:highlight w:val="none"/>
        </w:rPr>
        <w:t>签字</w:t>
      </w:r>
      <w:r>
        <w:rPr>
          <w:rFonts w:hint="eastAsia" w:ascii="仿宋" w:hAnsi="仿宋" w:eastAsia="仿宋" w:cs="仿宋"/>
          <w:color w:val="auto"/>
          <w:sz w:val="24"/>
          <w:szCs w:val="24"/>
          <w:highlight w:val="none"/>
        </w:rPr>
        <w:t>[或盖章(CA签章)]（属自然人的应在签名处加盖大拇指指印或个人CA签章）</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20"/>
          <w:sz w:val="24"/>
          <w:szCs w:val="24"/>
          <w:highlight w:val="none"/>
          <w:u w:val="single"/>
        </w:rPr>
        <w:t xml:space="preserve">        </w:t>
      </w:r>
    </w:p>
    <w:p w14:paraId="1BE23465">
      <w:pPr>
        <w:snapToGrid w:val="0"/>
        <w:spacing w:before="0" w:beforeLines="0" w:line="360" w:lineRule="auto"/>
        <w:rPr>
          <w:rFonts w:hint="eastAsia"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投标人</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公章(或CA签章)</w:t>
      </w:r>
      <w:r>
        <w:rPr>
          <w:rFonts w:hint="eastAsia" w:ascii="仿宋" w:hAnsi="仿宋" w:eastAsia="仿宋" w:cs="仿宋"/>
          <w:bCs/>
          <w:color w:val="auto"/>
          <w:sz w:val="24"/>
          <w:szCs w:val="24"/>
          <w:highlight w:val="none"/>
        </w:rPr>
        <w:t>、自然人除外]</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 xml:space="preserve">   </w:t>
      </w:r>
    </w:p>
    <w:p w14:paraId="02673C5D">
      <w:pPr>
        <w:snapToGrid w:val="0"/>
        <w:spacing w:before="0" w:beforeLines="0" w:line="360" w:lineRule="auto"/>
        <w:rPr>
          <w:rFonts w:hint="eastAsia" w:ascii="仿宋" w:hAnsi="仿宋" w:eastAsia="仿宋" w:cs="仿宋"/>
          <w:color w:val="auto"/>
          <w:sz w:val="24"/>
          <w:szCs w:val="24"/>
          <w:highlight w:val="none"/>
        </w:rPr>
      </w:pPr>
      <w:r>
        <w:rPr>
          <w:rFonts w:hint="eastAsia" w:ascii="仿宋" w:hAnsi="仿宋" w:eastAsia="仿宋" w:cs="仿宋"/>
          <w:color w:val="auto"/>
          <w:spacing w:val="20"/>
          <w:sz w:val="24"/>
          <w:szCs w:val="24"/>
          <w:highlight w:val="none"/>
        </w:rPr>
        <w:t>日  期：</w:t>
      </w:r>
      <w:r>
        <w:rPr>
          <w:rFonts w:hint="eastAsia" w:ascii="仿宋" w:hAnsi="仿宋" w:eastAsia="仿宋" w:cs="仿宋"/>
          <w:color w:val="auto"/>
          <w:spacing w:val="20"/>
          <w:sz w:val="24"/>
          <w:szCs w:val="24"/>
          <w:highlight w:val="none"/>
          <w:u w:val="single"/>
        </w:rPr>
        <w:t xml:space="preserve">         </w:t>
      </w:r>
    </w:p>
    <w:p w14:paraId="282736EA">
      <w:pPr>
        <w:snapToGrid w:val="0"/>
        <w:spacing w:before="50"/>
        <w:ind w:firstLine="480" w:firstLineChars="200"/>
        <w:jc w:val="left"/>
        <w:rPr>
          <w:rFonts w:hint="eastAsia" w:ascii="仿宋" w:hAnsi="仿宋" w:eastAsia="仿宋" w:cs="仿宋"/>
          <w:color w:val="auto"/>
          <w:sz w:val="24"/>
          <w:szCs w:val="20"/>
          <w:highlight w:val="none"/>
        </w:rPr>
      </w:pPr>
    </w:p>
    <w:p w14:paraId="2FFCCE60">
      <w:pPr>
        <w:snapToGrid w:val="0"/>
        <w:spacing w:before="50"/>
        <w:jc w:val="left"/>
        <w:rPr>
          <w:rFonts w:hint="eastAsia" w:ascii="仿宋" w:hAnsi="仿宋" w:eastAsia="仿宋" w:cs="仿宋"/>
          <w:color w:val="auto"/>
          <w:sz w:val="24"/>
          <w:highlight w:val="none"/>
        </w:rPr>
      </w:pPr>
    </w:p>
    <w:p w14:paraId="777AB2DF">
      <w:pPr>
        <w:snapToGrid w:val="0"/>
        <w:spacing w:before="120" w:beforeLines="50"/>
        <w:rPr>
          <w:rFonts w:hint="eastAsia" w:ascii="仿宋" w:hAnsi="仿宋" w:eastAsia="仿宋" w:cs="仿宋"/>
          <w:color w:val="auto"/>
          <w:sz w:val="24"/>
          <w:szCs w:val="20"/>
          <w:highlight w:val="none"/>
        </w:rPr>
        <w:sectPr>
          <w:pgSz w:w="11906" w:h="16838"/>
          <w:pgMar w:top="907" w:right="851" w:bottom="907" w:left="851" w:header="851" w:footer="567" w:gutter="0"/>
          <w:pgNumType w:fmt="numberInDash"/>
          <w:cols w:space="720" w:num="1"/>
          <w:docGrid w:linePitch="312" w:charSpace="0"/>
        </w:sectPr>
      </w:pPr>
    </w:p>
    <w:p w14:paraId="2D45F023">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四、技术文件格式</w:t>
      </w:r>
    </w:p>
    <w:p w14:paraId="1DE8F2C6">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1. 技术文件封面格式： </w:t>
      </w:r>
    </w:p>
    <w:p w14:paraId="0DE38E6F">
      <w:pPr>
        <w:snapToGrid w:val="0"/>
        <w:spacing w:before="120" w:beforeLines="50" w:after="50"/>
        <w:rPr>
          <w:rFonts w:hint="eastAsia" w:ascii="仿宋" w:hAnsi="仿宋" w:eastAsia="仿宋" w:cs="仿宋"/>
          <w:b/>
          <w:bCs/>
          <w:color w:val="auto"/>
          <w:sz w:val="32"/>
          <w:szCs w:val="20"/>
          <w:highlight w:val="none"/>
        </w:rPr>
      </w:pPr>
    </w:p>
    <w:p w14:paraId="39E5F36E">
      <w:pPr>
        <w:snapToGrid w:val="0"/>
        <w:spacing w:before="120" w:beforeLines="50" w:after="50"/>
        <w:rPr>
          <w:rFonts w:hint="eastAsia" w:ascii="仿宋" w:hAnsi="仿宋" w:eastAsia="仿宋" w:cs="仿宋"/>
          <w:color w:val="auto"/>
          <w:sz w:val="24"/>
          <w:szCs w:val="20"/>
          <w:highlight w:val="none"/>
        </w:rPr>
      </w:pPr>
    </w:p>
    <w:p w14:paraId="4D2C0776">
      <w:pPr>
        <w:snapToGrid w:val="0"/>
        <w:spacing w:before="120" w:beforeLines="50" w:after="50"/>
        <w:rPr>
          <w:rFonts w:hint="eastAsia" w:ascii="仿宋" w:hAnsi="仿宋" w:eastAsia="仿宋" w:cs="仿宋"/>
          <w:color w:val="auto"/>
          <w:sz w:val="24"/>
          <w:szCs w:val="20"/>
          <w:highlight w:val="none"/>
        </w:rPr>
      </w:pPr>
    </w:p>
    <w:p w14:paraId="3513E178">
      <w:pPr>
        <w:snapToGrid w:val="0"/>
        <w:spacing w:before="120" w:beforeLines="50" w:after="50"/>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投  标  文  件</w:t>
      </w:r>
    </w:p>
    <w:p w14:paraId="6C3DD4D7">
      <w:pPr>
        <w:snapToGrid w:val="0"/>
        <w:spacing w:before="120" w:beforeLines="50" w:after="50"/>
        <w:rPr>
          <w:rFonts w:hint="eastAsia" w:ascii="仿宋" w:hAnsi="仿宋" w:eastAsia="仿宋" w:cs="仿宋"/>
          <w:color w:val="auto"/>
          <w:sz w:val="24"/>
          <w:szCs w:val="20"/>
          <w:highlight w:val="none"/>
        </w:rPr>
      </w:pPr>
    </w:p>
    <w:p w14:paraId="54196508">
      <w:pPr>
        <w:snapToGrid w:val="0"/>
        <w:spacing w:before="120" w:beforeLines="50" w:after="50"/>
        <w:rPr>
          <w:rFonts w:hint="eastAsia" w:ascii="仿宋" w:hAnsi="仿宋" w:eastAsia="仿宋" w:cs="仿宋"/>
          <w:color w:val="auto"/>
          <w:sz w:val="24"/>
          <w:szCs w:val="20"/>
          <w:highlight w:val="none"/>
        </w:rPr>
      </w:pPr>
    </w:p>
    <w:p w14:paraId="12D7C8DF">
      <w:pPr>
        <w:snapToGrid w:val="0"/>
        <w:spacing w:before="120" w:beforeLines="50" w:after="5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技  术  文  件</w:t>
      </w:r>
    </w:p>
    <w:p w14:paraId="08C4CDA8">
      <w:pPr>
        <w:snapToGrid w:val="0"/>
        <w:spacing w:before="120" w:beforeLines="50" w:after="50"/>
        <w:rPr>
          <w:rFonts w:hint="eastAsia" w:ascii="仿宋" w:hAnsi="仿宋" w:eastAsia="仿宋" w:cs="仿宋"/>
          <w:bCs/>
          <w:color w:val="auto"/>
          <w:sz w:val="24"/>
          <w:szCs w:val="20"/>
          <w:highlight w:val="none"/>
        </w:rPr>
      </w:pPr>
    </w:p>
    <w:p w14:paraId="604539ED">
      <w:pPr>
        <w:snapToGrid w:val="0"/>
        <w:spacing w:before="120" w:beforeLines="50" w:after="50"/>
        <w:rPr>
          <w:rFonts w:hint="eastAsia" w:ascii="仿宋" w:hAnsi="仿宋" w:eastAsia="仿宋" w:cs="仿宋"/>
          <w:bCs/>
          <w:color w:val="auto"/>
          <w:sz w:val="24"/>
          <w:szCs w:val="20"/>
          <w:highlight w:val="none"/>
        </w:rPr>
      </w:pPr>
    </w:p>
    <w:p w14:paraId="19D95ECF">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项目名称： </w:t>
      </w:r>
    </w:p>
    <w:p w14:paraId="618244A8">
      <w:pPr>
        <w:snapToGrid w:val="0"/>
        <w:spacing w:before="120" w:beforeLines="50" w:after="50" w:line="400" w:lineRule="exact"/>
        <w:ind w:firstLine="360" w:firstLineChars="150"/>
        <w:rPr>
          <w:rFonts w:hint="eastAsia" w:ascii="仿宋" w:hAnsi="仿宋" w:eastAsia="仿宋" w:cs="仿宋"/>
          <w:bCs/>
          <w:color w:val="auto"/>
          <w:sz w:val="24"/>
          <w:szCs w:val="20"/>
          <w:highlight w:val="none"/>
        </w:rPr>
      </w:pPr>
    </w:p>
    <w:p w14:paraId="5333A711">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项目编号： </w:t>
      </w:r>
    </w:p>
    <w:p w14:paraId="7D53CE3C">
      <w:pPr>
        <w:snapToGrid w:val="0"/>
        <w:spacing w:before="120" w:beforeLines="50" w:after="50" w:line="400" w:lineRule="exact"/>
        <w:ind w:firstLine="360" w:firstLineChars="150"/>
        <w:rPr>
          <w:rFonts w:hint="eastAsia" w:ascii="仿宋" w:hAnsi="仿宋" w:eastAsia="仿宋" w:cs="仿宋"/>
          <w:bCs/>
          <w:color w:val="auto"/>
          <w:sz w:val="24"/>
          <w:highlight w:val="none"/>
        </w:rPr>
      </w:pPr>
    </w:p>
    <w:p w14:paraId="5FC9C3D1">
      <w:pPr>
        <w:snapToGrid w:val="0"/>
        <w:spacing w:before="120" w:beforeLines="50" w:after="50" w:line="400" w:lineRule="exact"/>
        <w:ind w:firstLine="360" w:firstLineChars="15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p>
    <w:p w14:paraId="039AD55F">
      <w:pPr>
        <w:snapToGrid w:val="0"/>
        <w:spacing w:before="120" w:beforeLines="50" w:after="50" w:line="400" w:lineRule="exact"/>
        <w:ind w:firstLine="360" w:firstLineChars="150"/>
        <w:rPr>
          <w:rFonts w:hint="eastAsia" w:ascii="仿宋" w:hAnsi="仿宋" w:eastAsia="仿宋" w:cs="仿宋"/>
          <w:bCs/>
          <w:color w:val="auto"/>
          <w:sz w:val="24"/>
          <w:highlight w:val="none"/>
        </w:rPr>
      </w:pPr>
    </w:p>
    <w:p w14:paraId="40CC5381">
      <w:pPr>
        <w:snapToGrid w:val="0"/>
        <w:spacing w:before="120" w:beforeLines="50" w:after="50" w:line="400" w:lineRule="exact"/>
        <w:rPr>
          <w:rFonts w:hint="eastAsia" w:ascii="仿宋" w:hAnsi="仿宋" w:eastAsia="仿宋" w:cs="仿宋"/>
          <w:bCs/>
          <w:color w:val="auto"/>
          <w:sz w:val="24"/>
          <w:highlight w:val="none"/>
        </w:rPr>
      </w:pPr>
    </w:p>
    <w:p w14:paraId="57341089">
      <w:pPr>
        <w:snapToGrid w:val="0"/>
        <w:spacing w:before="120" w:beforeLines="50" w:after="50"/>
        <w:ind w:firstLine="645"/>
        <w:jc w:val="center"/>
        <w:rPr>
          <w:rFonts w:hint="eastAsia" w:ascii="仿宋" w:hAnsi="仿宋" w:eastAsia="仿宋" w:cs="仿宋"/>
          <w:color w:val="auto"/>
          <w:sz w:val="24"/>
          <w:highlight w:val="none"/>
        </w:rPr>
      </w:pPr>
    </w:p>
    <w:p w14:paraId="435754EC">
      <w:pPr>
        <w:snapToGrid w:val="0"/>
        <w:spacing w:before="120" w:beforeLines="50" w:after="50"/>
        <w:ind w:firstLine="645"/>
        <w:jc w:val="center"/>
        <w:rPr>
          <w:rFonts w:hint="eastAsia" w:ascii="仿宋" w:hAnsi="仿宋" w:eastAsia="仿宋" w:cs="仿宋"/>
          <w:color w:val="auto"/>
          <w:sz w:val="24"/>
          <w:highlight w:val="none"/>
        </w:rPr>
      </w:pPr>
    </w:p>
    <w:p w14:paraId="4CBD863B">
      <w:pPr>
        <w:snapToGrid w:val="0"/>
        <w:spacing w:before="120" w:beforeLines="50" w:after="50"/>
        <w:ind w:firstLine="645"/>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1E9E3081">
      <w:pPr>
        <w:snapToGrid w:val="0"/>
        <w:spacing w:before="120" w:beforeLines="50" w:after="50"/>
        <w:ind w:firstLine="645"/>
        <w:jc w:val="center"/>
        <w:rPr>
          <w:rFonts w:hint="eastAsia" w:ascii="仿宋" w:hAnsi="仿宋" w:eastAsia="仿宋" w:cs="仿宋"/>
          <w:color w:val="auto"/>
          <w:sz w:val="24"/>
          <w:szCs w:val="20"/>
          <w:highlight w:val="none"/>
        </w:rPr>
      </w:pPr>
    </w:p>
    <w:p w14:paraId="4DF0A69C">
      <w:pPr>
        <w:snapToGrid w:val="0"/>
        <w:spacing w:before="120" w:beforeLines="50" w:after="5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br w:type="page"/>
      </w:r>
      <w:r>
        <w:rPr>
          <w:rFonts w:hint="eastAsia" w:ascii="仿宋" w:hAnsi="仿宋" w:eastAsia="仿宋" w:cs="仿宋"/>
          <w:b/>
          <w:bCs/>
          <w:color w:val="auto"/>
          <w:sz w:val="24"/>
          <w:highlight w:val="none"/>
        </w:rPr>
        <w:t>2.技术文件目录</w:t>
      </w:r>
    </w:p>
    <w:p w14:paraId="5E411EF5">
      <w:pPr>
        <w:snapToGrid w:val="0"/>
        <w:spacing w:before="50" w:after="120" w:afterLines="50"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根据招标文件规定及投标人提供的材料自行编写目录。</w:t>
      </w:r>
    </w:p>
    <w:p w14:paraId="56BD6BBD">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4FC4804F">
      <w:pPr>
        <w:snapToGrid w:val="0"/>
        <w:spacing w:before="120" w:beforeLines="50" w:after="50"/>
        <w:ind w:left="142"/>
        <w:jc w:val="left"/>
        <w:rPr>
          <w:rFonts w:hint="eastAsia" w:ascii="仿宋" w:hAnsi="仿宋" w:eastAsia="仿宋" w:cs="仿宋"/>
          <w:b/>
          <w:bCs w:val="0"/>
          <w:color w:val="auto"/>
          <w:sz w:val="24"/>
          <w:highlight w:val="none"/>
          <w:lang w:val="en-US" w:eastAsia="zh-CN"/>
        </w:rPr>
      </w:pPr>
      <w:r>
        <w:rPr>
          <w:rFonts w:hint="eastAsia" w:ascii="仿宋" w:hAnsi="仿宋" w:eastAsia="仿宋" w:cs="仿宋"/>
          <w:b/>
          <w:color w:val="auto"/>
          <w:sz w:val="24"/>
          <w:highlight w:val="none"/>
        </w:rPr>
        <w:t>3. 技术偏离表</w:t>
      </w:r>
      <w:r>
        <w:rPr>
          <w:rFonts w:hint="eastAsia" w:ascii="仿宋" w:hAnsi="仿宋" w:eastAsia="仿宋" w:cs="仿宋"/>
          <w:b/>
          <w:color w:val="auto"/>
          <w:sz w:val="24"/>
          <w:highlight w:val="none"/>
          <w:lang w:val="en-US" w:eastAsia="zh-CN"/>
        </w:rPr>
        <w:t>格式</w:t>
      </w:r>
    </w:p>
    <w:p w14:paraId="25A3CA90">
      <w:pPr>
        <w:snapToGrid/>
        <w:spacing w:before="0" w:beforeLines="0" w:after="0"/>
        <w:ind w:left="0"/>
        <w:jc w:val="center"/>
        <w:outlineLvl w:val="9"/>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技术偏离表</w:t>
      </w:r>
    </w:p>
    <w:p w14:paraId="00432E96">
      <w:pPr>
        <w:snapToGrid/>
        <w:spacing w:before="0" w:beforeLines="0" w:after="0"/>
        <w:ind w:left="0"/>
        <w:jc w:val="left"/>
        <w:outlineLvl w:val="9"/>
        <w:rPr>
          <w:rFonts w:hint="eastAsia" w:ascii="仿宋" w:hAnsi="仿宋" w:eastAsia="仿宋" w:cs="仿宋"/>
          <w:b/>
          <w:bCs w:val="0"/>
          <w:color w:val="auto"/>
          <w:sz w:val="24"/>
          <w:szCs w:val="24"/>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01F1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0E9B1AC6">
            <w:pPr>
              <w:pStyle w:val="28"/>
              <w:spacing w:beforeLines="0" w:line="360" w:lineRule="auto"/>
              <w:jc w:val="center"/>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rPr>
              <w:t>项号</w:t>
            </w:r>
          </w:p>
        </w:tc>
        <w:tc>
          <w:tcPr>
            <w:tcW w:w="2143" w:type="dxa"/>
            <w:noWrap w:val="0"/>
            <w:vAlign w:val="center"/>
          </w:tcPr>
          <w:p w14:paraId="5708E10E">
            <w:pPr>
              <w:pStyle w:val="28"/>
              <w:spacing w:beforeLines="0" w:line="360" w:lineRule="auto"/>
              <w:jc w:val="center"/>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rPr>
              <w:t>标的的名称</w:t>
            </w:r>
          </w:p>
        </w:tc>
        <w:tc>
          <w:tcPr>
            <w:tcW w:w="1834" w:type="dxa"/>
            <w:noWrap w:val="0"/>
            <w:vAlign w:val="center"/>
          </w:tcPr>
          <w:p w14:paraId="0DFC217B">
            <w:pPr>
              <w:pStyle w:val="28"/>
              <w:spacing w:beforeLines="0" w:line="360" w:lineRule="auto"/>
              <w:jc w:val="center"/>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rPr>
              <w:t>招标要求</w:t>
            </w:r>
          </w:p>
        </w:tc>
        <w:tc>
          <w:tcPr>
            <w:tcW w:w="2181" w:type="dxa"/>
            <w:noWrap w:val="0"/>
            <w:vAlign w:val="center"/>
          </w:tcPr>
          <w:p w14:paraId="7A32AAEA">
            <w:pPr>
              <w:pStyle w:val="28"/>
              <w:spacing w:beforeLines="0" w:line="360" w:lineRule="auto"/>
              <w:jc w:val="center"/>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rPr>
              <w:t>投标响应</w:t>
            </w:r>
          </w:p>
        </w:tc>
        <w:tc>
          <w:tcPr>
            <w:tcW w:w="1934" w:type="dxa"/>
            <w:noWrap w:val="0"/>
            <w:vAlign w:val="center"/>
          </w:tcPr>
          <w:p w14:paraId="3A27D1DA">
            <w:pPr>
              <w:pStyle w:val="28"/>
              <w:spacing w:beforeLines="0" w:line="360" w:lineRule="auto"/>
              <w:jc w:val="center"/>
              <w:rPr>
                <w:rFonts w:hint="eastAsia" w:ascii="仿宋" w:hAnsi="仿宋" w:eastAsia="仿宋" w:cs="仿宋"/>
                <w:b/>
                <w:bCs w:val="0"/>
                <w:color w:val="auto"/>
                <w:kern w:val="2"/>
                <w:sz w:val="24"/>
                <w:szCs w:val="24"/>
                <w:highlight w:val="none"/>
              </w:rPr>
            </w:pPr>
            <w:r>
              <w:rPr>
                <w:rFonts w:hint="eastAsia" w:ascii="仿宋" w:hAnsi="仿宋" w:eastAsia="仿宋" w:cs="仿宋"/>
                <w:b/>
                <w:bCs w:val="0"/>
                <w:color w:val="auto"/>
                <w:kern w:val="2"/>
                <w:sz w:val="24"/>
                <w:szCs w:val="24"/>
                <w:highlight w:val="none"/>
              </w:rPr>
              <w:t>偏离说明</w:t>
            </w:r>
          </w:p>
        </w:tc>
      </w:tr>
      <w:tr w14:paraId="0BB5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1F28828D">
            <w:pPr>
              <w:pStyle w:val="28"/>
              <w:spacing w:beforeLines="0" w:line="360" w:lineRule="auto"/>
              <w:jc w:val="center"/>
              <w:rPr>
                <w:rFonts w:hint="eastAsia" w:ascii="仿宋" w:hAnsi="仿宋" w:eastAsia="仿宋" w:cs="仿宋"/>
                <w:color w:val="auto"/>
                <w:kern w:val="2"/>
                <w:sz w:val="24"/>
                <w:szCs w:val="24"/>
                <w:highlight w:val="none"/>
              </w:rPr>
            </w:pPr>
          </w:p>
        </w:tc>
        <w:tc>
          <w:tcPr>
            <w:tcW w:w="2143" w:type="dxa"/>
            <w:noWrap w:val="0"/>
            <w:vAlign w:val="center"/>
          </w:tcPr>
          <w:p w14:paraId="38E56743">
            <w:pPr>
              <w:pStyle w:val="28"/>
              <w:spacing w:beforeLines="0" w:line="360" w:lineRule="auto"/>
              <w:jc w:val="center"/>
              <w:rPr>
                <w:rFonts w:hint="eastAsia" w:ascii="仿宋" w:hAnsi="仿宋" w:eastAsia="仿宋" w:cs="仿宋"/>
                <w:color w:val="auto"/>
                <w:kern w:val="2"/>
                <w:sz w:val="24"/>
                <w:szCs w:val="24"/>
                <w:highlight w:val="none"/>
              </w:rPr>
            </w:pPr>
          </w:p>
        </w:tc>
        <w:tc>
          <w:tcPr>
            <w:tcW w:w="1834" w:type="dxa"/>
            <w:noWrap w:val="0"/>
            <w:vAlign w:val="center"/>
          </w:tcPr>
          <w:p w14:paraId="71272ED5">
            <w:pPr>
              <w:pStyle w:val="28"/>
              <w:spacing w:beforeLines="0" w:line="360" w:lineRule="auto"/>
              <w:jc w:val="center"/>
              <w:rPr>
                <w:rFonts w:hint="eastAsia" w:ascii="仿宋" w:hAnsi="仿宋" w:eastAsia="仿宋" w:cs="仿宋"/>
                <w:color w:val="auto"/>
                <w:kern w:val="2"/>
                <w:sz w:val="24"/>
                <w:szCs w:val="24"/>
                <w:highlight w:val="none"/>
              </w:rPr>
            </w:pPr>
          </w:p>
        </w:tc>
        <w:tc>
          <w:tcPr>
            <w:tcW w:w="2181" w:type="dxa"/>
            <w:noWrap w:val="0"/>
            <w:vAlign w:val="center"/>
          </w:tcPr>
          <w:p w14:paraId="426E9C5C">
            <w:pPr>
              <w:pStyle w:val="28"/>
              <w:spacing w:beforeLines="0" w:line="360" w:lineRule="auto"/>
              <w:jc w:val="center"/>
              <w:rPr>
                <w:rFonts w:hint="eastAsia" w:ascii="仿宋" w:hAnsi="仿宋" w:eastAsia="仿宋" w:cs="仿宋"/>
                <w:color w:val="auto"/>
                <w:kern w:val="2"/>
                <w:sz w:val="24"/>
                <w:szCs w:val="24"/>
                <w:highlight w:val="none"/>
              </w:rPr>
            </w:pPr>
          </w:p>
        </w:tc>
        <w:tc>
          <w:tcPr>
            <w:tcW w:w="1934" w:type="dxa"/>
            <w:noWrap w:val="0"/>
            <w:vAlign w:val="center"/>
          </w:tcPr>
          <w:p w14:paraId="1EB315C8">
            <w:pPr>
              <w:pStyle w:val="28"/>
              <w:spacing w:beforeLines="0" w:line="360" w:lineRule="auto"/>
              <w:jc w:val="center"/>
              <w:rPr>
                <w:rFonts w:hint="eastAsia" w:ascii="仿宋" w:hAnsi="仿宋" w:eastAsia="仿宋" w:cs="仿宋"/>
                <w:color w:val="auto"/>
                <w:kern w:val="2"/>
                <w:sz w:val="24"/>
                <w:szCs w:val="24"/>
                <w:highlight w:val="none"/>
              </w:rPr>
            </w:pPr>
          </w:p>
        </w:tc>
      </w:tr>
      <w:tr w14:paraId="4BBD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2E2E0DDF">
            <w:pPr>
              <w:pStyle w:val="28"/>
              <w:spacing w:beforeLines="0" w:line="360" w:lineRule="auto"/>
              <w:rPr>
                <w:rFonts w:hint="eastAsia" w:ascii="仿宋" w:hAnsi="仿宋" w:eastAsia="仿宋" w:cs="仿宋"/>
                <w:color w:val="auto"/>
                <w:kern w:val="2"/>
                <w:sz w:val="24"/>
                <w:szCs w:val="24"/>
                <w:highlight w:val="none"/>
              </w:rPr>
            </w:pPr>
          </w:p>
        </w:tc>
        <w:tc>
          <w:tcPr>
            <w:tcW w:w="2143" w:type="dxa"/>
            <w:noWrap w:val="0"/>
            <w:vAlign w:val="top"/>
          </w:tcPr>
          <w:p w14:paraId="3559C1B2">
            <w:pPr>
              <w:pStyle w:val="28"/>
              <w:spacing w:beforeLines="0" w:line="360" w:lineRule="auto"/>
              <w:rPr>
                <w:rFonts w:hint="eastAsia" w:ascii="仿宋" w:hAnsi="仿宋" w:eastAsia="仿宋" w:cs="仿宋"/>
                <w:color w:val="auto"/>
                <w:kern w:val="2"/>
                <w:sz w:val="24"/>
                <w:szCs w:val="24"/>
                <w:highlight w:val="none"/>
              </w:rPr>
            </w:pPr>
          </w:p>
        </w:tc>
        <w:tc>
          <w:tcPr>
            <w:tcW w:w="1834" w:type="dxa"/>
            <w:noWrap w:val="0"/>
            <w:vAlign w:val="top"/>
          </w:tcPr>
          <w:p w14:paraId="6B01E30B">
            <w:pPr>
              <w:pStyle w:val="28"/>
              <w:spacing w:beforeLines="0" w:line="360" w:lineRule="auto"/>
              <w:rPr>
                <w:rFonts w:hint="eastAsia" w:ascii="仿宋" w:hAnsi="仿宋" w:eastAsia="仿宋" w:cs="仿宋"/>
                <w:color w:val="auto"/>
                <w:kern w:val="2"/>
                <w:sz w:val="24"/>
                <w:szCs w:val="24"/>
                <w:highlight w:val="none"/>
              </w:rPr>
            </w:pPr>
          </w:p>
        </w:tc>
        <w:tc>
          <w:tcPr>
            <w:tcW w:w="2181" w:type="dxa"/>
            <w:noWrap w:val="0"/>
            <w:vAlign w:val="top"/>
          </w:tcPr>
          <w:p w14:paraId="45FB91CE">
            <w:pPr>
              <w:pStyle w:val="28"/>
              <w:spacing w:beforeLines="0" w:line="360" w:lineRule="auto"/>
              <w:rPr>
                <w:rFonts w:hint="eastAsia" w:ascii="仿宋" w:hAnsi="仿宋" w:eastAsia="仿宋" w:cs="仿宋"/>
                <w:color w:val="auto"/>
                <w:kern w:val="2"/>
                <w:sz w:val="24"/>
                <w:szCs w:val="24"/>
                <w:highlight w:val="none"/>
              </w:rPr>
            </w:pPr>
          </w:p>
        </w:tc>
        <w:tc>
          <w:tcPr>
            <w:tcW w:w="1934" w:type="dxa"/>
            <w:noWrap w:val="0"/>
            <w:vAlign w:val="top"/>
          </w:tcPr>
          <w:p w14:paraId="400DF025">
            <w:pPr>
              <w:pStyle w:val="28"/>
              <w:spacing w:beforeLines="0" w:line="360" w:lineRule="auto"/>
              <w:rPr>
                <w:rFonts w:hint="eastAsia" w:ascii="仿宋" w:hAnsi="仿宋" w:eastAsia="仿宋" w:cs="仿宋"/>
                <w:color w:val="auto"/>
                <w:kern w:val="2"/>
                <w:sz w:val="24"/>
                <w:szCs w:val="24"/>
                <w:highlight w:val="none"/>
              </w:rPr>
            </w:pPr>
          </w:p>
        </w:tc>
      </w:tr>
      <w:tr w14:paraId="2392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62E96E4C">
            <w:pPr>
              <w:pStyle w:val="28"/>
              <w:spacing w:beforeLines="0" w:line="360" w:lineRule="auto"/>
              <w:rPr>
                <w:rFonts w:hint="eastAsia" w:ascii="仿宋" w:hAnsi="仿宋" w:eastAsia="仿宋" w:cs="仿宋"/>
                <w:color w:val="auto"/>
                <w:kern w:val="2"/>
                <w:sz w:val="24"/>
                <w:szCs w:val="24"/>
                <w:highlight w:val="none"/>
              </w:rPr>
            </w:pPr>
          </w:p>
        </w:tc>
        <w:tc>
          <w:tcPr>
            <w:tcW w:w="2143" w:type="dxa"/>
            <w:noWrap w:val="0"/>
            <w:vAlign w:val="top"/>
          </w:tcPr>
          <w:p w14:paraId="35FFC491">
            <w:pPr>
              <w:pStyle w:val="28"/>
              <w:spacing w:beforeLines="0" w:line="360" w:lineRule="auto"/>
              <w:rPr>
                <w:rFonts w:hint="eastAsia" w:ascii="仿宋" w:hAnsi="仿宋" w:eastAsia="仿宋" w:cs="仿宋"/>
                <w:color w:val="auto"/>
                <w:kern w:val="2"/>
                <w:sz w:val="24"/>
                <w:szCs w:val="24"/>
                <w:highlight w:val="none"/>
              </w:rPr>
            </w:pPr>
          </w:p>
        </w:tc>
        <w:tc>
          <w:tcPr>
            <w:tcW w:w="1834" w:type="dxa"/>
            <w:noWrap w:val="0"/>
            <w:vAlign w:val="top"/>
          </w:tcPr>
          <w:p w14:paraId="42324028">
            <w:pPr>
              <w:pStyle w:val="28"/>
              <w:spacing w:beforeLines="0" w:line="360" w:lineRule="auto"/>
              <w:rPr>
                <w:rFonts w:hint="eastAsia" w:ascii="仿宋" w:hAnsi="仿宋" w:eastAsia="仿宋" w:cs="仿宋"/>
                <w:color w:val="auto"/>
                <w:kern w:val="2"/>
                <w:sz w:val="24"/>
                <w:szCs w:val="24"/>
                <w:highlight w:val="none"/>
              </w:rPr>
            </w:pPr>
          </w:p>
        </w:tc>
        <w:tc>
          <w:tcPr>
            <w:tcW w:w="2181" w:type="dxa"/>
            <w:noWrap w:val="0"/>
            <w:vAlign w:val="top"/>
          </w:tcPr>
          <w:p w14:paraId="2277D38D">
            <w:pPr>
              <w:pStyle w:val="28"/>
              <w:spacing w:beforeLines="0" w:line="360" w:lineRule="auto"/>
              <w:rPr>
                <w:rFonts w:hint="eastAsia" w:ascii="仿宋" w:hAnsi="仿宋" w:eastAsia="仿宋" w:cs="仿宋"/>
                <w:color w:val="auto"/>
                <w:kern w:val="2"/>
                <w:sz w:val="24"/>
                <w:szCs w:val="24"/>
                <w:highlight w:val="none"/>
              </w:rPr>
            </w:pPr>
          </w:p>
        </w:tc>
        <w:tc>
          <w:tcPr>
            <w:tcW w:w="1934" w:type="dxa"/>
            <w:noWrap w:val="0"/>
            <w:vAlign w:val="top"/>
          </w:tcPr>
          <w:p w14:paraId="4EF64642">
            <w:pPr>
              <w:pStyle w:val="28"/>
              <w:spacing w:beforeLines="0" w:line="360" w:lineRule="auto"/>
              <w:rPr>
                <w:rFonts w:hint="eastAsia" w:ascii="仿宋" w:hAnsi="仿宋" w:eastAsia="仿宋" w:cs="仿宋"/>
                <w:color w:val="auto"/>
                <w:kern w:val="2"/>
                <w:sz w:val="24"/>
                <w:szCs w:val="24"/>
                <w:highlight w:val="none"/>
              </w:rPr>
            </w:pPr>
          </w:p>
        </w:tc>
      </w:tr>
      <w:tr w14:paraId="6593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vAlign w:val="top"/>
          </w:tcPr>
          <w:p w14:paraId="04E40791">
            <w:pPr>
              <w:pStyle w:val="28"/>
              <w:spacing w:beforeLines="0" w:line="360" w:lineRule="auto"/>
              <w:rPr>
                <w:rFonts w:hint="eastAsia" w:ascii="仿宋" w:hAnsi="仿宋" w:eastAsia="仿宋" w:cs="仿宋"/>
                <w:color w:val="auto"/>
                <w:kern w:val="2"/>
                <w:sz w:val="24"/>
                <w:szCs w:val="24"/>
                <w:highlight w:val="none"/>
              </w:rPr>
            </w:pPr>
          </w:p>
        </w:tc>
        <w:tc>
          <w:tcPr>
            <w:tcW w:w="2143" w:type="dxa"/>
            <w:noWrap w:val="0"/>
            <w:vAlign w:val="top"/>
          </w:tcPr>
          <w:p w14:paraId="6018942B">
            <w:pPr>
              <w:pStyle w:val="28"/>
              <w:spacing w:beforeLines="0" w:line="360" w:lineRule="auto"/>
              <w:rPr>
                <w:rFonts w:hint="eastAsia" w:ascii="仿宋" w:hAnsi="仿宋" w:eastAsia="仿宋" w:cs="仿宋"/>
                <w:color w:val="auto"/>
                <w:kern w:val="2"/>
                <w:sz w:val="24"/>
                <w:szCs w:val="24"/>
                <w:highlight w:val="none"/>
              </w:rPr>
            </w:pPr>
          </w:p>
        </w:tc>
        <w:tc>
          <w:tcPr>
            <w:tcW w:w="1834" w:type="dxa"/>
            <w:noWrap w:val="0"/>
            <w:vAlign w:val="top"/>
          </w:tcPr>
          <w:p w14:paraId="111446B9">
            <w:pPr>
              <w:pStyle w:val="28"/>
              <w:spacing w:beforeLines="0" w:line="360" w:lineRule="auto"/>
              <w:rPr>
                <w:rFonts w:hint="eastAsia" w:ascii="仿宋" w:hAnsi="仿宋" w:eastAsia="仿宋" w:cs="仿宋"/>
                <w:color w:val="auto"/>
                <w:kern w:val="2"/>
                <w:sz w:val="24"/>
                <w:szCs w:val="24"/>
                <w:highlight w:val="none"/>
              </w:rPr>
            </w:pPr>
          </w:p>
        </w:tc>
        <w:tc>
          <w:tcPr>
            <w:tcW w:w="2181" w:type="dxa"/>
            <w:noWrap w:val="0"/>
            <w:vAlign w:val="top"/>
          </w:tcPr>
          <w:p w14:paraId="6F4F3A30">
            <w:pPr>
              <w:pStyle w:val="28"/>
              <w:spacing w:beforeLines="0" w:line="360" w:lineRule="auto"/>
              <w:rPr>
                <w:rFonts w:hint="eastAsia" w:ascii="仿宋" w:hAnsi="仿宋" w:eastAsia="仿宋" w:cs="仿宋"/>
                <w:color w:val="auto"/>
                <w:kern w:val="2"/>
                <w:sz w:val="24"/>
                <w:szCs w:val="24"/>
                <w:highlight w:val="none"/>
              </w:rPr>
            </w:pPr>
          </w:p>
        </w:tc>
        <w:tc>
          <w:tcPr>
            <w:tcW w:w="1934" w:type="dxa"/>
            <w:noWrap w:val="0"/>
            <w:vAlign w:val="top"/>
          </w:tcPr>
          <w:p w14:paraId="72B1ED1D">
            <w:pPr>
              <w:pStyle w:val="28"/>
              <w:spacing w:beforeLines="0" w:line="360" w:lineRule="auto"/>
              <w:rPr>
                <w:rFonts w:hint="eastAsia" w:ascii="仿宋" w:hAnsi="仿宋" w:eastAsia="仿宋" w:cs="仿宋"/>
                <w:color w:val="auto"/>
                <w:kern w:val="2"/>
                <w:sz w:val="24"/>
                <w:szCs w:val="24"/>
                <w:highlight w:val="none"/>
              </w:rPr>
            </w:pPr>
          </w:p>
        </w:tc>
      </w:tr>
    </w:tbl>
    <w:p w14:paraId="0368C19F">
      <w:pPr>
        <w:pStyle w:val="19"/>
        <w:spacing w:beforeLines="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7AFABD8C">
      <w:pPr>
        <w:pStyle w:val="20"/>
        <w:spacing w:beforeLines="0" w:line="360" w:lineRule="auto"/>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说明：应对照招标文件“第二章 采购需求”中的技术需求逐条实质性响应，并作出偏离说明。</w:t>
      </w:r>
    </w:p>
    <w:p w14:paraId="2D0ECEF0">
      <w:pPr>
        <w:pStyle w:val="19"/>
        <w:spacing w:beforeLines="0" w:line="360" w:lineRule="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4"/>
          <w:szCs w:val="24"/>
          <w:highlight w:val="none"/>
        </w:rPr>
        <w:t>2.投标人应根据投标设备的性能指标，对照招标文件要求，在“偏离说明”中注明“</w:t>
      </w:r>
      <w:r>
        <w:rPr>
          <w:rFonts w:hint="eastAsia" w:ascii="仿宋" w:hAnsi="仿宋" w:eastAsia="仿宋" w:cs="仿宋"/>
          <w:color w:val="auto"/>
          <w:sz w:val="24"/>
          <w:szCs w:val="24"/>
          <w:highlight w:val="none"/>
        </w:rPr>
        <w:t>正偏离</w:t>
      </w:r>
      <w:r>
        <w:rPr>
          <w:rFonts w:hint="eastAsia" w:ascii="仿宋" w:hAnsi="仿宋" w:eastAsia="仿宋" w:cs="仿宋"/>
          <w:b w:val="0"/>
          <w:bCs w:val="0"/>
          <w:color w:val="auto"/>
          <w:sz w:val="24"/>
          <w:szCs w:val="24"/>
          <w:highlight w:val="none"/>
        </w:rPr>
        <w:t>”、“</w:t>
      </w:r>
      <w:r>
        <w:rPr>
          <w:rFonts w:hint="eastAsia" w:ascii="仿宋" w:hAnsi="仿宋" w:eastAsia="仿宋" w:cs="仿宋"/>
          <w:color w:val="auto"/>
          <w:sz w:val="24"/>
          <w:szCs w:val="24"/>
          <w:highlight w:val="none"/>
        </w:rPr>
        <w:t>负偏离</w:t>
      </w:r>
      <w:r>
        <w:rPr>
          <w:rFonts w:hint="eastAsia" w:ascii="仿宋" w:hAnsi="仿宋" w:eastAsia="仿宋" w:cs="仿宋"/>
          <w:b w:val="0"/>
          <w:bCs w:val="0"/>
          <w:color w:val="auto"/>
          <w:sz w:val="24"/>
          <w:szCs w:val="24"/>
          <w:highlight w:val="none"/>
        </w:rPr>
        <w:t>”或者“</w:t>
      </w:r>
      <w:r>
        <w:rPr>
          <w:rFonts w:hint="eastAsia" w:ascii="仿宋" w:hAnsi="仿宋" w:eastAsia="仿宋" w:cs="仿宋"/>
          <w:color w:val="auto"/>
          <w:sz w:val="24"/>
          <w:szCs w:val="24"/>
          <w:highlight w:val="none"/>
        </w:rPr>
        <w:t>无偏离</w:t>
      </w:r>
      <w:r>
        <w:rPr>
          <w:rFonts w:hint="eastAsia" w:ascii="仿宋" w:hAnsi="仿宋" w:eastAsia="仿宋" w:cs="仿宋"/>
          <w:b w:val="0"/>
          <w:bCs w:val="0"/>
          <w:color w:val="auto"/>
          <w:sz w:val="24"/>
          <w:szCs w:val="24"/>
          <w:highlight w:val="none"/>
        </w:rPr>
        <w:t>”。既不属于“</w:t>
      </w:r>
      <w:r>
        <w:rPr>
          <w:rFonts w:hint="eastAsia" w:ascii="仿宋" w:hAnsi="仿宋" w:eastAsia="仿宋" w:cs="仿宋"/>
          <w:color w:val="auto"/>
          <w:sz w:val="24"/>
          <w:szCs w:val="24"/>
          <w:highlight w:val="none"/>
        </w:rPr>
        <w:t>正偏离</w:t>
      </w:r>
      <w:r>
        <w:rPr>
          <w:rFonts w:hint="eastAsia" w:ascii="仿宋" w:hAnsi="仿宋" w:eastAsia="仿宋" w:cs="仿宋"/>
          <w:b w:val="0"/>
          <w:bCs w:val="0"/>
          <w:color w:val="auto"/>
          <w:sz w:val="24"/>
          <w:szCs w:val="24"/>
          <w:highlight w:val="none"/>
        </w:rPr>
        <w:t>”也不属于“</w:t>
      </w:r>
      <w:r>
        <w:rPr>
          <w:rFonts w:hint="eastAsia" w:ascii="仿宋" w:hAnsi="仿宋" w:eastAsia="仿宋" w:cs="仿宋"/>
          <w:color w:val="auto"/>
          <w:sz w:val="24"/>
          <w:szCs w:val="24"/>
          <w:highlight w:val="none"/>
        </w:rPr>
        <w:t>负偏离</w:t>
      </w:r>
      <w:r>
        <w:rPr>
          <w:rFonts w:hint="eastAsia" w:ascii="仿宋" w:hAnsi="仿宋" w:eastAsia="仿宋" w:cs="仿宋"/>
          <w:b w:val="0"/>
          <w:bCs w:val="0"/>
          <w:color w:val="auto"/>
          <w:sz w:val="24"/>
          <w:szCs w:val="24"/>
          <w:highlight w:val="none"/>
        </w:rPr>
        <w:t>”即为“</w:t>
      </w:r>
      <w:r>
        <w:rPr>
          <w:rFonts w:hint="eastAsia" w:ascii="仿宋" w:hAnsi="仿宋" w:eastAsia="仿宋" w:cs="仿宋"/>
          <w:color w:val="auto"/>
          <w:sz w:val="24"/>
          <w:szCs w:val="24"/>
          <w:highlight w:val="none"/>
        </w:rPr>
        <w:t>无偏离</w:t>
      </w:r>
      <w:r>
        <w:rPr>
          <w:rFonts w:hint="eastAsia" w:ascii="仿宋" w:hAnsi="仿宋" w:eastAsia="仿宋" w:cs="仿宋"/>
          <w:b w:val="0"/>
          <w:bCs w:val="0"/>
          <w:color w:val="auto"/>
          <w:sz w:val="24"/>
          <w:szCs w:val="24"/>
          <w:highlight w:val="none"/>
        </w:rPr>
        <w:t>”。</w:t>
      </w:r>
    </w:p>
    <w:p w14:paraId="329DFFAE">
      <w:pPr>
        <w:pStyle w:val="19"/>
        <w:spacing w:beforeLines="0" w:line="360" w:lineRule="auto"/>
        <w:rPr>
          <w:rFonts w:hint="eastAsia" w:ascii="仿宋" w:hAnsi="仿宋" w:eastAsia="仿宋" w:cs="仿宋"/>
          <w:color w:val="auto"/>
          <w:spacing w:val="20"/>
          <w:sz w:val="24"/>
          <w:szCs w:val="24"/>
          <w:highlight w:val="none"/>
        </w:rPr>
      </w:pPr>
    </w:p>
    <w:p w14:paraId="7F053EA2">
      <w:pPr>
        <w:pStyle w:val="28"/>
        <w:spacing w:beforeLines="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pacing w:val="20"/>
          <w:kern w:val="2"/>
          <w:sz w:val="24"/>
          <w:szCs w:val="24"/>
          <w:highlight w:val="none"/>
        </w:rPr>
        <w:t>法定代表人或者委托代理人签字[或盖章(CA签章)]</w:t>
      </w:r>
      <w:r>
        <w:rPr>
          <w:rFonts w:hint="eastAsia" w:ascii="仿宋" w:hAnsi="仿宋" w:eastAsia="仿宋" w:cs="仿宋"/>
          <w:color w:val="auto"/>
          <w:spacing w:val="20"/>
          <w:sz w:val="24"/>
          <w:szCs w:val="24"/>
          <w:highlight w:val="none"/>
        </w:rPr>
        <w:t>（属自然人的应在签名处加盖大拇指指印或个人CA签章）：</w:t>
      </w:r>
      <w:r>
        <w:rPr>
          <w:rFonts w:hint="eastAsia" w:ascii="仿宋" w:hAnsi="仿宋" w:eastAsia="仿宋" w:cs="仿宋"/>
          <w:color w:val="auto"/>
          <w:spacing w:val="20"/>
          <w:sz w:val="24"/>
          <w:szCs w:val="24"/>
          <w:highlight w:val="none"/>
          <w:u w:val="single"/>
        </w:rPr>
        <w:t xml:space="preserve">        </w:t>
      </w:r>
    </w:p>
    <w:p w14:paraId="5ED16C51">
      <w:pPr>
        <w:snapToGrid w:val="0"/>
        <w:spacing w:before="0" w:beforeLines="0" w:after="0" w:line="360" w:lineRule="auto"/>
        <w:rPr>
          <w:rFonts w:hint="eastAsia"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投标人[</w:t>
      </w:r>
      <w:r>
        <w:rPr>
          <w:rFonts w:hint="eastAsia" w:ascii="仿宋" w:hAnsi="仿宋" w:eastAsia="仿宋" w:cs="仿宋"/>
          <w:color w:val="auto"/>
          <w:spacing w:val="20"/>
          <w:sz w:val="24"/>
          <w:szCs w:val="24"/>
          <w:highlight w:val="none"/>
          <w:lang w:eastAsia="zh-CN"/>
        </w:rPr>
        <w:t>公章(或CA签章)</w:t>
      </w:r>
      <w:r>
        <w:rPr>
          <w:rFonts w:hint="eastAsia" w:ascii="仿宋" w:hAnsi="仿宋" w:eastAsia="仿宋" w:cs="仿宋"/>
          <w:color w:val="auto"/>
          <w:spacing w:val="20"/>
          <w:sz w:val="24"/>
          <w:szCs w:val="24"/>
          <w:highlight w:val="none"/>
        </w:rPr>
        <w:t>、自然人除外]：</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 xml:space="preserve">              </w:t>
      </w:r>
    </w:p>
    <w:p w14:paraId="0BDEFC59">
      <w:pPr>
        <w:snapToGrid w:val="0"/>
        <w:spacing w:before="0" w:beforeLines="0" w:after="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pacing w:val="20"/>
          <w:sz w:val="24"/>
          <w:szCs w:val="24"/>
          <w:highlight w:val="none"/>
        </w:rPr>
        <w:t>日 期：</w:t>
      </w:r>
      <w:r>
        <w:rPr>
          <w:rFonts w:hint="eastAsia" w:ascii="仿宋" w:hAnsi="仿宋" w:eastAsia="仿宋" w:cs="仿宋"/>
          <w:color w:val="auto"/>
          <w:spacing w:val="20"/>
          <w:sz w:val="24"/>
          <w:szCs w:val="24"/>
          <w:highlight w:val="none"/>
          <w:u w:val="single"/>
        </w:rPr>
        <w:t xml:space="preserve">        </w:t>
      </w:r>
    </w:p>
    <w:p w14:paraId="6E25B682">
      <w:pPr>
        <w:snapToGrid w:val="0"/>
        <w:spacing w:before="0" w:beforeLines="0" w:after="0" w:line="360" w:lineRule="auto"/>
        <w:rPr>
          <w:rFonts w:hint="eastAsia" w:ascii="仿宋" w:hAnsi="仿宋" w:eastAsia="仿宋" w:cs="仿宋"/>
          <w:color w:val="auto"/>
          <w:sz w:val="24"/>
          <w:szCs w:val="24"/>
          <w:highlight w:val="none"/>
        </w:rPr>
      </w:pPr>
    </w:p>
    <w:p w14:paraId="454702A9">
      <w:pPr>
        <w:snapToGrid w:val="0"/>
        <w:spacing w:before="120" w:beforeLines="50" w:after="50"/>
        <w:ind w:left="142"/>
        <w:jc w:val="left"/>
        <w:rPr>
          <w:rFonts w:hint="eastAsia" w:ascii="仿宋" w:hAnsi="仿宋" w:eastAsia="仿宋" w:cs="仿宋"/>
          <w:b/>
          <w:color w:val="auto"/>
          <w:sz w:val="24"/>
          <w:highlight w:val="none"/>
          <w:lang w:val="en-US" w:eastAsia="zh-CN"/>
        </w:rPr>
      </w:pPr>
      <w:r>
        <w:rPr>
          <w:rFonts w:hint="eastAsia" w:ascii="仿宋" w:hAnsi="仿宋" w:eastAsia="仿宋" w:cs="仿宋"/>
          <w:b/>
          <w:color w:val="auto"/>
          <w:sz w:val="21"/>
          <w:szCs w:val="21"/>
          <w:highlight w:val="none"/>
        </w:rPr>
        <w:br w:type="page"/>
      </w:r>
    </w:p>
    <w:p w14:paraId="07DA7B6C">
      <w:pPr>
        <w:snapToGrid w:val="0"/>
        <w:spacing w:before="120" w:beforeLines="50" w:after="50"/>
        <w:ind w:left="142"/>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lang w:eastAsia="zh-CN"/>
        </w:rPr>
        <w:t>实施人员配备表</w:t>
      </w:r>
      <w:r>
        <w:rPr>
          <w:rFonts w:hint="eastAsia" w:ascii="仿宋" w:hAnsi="仿宋" w:eastAsia="仿宋" w:cs="仿宋"/>
          <w:b/>
          <w:color w:val="auto"/>
          <w:sz w:val="24"/>
          <w:highlight w:val="none"/>
        </w:rPr>
        <w:t>格式</w:t>
      </w:r>
    </w:p>
    <w:p w14:paraId="7178C41C">
      <w:pPr>
        <w:snapToGrid w:val="0"/>
        <w:spacing w:before="120" w:beforeLines="50" w:after="50"/>
        <w:ind w:left="142"/>
        <w:jc w:val="center"/>
        <w:rPr>
          <w:rFonts w:hint="eastAsia" w:ascii="仿宋" w:hAnsi="仿宋" w:eastAsia="仿宋" w:cs="仿宋"/>
          <w:b/>
          <w:color w:val="auto"/>
          <w:sz w:val="32"/>
          <w:szCs w:val="32"/>
          <w:highlight w:val="none"/>
        </w:rPr>
      </w:pPr>
    </w:p>
    <w:p w14:paraId="05994B2C">
      <w:pPr>
        <w:snapToGrid w:val="0"/>
        <w:spacing w:before="120" w:beforeLines="50" w:after="50"/>
        <w:ind w:left="142"/>
        <w:jc w:val="center"/>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lang w:eastAsia="zh-CN"/>
        </w:rPr>
        <w:t>实施人员配备表</w:t>
      </w:r>
    </w:p>
    <w:p w14:paraId="10595252">
      <w:pPr>
        <w:pStyle w:val="2"/>
        <w:rPr>
          <w:rFonts w:hint="eastAsia"/>
          <w:highlight w:val="none"/>
          <w:lang w:eastAsia="zh-CN"/>
        </w:rPr>
      </w:pPr>
    </w:p>
    <w:tbl>
      <w:tblPr>
        <w:tblStyle w:val="52"/>
        <w:tblW w:w="98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20"/>
        <w:gridCol w:w="1723"/>
        <w:gridCol w:w="2267"/>
        <w:gridCol w:w="1776"/>
        <w:gridCol w:w="2216"/>
      </w:tblGrid>
      <w:tr w14:paraId="62B10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14:paraId="38BA2EC6">
            <w:pPr>
              <w:snapToGrid w:val="0"/>
              <w:spacing w:before="120" w:beforeLines="50" w:after="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723" w:type="dxa"/>
            <w:tcBorders>
              <w:top w:val="single" w:color="auto" w:sz="4" w:space="0"/>
              <w:left w:val="single" w:color="auto" w:sz="4" w:space="0"/>
              <w:bottom w:val="single" w:color="auto" w:sz="4" w:space="0"/>
              <w:right w:val="single" w:color="auto" w:sz="4" w:space="0"/>
            </w:tcBorders>
            <w:vAlign w:val="center"/>
          </w:tcPr>
          <w:p w14:paraId="1802C452">
            <w:pPr>
              <w:snapToGrid w:val="0"/>
              <w:spacing w:before="120" w:beforeLines="50" w:after="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2267" w:type="dxa"/>
            <w:tcBorders>
              <w:top w:val="single" w:color="auto" w:sz="4" w:space="0"/>
              <w:left w:val="single" w:color="auto" w:sz="4" w:space="0"/>
              <w:bottom w:val="single" w:color="auto" w:sz="4" w:space="0"/>
              <w:right w:val="single" w:color="auto" w:sz="4" w:space="0"/>
            </w:tcBorders>
            <w:vAlign w:val="center"/>
          </w:tcPr>
          <w:p w14:paraId="4FDAF791">
            <w:pPr>
              <w:snapToGrid w:val="0"/>
              <w:spacing w:before="120" w:beforeLines="50" w:after="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技术（技能）资格</w:t>
            </w:r>
          </w:p>
        </w:tc>
        <w:tc>
          <w:tcPr>
            <w:tcW w:w="1776" w:type="dxa"/>
            <w:tcBorders>
              <w:top w:val="single" w:color="auto" w:sz="4" w:space="0"/>
              <w:left w:val="single" w:color="auto" w:sz="4" w:space="0"/>
              <w:bottom w:val="single" w:color="auto" w:sz="4" w:space="0"/>
              <w:right w:val="single" w:color="auto" w:sz="4" w:space="0"/>
            </w:tcBorders>
            <w:vAlign w:val="center"/>
          </w:tcPr>
          <w:p w14:paraId="401691D0">
            <w:pPr>
              <w:snapToGrid w:val="0"/>
              <w:spacing w:before="120" w:beforeLines="50" w:after="5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证书编号</w:t>
            </w:r>
          </w:p>
        </w:tc>
        <w:tc>
          <w:tcPr>
            <w:tcW w:w="2216" w:type="dxa"/>
            <w:tcBorders>
              <w:top w:val="single" w:color="auto" w:sz="4" w:space="0"/>
              <w:left w:val="single" w:color="auto" w:sz="4" w:space="0"/>
              <w:bottom w:val="single" w:color="auto" w:sz="4" w:space="0"/>
              <w:right w:val="single" w:color="auto" w:sz="4" w:space="0"/>
            </w:tcBorders>
            <w:vAlign w:val="center"/>
          </w:tcPr>
          <w:p w14:paraId="4540E240">
            <w:pPr>
              <w:snapToGrid w:val="0"/>
              <w:spacing w:before="120" w:beforeLines="50" w:after="50"/>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拟在本项目中担任的职务（或岗位）</w:t>
            </w:r>
          </w:p>
        </w:tc>
      </w:tr>
      <w:tr w14:paraId="5D4F9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1820" w:type="dxa"/>
            <w:tcBorders>
              <w:top w:val="single" w:color="auto" w:sz="4" w:space="0"/>
              <w:left w:val="single" w:color="auto" w:sz="4" w:space="0"/>
              <w:bottom w:val="single" w:color="auto" w:sz="4" w:space="0"/>
              <w:right w:val="single" w:color="auto" w:sz="4" w:space="0"/>
            </w:tcBorders>
          </w:tcPr>
          <w:p w14:paraId="6668ED74">
            <w:pPr>
              <w:snapToGrid w:val="0"/>
              <w:spacing w:before="120" w:beforeLines="50" w:after="50"/>
              <w:rPr>
                <w:rFonts w:hint="eastAsia" w:ascii="仿宋" w:hAnsi="仿宋" w:eastAsia="仿宋" w:cs="仿宋"/>
                <w:color w:val="auto"/>
                <w:sz w:val="24"/>
                <w:highlight w:val="none"/>
              </w:rPr>
            </w:pPr>
          </w:p>
        </w:tc>
        <w:tc>
          <w:tcPr>
            <w:tcW w:w="1723" w:type="dxa"/>
            <w:tcBorders>
              <w:top w:val="single" w:color="auto" w:sz="4" w:space="0"/>
              <w:left w:val="single" w:color="auto" w:sz="4" w:space="0"/>
              <w:bottom w:val="single" w:color="auto" w:sz="4" w:space="0"/>
              <w:right w:val="single" w:color="auto" w:sz="4" w:space="0"/>
            </w:tcBorders>
          </w:tcPr>
          <w:p w14:paraId="18C1C0CE">
            <w:pPr>
              <w:snapToGrid w:val="0"/>
              <w:spacing w:before="120" w:beforeLines="50" w:after="50"/>
              <w:rPr>
                <w:rFonts w:hint="eastAsia" w:ascii="仿宋" w:hAnsi="仿宋" w:eastAsia="仿宋" w:cs="仿宋"/>
                <w:color w:val="auto"/>
                <w:sz w:val="24"/>
                <w:highlight w:val="none"/>
              </w:rPr>
            </w:pPr>
          </w:p>
        </w:tc>
        <w:tc>
          <w:tcPr>
            <w:tcW w:w="2267" w:type="dxa"/>
            <w:tcBorders>
              <w:top w:val="single" w:color="auto" w:sz="4" w:space="0"/>
              <w:left w:val="single" w:color="auto" w:sz="4" w:space="0"/>
              <w:bottom w:val="single" w:color="auto" w:sz="4" w:space="0"/>
              <w:right w:val="single" w:color="auto" w:sz="4" w:space="0"/>
            </w:tcBorders>
          </w:tcPr>
          <w:p w14:paraId="47E5A239">
            <w:pPr>
              <w:snapToGrid w:val="0"/>
              <w:spacing w:before="120" w:beforeLines="50" w:after="50"/>
              <w:rPr>
                <w:rFonts w:hint="eastAsia" w:ascii="仿宋" w:hAnsi="仿宋" w:eastAsia="仿宋" w:cs="仿宋"/>
                <w:color w:val="auto"/>
                <w:sz w:val="24"/>
                <w:highlight w:val="none"/>
              </w:rPr>
            </w:pPr>
          </w:p>
        </w:tc>
        <w:tc>
          <w:tcPr>
            <w:tcW w:w="1776" w:type="dxa"/>
            <w:tcBorders>
              <w:top w:val="single" w:color="auto" w:sz="4" w:space="0"/>
              <w:left w:val="single" w:color="auto" w:sz="4" w:space="0"/>
              <w:bottom w:val="single" w:color="auto" w:sz="4" w:space="0"/>
              <w:right w:val="single" w:color="auto" w:sz="4" w:space="0"/>
            </w:tcBorders>
          </w:tcPr>
          <w:p w14:paraId="0D5DC5E4">
            <w:pPr>
              <w:snapToGrid w:val="0"/>
              <w:spacing w:before="120" w:beforeLines="50" w:after="50"/>
              <w:rPr>
                <w:rFonts w:hint="eastAsia" w:ascii="仿宋" w:hAnsi="仿宋" w:eastAsia="仿宋" w:cs="仿宋"/>
                <w:color w:val="auto"/>
                <w:sz w:val="24"/>
                <w:highlight w:val="none"/>
              </w:rPr>
            </w:pPr>
          </w:p>
        </w:tc>
        <w:tc>
          <w:tcPr>
            <w:tcW w:w="2216" w:type="dxa"/>
            <w:tcBorders>
              <w:top w:val="single" w:color="auto" w:sz="4" w:space="0"/>
              <w:left w:val="single" w:color="auto" w:sz="4" w:space="0"/>
              <w:bottom w:val="single" w:color="auto" w:sz="4" w:space="0"/>
              <w:right w:val="single" w:color="auto" w:sz="4" w:space="0"/>
            </w:tcBorders>
          </w:tcPr>
          <w:p w14:paraId="69BD6685">
            <w:pPr>
              <w:snapToGrid w:val="0"/>
              <w:spacing w:before="120" w:beforeLines="50" w:after="50"/>
              <w:rPr>
                <w:rFonts w:hint="eastAsia" w:ascii="仿宋" w:hAnsi="仿宋" w:eastAsia="仿宋" w:cs="仿宋"/>
                <w:color w:val="auto"/>
                <w:sz w:val="24"/>
                <w:highlight w:val="none"/>
              </w:rPr>
            </w:pPr>
          </w:p>
        </w:tc>
      </w:tr>
      <w:tr w14:paraId="7A8B5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820" w:type="dxa"/>
            <w:tcBorders>
              <w:top w:val="single" w:color="auto" w:sz="4" w:space="0"/>
              <w:left w:val="single" w:color="auto" w:sz="4" w:space="0"/>
              <w:bottom w:val="single" w:color="auto" w:sz="4" w:space="0"/>
              <w:right w:val="single" w:color="auto" w:sz="4" w:space="0"/>
            </w:tcBorders>
          </w:tcPr>
          <w:p w14:paraId="5308BAA3">
            <w:pPr>
              <w:snapToGrid w:val="0"/>
              <w:spacing w:before="120" w:beforeLines="50" w:after="50"/>
              <w:rPr>
                <w:rFonts w:hint="eastAsia" w:ascii="仿宋" w:hAnsi="仿宋" w:eastAsia="仿宋" w:cs="仿宋"/>
                <w:color w:val="auto"/>
                <w:sz w:val="24"/>
                <w:highlight w:val="none"/>
              </w:rPr>
            </w:pPr>
          </w:p>
        </w:tc>
        <w:tc>
          <w:tcPr>
            <w:tcW w:w="1723" w:type="dxa"/>
            <w:tcBorders>
              <w:top w:val="single" w:color="auto" w:sz="4" w:space="0"/>
              <w:left w:val="single" w:color="auto" w:sz="4" w:space="0"/>
              <w:bottom w:val="single" w:color="auto" w:sz="4" w:space="0"/>
              <w:right w:val="single" w:color="auto" w:sz="4" w:space="0"/>
            </w:tcBorders>
          </w:tcPr>
          <w:p w14:paraId="3741316E">
            <w:pPr>
              <w:snapToGrid w:val="0"/>
              <w:spacing w:before="120" w:beforeLines="50" w:after="50"/>
              <w:rPr>
                <w:rFonts w:hint="eastAsia" w:ascii="仿宋" w:hAnsi="仿宋" w:eastAsia="仿宋" w:cs="仿宋"/>
                <w:color w:val="auto"/>
                <w:sz w:val="24"/>
                <w:highlight w:val="none"/>
              </w:rPr>
            </w:pPr>
          </w:p>
        </w:tc>
        <w:tc>
          <w:tcPr>
            <w:tcW w:w="2267" w:type="dxa"/>
            <w:tcBorders>
              <w:top w:val="single" w:color="auto" w:sz="4" w:space="0"/>
              <w:left w:val="single" w:color="auto" w:sz="4" w:space="0"/>
              <w:bottom w:val="single" w:color="auto" w:sz="4" w:space="0"/>
              <w:right w:val="single" w:color="auto" w:sz="4" w:space="0"/>
            </w:tcBorders>
          </w:tcPr>
          <w:p w14:paraId="316E83AF">
            <w:pPr>
              <w:snapToGrid w:val="0"/>
              <w:spacing w:before="120" w:beforeLines="50" w:after="50"/>
              <w:rPr>
                <w:rFonts w:hint="eastAsia" w:ascii="仿宋" w:hAnsi="仿宋" w:eastAsia="仿宋" w:cs="仿宋"/>
                <w:color w:val="auto"/>
                <w:sz w:val="24"/>
                <w:highlight w:val="none"/>
              </w:rPr>
            </w:pPr>
          </w:p>
        </w:tc>
        <w:tc>
          <w:tcPr>
            <w:tcW w:w="1776" w:type="dxa"/>
            <w:tcBorders>
              <w:top w:val="single" w:color="auto" w:sz="4" w:space="0"/>
              <w:left w:val="single" w:color="auto" w:sz="4" w:space="0"/>
              <w:bottom w:val="single" w:color="auto" w:sz="4" w:space="0"/>
              <w:right w:val="single" w:color="auto" w:sz="4" w:space="0"/>
            </w:tcBorders>
          </w:tcPr>
          <w:p w14:paraId="4A4C5E82">
            <w:pPr>
              <w:snapToGrid w:val="0"/>
              <w:spacing w:before="120" w:beforeLines="50" w:after="50"/>
              <w:rPr>
                <w:rFonts w:hint="eastAsia" w:ascii="仿宋" w:hAnsi="仿宋" w:eastAsia="仿宋" w:cs="仿宋"/>
                <w:color w:val="auto"/>
                <w:sz w:val="24"/>
                <w:highlight w:val="none"/>
              </w:rPr>
            </w:pPr>
          </w:p>
        </w:tc>
        <w:tc>
          <w:tcPr>
            <w:tcW w:w="2216" w:type="dxa"/>
            <w:tcBorders>
              <w:top w:val="single" w:color="auto" w:sz="4" w:space="0"/>
              <w:left w:val="single" w:color="auto" w:sz="4" w:space="0"/>
              <w:bottom w:val="single" w:color="auto" w:sz="4" w:space="0"/>
              <w:right w:val="single" w:color="auto" w:sz="4" w:space="0"/>
            </w:tcBorders>
          </w:tcPr>
          <w:p w14:paraId="6277F7B1">
            <w:pPr>
              <w:snapToGrid w:val="0"/>
              <w:spacing w:before="120" w:beforeLines="50" w:after="50"/>
              <w:rPr>
                <w:rFonts w:hint="eastAsia" w:ascii="仿宋" w:hAnsi="仿宋" w:eastAsia="仿宋" w:cs="仿宋"/>
                <w:color w:val="auto"/>
                <w:sz w:val="24"/>
                <w:highlight w:val="none"/>
              </w:rPr>
            </w:pPr>
          </w:p>
        </w:tc>
      </w:tr>
      <w:tr w14:paraId="038D0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1820" w:type="dxa"/>
            <w:tcBorders>
              <w:top w:val="single" w:color="auto" w:sz="4" w:space="0"/>
              <w:left w:val="single" w:color="auto" w:sz="4" w:space="0"/>
              <w:bottom w:val="single" w:color="auto" w:sz="4" w:space="0"/>
              <w:right w:val="single" w:color="auto" w:sz="4" w:space="0"/>
            </w:tcBorders>
          </w:tcPr>
          <w:p w14:paraId="10FEC6F2">
            <w:pPr>
              <w:snapToGrid w:val="0"/>
              <w:spacing w:before="120" w:beforeLines="50" w:after="50"/>
              <w:rPr>
                <w:rFonts w:hint="eastAsia" w:ascii="仿宋" w:hAnsi="仿宋" w:eastAsia="仿宋" w:cs="仿宋"/>
                <w:color w:val="auto"/>
                <w:sz w:val="24"/>
                <w:highlight w:val="none"/>
              </w:rPr>
            </w:pPr>
          </w:p>
        </w:tc>
        <w:tc>
          <w:tcPr>
            <w:tcW w:w="1723" w:type="dxa"/>
            <w:tcBorders>
              <w:top w:val="single" w:color="auto" w:sz="4" w:space="0"/>
              <w:left w:val="single" w:color="auto" w:sz="4" w:space="0"/>
              <w:bottom w:val="single" w:color="auto" w:sz="4" w:space="0"/>
              <w:right w:val="single" w:color="auto" w:sz="4" w:space="0"/>
            </w:tcBorders>
          </w:tcPr>
          <w:p w14:paraId="28A09860">
            <w:pPr>
              <w:snapToGrid w:val="0"/>
              <w:spacing w:before="120" w:beforeLines="50" w:after="50"/>
              <w:rPr>
                <w:rFonts w:hint="eastAsia" w:ascii="仿宋" w:hAnsi="仿宋" w:eastAsia="仿宋" w:cs="仿宋"/>
                <w:color w:val="auto"/>
                <w:sz w:val="24"/>
                <w:highlight w:val="none"/>
              </w:rPr>
            </w:pPr>
          </w:p>
        </w:tc>
        <w:tc>
          <w:tcPr>
            <w:tcW w:w="2267" w:type="dxa"/>
            <w:tcBorders>
              <w:top w:val="single" w:color="auto" w:sz="4" w:space="0"/>
              <w:left w:val="single" w:color="auto" w:sz="4" w:space="0"/>
              <w:bottom w:val="single" w:color="auto" w:sz="4" w:space="0"/>
              <w:right w:val="single" w:color="auto" w:sz="4" w:space="0"/>
            </w:tcBorders>
          </w:tcPr>
          <w:p w14:paraId="64B9BF1C">
            <w:pPr>
              <w:snapToGrid w:val="0"/>
              <w:spacing w:before="120" w:beforeLines="50" w:after="50"/>
              <w:ind w:left="5250" w:leftChars="2500"/>
              <w:rPr>
                <w:rFonts w:hint="eastAsia" w:ascii="仿宋" w:hAnsi="仿宋" w:eastAsia="仿宋" w:cs="仿宋"/>
                <w:color w:val="auto"/>
                <w:sz w:val="24"/>
                <w:highlight w:val="none"/>
              </w:rPr>
            </w:pPr>
          </w:p>
        </w:tc>
        <w:tc>
          <w:tcPr>
            <w:tcW w:w="1776" w:type="dxa"/>
            <w:tcBorders>
              <w:top w:val="single" w:color="auto" w:sz="4" w:space="0"/>
              <w:left w:val="single" w:color="auto" w:sz="4" w:space="0"/>
              <w:bottom w:val="single" w:color="auto" w:sz="4" w:space="0"/>
              <w:right w:val="single" w:color="auto" w:sz="4" w:space="0"/>
            </w:tcBorders>
          </w:tcPr>
          <w:p w14:paraId="5DECE5F9">
            <w:pPr>
              <w:snapToGrid w:val="0"/>
              <w:spacing w:before="120" w:beforeLines="50" w:after="50"/>
              <w:rPr>
                <w:rFonts w:hint="eastAsia" w:ascii="仿宋" w:hAnsi="仿宋" w:eastAsia="仿宋" w:cs="仿宋"/>
                <w:color w:val="auto"/>
                <w:sz w:val="24"/>
                <w:highlight w:val="none"/>
              </w:rPr>
            </w:pPr>
          </w:p>
        </w:tc>
        <w:tc>
          <w:tcPr>
            <w:tcW w:w="2216" w:type="dxa"/>
            <w:tcBorders>
              <w:top w:val="single" w:color="auto" w:sz="4" w:space="0"/>
              <w:left w:val="single" w:color="auto" w:sz="4" w:space="0"/>
              <w:bottom w:val="single" w:color="auto" w:sz="4" w:space="0"/>
              <w:right w:val="single" w:color="auto" w:sz="4" w:space="0"/>
            </w:tcBorders>
          </w:tcPr>
          <w:p w14:paraId="669C277B">
            <w:pPr>
              <w:snapToGrid w:val="0"/>
              <w:spacing w:before="120" w:beforeLines="50" w:after="50"/>
              <w:rPr>
                <w:rFonts w:hint="eastAsia" w:ascii="仿宋" w:hAnsi="仿宋" w:eastAsia="仿宋" w:cs="仿宋"/>
                <w:color w:val="auto"/>
                <w:sz w:val="24"/>
                <w:highlight w:val="none"/>
              </w:rPr>
            </w:pPr>
          </w:p>
        </w:tc>
      </w:tr>
    </w:tbl>
    <w:p w14:paraId="3E607F6F">
      <w:pPr>
        <w:spacing w:line="360" w:lineRule="auto"/>
        <w:contextualSpacing/>
        <w:jc w:val="left"/>
        <w:rPr>
          <w:rFonts w:hint="eastAsia" w:ascii="仿宋" w:hAnsi="仿宋" w:eastAsia="仿宋" w:cs="仿宋"/>
          <w:color w:val="auto"/>
          <w:sz w:val="24"/>
          <w:szCs w:val="20"/>
          <w:highlight w:val="none"/>
        </w:rPr>
      </w:pPr>
    </w:p>
    <w:p w14:paraId="726505D5">
      <w:pPr>
        <w:spacing w:line="360" w:lineRule="auto"/>
        <w:ind w:left="0" w:leftChars="0" w:firstLine="218" w:firstLineChars="91"/>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注：</w:t>
      </w:r>
    </w:p>
    <w:p w14:paraId="7A9A3B67">
      <w:pPr>
        <w:spacing w:line="360" w:lineRule="auto"/>
        <w:ind w:left="0" w:leftChars="0" w:firstLine="218" w:firstLineChars="91"/>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1.在填写时，如本表格不适合投标单位的实际情况，可根据本表格式自行制表填写。</w:t>
      </w:r>
    </w:p>
    <w:p w14:paraId="18993A72">
      <w:pPr>
        <w:spacing w:line="360" w:lineRule="auto"/>
        <w:ind w:left="0" w:leftChars="0" w:firstLine="218" w:firstLineChars="91"/>
        <w:contextualSpacing/>
        <w:jc w:val="left"/>
        <w:rPr>
          <w:rFonts w:hint="eastAsia" w:ascii="仿宋" w:hAnsi="仿宋" w:eastAsia="仿宋" w:cs="仿宋"/>
          <w:color w:val="auto"/>
          <w:sz w:val="24"/>
          <w:szCs w:val="20"/>
          <w:highlight w:val="none"/>
        </w:rPr>
      </w:pPr>
      <w:r>
        <w:rPr>
          <w:rFonts w:hint="eastAsia" w:ascii="仿宋" w:hAnsi="仿宋" w:eastAsia="仿宋" w:cs="仿宋"/>
          <w:color w:val="auto"/>
          <w:sz w:val="24"/>
          <w:szCs w:val="20"/>
          <w:highlight w:val="none"/>
        </w:rPr>
        <w:t>2.投标人应当附本表所列证书的复印件</w:t>
      </w:r>
      <w:r>
        <w:rPr>
          <w:rFonts w:hint="eastAsia" w:ascii="仿宋" w:hAnsi="仿宋" w:eastAsia="仿宋" w:cs="仿宋"/>
          <w:color w:val="auto"/>
          <w:sz w:val="24"/>
          <w:szCs w:val="20"/>
          <w:highlight w:val="none"/>
          <w:lang w:eastAsia="zh-CN"/>
        </w:rPr>
        <w:t>或相关证明</w:t>
      </w:r>
      <w:r>
        <w:rPr>
          <w:rFonts w:hint="eastAsia" w:ascii="仿宋" w:hAnsi="仿宋" w:eastAsia="仿宋" w:cs="仿宋"/>
          <w:color w:val="auto"/>
          <w:sz w:val="24"/>
          <w:szCs w:val="20"/>
          <w:highlight w:val="none"/>
        </w:rPr>
        <w:t>并加盖投标人公章。</w:t>
      </w:r>
    </w:p>
    <w:p w14:paraId="566B8098">
      <w:pPr>
        <w:spacing w:line="360" w:lineRule="auto"/>
        <w:ind w:left="0" w:leftChars="0" w:firstLine="218" w:firstLineChars="91"/>
        <w:contextualSpacing/>
        <w:rPr>
          <w:rFonts w:hint="eastAsia" w:ascii="仿宋" w:hAnsi="仿宋" w:eastAsia="仿宋" w:cs="仿宋"/>
          <w:color w:val="auto"/>
          <w:sz w:val="24"/>
          <w:highlight w:val="none"/>
        </w:rPr>
      </w:pPr>
    </w:p>
    <w:p w14:paraId="2AFBF550">
      <w:pPr>
        <w:spacing w:line="360" w:lineRule="auto"/>
        <w:ind w:left="0" w:leftChars="0" w:firstLine="218" w:firstLineChars="91"/>
        <w:contextualSpacing/>
        <w:rPr>
          <w:rFonts w:hint="eastAsia" w:ascii="仿宋" w:hAnsi="仿宋" w:eastAsia="仿宋" w:cs="仿宋"/>
          <w:color w:val="auto"/>
          <w:sz w:val="24"/>
          <w:highlight w:val="none"/>
        </w:rPr>
      </w:pPr>
    </w:p>
    <w:p w14:paraId="599511C8">
      <w:pPr>
        <w:pStyle w:val="28"/>
        <w:spacing w:beforeLines="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pacing w:val="20"/>
          <w:kern w:val="2"/>
          <w:sz w:val="24"/>
          <w:szCs w:val="24"/>
          <w:highlight w:val="none"/>
        </w:rPr>
        <w:t>法定代表人或者委托代理人签字[或盖章(CA签章)]</w:t>
      </w:r>
      <w:r>
        <w:rPr>
          <w:rFonts w:hint="eastAsia" w:ascii="仿宋" w:hAnsi="仿宋" w:eastAsia="仿宋" w:cs="仿宋"/>
          <w:color w:val="auto"/>
          <w:spacing w:val="20"/>
          <w:sz w:val="24"/>
          <w:szCs w:val="24"/>
          <w:highlight w:val="none"/>
        </w:rPr>
        <w:t>（属自然人的应在签名处加盖大拇指指印或个人CA签章）：</w:t>
      </w:r>
      <w:r>
        <w:rPr>
          <w:rFonts w:hint="eastAsia" w:ascii="仿宋" w:hAnsi="仿宋" w:eastAsia="仿宋" w:cs="仿宋"/>
          <w:color w:val="auto"/>
          <w:spacing w:val="20"/>
          <w:sz w:val="24"/>
          <w:szCs w:val="24"/>
          <w:highlight w:val="none"/>
          <w:u w:val="single"/>
        </w:rPr>
        <w:t xml:space="preserve">        </w:t>
      </w:r>
    </w:p>
    <w:p w14:paraId="3B27D2C0">
      <w:pPr>
        <w:snapToGrid w:val="0"/>
        <w:spacing w:before="0" w:beforeLines="0" w:after="0" w:line="360" w:lineRule="auto"/>
        <w:rPr>
          <w:rFonts w:hint="eastAsia"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投标人[</w:t>
      </w:r>
      <w:r>
        <w:rPr>
          <w:rFonts w:hint="eastAsia" w:ascii="仿宋" w:hAnsi="仿宋" w:eastAsia="仿宋" w:cs="仿宋"/>
          <w:color w:val="auto"/>
          <w:spacing w:val="20"/>
          <w:sz w:val="24"/>
          <w:szCs w:val="24"/>
          <w:highlight w:val="none"/>
          <w:lang w:eastAsia="zh-CN"/>
        </w:rPr>
        <w:t>公章(或CA签章)</w:t>
      </w:r>
      <w:r>
        <w:rPr>
          <w:rFonts w:hint="eastAsia" w:ascii="仿宋" w:hAnsi="仿宋" w:eastAsia="仿宋" w:cs="仿宋"/>
          <w:color w:val="auto"/>
          <w:spacing w:val="20"/>
          <w:sz w:val="24"/>
          <w:szCs w:val="24"/>
          <w:highlight w:val="none"/>
        </w:rPr>
        <w:t>、自然人除外]：</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 xml:space="preserve">              </w:t>
      </w:r>
    </w:p>
    <w:p w14:paraId="55647494">
      <w:pPr>
        <w:snapToGrid w:val="0"/>
        <w:spacing w:before="0" w:beforeLines="0" w:after="0"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pacing w:val="20"/>
          <w:sz w:val="24"/>
          <w:szCs w:val="24"/>
          <w:highlight w:val="none"/>
        </w:rPr>
        <w:t>日 期：</w:t>
      </w:r>
      <w:r>
        <w:rPr>
          <w:rFonts w:hint="eastAsia" w:ascii="仿宋" w:hAnsi="仿宋" w:eastAsia="仿宋" w:cs="仿宋"/>
          <w:color w:val="auto"/>
          <w:spacing w:val="20"/>
          <w:sz w:val="24"/>
          <w:szCs w:val="24"/>
          <w:highlight w:val="none"/>
          <w:u w:val="single"/>
        </w:rPr>
        <w:t xml:space="preserve">        </w:t>
      </w:r>
    </w:p>
    <w:p w14:paraId="02856FFB">
      <w:pPr>
        <w:snapToGrid w:val="0"/>
        <w:spacing w:before="50" w:after="120" w:afterLines="50"/>
        <w:jc w:val="left"/>
        <w:rPr>
          <w:rFonts w:hint="eastAsia" w:ascii="仿宋" w:hAnsi="仿宋" w:eastAsia="仿宋" w:cs="仿宋"/>
          <w:color w:val="auto"/>
          <w:sz w:val="24"/>
          <w:szCs w:val="20"/>
          <w:highlight w:val="none"/>
        </w:rPr>
      </w:pPr>
    </w:p>
    <w:p w14:paraId="2A948364">
      <w:pPr>
        <w:snapToGrid w:val="0"/>
        <w:spacing w:before="120" w:beforeLines="50" w:after="50"/>
        <w:ind w:left="142"/>
        <w:jc w:val="left"/>
        <w:rPr>
          <w:rFonts w:hint="eastAsia" w:ascii="仿宋" w:hAnsi="仿宋" w:eastAsia="仿宋" w:cs="仿宋"/>
          <w:b/>
          <w:color w:val="auto"/>
          <w:sz w:val="28"/>
          <w:szCs w:val="28"/>
          <w:highlight w:val="none"/>
        </w:rPr>
      </w:pPr>
      <w:r>
        <w:rPr>
          <w:rFonts w:hint="eastAsia" w:ascii="仿宋" w:hAnsi="仿宋" w:eastAsia="仿宋" w:cs="仿宋"/>
          <w:b/>
          <w:color w:val="auto"/>
          <w:sz w:val="24"/>
          <w:highlight w:val="none"/>
        </w:rPr>
        <w:br w:type="page"/>
      </w:r>
    </w:p>
    <w:p w14:paraId="4D71EEF6">
      <w:pPr>
        <w:snapToGrid w:val="0"/>
        <w:spacing w:before="120" w:beforeLines="50" w:after="50"/>
        <w:ind w:left="142"/>
        <w:jc w:val="left"/>
        <w:outlineLvl w:val="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.设备性能配置清单格式</w:t>
      </w:r>
    </w:p>
    <w:p w14:paraId="6C17E1D2">
      <w:pPr>
        <w:snapToGrid w:val="0"/>
        <w:spacing w:before="120" w:beforeLines="50" w:after="50"/>
        <w:ind w:left="142"/>
        <w:jc w:val="left"/>
        <w:rPr>
          <w:rFonts w:hint="eastAsia" w:ascii="仿宋" w:hAnsi="仿宋" w:eastAsia="仿宋" w:cs="仿宋"/>
          <w:b/>
          <w:color w:val="auto"/>
          <w:sz w:val="24"/>
          <w:szCs w:val="24"/>
          <w:highlight w:val="none"/>
        </w:rPr>
      </w:pPr>
    </w:p>
    <w:p w14:paraId="76C7322E">
      <w:pPr>
        <w:snapToGrid w:val="0"/>
        <w:spacing w:before="0" w:beforeLines="0" w:after="0" w:line="360" w:lineRule="auto"/>
        <w:ind w:left="0" w:firstLine="480" w:firstLineChars="200"/>
        <w:jc w:val="center"/>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设备性能配置清单</w:t>
      </w:r>
    </w:p>
    <w:p w14:paraId="07C56759">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3C75747D">
      <w:pPr>
        <w:pStyle w:val="2"/>
        <w:rPr>
          <w:rFonts w:hint="eastAsia"/>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7"/>
        <w:gridCol w:w="1865"/>
        <w:gridCol w:w="804"/>
        <w:gridCol w:w="1002"/>
        <w:gridCol w:w="1644"/>
        <w:gridCol w:w="1394"/>
        <w:gridCol w:w="825"/>
        <w:gridCol w:w="1675"/>
      </w:tblGrid>
      <w:tr w14:paraId="7325AC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86"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1597BCAA">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1865" w:type="dxa"/>
            <w:tcBorders>
              <w:top w:val="single" w:color="auto" w:sz="4" w:space="0"/>
              <w:left w:val="single" w:color="auto" w:sz="4" w:space="0"/>
              <w:bottom w:val="single" w:color="auto" w:sz="4" w:space="0"/>
              <w:right w:val="single" w:color="auto" w:sz="4" w:space="0"/>
            </w:tcBorders>
            <w:noWrap w:val="0"/>
            <w:vAlign w:val="center"/>
          </w:tcPr>
          <w:p w14:paraId="3B780C2E">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标的的名称</w:t>
            </w:r>
          </w:p>
        </w:tc>
        <w:tc>
          <w:tcPr>
            <w:tcW w:w="804" w:type="dxa"/>
            <w:tcBorders>
              <w:top w:val="single" w:color="auto" w:sz="4" w:space="0"/>
              <w:left w:val="single" w:color="auto" w:sz="4" w:space="0"/>
              <w:bottom w:val="single" w:color="auto" w:sz="4" w:space="0"/>
              <w:right w:val="single" w:color="auto" w:sz="4" w:space="0"/>
            </w:tcBorders>
            <w:noWrap w:val="0"/>
            <w:vAlign w:val="center"/>
          </w:tcPr>
          <w:p w14:paraId="4DFB073A">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数量及单位</w:t>
            </w:r>
          </w:p>
        </w:tc>
        <w:tc>
          <w:tcPr>
            <w:tcW w:w="1002" w:type="dxa"/>
            <w:tcBorders>
              <w:top w:val="single" w:color="auto" w:sz="4" w:space="0"/>
              <w:left w:val="single" w:color="auto" w:sz="4" w:space="0"/>
              <w:bottom w:val="single" w:color="auto" w:sz="4" w:space="0"/>
              <w:right w:val="single" w:color="auto" w:sz="4" w:space="0"/>
            </w:tcBorders>
            <w:noWrap w:val="0"/>
            <w:vAlign w:val="center"/>
          </w:tcPr>
          <w:p w14:paraId="7ED65BE6">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品牌</w:t>
            </w:r>
          </w:p>
        </w:tc>
        <w:tc>
          <w:tcPr>
            <w:tcW w:w="1644" w:type="dxa"/>
            <w:tcBorders>
              <w:top w:val="single" w:color="auto" w:sz="4" w:space="0"/>
              <w:left w:val="single" w:color="auto" w:sz="4" w:space="0"/>
              <w:bottom w:val="single" w:color="auto" w:sz="4" w:space="0"/>
              <w:right w:val="single" w:color="auto" w:sz="4" w:space="0"/>
            </w:tcBorders>
            <w:noWrap w:val="0"/>
            <w:vAlign w:val="top"/>
          </w:tcPr>
          <w:p w14:paraId="3304A041">
            <w:pPr>
              <w:snapToGrid w:val="0"/>
              <w:spacing w:before="0" w:after="0" w:line="360" w:lineRule="auto"/>
              <w:jc w:val="center"/>
              <w:rPr>
                <w:rFonts w:hint="eastAsia" w:ascii="仿宋" w:hAnsi="仿宋" w:eastAsia="仿宋" w:cs="仿宋"/>
                <w:color w:val="auto"/>
                <w:sz w:val="24"/>
                <w:szCs w:val="24"/>
                <w:highlight w:val="none"/>
              </w:rPr>
            </w:pPr>
          </w:p>
          <w:p w14:paraId="1795D6AB">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规格型号</w:t>
            </w:r>
          </w:p>
        </w:tc>
        <w:tc>
          <w:tcPr>
            <w:tcW w:w="1394" w:type="dxa"/>
            <w:tcBorders>
              <w:top w:val="single" w:color="auto" w:sz="4" w:space="0"/>
              <w:left w:val="single" w:color="auto" w:sz="4" w:space="0"/>
              <w:bottom w:val="single" w:color="auto" w:sz="4" w:space="0"/>
              <w:right w:val="single" w:color="auto" w:sz="4" w:space="0"/>
            </w:tcBorders>
            <w:noWrap w:val="0"/>
            <w:vAlign w:val="center"/>
          </w:tcPr>
          <w:p w14:paraId="6DF1D431">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制造商</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566B0383">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原产地</w:t>
            </w:r>
          </w:p>
        </w:tc>
        <w:tc>
          <w:tcPr>
            <w:tcW w:w="1675" w:type="dxa"/>
            <w:tcBorders>
              <w:top w:val="single" w:color="auto" w:sz="4" w:space="0"/>
              <w:left w:val="single" w:color="auto" w:sz="4" w:space="0"/>
              <w:bottom w:val="single" w:color="auto" w:sz="4" w:space="0"/>
              <w:right w:val="single" w:color="auto" w:sz="4" w:space="0"/>
            </w:tcBorders>
            <w:noWrap w:val="0"/>
            <w:vAlign w:val="center"/>
          </w:tcPr>
          <w:p w14:paraId="0BBE357F">
            <w:pPr>
              <w:snapToGrid w:val="0"/>
              <w:spacing w:before="0" w:after="0"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参数性能、指标及配置</w:t>
            </w:r>
          </w:p>
        </w:tc>
      </w:tr>
      <w:tr w14:paraId="6E0AB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7B934760">
            <w:pPr>
              <w:snapToGrid w:val="0"/>
              <w:spacing w:before="0" w:after="0" w:line="360" w:lineRule="auto"/>
              <w:jc w:val="center"/>
              <w:rPr>
                <w:rFonts w:hint="eastAsia" w:ascii="仿宋" w:hAnsi="仿宋" w:eastAsia="仿宋" w:cs="仿宋"/>
                <w:color w:val="auto"/>
                <w:sz w:val="24"/>
                <w:szCs w:val="24"/>
                <w:highlight w:val="none"/>
              </w:rPr>
            </w:pPr>
          </w:p>
        </w:tc>
        <w:tc>
          <w:tcPr>
            <w:tcW w:w="1865" w:type="dxa"/>
            <w:tcBorders>
              <w:top w:val="single" w:color="auto" w:sz="4" w:space="0"/>
              <w:left w:val="single" w:color="auto" w:sz="4" w:space="0"/>
              <w:bottom w:val="single" w:color="auto" w:sz="4" w:space="0"/>
              <w:right w:val="single" w:color="auto" w:sz="4" w:space="0"/>
            </w:tcBorders>
            <w:noWrap w:val="0"/>
            <w:vAlign w:val="center"/>
          </w:tcPr>
          <w:p w14:paraId="57E35F96">
            <w:pPr>
              <w:snapToGrid w:val="0"/>
              <w:spacing w:before="0" w:after="0" w:line="360" w:lineRule="auto"/>
              <w:jc w:val="center"/>
              <w:rPr>
                <w:rFonts w:hint="eastAsia" w:ascii="仿宋" w:hAnsi="仿宋" w:eastAsia="仿宋" w:cs="仿宋"/>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14:paraId="166EE319">
            <w:pPr>
              <w:snapToGrid w:val="0"/>
              <w:spacing w:before="0" w:after="0" w:line="360" w:lineRule="auto"/>
              <w:jc w:val="center"/>
              <w:rPr>
                <w:rFonts w:hint="eastAsia" w:ascii="仿宋" w:hAnsi="仿宋" w:eastAsia="仿宋" w:cs="仿宋"/>
                <w:color w:val="auto"/>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noWrap w:val="0"/>
            <w:vAlign w:val="center"/>
          </w:tcPr>
          <w:p w14:paraId="6289878A">
            <w:pPr>
              <w:snapToGrid w:val="0"/>
              <w:spacing w:before="0" w:after="0" w:line="360" w:lineRule="auto"/>
              <w:jc w:val="center"/>
              <w:rPr>
                <w:rFonts w:hint="eastAsia" w:ascii="仿宋" w:hAnsi="仿宋" w:eastAsia="仿宋" w:cs="仿宋"/>
                <w:color w:val="auto"/>
                <w:sz w:val="24"/>
                <w:szCs w:val="24"/>
                <w:highlight w:val="none"/>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4145C71D">
            <w:pPr>
              <w:snapToGrid w:val="0"/>
              <w:spacing w:before="0" w:after="0" w:line="360" w:lineRule="auto"/>
              <w:jc w:val="center"/>
              <w:rPr>
                <w:rFonts w:hint="eastAsia" w:ascii="仿宋" w:hAnsi="仿宋" w:eastAsia="仿宋" w:cs="仿宋"/>
                <w:color w:val="auto"/>
                <w:sz w:val="24"/>
                <w:szCs w:val="24"/>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8EFE1ED">
            <w:pPr>
              <w:snapToGrid w:val="0"/>
              <w:spacing w:before="0" w:after="0" w:line="360" w:lineRule="auto"/>
              <w:jc w:val="center"/>
              <w:rPr>
                <w:rFonts w:hint="eastAsia" w:ascii="仿宋" w:hAnsi="仿宋" w:eastAsia="仿宋" w:cs="仿宋"/>
                <w:color w:val="auto"/>
                <w:sz w:val="24"/>
                <w:szCs w:val="24"/>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D081DDE">
            <w:pPr>
              <w:snapToGrid w:val="0"/>
              <w:spacing w:before="0" w:after="0" w:line="360" w:lineRule="auto"/>
              <w:jc w:val="center"/>
              <w:rPr>
                <w:rFonts w:hint="eastAsia" w:ascii="仿宋" w:hAnsi="仿宋" w:eastAsia="仿宋" w:cs="仿宋"/>
                <w:color w:val="auto"/>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13E06B9D">
            <w:pPr>
              <w:snapToGrid w:val="0"/>
              <w:spacing w:before="0" w:after="0" w:line="360" w:lineRule="auto"/>
              <w:jc w:val="center"/>
              <w:rPr>
                <w:rFonts w:hint="eastAsia" w:ascii="仿宋" w:hAnsi="仿宋" w:eastAsia="仿宋" w:cs="仿宋"/>
                <w:color w:val="auto"/>
                <w:sz w:val="24"/>
                <w:szCs w:val="24"/>
                <w:highlight w:val="none"/>
              </w:rPr>
            </w:pPr>
          </w:p>
        </w:tc>
      </w:tr>
      <w:tr w14:paraId="0540DA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004E633D">
            <w:pPr>
              <w:snapToGrid w:val="0"/>
              <w:spacing w:before="0" w:after="0" w:line="360" w:lineRule="auto"/>
              <w:jc w:val="center"/>
              <w:rPr>
                <w:rFonts w:hint="eastAsia" w:ascii="仿宋" w:hAnsi="仿宋" w:eastAsia="仿宋" w:cs="仿宋"/>
                <w:color w:val="auto"/>
                <w:sz w:val="24"/>
                <w:szCs w:val="24"/>
                <w:highlight w:val="none"/>
              </w:rPr>
            </w:pPr>
          </w:p>
        </w:tc>
        <w:tc>
          <w:tcPr>
            <w:tcW w:w="1865" w:type="dxa"/>
            <w:tcBorders>
              <w:top w:val="single" w:color="auto" w:sz="4" w:space="0"/>
              <w:left w:val="single" w:color="auto" w:sz="4" w:space="0"/>
              <w:bottom w:val="single" w:color="auto" w:sz="4" w:space="0"/>
              <w:right w:val="single" w:color="auto" w:sz="4" w:space="0"/>
            </w:tcBorders>
            <w:noWrap w:val="0"/>
            <w:vAlign w:val="center"/>
          </w:tcPr>
          <w:p w14:paraId="0B485B01">
            <w:pPr>
              <w:snapToGrid w:val="0"/>
              <w:spacing w:before="0" w:after="0" w:line="360" w:lineRule="auto"/>
              <w:jc w:val="center"/>
              <w:rPr>
                <w:rFonts w:hint="eastAsia" w:ascii="仿宋" w:hAnsi="仿宋" w:eastAsia="仿宋" w:cs="仿宋"/>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14:paraId="63E72A50">
            <w:pPr>
              <w:snapToGrid w:val="0"/>
              <w:spacing w:before="0" w:after="0" w:line="360" w:lineRule="auto"/>
              <w:jc w:val="center"/>
              <w:rPr>
                <w:rFonts w:hint="eastAsia" w:ascii="仿宋" w:hAnsi="仿宋" w:eastAsia="仿宋" w:cs="仿宋"/>
                <w:color w:val="auto"/>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noWrap w:val="0"/>
            <w:vAlign w:val="center"/>
          </w:tcPr>
          <w:p w14:paraId="76A2DEFF">
            <w:pPr>
              <w:snapToGrid w:val="0"/>
              <w:spacing w:before="0" w:after="0" w:line="360" w:lineRule="auto"/>
              <w:jc w:val="center"/>
              <w:rPr>
                <w:rFonts w:hint="eastAsia" w:ascii="仿宋" w:hAnsi="仿宋" w:eastAsia="仿宋" w:cs="仿宋"/>
                <w:color w:val="auto"/>
                <w:sz w:val="24"/>
                <w:szCs w:val="24"/>
                <w:highlight w:val="none"/>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7EDE304E">
            <w:pPr>
              <w:snapToGrid w:val="0"/>
              <w:spacing w:before="0" w:after="0" w:line="360" w:lineRule="auto"/>
              <w:jc w:val="center"/>
              <w:rPr>
                <w:rFonts w:hint="eastAsia" w:ascii="仿宋" w:hAnsi="仿宋" w:eastAsia="仿宋" w:cs="仿宋"/>
                <w:color w:val="auto"/>
                <w:sz w:val="24"/>
                <w:szCs w:val="24"/>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7390B143">
            <w:pPr>
              <w:snapToGrid w:val="0"/>
              <w:spacing w:before="0" w:after="0" w:line="360" w:lineRule="auto"/>
              <w:jc w:val="center"/>
              <w:rPr>
                <w:rFonts w:hint="eastAsia" w:ascii="仿宋" w:hAnsi="仿宋" w:eastAsia="仿宋" w:cs="仿宋"/>
                <w:color w:val="auto"/>
                <w:sz w:val="24"/>
                <w:szCs w:val="24"/>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2EE27E9E">
            <w:pPr>
              <w:snapToGrid w:val="0"/>
              <w:spacing w:before="0" w:after="0" w:line="360" w:lineRule="auto"/>
              <w:jc w:val="center"/>
              <w:rPr>
                <w:rFonts w:hint="eastAsia" w:ascii="仿宋" w:hAnsi="仿宋" w:eastAsia="仿宋" w:cs="仿宋"/>
                <w:color w:val="auto"/>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7413A18A">
            <w:pPr>
              <w:snapToGrid w:val="0"/>
              <w:spacing w:before="0" w:after="0" w:line="360" w:lineRule="auto"/>
              <w:jc w:val="center"/>
              <w:rPr>
                <w:rFonts w:hint="eastAsia" w:ascii="仿宋" w:hAnsi="仿宋" w:eastAsia="仿宋" w:cs="仿宋"/>
                <w:color w:val="auto"/>
                <w:sz w:val="24"/>
                <w:szCs w:val="24"/>
                <w:highlight w:val="none"/>
              </w:rPr>
            </w:pPr>
          </w:p>
        </w:tc>
      </w:tr>
      <w:tr w14:paraId="25B20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0820D73F">
            <w:pPr>
              <w:snapToGrid w:val="0"/>
              <w:spacing w:before="0" w:after="0" w:line="360" w:lineRule="auto"/>
              <w:jc w:val="center"/>
              <w:rPr>
                <w:rFonts w:hint="eastAsia" w:ascii="仿宋" w:hAnsi="仿宋" w:eastAsia="仿宋" w:cs="仿宋"/>
                <w:color w:val="auto"/>
                <w:sz w:val="24"/>
                <w:szCs w:val="24"/>
                <w:highlight w:val="none"/>
              </w:rPr>
            </w:pPr>
          </w:p>
        </w:tc>
        <w:tc>
          <w:tcPr>
            <w:tcW w:w="1865" w:type="dxa"/>
            <w:tcBorders>
              <w:top w:val="single" w:color="auto" w:sz="4" w:space="0"/>
              <w:left w:val="single" w:color="auto" w:sz="4" w:space="0"/>
              <w:bottom w:val="single" w:color="auto" w:sz="4" w:space="0"/>
              <w:right w:val="single" w:color="auto" w:sz="4" w:space="0"/>
            </w:tcBorders>
            <w:noWrap w:val="0"/>
            <w:vAlign w:val="center"/>
          </w:tcPr>
          <w:p w14:paraId="56474C40">
            <w:pPr>
              <w:snapToGrid w:val="0"/>
              <w:spacing w:before="0" w:after="0" w:line="360" w:lineRule="auto"/>
              <w:jc w:val="center"/>
              <w:rPr>
                <w:rFonts w:hint="eastAsia" w:ascii="仿宋" w:hAnsi="仿宋" w:eastAsia="仿宋" w:cs="仿宋"/>
                <w:color w:val="auto"/>
                <w:sz w:val="24"/>
                <w:szCs w:val="24"/>
                <w:highlight w:val="none"/>
              </w:rPr>
            </w:pPr>
          </w:p>
        </w:tc>
        <w:tc>
          <w:tcPr>
            <w:tcW w:w="804" w:type="dxa"/>
            <w:tcBorders>
              <w:top w:val="single" w:color="auto" w:sz="4" w:space="0"/>
              <w:left w:val="single" w:color="auto" w:sz="4" w:space="0"/>
              <w:bottom w:val="single" w:color="auto" w:sz="4" w:space="0"/>
              <w:right w:val="single" w:color="auto" w:sz="4" w:space="0"/>
            </w:tcBorders>
            <w:noWrap w:val="0"/>
            <w:vAlign w:val="center"/>
          </w:tcPr>
          <w:p w14:paraId="7241CCD5">
            <w:pPr>
              <w:snapToGrid w:val="0"/>
              <w:spacing w:before="0" w:after="0" w:line="360" w:lineRule="auto"/>
              <w:jc w:val="center"/>
              <w:rPr>
                <w:rFonts w:hint="eastAsia" w:ascii="仿宋" w:hAnsi="仿宋" w:eastAsia="仿宋" w:cs="仿宋"/>
                <w:color w:val="auto"/>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noWrap w:val="0"/>
            <w:vAlign w:val="center"/>
          </w:tcPr>
          <w:p w14:paraId="73D2DF89">
            <w:pPr>
              <w:snapToGrid w:val="0"/>
              <w:spacing w:before="0" w:after="0" w:line="360" w:lineRule="auto"/>
              <w:jc w:val="center"/>
              <w:rPr>
                <w:rFonts w:hint="eastAsia" w:ascii="仿宋" w:hAnsi="仿宋" w:eastAsia="仿宋" w:cs="仿宋"/>
                <w:color w:val="auto"/>
                <w:sz w:val="24"/>
                <w:szCs w:val="24"/>
                <w:highlight w:val="none"/>
              </w:rPr>
            </w:pPr>
          </w:p>
        </w:tc>
        <w:tc>
          <w:tcPr>
            <w:tcW w:w="1644" w:type="dxa"/>
            <w:tcBorders>
              <w:top w:val="single" w:color="auto" w:sz="4" w:space="0"/>
              <w:left w:val="single" w:color="auto" w:sz="4" w:space="0"/>
              <w:bottom w:val="single" w:color="auto" w:sz="4" w:space="0"/>
              <w:right w:val="single" w:color="auto" w:sz="4" w:space="0"/>
            </w:tcBorders>
            <w:noWrap w:val="0"/>
            <w:vAlign w:val="top"/>
          </w:tcPr>
          <w:p w14:paraId="10E1EDE4">
            <w:pPr>
              <w:snapToGrid w:val="0"/>
              <w:spacing w:before="0" w:after="0" w:line="360" w:lineRule="auto"/>
              <w:jc w:val="center"/>
              <w:rPr>
                <w:rFonts w:hint="eastAsia" w:ascii="仿宋" w:hAnsi="仿宋" w:eastAsia="仿宋" w:cs="仿宋"/>
                <w:color w:val="auto"/>
                <w:sz w:val="24"/>
                <w:szCs w:val="24"/>
                <w:highlight w:val="none"/>
              </w:rPr>
            </w:pPr>
          </w:p>
        </w:tc>
        <w:tc>
          <w:tcPr>
            <w:tcW w:w="1394" w:type="dxa"/>
            <w:tcBorders>
              <w:top w:val="single" w:color="auto" w:sz="4" w:space="0"/>
              <w:left w:val="single" w:color="auto" w:sz="4" w:space="0"/>
              <w:bottom w:val="single" w:color="auto" w:sz="4" w:space="0"/>
              <w:right w:val="single" w:color="auto" w:sz="4" w:space="0"/>
            </w:tcBorders>
            <w:noWrap w:val="0"/>
            <w:vAlign w:val="center"/>
          </w:tcPr>
          <w:p w14:paraId="5B82E33B">
            <w:pPr>
              <w:snapToGrid w:val="0"/>
              <w:spacing w:before="0" w:after="0" w:line="360" w:lineRule="auto"/>
              <w:jc w:val="center"/>
              <w:rPr>
                <w:rFonts w:hint="eastAsia" w:ascii="仿宋" w:hAnsi="仿宋" w:eastAsia="仿宋" w:cs="仿宋"/>
                <w:color w:val="auto"/>
                <w:sz w:val="24"/>
                <w:szCs w:val="24"/>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4E148005">
            <w:pPr>
              <w:snapToGrid w:val="0"/>
              <w:spacing w:before="0" w:after="0" w:line="360" w:lineRule="auto"/>
              <w:jc w:val="center"/>
              <w:rPr>
                <w:rFonts w:hint="eastAsia" w:ascii="仿宋" w:hAnsi="仿宋" w:eastAsia="仿宋" w:cs="仿宋"/>
                <w:color w:val="auto"/>
                <w:sz w:val="24"/>
                <w:szCs w:val="24"/>
                <w:highlight w:val="none"/>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14:paraId="2A525E90">
            <w:pPr>
              <w:snapToGrid w:val="0"/>
              <w:spacing w:before="0" w:after="0" w:line="360" w:lineRule="auto"/>
              <w:jc w:val="center"/>
              <w:rPr>
                <w:rFonts w:hint="eastAsia" w:ascii="仿宋" w:hAnsi="仿宋" w:eastAsia="仿宋" w:cs="仿宋"/>
                <w:color w:val="auto"/>
                <w:sz w:val="24"/>
                <w:szCs w:val="24"/>
                <w:highlight w:val="none"/>
              </w:rPr>
            </w:pPr>
          </w:p>
        </w:tc>
      </w:tr>
    </w:tbl>
    <w:p w14:paraId="3169F0E3">
      <w:pPr>
        <w:snapToGrid w:val="0"/>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p w14:paraId="077A8FC1">
      <w:pPr>
        <w:snapToGrid w:val="0"/>
        <w:spacing w:before="0" w:after="0"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以上设备性能配置清单中“货物名称、数量及单位、品牌、规格型号、制造商、原产地、参数性能、指标及配置”必须如实填写完整，品牌、规格型号没有则填无，填写有缺漏</w:t>
      </w:r>
      <w:r>
        <w:rPr>
          <w:rFonts w:hint="eastAsia" w:ascii="仿宋" w:hAnsi="仿宋" w:eastAsia="仿宋" w:cs="仿宋"/>
          <w:bCs/>
          <w:color w:val="auto"/>
          <w:sz w:val="24"/>
          <w:szCs w:val="24"/>
          <w:highlight w:val="none"/>
        </w:rPr>
        <w:t>的，</w:t>
      </w:r>
      <w:r>
        <w:rPr>
          <w:rFonts w:hint="eastAsia" w:ascii="仿宋" w:hAnsi="仿宋" w:eastAsia="仿宋" w:cs="仿宋"/>
          <w:b/>
          <w:color w:val="auto"/>
          <w:sz w:val="24"/>
          <w:szCs w:val="24"/>
          <w:highlight w:val="none"/>
        </w:rPr>
        <w:t>作无效投标处理。</w:t>
      </w:r>
    </w:p>
    <w:p w14:paraId="23A089B3">
      <w:pPr>
        <w:snapToGrid w:val="0"/>
        <w:spacing w:before="0" w:after="0" w:line="360" w:lineRule="auto"/>
        <w:ind w:firstLine="482" w:firstLineChars="200"/>
        <w:rPr>
          <w:rFonts w:hint="eastAsia" w:ascii="仿宋" w:hAnsi="仿宋" w:eastAsia="仿宋" w:cs="仿宋"/>
          <w:b/>
          <w:color w:val="auto"/>
          <w:sz w:val="24"/>
          <w:szCs w:val="24"/>
          <w:highlight w:val="none"/>
        </w:rPr>
      </w:pPr>
    </w:p>
    <w:p w14:paraId="4682F3D5">
      <w:pPr>
        <w:snapToGrid w:val="0"/>
        <w:spacing w:before="0" w:after="0" w:line="360" w:lineRule="auto"/>
        <w:ind w:firstLine="482" w:firstLineChars="200"/>
        <w:rPr>
          <w:rFonts w:hint="eastAsia" w:ascii="仿宋" w:hAnsi="仿宋" w:eastAsia="仿宋" w:cs="仿宋"/>
          <w:b/>
          <w:color w:val="auto"/>
          <w:sz w:val="24"/>
          <w:szCs w:val="24"/>
          <w:highlight w:val="none"/>
        </w:rPr>
      </w:pPr>
    </w:p>
    <w:p w14:paraId="303AEB16">
      <w:pPr>
        <w:pStyle w:val="28"/>
        <w:spacing w:line="360" w:lineRule="auto"/>
        <w:rPr>
          <w:rFonts w:hint="eastAsia" w:ascii="仿宋" w:hAnsi="仿宋" w:eastAsia="仿宋" w:cs="仿宋"/>
          <w:color w:val="auto"/>
          <w:spacing w:val="20"/>
          <w:sz w:val="24"/>
          <w:szCs w:val="24"/>
          <w:highlight w:val="none"/>
          <w:u w:val="single"/>
        </w:rPr>
      </w:pPr>
      <w:r>
        <w:rPr>
          <w:rFonts w:hint="eastAsia" w:ascii="仿宋" w:hAnsi="仿宋" w:eastAsia="仿宋" w:cs="仿宋"/>
          <w:color w:val="auto"/>
          <w:spacing w:val="20"/>
          <w:kern w:val="2"/>
          <w:sz w:val="24"/>
          <w:szCs w:val="24"/>
          <w:highlight w:val="none"/>
        </w:rPr>
        <w:t>法定代表人或者委托代理人签字[或盖章(CA签章)]（属自然人的应在签名处加盖大拇指指印或个人CA签章）</w:t>
      </w:r>
      <w:r>
        <w:rPr>
          <w:rFonts w:hint="eastAsia" w:ascii="仿宋" w:hAnsi="仿宋" w:eastAsia="仿宋" w:cs="仿宋"/>
          <w:color w:val="auto"/>
          <w:spacing w:val="20"/>
          <w:sz w:val="24"/>
          <w:szCs w:val="24"/>
          <w:highlight w:val="none"/>
        </w:rPr>
        <w:t>：</w:t>
      </w:r>
      <w:r>
        <w:rPr>
          <w:rFonts w:hint="eastAsia" w:ascii="仿宋" w:hAnsi="仿宋" w:eastAsia="仿宋" w:cs="仿宋"/>
          <w:color w:val="auto"/>
          <w:spacing w:val="20"/>
          <w:sz w:val="24"/>
          <w:szCs w:val="24"/>
          <w:highlight w:val="none"/>
          <w:u w:val="single"/>
        </w:rPr>
        <w:t xml:space="preserve">        </w:t>
      </w:r>
    </w:p>
    <w:p w14:paraId="37420E67">
      <w:pPr>
        <w:snapToGrid w:val="0"/>
        <w:spacing w:before="0" w:after="0" w:line="360" w:lineRule="auto"/>
        <w:rPr>
          <w:rFonts w:hint="eastAsia"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投标人[</w:t>
      </w:r>
      <w:r>
        <w:rPr>
          <w:rFonts w:hint="eastAsia" w:ascii="仿宋" w:hAnsi="仿宋" w:eastAsia="仿宋" w:cs="仿宋"/>
          <w:color w:val="auto"/>
          <w:spacing w:val="20"/>
          <w:sz w:val="24"/>
          <w:szCs w:val="24"/>
          <w:highlight w:val="none"/>
          <w:lang w:eastAsia="zh-CN"/>
        </w:rPr>
        <w:t>公章(或CA签章)</w:t>
      </w:r>
      <w:r>
        <w:rPr>
          <w:rFonts w:hint="eastAsia" w:ascii="仿宋" w:hAnsi="仿宋" w:eastAsia="仿宋" w:cs="仿宋"/>
          <w:color w:val="auto"/>
          <w:spacing w:val="20"/>
          <w:sz w:val="24"/>
          <w:szCs w:val="24"/>
          <w:highlight w:val="none"/>
        </w:rPr>
        <w:t>、自然人除外]：</w:t>
      </w:r>
      <w:r>
        <w:rPr>
          <w:rFonts w:hint="eastAsia" w:ascii="仿宋" w:hAnsi="仿宋" w:eastAsia="仿宋" w:cs="仿宋"/>
          <w:color w:val="auto"/>
          <w:spacing w:val="20"/>
          <w:sz w:val="24"/>
          <w:szCs w:val="24"/>
          <w:highlight w:val="none"/>
          <w:u w:val="single"/>
        </w:rPr>
        <w:t xml:space="preserve">            </w:t>
      </w:r>
      <w:r>
        <w:rPr>
          <w:rFonts w:hint="eastAsia" w:ascii="仿宋" w:hAnsi="仿宋" w:eastAsia="仿宋" w:cs="仿宋"/>
          <w:color w:val="auto"/>
          <w:spacing w:val="20"/>
          <w:sz w:val="24"/>
          <w:szCs w:val="24"/>
          <w:highlight w:val="none"/>
        </w:rPr>
        <w:t xml:space="preserve">              </w:t>
      </w:r>
    </w:p>
    <w:p w14:paraId="20AF6652">
      <w:pPr>
        <w:snapToGrid w:val="0"/>
        <w:spacing w:before="0" w:after="0" w:line="360" w:lineRule="auto"/>
        <w:rPr>
          <w:rFonts w:hint="eastAsia" w:ascii="仿宋" w:hAnsi="仿宋" w:eastAsia="仿宋" w:cs="仿宋"/>
          <w:color w:val="auto"/>
          <w:sz w:val="24"/>
          <w:szCs w:val="24"/>
          <w:highlight w:val="none"/>
        </w:rPr>
      </w:pPr>
      <w:r>
        <w:rPr>
          <w:rFonts w:hint="eastAsia" w:ascii="仿宋" w:hAnsi="仿宋" w:eastAsia="仿宋" w:cs="仿宋"/>
          <w:color w:val="auto"/>
          <w:spacing w:val="20"/>
          <w:sz w:val="24"/>
          <w:szCs w:val="24"/>
          <w:highlight w:val="none"/>
        </w:rPr>
        <w:t>日  期：</w:t>
      </w:r>
      <w:r>
        <w:rPr>
          <w:rFonts w:hint="eastAsia" w:ascii="仿宋" w:hAnsi="仿宋" w:eastAsia="仿宋" w:cs="仿宋"/>
          <w:color w:val="auto"/>
          <w:spacing w:val="20"/>
          <w:sz w:val="24"/>
          <w:szCs w:val="24"/>
          <w:highlight w:val="none"/>
          <w:u w:val="single"/>
        </w:rPr>
        <w:t xml:space="preserve">          </w:t>
      </w:r>
    </w:p>
    <w:p w14:paraId="7D3C08E3">
      <w:pPr>
        <w:snapToGrid w:val="0"/>
        <w:spacing w:before="50" w:after="120" w:afterLines="50" w:line="360" w:lineRule="auto"/>
        <w:jc w:val="left"/>
        <w:rPr>
          <w:rFonts w:hint="eastAsia" w:ascii="仿宋" w:hAnsi="仿宋" w:eastAsia="仿宋" w:cs="仿宋"/>
          <w:color w:val="auto"/>
          <w:sz w:val="24"/>
          <w:szCs w:val="24"/>
          <w:highlight w:val="none"/>
        </w:rPr>
      </w:pPr>
    </w:p>
    <w:p w14:paraId="6FE48BF0">
      <w:pP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br w:type="page"/>
      </w:r>
    </w:p>
    <w:p w14:paraId="283C8515">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五、其他文书、文件格式</w:t>
      </w:r>
    </w:p>
    <w:p w14:paraId="1F29901A">
      <w:pPr>
        <w:snapToGrid w:val="0"/>
        <w:spacing w:before="120" w:beforeLines="50" w:after="50"/>
        <w:ind w:left="142"/>
        <w:jc w:val="left"/>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1.联合投标协议书格式</w:t>
      </w:r>
    </w:p>
    <w:p w14:paraId="457190A6">
      <w:pPr>
        <w:snapToGrid w:val="0"/>
        <w:spacing w:before="120" w:beforeLines="50" w:after="50"/>
        <w:ind w:left="142"/>
        <w:jc w:val="left"/>
        <w:rPr>
          <w:rFonts w:hint="eastAsia" w:ascii="仿宋" w:hAnsi="仿宋" w:eastAsia="仿宋" w:cs="仿宋"/>
          <w:b/>
          <w:color w:val="auto"/>
          <w:spacing w:val="20"/>
          <w:sz w:val="24"/>
          <w:highlight w:val="none"/>
        </w:rPr>
      </w:pPr>
    </w:p>
    <w:p w14:paraId="0BA64506">
      <w:pPr>
        <w:pStyle w:val="9"/>
        <w:overflowPunct w:val="0"/>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联合体协议书</w:t>
      </w:r>
    </w:p>
    <w:p w14:paraId="28A4AA91">
      <w:pPr>
        <w:pStyle w:val="9"/>
        <w:overflowPunct w:val="0"/>
        <w:rPr>
          <w:rFonts w:hint="eastAsia" w:ascii="仿宋" w:hAnsi="仿宋" w:eastAsia="仿宋" w:cs="仿宋"/>
          <w:color w:val="auto"/>
          <w:sz w:val="24"/>
          <w:highlight w:val="none"/>
        </w:rPr>
      </w:pPr>
    </w:p>
    <w:p w14:paraId="6E4D4C0D">
      <w:pPr>
        <w:pStyle w:val="9"/>
        <w:overflowPunct w:val="0"/>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（所有成员单位名称）自愿组成</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（联合体名称）联合体，共同参加</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rPr>
        <w:t xml:space="preserve">（项目名称）      </w:t>
      </w:r>
      <w:r>
        <w:rPr>
          <w:rFonts w:hint="eastAsia" w:ascii="仿宋" w:hAnsi="仿宋" w:eastAsia="仿宋" w:cs="仿宋"/>
          <w:color w:val="auto"/>
          <w:sz w:val="24"/>
          <w:highlight w:val="none"/>
        </w:rPr>
        <w:t>采购招标项目投标。现就联合体投标事宜订立如下协议。</w:t>
      </w:r>
    </w:p>
    <w:p w14:paraId="75722F6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（某成员单位名称）为</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（联合体名称）牵头人。</w:t>
      </w:r>
    </w:p>
    <w:p w14:paraId="1ACB4B05">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2.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1432BD5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3.联合体牵头人在本项目中签署和盖章的一切文件和处理的一切事宜，联合体各成员均予以承认。联合体各成员将严格按照招标文件、投标文件和合同的要求全面履行义务，并向采购人承担连带责任。</w:t>
      </w:r>
    </w:p>
    <w:p w14:paraId="504EA146">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4.联合体各成员单位内部的职责分工如下：</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p>
    <w:p w14:paraId="6A12E8C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5.本协议书自所有成员单位法定代表人或者其委托代理人签字或者盖公章之日起生效，合同履行完毕后自动失效。</w:t>
      </w:r>
    </w:p>
    <w:p w14:paraId="611BA55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6.本协议书一式</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份，联合体成员和采购人各执一份。</w:t>
      </w:r>
    </w:p>
    <w:p w14:paraId="20F8BA4E">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注：本协议书由法定代表人签字的，应附法定代表人身份证明；由委托代理人签字的，应附授权委托书。</w:t>
      </w:r>
    </w:p>
    <w:p w14:paraId="08596551">
      <w:pPr>
        <w:pStyle w:val="9"/>
        <w:overflowPunct w:val="0"/>
        <w:spacing w:line="360" w:lineRule="auto"/>
        <w:ind w:firstLineChars="175"/>
        <w:contextualSpacing/>
        <w:rPr>
          <w:rFonts w:hint="eastAsia" w:ascii="仿宋" w:hAnsi="仿宋" w:eastAsia="仿宋" w:cs="仿宋"/>
          <w:color w:val="auto"/>
          <w:sz w:val="24"/>
          <w:highlight w:val="none"/>
        </w:rPr>
      </w:pPr>
    </w:p>
    <w:p w14:paraId="4751E357">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联合体牵头人名称（盖公章）：</w:t>
      </w:r>
    </w:p>
    <w:p w14:paraId="47D0107E">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法定代表人或者其委托代理人：</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（签字）</w:t>
      </w:r>
    </w:p>
    <w:p w14:paraId="3993F650">
      <w:pPr>
        <w:pStyle w:val="9"/>
        <w:overflowPunct w:val="0"/>
        <w:spacing w:line="360" w:lineRule="auto"/>
        <w:ind w:firstLineChars="175"/>
        <w:contextualSpacing/>
        <w:rPr>
          <w:rFonts w:hint="eastAsia" w:ascii="仿宋" w:hAnsi="仿宋" w:eastAsia="仿宋" w:cs="仿宋"/>
          <w:color w:val="auto"/>
          <w:sz w:val="24"/>
          <w:highlight w:val="none"/>
        </w:rPr>
      </w:pPr>
    </w:p>
    <w:p w14:paraId="083402B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联合体成员名称（盖公章）：</w:t>
      </w:r>
    </w:p>
    <w:p w14:paraId="374A6169">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法定代表人或者其委托代理人：</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（签字）</w:t>
      </w:r>
    </w:p>
    <w:p w14:paraId="688FFDD3">
      <w:pPr>
        <w:pStyle w:val="9"/>
        <w:overflowPunct w:val="0"/>
        <w:spacing w:line="360" w:lineRule="auto"/>
        <w:ind w:firstLineChars="175"/>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568AAAE6">
      <w:pPr>
        <w:pStyle w:val="9"/>
        <w:overflowPunct w:val="0"/>
        <w:spacing w:line="360" w:lineRule="auto"/>
        <w:ind w:firstLineChars="175"/>
        <w:contextualSpacing/>
        <w:rPr>
          <w:rFonts w:hint="eastAsia" w:ascii="仿宋" w:hAnsi="仿宋" w:eastAsia="仿宋" w:cs="仿宋"/>
          <w:color w:val="auto"/>
          <w:sz w:val="24"/>
          <w:highlight w:val="none"/>
        </w:rPr>
      </w:pPr>
    </w:p>
    <w:p w14:paraId="59DD666C">
      <w:pPr>
        <w:pStyle w:val="9"/>
        <w:overflowPunct w:val="0"/>
        <w:spacing w:line="360" w:lineRule="auto"/>
        <w:ind w:firstLineChars="175"/>
        <w:contextualSpacing/>
        <w:jc w:val="right"/>
        <w:rPr>
          <w:rFonts w:hint="eastAsia" w:ascii="仿宋" w:hAnsi="仿宋" w:eastAsia="仿宋" w:cs="仿宋"/>
          <w:b/>
          <w:color w:val="auto"/>
          <w:sz w:val="24"/>
          <w:highlight w:val="none"/>
        </w:rPr>
      </w:pP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年</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月</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日</w:t>
      </w:r>
    </w:p>
    <w:p w14:paraId="13A4CA13">
      <w:pPr>
        <w:snapToGrid w:val="0"/>
        <w:spacing w:before="120" w:beforeLines="50" w:after="50"/>
        <w:jc w:val="left"/>
        <w:rPr>
          <w:rFonts w:hint="eastAsia" w:ascii="仿宋" w:hAnsi="仿宋" w:eastAsia="仿宋" w:cs="仿宋"/>
          <w:color w:val="auto"/>
          <w:highlight w:val="none"/>
        </w:rPr>
      </w:pPr>
      <w:r>
        <w:rPr>
          <w:rFonts w:hint="eastAsia" w:ascii="仿宋" w:hAnsi="仿宋" w:eastAsia="仿宋" w:cs="仿宋"/>
          <w:b/>
          <w:color w:val="auto"/>
          <w:sz w:val="24"/>
          <w:highlight w:val="none"/>
        </w:rPr>
        <w:t>2.中小企业声明函格式</w:t>
      </w:r>
    </w:p>
    <w:p w14:paraId="187EA058">
      <w:pPr>
        <w:rPr>
          <w:rFonts w:hint="eastAsia" w:ascii="仿宋" w:hAnsi="仿宋" w:eastAsia="仿宋" w:cs="仿宋"/>
          <w:color w:val="auto"/>
          <w:highlight w:val="none"/>
        </w:rPr>
      </w:pPr>
    </w:p>
    <w:p w14:paraId="48F7E31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中小企业声明函（服务）</w:t>
      </w:r>
    </w:p>
    <w:p w14:paraId="624BE94F">
      <w:pPr>
        <w:spacing w:before="2" w:line="500" w:lineRule="exact"/>
        <w:rPr>
          <w:rFonts w:hint="eastAsia" w:ascii="仿宋" w:hAnsi="仿宋" w:eastAsia="仿宋" w:cs="仿宋"/>
          <w:b/>
          <w:bCs/>
          <w:color w:val="auto"/>
          <w:sz w:val="27"/>
          <w:szCs w:val="27"/>
          <w:highlight w:val="none"/>
        </w:rPr>
      </w:pPr>
    </w:p>
    <w:p w14:paraId="627CEEDA">
      <w:pPr>
        <w:pStyle w:val="144"/>
        <w:spacing w:line="400" w:lineRule="exact"/>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本公司（联合体）郑重声明，根据《政府采购促进中小企业发展管理办法》（财库〔2020〕46号）的规定，本公司（联合体）参加</w:t>
      </w:r>
      <w:r>
        <w:rPr>
          <w:rFonts w:hint="eastAsia" w:ascii="仿宋" w:hAnsi="仿宋" w:eastAsia="仿宋" w:cs="仿宋"/>
          <w:color w:val="auto"/>
          <w:sz w:val="24"/>
          <w:szCs w:val="24"/>
          <w:highlight w:val="none"/>
          <w:u w:val="single"/>
        </w:rPr>
        <w:t>（采购人名称）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（项目名称及项目编号）</w:t>
      </w:r>
      <w:r>
        <w:rPr>
          <w:rFonts w:hint="eastAsia" w:ascii="仿宋" w:hAnsi="仿宋" w:eastAsia="仿宋" w:cs="仿宋"/>
          <w:color w:val="auto"/>
          <w:sz w:val="24"/>
          <w:szCs w:val="24"/>
          <w:highlight w:val="none"/>
        </w:rPr>
        <w:t>釆购活动,服务全部由符合政策要求的中小企业承接。相关企业（含联合体中的中小企业、签订分包意向协议的中小企业）的具体情况如下</w:t>
      </w:r>
      <w:bookmarkStart w:id="195" w:name="bookmark1"/>
      <w:bookmarkEnd w:id="195"/>
      <w:r>
        <w:rPr>
          <w:rFonts w:hint="eastAsia" w:ascii="仿宋" w:hAnsi="仿宋" w:eastAsia="仿宋" w:cs="仿宋"/>
          <w:color w:val="auto"/>
          <w:sz w:val="24"/>
          <w:szCs w:val="24"/>
          <w:highlight w:val="none"/>
        </w:rPr>
        <w:t>：</w:t>
      </w:r>
    </w:p>
    <w:p w14:paraId="5C27C3ED">
      <w:pPr>
        <w:pStyle w:val="144"/>
        <w:spacing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u w:val="single"/>
        </w:rPr>
        <w:t xml:space="preserve"> （项目名称）</w:t>
      </w:r>
      <w:r>
        <w:rPr>
          <w:rFonts w:hint="eastAsia" w:ascii="仿宋" w:hAnsi="仿宋" w:eastAsia="仿宋" w:cs="仿宋"/>
          <w:color w:val="auto"/>
          <w:sz w:val="24"/>
          <w:szCs w:val="24"/>
          <w:highlight w:val="none"/>
        </w:rPr>
        <w:t>，属于；承接企业为</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人，营业收入为万元，资产总额为万元，属于</w:t>
      </w:r>
      <w:r>
        <w:rPr>
          <w:rFonts w:hint="eastAsia" w:ascii="仿宋" w:hAnsi="仿宋" w:eastAsia="仿宋" w:cs="仿宋"/>
          <w:color w:val="auto"/>
          <w:sz w:val="24"/>
          <w:szCs w:val="24"/>
          <w:highlight w:val="none"/>
          <w:u w:val="single"/>
        </w:rPr>
        <w:t>（中型企业、小型企业、微型企业）</w:t>
      </w:r>
      <w:r>
        <w:rPr>
          <w:rFonts w:hint="eastAsia" w:ascii="仿宋" w:hAnsi="仿宋" w:eastAsia="仿宋" w:cs="仿宋"/>
          <w:color w:val="auto"/>
          <w:sz w:val="24"/>
          <w:szCs w:val="24"/>
          <w:highlight w:val="none"/>
        </w:rPr>
        <w:t xml:space="preserve">； </w:t>
      </w:r>
    </w:p>
    <w:p w14:paraId="1BEDFCCF">
      <w:pPr>
        <w:pStyle w:val="144"/>
        <w:spacing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067E9D80">
      <w:pPr>
        <w:pStyle w:val="144"/>
        <w:spacing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以上企业，不属于大企业的分支机构，不存在控股股东为大企业的情形，也不存在与大企业的负责人为同一人的情形。</w:t>
      </w:r>
    </w:p>
    <w:p w14:paraId="4AD08D43">
      <w:pPr>
        <w:pStyle w:val="144"/>
        <w:spacing w:after="40"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本企业对上述声明内容的真实性负责。如有虚假，将依法承担相应责任。</w:t>
      </w:r>
    </w:p>
    <w:p w14:paraId="1A6F1CEF">
      <w:pPr>
        <w:pStyle w:val="144"/>
        <w:spacing w:after="40" w:line="400" w:lineRule="exact"/>
        <w:ind w:firstLine="640"/>
        <w:jc w:val="both"/>
        <w:rPr>
          <w:rFonts w:hint="eastAsia" w:ascii="仿宋" w:hAnsi="仿宋" w:eastAsia="仿宋" w:cs="仿宋"/>
          <w:color w:val="auto"/>
          <w:sz w:val="24"/>
          <w:szCs w:val="24"/>
          <w:highlight w:val="none"/>
        </w:rPr>
      </w:pPr>
    </w:p>
    <w:p w14:paraId="412DD744">
      <w:pPr>
        <w:pStyle w:val="144"/>
        <w:spacing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企业名称[盖公章]：</w:t>
      </w:r>
    </w:p>
    <w:p w14:paraId="752CDFB2">
      <w:pPr>
        <w:pStyle w:val="144"/>
        <w:spacing w:line="400" w:lineRule="exact"/>
        <w:ind w:firstLine="64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日期：</w:t>
      </w:r>
    </w:p>
    <w:p w14:paraId="61399EBA">
      <w:pPr>
        <w:spacing w:line="460" w:lineRule="exact"/>
        <w:rPr>
          <w:rFonts w:hint="eastAsia" w:ascii="仿宋" w:hAnsi="仿宋" w:eastAsia="仿宋" w:cs="仿宋"/>
          <w:color w:val="auto"/>
          <w:sz w:val="24"/>
          <w:highlight w:val="none"/>
        </w:rPr>
      </w:pPr>
    </w:p>
    <w:p w14:paraId="55EFB6E5">
      <w:pPr>
        <w:spacing w:line="46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备注：如果投标产品（或服务）中有小型或微型企业的产品（服务），应在投标报价明细表中注明生产（或服务）企业名称，并在投标文件提供符合规定的有关证明材料（投标人应提供最近一年的年度财务审计报告，以证明投标人（或投标产品生产厂家）的营业收入、资产总额等指标），否则不认可该产品（服务）为小型或微型企业的产品（服务）。</w:t>
      </w:r>
    </w:p>
    <w:p w14:paraId="061331B0">
      <w:pPr>
        <w:pStyle w:val="2"/>
        <w:spacing w:line="360" w:lineRule="auto"/>
        <w:ind w:left="3960" w:right="1808"/>
        <w:contextualSpacing/>
        <w:rPr>
          <w:rFonts w:hint="eastAsia" w:ascii="仿宋" w:hAnsi="仿宋" w:eastAsia="仿宋" w:cs="仿宋"/>
          <w:color w:val="auto"/>
          <w:kern w:val="24"/>
          <w:highlight w:val="none"/>
        </w:rPr>
      </w:pPr>
    </w:p>
    <w:p w14:paraId="516A50CC">
      <w:pPr>
        <w:pStyle w:val="2"/>
        <w:spacing w:line="360" w:lineRule="auto"/>
        <w:ind w:left="-426" w:right="142" w:firstLine="567"/>
        <w:contextualSpacing/>
        <w:rPr>
          <w:rFonts w:hint="eastAsia" w:ascii="仿宋" w:hAnsi="仿宋" w:eastAsia="仿宋" w:cs="仿宋"/>
          <w:color w:val="auto"/>
          <w:kern w:val="24"/>
          <w:highlight w:val="none"/>
        </w:rPr>
      </w:pPr>
      <w:r>
        <w:rPr>
          <w:rFonts w:hint="eastAsia" w:ascii="仿宋" w:hAnsi="仿宋" w:eastAsia="仿宋" w:cs="仿宋"/>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3069A102">
      <w:pPr>
        <w:snapToGrid w:val="0"/>
        <w:spacing w:before="120" w:beforeLines="50" w:after="50"/>
        <w:ind w:left="142"/>
        <w:jc w:val="left"/>
        <w:rPr>
          <w:rFonts w:hint="eastAsia" w:ascii="仿宋" w:hAnsi="仿宋" w:eastAsia="仿宋" w:cs="仿宋"/>
          <w:b/>
          <w:color w:val="auto"/>
          <w:sz w:val="24"/>
          <w:highlight w:val="none"/>
        </w:rPr>
      </w:pPr>
    </w:p>
    <w:p w14:paraId="4948B5F7">
      <w:pPr>
        <w:pStyle w:val="28"/>
        <w:jc w:val="left"/>
        <w:rPr>
          <w:rFonts w:hint="eastAsia" w:ascii="仿宋" w:hAnsi="仿宋" w:eastAsia="仿宋" w:cs="仿宋"/>
          <w:b/>
          <w:color w:val="auto"/>
          <w:sz w:val="24"/>
          <w:highlight w:val="none"/>
        </w:rPr>
      </w:pPr>
      <w:r>
        <w:rPr>
          <w:rFonts w:hint="eastAsia" w:ascii="仿宋" w:hAnsi="仿宋" w:eastAsia="仿宋" w:cs="仿宋"/>
          <w:color w:val="auto"/>
          <w:sz w:val="32"/>
          <w:szCs w:val="32"/>
          <w:highlight w:val="none"/>
        </w:rPr>
        <w:br w:type="page"/>
      </w:r>
      <w:r>
        <w:rPr>
          <w:rFonts w:hint="eastAsia" w:ascii="仿宋" w:hAnsi="仿宋" w:eastAsia="仿宋" w:cs="仿宋"/>
          <w:b/>
          <w:color w:val="auto"/>
          <w:sz w:val="24"/>
          <w:highlight w:val="none"/>
        </w:rPr>
        <w:t>3.残疾人福利性单位声明函格式</w:t>
      </w:r>
    </w:p>
    <w:p w14:paraId="29AA2287">
      <w:pPr>
        <w:spacing w:line="588" w:lineRule="exact"/>
        <w:jc w:val="center"/>
        <w:rPr>
          <w:rFonts w:hint="eastAsia" w:ascii="仿宋" w:hAnsi="仿宋" w:eastAsia="仿宋" w:cs="仿宋"/>
          <w:b/>
          <w:color w:val="auto"/>
          <w:spacing w:val="6"/>
          <w:sz w:val="32"/>
          <w:szCs w:val="32"/>
          <w:highlight w:val="none"/>
        </w:rPr>
      </w:pPr>
    </w:p>
    <w:p w14:paraId="1FB9ED62">
      <w:pPr>
        <w:spacing w:line="588" w:lineRule="exact"/>
        <w:jc w:val="center"/>
        <w:rPr>
          <w:rFonts w:hint="eastAsia" w:ascii="仿宋" w:hAnsi="仿宋" w:eastAsia="仿宋" w:cs="仿宋"/>
          <w:bCs/>
          <w:color w:val="auto"/>
          <w:spacing w:val="6"/>
          <w:sz w:val="44"/>
          <w:szCs w:val="44"/>
          <w:highlight w:val="none"/>
        </w:rPr>
      </w:pPr>
      <w:r>
        <w:rPr>
          <w:rFonts w:hint="eastAsia" w:ascii="仿宋" w:hAnsi="仿宋" w:eastAsia="仿宋" w:cs="仿宋"/>
          <w:bCs/>
          <w:color w:val="auto"/>
          <w:spacing w:val="6"/>
          <w:sz w:val="44"/>
          <w:szCs w:val="44"/>
          <w:highlight w:val="none"/>
        </w:rPr>
        <w:t>残疾人福利性单位声明函</w:t>
      </w:r>
    </w:p>
    <w:p w14:paraId="2F68AE29">
      <w:pPr>
        <w:spacing w:line="360" w:lineRule="auto"/>
        <w:contextualSpacing/>
        <w:rPr>
          <w:rFonts w:hint="eastAsia" w:ascii="仿宋" w:hAnsi="仿宋" w:eastAsia="仿宋" w:cs="仿宋"/>
          <w:bCs/>
          <w:color w:val="auto"/>
          <w:spacing w:val="6"/>
          <w:sz w:val="30"/>
          <w:szCs w:val="30"/>
          <w:highlight w:val="none"/>
        </w:rPr>
      </w:pPr>
    </w:p>
    <w:p w14:paraId="5CF7B756">
      <w:pPr>
        <w:spacing w:line="360" w:lineRule="auto"/>
        <w:ind w:firstLine="504" w:firstLineChars="200"/>
        <w:contextualSpacing/>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本单位郑重声明，根据《财政部 民政部 中国残疾人联合会关于促进残疾人就业政府采购政策的通知》（财库</w:t>
      </w:r>
      <w:r>
        <w:rPr>
          <w:rFonts w:hint="eastAsia" w:ascii="仿宋" w:hAnsi="仿宋" w:eastAsia="仿宋" w:cs="仿宋"/>
          <w:color w:val="auto"/>
          <w:sz w:val="24"/>
          <w:highlight w:val="none"/>
        </w:rPr>
        <w:t>〔2017〕 141</w:t>
      </w:r>
      <w:r>
        <w:rPr>
          <w:rFonts w:hint="eastAsia" w:ascii="仿宋" w:hAnsi="仿宋" w:eastAsia="仿宋" w:cs="仿宋"/>
          <w:color w:val="auto"/>
          <w:spacing w:val="6"/>
          <w:sz w:val="24"/>
          <w:highlight w:val="none"/>
        </w:rPr>
        <w:t>号）的规定，本单位为符合条件的残疾人福利性单位，且本单位参加______单位的______项目采购活动提供本单位的服务</w:t>
      </w:r>
      <w:r>
        <w:rPr>
          <w:rFonts w:hint="eastAsia" w:ascii="仿宋" w:hAnsi="仿宋" w:eastAsia="仿宋" w:cs="仿宋"/>
          <w:color w:val="auto"/>
          <w:spacing w:val="-6"/>
          <w:sz w:val="24"/>
          <w:highlight w:val="none"/>
        </w:rPr>
        <w:t>。</w:t>
      </w:r>
    </w:p>
    <w:p w14:paraId="1F1C6856">
      <w:pPr>
        <w:spacing w:line="360" w:lineRule="auto"/>
        <w:ind w:firstLine="504" w:firstLineChars="200"/>
        <w:contextualSpacing/>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本单位对上述声明的真实性负责。如有虚假，将依法承担相应责任。</w:t>
      </w:r>
    </w:p>
    <w:p w14:paraId="2E3EFE55">
      <w:pPr>
        <w:spacing w:line="360" w:lineRule="auto"/>
        <w:ind w:firstLine="504" w:firstLineChars="200"/>
        <w:contextualSpacing/>
        <w:rPr>
          <w:rFonts w:hint="eastAsia" w:ascii="仿宋" w:hAnsi="仿宋" w:eastAsia="仿宋" w:cs="仿宋"/>
          <w:color w:val="auto"/>
          <w:spacing w:val="6"/>
          <w:sz w:val="24"/>
          <w:highlight w:val="none"/>
        </w:rPr>
      </w:pPr>
    </w:p>
    <w:p w14:paraId="0D3B0687">
      <w:pPr>
        <w:spacing w:line="360" w:lineRule="auto"/>
        <w:ind w:firstLine="504" w:firstLineChars="200"/>
        <w:contextualSpacing/>
        <w:rPr>
          <w:rFonts w:hint="eastAsia" w:ascii="仿宋" w:hAnsi="仿宋" w:eastAsia="仿宋" w:cs="仿宋"/>
          <w:color w:val="auto"/>
          <w:spacing w:val="6"/>
          <w:sz w:val="24"/>
          <w:highlight w:val="none"/>
        </w:rPr>
      </w:pPr>
    </w:p>
    <w:p w14:paraId="30A96640">
      <w:pPr>
        <w:tabs>
          <w:tab w:val="left" w:pos="4860"/>
        </w:tabs>
        <w:spacing w:line="360" w:lineRule="auto"/>
        <w:ind w:right="1560" w:firstLine="504" w:firstLineChars="200"/>
        <w:contextualSpacing/>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单位名称（盖公章）：</w:t>
      </w:r>
    </w:p>
    <w:p w14:paraId="47886260">
      <w:pPr>
        <w:tabs>
          <w:tab w:val="left" w:pos="4860"/>
        </w:tabs>
        <w:spacing w:line="360" w:lineRule="auto"/>
        <w:ind w:right="1560" w:firstLine="504" w:firstLineChars="200"/>
        <w:contextualSpacing/>
        <w:jc w:val="center"/>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日  期：</w:t>
      </w:r>
    </w:p>
    <w:p w14:paraId="6711C662">
      <w:pPr>
        <w:spacing w:line="360" w:lineRule="auto"/>
        <w:contextualSpacing/>
        <w:rPr>
          <w:rFonts w:hint="eastAsia" w:ascii="仿宋" w:hAnsi="仿宋" w:eastAsia="仿宋" w:cs="仿宋"/>
          <w:color w:val="auto"/>
          <w:sz w:val="24"/>
          <w:highlight w:val="none"/>
        </w:rPr>
      </w:pPr>
    </w:p>
    <w:p w14:paraId="34F8A264">
      <w:pPr>
        <w:spacing w:line="360" w:lineRule="auto"/>
        <w:contextualSpacing/>
        <w:rPr>
          <w:rFonts w:hint="eastAsia" w:ascii="仿宋" w:hAnsi="仿宋" w:eastAsia="仿宋" w:cs="仿宋"/>
          <w:color w:val="auto"/>
          <w:sz w:val="24"/>
          <w:highlight w:val="none"/>
        </w:rPr>
      </w:pPr>
    </w:p>
    <w:p w14:paraId="3E1BD809">
      <w:pPr>
        <w:spacing w:line="360" w:lineRule="auto"/>
        <w:contextualSpacing/>
        <w:rPr>
          <w:rFonts w:hint="eastAsia" w:ascii="仿宋" w:hAnsi="仿宋" w:eastAsia="仿宋" w:cs="仿宋"/>
          <w:color w:val="auto"/>
          <w:sz w:val="24"/>
          <w:highlight w:val="none"/>
        </w:rPr>
      </w:pPr>
    </w:p>
    <w:p w14:paraId="3A75E038">
      <w:pPr>
        <w:spacing w:line="360" w:lineRule="auto"/>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B94F7DA">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24"/>
          <w:highlight w:val="none"/>
        </w:rPr>
        <w:t>4.质疑函格式</w:t>
      </w:r>
    </w:p>
    <w:p w14:paraId="15C72B93">
      <w:pPr>
        <w:spacing w:line="5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质疑函</w:t>
      </w:r>
    </w:p>
    <w:p w14:paraId="0A57F122">
      <w:pPr>
        <w:pStyle w:val="28"/>
        <w:snapToGrid w:val="0"/>
        <w:spacing w:line="40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70ED221C">
      <w:pPr>
        <w:pStyle w:val="28"/>
        <w:snapToGrid w:val="0"/>
        <w:spacing w:line="400" w:lineRule="exact"/>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p>
    <w:p w14:paraId="289A46E8">
      <w:pPr>
        <w:pStyle w:val="28"/>
        <w:snapToGrid w:val="0"/>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地址：邮编：</w:t>
      </w:r>
    </w:p>
    <w:p w14:paraId="2AE2FAE9">
      <w:pPr>
        <w:pStyle w:val="28"/>
        <w:snapToGrid w:val="0"/>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联系人：联系电话：</w:t>
      </w:r>
    </w:p>
    <w:p w14:paraId="0795384A">
      <w:pPr>
        <w:pStyle w:val="28"/>
        <w:snapToGrid w:val="0"/>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授权代表：联系电话：</w:t>
      </w:r>
    </w:p>
    <w:p w14:paraId="00A87BF3">
      <w:pPr>
        <w:pStyle w:val="28"/>
        <w:snapToGrid w:val="0"/>
        <w:spacing w:line="4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地址：邮编：</w:t>
      </w:r>
    </w:p>
    <w:p w14:paraId="09134147">
      <w:pPr>
        <w:pStyle w:val="28"/>
        <w:snapToGrid w:val="0"/>
        <w:spacing w:line="40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5317A906">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p>
    <w:p w14:paraId="63EEB783">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p>
    <w:p w14:paraId="42EB6D8D">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p>
    <w:p w14:paraId="3481D136">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6C6916D9">
      <w:pPr>
        <w:pStyle w:val="28"/>
        <w:spacing w:line="400" w:lineRule="exact"/>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□招标文件   招标文件获取日期：</w:t>
      </w:r>
    </w:p>
    <w:p w14:paraId="78F86F46">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0751192F">
      <w:pPr>
        <w:pStyle w:val="28"/>
        <w:spacing w:line="400" w:lineRule="exact"/>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□中标结果   </w:t>
      </w:r>
    </w:p>
    <w:p w14:paraId="497F2F2D">
      <w:pPr>
        <w:pStyle w:val="28"/>
        <w:spacing w:line="400" w:lineRule="exact"/>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0DA44805">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p>
    <w:p w14:paraId="0DC4AECC">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p>
    <w:p w14:paraId="18C6DF5F">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p>
    <w:p w14:paraId="7707D1EB">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2A2FE9CB">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49E931A7">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7DD5B5C7">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p>
    <w:p w14:paraId="3DB82D54">
      <w:pPr>
        <w:pStyle w:val="28"/>
        <w:spacing w:line="400" w:lineRule="exact"/>
        <w:ind w:left="25" w:leftChars="12" w:firstLine="352" w:firstLineChars="147"/>
        <w:rPr>
          <w:rFonts w:hint="eastAsia" w:ascii="仿宋" w:hAnsi="仿宋" w:eastAsia="仿宋" w:cs="仿宋"/>
          <w:color w:val="auto"/>
          <w:sz w:val="24"/>
          <w:szCs w:val="24"/>
          <w:highlight w:val="none"/>
        </w:rPr>
      </w:pPr>
    </w:p>
    <w:p w14:paraId="3013E723">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w:t>
      </w:r>
    </w:p>
    <w:p w14:paraId="2DBFE0DC">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公章：</w:t>
      </w:r>
    </w:p>
    <w:p w14:paraId="09E862B9">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2F7C440C">
      <w:pPr>
        <w:pStyle w:val="28"/>
        <w:snapToGrid w:val="0"/>
        <w:spacing w:line="3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672E6EA5">
      <w:pPr>
        <w:pStyle w:val="28"/>
        <w:spacing w:line="360" w:lineRule="exact"/>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7E14524F">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54EF472">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62C71583">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0615C5B7">
      <w:pPr>
        <w:pStyle w:val="28"/>
        <w:spacing w:line="360" w:lineRule="exact"/>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65A9BC37">
      <w:pPr>
        <w:spacing w:line="360" w:lineRule="auto"/>
        <w:jc w:val="left"/>
        <w:rPr>
          <w:rFonts w:hint="eastAsia" w:ascii="仿宋" w:hAnsi="仿宋" w:eastAsia="仿宋" w:cs="仿宋"/>
          <w:b/>
          <w:bCs/>
          <w:color w:val="auto"/>
          <w:sz w:val="32"/>
          <w:szCs w:val="32"/>
          <w:highlight w:val="none"/>
        </w:rPr>
      </w:pPr>
      <w:r>
        <w:rPr>
          <w:rFonts w:hint="eastAsia" w:ascii="仿宋" w:hAnsi="仿宋" w:eastAsia="仿宋" w:cs="仿宋"/>
          <w:color w:val="auto"/>
          <w:sz w:val="44"/>
          <w:highlight w:val="none"/>
        </w:rPr>
        <w:br w:type="page"/>
      </w:r>
      <w:r>
        <w:rPr>
          <w:rFonts w:hint="eastAsia" w:ascii="仿宋" w:hAnsi="仿宋" w:eastAsia="仿宋" w:cs="仿宋"/>
          <w:b/>
          <w:color w:val="auto"/>
          <w:sz w:val="24"/>
          <w:highlight w:val="none"/>
        </w:rPr>
        <w:t>5.投诉书格式</w:t>
      </w:r>
    </w:p>
    <w:p w14:paraId="50350BC9">
      <w:pPr>
        <w:spacing w:line="500" w:lineRule="exact"/>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投诉书</w:t>
      </w:r>
    </w:p>
    <w:p w14:paraId="3CAD6C6E">
      <w:pPr>
        <w:pStyle w:val="28"/>
        <w:snapToGrid w:val="0"/>
        <w:spacing w:line="40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5E85A1CA">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投标人：</w:t>
      </w:r>
    </w:p>
    <w:p w14:paraId="73728357">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地址：邮编：</w:t>
      </w:r>
    </w:p>
    <w:p w14:paraId="79AD4374">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p>
    <w:p w14:paraId="189C4F24">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p>
    <w:p w14:paraId="2B38D6F1">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授权代表：联系电话：</w:t>
      </w:r>
    </w:p>
    <w:p w14:paraId="4FC05A33">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p>
    <w:p w14:paraId="41C5245C">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p>
    <w:p w14:paraId="34FDEB60">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2094833B">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p>
    <w:p w14:paraId="2C2B8793">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p>
    <w:p w14:paraId="2D07872D">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联系人：联系电话：</w:t>
      </w:r>
    </w:p>
    <w:p w14:paraId="20AF4BD4">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68A7CA0B">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246BED0C">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p>
    <w:p w14:paraId="48ACDC27">
      <w:pPr>
        <w:pStyle w:val="28"/>
        <w:snapToGrid w:val="0"/>
        <w:spacing w:line="400" w:lineRule="exact"/>
        <w:ind w:firstLine="480" w:firstLineChars="200"/>
        <w:jc w:val="left"/>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地址：邮编：</w:t>
      </w:r>
    </w:p>
    <w:p w14:paraId="7BD8F474">
      <w:pPr>
        <w:pStyle w:val="28"/>
        <w:snapToGrid w:val="0"/>
        <w:spacing w:line="400" w:lineRule="exact"/>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联系人：联系电话：</w:t>
      </w:r>
    </w:p>
    <w:p w14:paraId="7ABF4D93">
      <w:pPr>
        <w:pStyle w:val="28"/>
        <w:snapToGrid w:val="0"/>
        <w:spacing w:line="40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5A008CE8">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p>
    <w:p w14:paraId="0F0BD98F">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p>
    <w:p w14:paraId="0565C325">
      <w:pPr>
        <w:pStyle w:val="28"/>
        <w:spacing w:line="400" w:lineRule="exact"/>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p>
    <w:p w14:paraId="38DEFCBF">
      <w:pPr>
        <w:pStyle w:val="28"/>
        <w:spacing w:line="400" w:lineRule="exact"/>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p>
    <w:p w14:paraId="25C67349">
      <w:pPr>
        <w:pStyle w:val="28"/>
        <w:spacing w:line="400" w:lineRule="exact"/>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招标文件公告：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p>
    <w:p w14:paraId="1A5D1A61">
      <w:pPr>
        <w:pStyle w:val="28"/>
        <w:spacing w:line="400" w:lineRule="exact"/>
        <w:ind w:left="25"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 xml:space="preserve">     公告期限：</w:t>
      </w:r>
    </w:p>
    <w:p w14:paraId="45F2B859">
      <w:pPr>
        <w:pStyle w:val="28"/>
        <w:spacing w:line="400" w:lineRule="exact"/>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5E30545A">
      <w:pPr>
        <w:pStyle w:val="28"/>
        <w:spacing w:line="400" w:lineRule="exact"/>
        <w:ind w:left="25" w:leftChars="12"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投诉人于  年   月   日，向提出质疑，质疑事项为：</w:t>
      </w:r>
    </w:p>
    <w:p w14:paraId="1F8DA3E1">
      <w:pPr>
        <w:pStyle w:val="28"/>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 xml:space="preserve">于   </w:t>
      </w:r>
      <w:r>
        <w:rPr>
          <w:rFonts w:hint="eastAsia" w:ascii="仿宋" w:hAnsi="仿宋" w:eastAsia="仿宋" w:cs="仿宋"/>
          <w:color w:val="auto"/>
          <w:sz w:val="24"/>
          <w:szCs w:val="24"/>
          <w:highlight w:val="none"/>
        </w:rPr>
        <w:t>年  月   日，</w:t>
      </w:r>
      <w:r>
        <w:rPr>
          <w:rFonts w:hint="eastAsia" w:ascii="仿宋" w:hAnsi="仿宋" w:eastAsia="仿宋" w:cs="仿宋"/>
          <w:bCs/>
          <w:color w:val="auto"/>
          <w:sz w:val="24"/>
          <w:szCs w:val="24"/>
          <w:highlight w:val="none"/>
        </w:rPr>
        <w:t xml:space="preserve">就质疑事项作出了答复/没有在法定期限内作出答复。                                                                                             </w:t>
      </w:r>
    </w:p>
    <w:p w14:paraId="12058688">
      <w:pPr>
        <w:pStyle w:val="28"/>
        <w:spacing w:line="400" w:lineRule="exact"/>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56BB1D4C">
      <w:pPr>
        <w:pStyle w:val="28"/>
        <w:spacing w:line="400" w:lineRule="exact"/>
        <w:ind w:left="25"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p>
    <w:p w14:paraId="58A6A170">
      <w:pPr>
        <w:pStyle w:val="28"/>
        <w:spacing w:line="400" w:lineRule="exact"/>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p>
    <w:p w14:paraId="392BDCA7">
      <w:pPr>
        <w:pStyle w:val="28"/>
        <w:spacing w:line="400" w:lineRule="exact"/>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p>
    <w:p w14:paraId="2A49444B">
      <w:pPr>
        <w:pStyle w:val="28"/>
        <w:spacing w:line="400" w:lineRule="exact"/>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投诉事项2：</w:t>
      </w:r>
    </w:p>
    <w:p w14:paraId="2A21D9E7">
      <w:pPr>
        <w:pStyle w:val="28"/>
        <w:spacing w:line="400" w:lineRule="exact"/>
        <w:ind w:left="25"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4661245C">
      <w:pPr>
        <w:pStyle w:val="28"/>
        <w:spacing w:line="400" w:lineRule="exact"/>
        <w:ind w:left="25"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2FCC15A8">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p>
    <w:p w14:paraId="2FE3AD5A">
      <w:pPr>
        <w:pStyle w:val="28"/>
        <w:spacing w:line="400" w:lineRule="exact"/>
        <w:ind w:left="25" w:leftChars="12" w:firstLine="352" w:firstLineChars="147"/>
        <w:rPr>
          <w:rFonts w:hint="eastAsia" w:ascii="仿宋" w:hAnsi="仿宋" w:eastAsia="仿宋" w:cs="仿宋"/>
          <w:color w:val="auto"/>
          <w:sz w:val="24"/>
          <w:szCs w:val="24"/>
          <w:highlight w:val="none"/>
        </w:rPr>
      </w:pPr>
    </w:p>
    <w:p w14:paraId="7EDD165B">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w:t>
      </w:r>
    </w:p>
    <w:p w14:paraId="0A8244AE">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公章：</w:t>
      </w:r>
    </w:p>
    <w:p w14:paraId="71A8D90E">
      <w:pPr>
        <w:pStyle w:val="28"/>
        <w:spacing w:line="400" w:lineRule="exact"/>
        <w:ind w:left="25"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352267D0">
      <w:pPr>
        <w:pStyle w:val="28"/>
        <w:snapToGrid w:val="0"/>
        <w:spacing w:line="3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4353C481">
      <w:pPr>
        <w:pStyle w:val="28"/>
        <w:spacing w:line="360" w:lineRule="exact"/>
        <w:ind w:left="25" w:leftChars="12" w:firstLine="354" w:firstLineChars="147"/>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1.投诉人提起投诉时，应当提交投诉书和必要的证明材料，并按照被投诉人和与投诉事项有关的供应商数量提供投诉书副本</w:t>
      </w:r>
      <w:r>
        <w:rPr>
          <w:rFonts w:hint="eastAsia" w:ascii="仿宋" w:hAnsi="仿宋" w:eastAsia="仿宋" w:cs="仿宋"/>
          <w:b/>
          <w:bCs/>
          <w:color w:val="auto"/>
          <w:sz w:val="24"/>
          <w:szCs w:val="24"/>
          <w:highlight w:val="none"/>
        </w:rPr>
        <w:t>。</w:t>
      </w:r>
    </w:p>
    <w:p w14:paraId="0069859D">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44F5B7">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3.投诉书应简要列明质疑事项，质疑函、质疑答复等作为附件材料提供。</w:t>
      </w:r>
    </w:p>
    <w:p w14:paraId="512FAF54">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4.投诉书的投诉事项应具体、明确，并有必要的事实依据和法律依据。</w:t>
      </w:r>
    </w:p>
    <w:p w14:paraId="2ADDD0BE">
      <w:pPr>
        <w:pStyle w:val="28"/>
        <w:spacing w:line="360" w:lineRule="exact"/>
        <w:ind w:left="25" w:leftChars="12" w:firstLine="354" w:firstLineChars="147"/>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5.投诉书的投诉请求应与投诉事项相关。</w:t>
      </w:r>
    </w:p>
    <w:p w14:paraId="13E4D01C">
      <w:pPr>
        <w:pStyle w:val="28"/>
        <w:spacing w:line="360" w:lineRule="exact"/>
        <w:ind w:left="25" w:leftChars="12" w:firstLine="354" w:firstLineChars="147"/>
        <w:rPr>
          <w:rFonts w:hint="eastAsia" w:ascii="仿宋" w:hAnsi="仿宋" w:eastAsia="仿宋" w:cs="仿宋"/>
          <w:b/>
          <w:color w:val="auto"/>
          <w:highlight w:val="none"/>
        </w:rPr>
      </w:pPr>
      <w:r>
        <w:rPr>
          <w:rFonts w:hint="eastAsia" w:ascii="仿宋" w:hAnsi="仿宋" w:eastAsia="仿宋" w:cs="仿宋"/>
          <w:b/>
          <w:color w:val="auto"/>
          <w:sz w:val="24"/>
          <w:szCs w:val="24"/>
          <w:highlight w:val="none"/>
        </w:rPr>
        <w:t>6.投诉人为法人或者其他组织的，投诉书应由法定代表人、主要负责人，或者其授权代表签字或者盖章，并加盖公章。</w:t>
      </w:r>
    </w:p>
    <w:sectPr>
      <w:footerReference r:id="rId12" w:type="first"/>
      <w:headerReference r:id="rId9" w:type="default"/>
      <w:footerReference r:id="rId10" w:type="default"/>
      <w:footerReference r:id="rId11" w:type="even"/>
      <w:pgSz w:w="11906" w:h="16838"/>
      <w:pgMar w:top="907" w:right="851" w:bottom="907" w:left="851" w:header="851" w:footer="510"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D5CA6847-3A5B-4786-8026-8D263CE4A694}"/>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45952"/>
    </w:sdtPr>
    <w:sdtEndPr>
      <w:rPr>
        <w:rFonts w:ascii="仿宋" w:hAnsi="仿宋" w:eastAsia="仿宋"/>
        <w:sz w:val="21"/>
        <w:szCs w:val="21"/>
      </w:rPr>
    </w:sdtEndPr>
    <w:sdtContent>
      <w:p w14:paraId="5420970E">
        <w:pPr>
          <w:pStyle w:val="34"/>
          <w:jc w:val="center"/>
          <w:rPr>
            <w:rFonts w:hint="eastAsia"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PAGE   \* MERGEFORMAT</w:instrText>
        </w:r>
        <w:r>
          <w:rPr>
            <w:rFonts w:ascii="仿宋" w:hAnsi="仿宋" w:eastAsia="仿宋"/>
            <w:sz w:val="21"/>
            <w:szCs w:val="21"/>
          </w:rPr>
          <w:fldChar w:fldCharType="separate"/>
        </w:r>
        <w:r>
          <w:rPr>
            <w:rFonts w:ascii="仿宋" w:hAnsi="仿宋" w:eastAsia="仿宋"/>
            <w:sz w:val="21"/>
            <w:szCs w:val="21"/>
            <w:lang w:val="zh-CN"/>
          </w:rPr>
          <w:t>-</w:t>
        </w:r>
        <w:r>
          <w:rPr>
            <w:rFonts w:ascii="仿宋" w:hAnsi="仿宋" w:eastAsia="仿宋"/>
            <w:sz w:val="21"/>
            <w:szCs w:val="21"/>
          </w:rPr>
          <w:t xml:space="preserve"> 38 -</w:t>
        </w:r>
        <w:r>
          <w:rPr>
            <w:rFonts w:ascii="仿宋" w:hAnsi="仿宋" w:eastAsia="仿宋"/>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6D04">
    <w:pPr>
      <w:pStyle w:val="34"/>
      <w:framePr w:wrap="around" w:vAnchor="text" w:hAnchor="margin" w:xAlign="center" w:y="1"/>
      <w:rPr>
        <w:rStyle w:val="57"/>
      </w:rPr>
    </w:pPr>
    <w:r>
      <w:fldChar w:fldCharType="begin"/>
    </w:r>
    <w:r>
      <w:rPr>
        <w:rStyle w:val="57"/>
      </w:rPr>
      <w:instrText xml:space="preserve">PAGE  </w:instrText>
    </w:r>
    <w:r>
      <w:fldChar w:fldCharType="end"/>
    </w:r>
  </w:p>
  <w:p w14:paraId="768E1AAD">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BA1">
    <w:pPr>
      <w:pStyle w:val="34"/>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58684">
    <w:pPr>
      <w:pStyle w:val="34"/>
      <w:jc w:val="center"/>
      <w:rPr>
        <w:rFonts w:hint="eastAsia" w:ascii="仿宋" w:hAnsi="仿宋" w:eastAsia="仿宋"/>
        <w:sz w:val="21"/>
        <w:szCs w:val="21"/>
      </w:rPr>
    </w:pPr>
    <w:r>
      <w:rPr>
        <w:rFonts w:ascii="仿宋" w:hAnsi="仿宋" w:eastAsia="仿宋"/>
        <w:sz w:val="21"/>
        <w:szCs w:val="21"/>
      </w:rPr>
      <w:fldChar w:fldCharType="begin"/>
    </w:r>
    <w:r>
      <w:rPr>
        <w:rFonts w:ascii="仿宋" w:hAnsi="仿宋" w:eastAsia="仿宋"/>
        <w:sz w:val="21"/>
        <w:szCs w:val="21"/>
      </w:rPr>
      <w:instrText xml:space="preserve"> PAGE   \* MERGEFORMAT </w:instrText>
    </w:r>
    <w:r>
      <w:rPr>
        <w:rFonts w:ascii="仿宋" w:hAnsi="仿宋" w:eastAsia="仿宋"/>
        <w:sz w:val="21"/>
        <w:szCs w:val="21"/>
      </w:rPr>
      <w:fldChar w:fldCharType="separate"/>
    </w:r>
    <w:r>
      <w:rPr>
        <w:rFonts w:ascii="仿宋" w:hAnsi="仿宋" w:eastAsia="仿宋"/>
        <w:sz w:val="21"/>
        <w:szCs w:val="21"/>
        <w:lang w:val="zh-CN"/>
      </w:rPr>
      <w:t>-</w:t>
    </w:r>
    <w:r>
      <w:rPr>
        <w:rFonts w:ascii="仿宋" w:hAnsi="仿宋" w:eastAsia="仿宋"/>
        <w:sz w:val="21"/>
        <w:szCs w:val="21"/>
      </w:rPr>
      <w:t xml:space="preserve"> 81 -</w:t>
    </w:r>
    <w:r>
      <w:rPr>
        <w:rFonts w:ascii="仿宋" w:hAnsi="仿宋" w:eastAsia="仿宋"/>
        <w:sz w:val="21"/>
        <w:szCs w:val="21"/>
      </w:rPr>
      <w:fldChar w:fldCharType="end"/>
    </w:r>
  </w:p>
  <w:p w14:paraId="3E438A5C">
    <w:pPr>
      <w:pStyle w:val="3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F9053">
    <w:pPr>
      <w:pStyle w:val="34"/>
      <w:framePr w:wrap="around" w:vAnchor="text" w:hAnchor="margin" w:xAlign="center" w:y="1"/>
      <w:rPr>
        <w:rStyle w:val="57"/>
      </w:rPr>
    </w:pPr>
    <w:r>
      <w:fldChar w:fldCharType="begin"/>
    </w:r>
    <w:r>
      <w:rPr>
        <w:rStyle w:val="57"/>
      </w:rPr>
      <w:instrText xml:space="preserve">PAGE  </w:instrText>
    </w:r>
    <w:r>
      <w:fldChar w:fldCharType="end"/>
    </w:r>
  </w:p>
  <w:p w14:paraId="0CD25ACF">
    <w:pPr>
      <w:pStyle w:val="3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0A865">
    <w:pPr>
      <w:pStyle w:val="34"/>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778D">
    <w:pPr>
      <w:pStyle w:val="3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0ECA4">
    <w:pPr>
      <w:pStyle w:val="3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DDE76"/>
    <w:multiLevelType w:val="multilevel"/>
    <w:tmpl w:val="F84DDE7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FFFFFF7E"/>
    <w:multiLevelType w:val="singleLevel"/>
    <w:tmpl w:val="FFFFFF7E"/>
    <w:lvl w:ilvl="0" w:tentative="0">
      <w:start w:val="1"/>
      <w:numFmt w:val="decimal"/>
      <w:pStyle w:val="22"/>
      <w:lvlText w:val="%1."/>
      <w:lvlJc w:val="left"/>
      <w:pPr>
        <w:tabs>
          <w:tab w:val="left" w:pos="1200"/>
        </w:tabs>
        <w:ind w:left="1200" w:hanging="360"/>
      </w:pPr>
    </w:lvl>
  </w:abstractNum>
  <w:abstractNum w:abstractNumId="2">
    <w:nsid w:val="166BC886"/>
    <w:multiLevelType w:val="singleLevel"/>
    <w:tmpl w:val="166BC886"/>
    <w:lvl w:ilvl="0" w:tentative="0">
      <w:start w:val="1"/>
      <w:numFmt w:val="decimal"/>
      <w:suff w:val="nothing"/>
      <w:lvlText w:val="%1、"/>
      <w:lvlJc w:val="left"/>
    </w:lvl>
  </w:abstractNum>
  <w:abstractNum w:abstractNumId="3">
    <w:nsid w:val="1FBE69EA"/>
    <w:multiLevelType w:val="singleLevel"/>
    <w:tmpl w:val="1FBE69EA"/>
    <w:lvl w:ilvl="0" w:tentative="0">
      <w:start w:val="2"/>
      <w:numFmt w:val="chineseCounting"/>
      <w:suff w:val="space"/>
      <w:lvlText w:val="第%1章"/>
      <w:lvlJc w:val="left"/>
      <w:rPr>
        <w:rFonts w:hint="eastAsia"/>
      </w:rPr>
    </w:lvl>
  </w:abstractNum>
  <w:abstractNum w:abstractNumId="4">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5">
    <w:nsid w:val="4C601917"/>
    <w:multiLevelType w:val="singleLevel"/>
    <w:tmpl w:val="4C601917"/>
    <w:lvl w:ilvl="0" w:tentative="0">
      <w:start w:val="1"/>
      <w:numFmt w:val="decimal"/>
      <w:suff w:val="nothing"/>
      <w:lvlText w:val="（%1）"/>
      <w:lvlJc w:val="left"/>
      <w:pPr>
        <w:ind w:left="-2"/>
      </w:pPr>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68423BD2"/>
    <w:multiLevelType w:val="multilevel"/>
    <w:tmpl w:val="68423BD2"/>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2CD8"/>
    <w:rsid w:val="03CD0D59"/>
    <w:rsid w:val="04F668B1"/>
    <w:rsid w:val="061756A9"/>
    <w:rsid w:val="06386FF8"/>
    <w:rsid w:val="06B94F1C"/>
    <w:rsid w:val="075E111A"/>
    <w:rsid w:val="07BB0739"/>
    <w:rsid w:val="0AD42939"/>
    <w:rsid w:val="0D2D30D1"/>
    <w:rsid w:val="103E1D5B"/>
    <w:rsid w:val="12B6039C"/>
    <w:rsid w:val="12EC4BB0"/>
    <w:rsid w:val="157306F8"/>
    <w:rsid w:val="16496FC7"/>
    <w:rsid w:val="16562C3A"/>
    <w:rsid w:val="187B5C08"/>
    <w:rsid w:val="1CB53228"/>
    <w:rsid w:val="20565029"/>
    <w:rsid w:val="2094619B"/>
    <w:rsid w:val="224F4E4E"/>
    <w:rsid w:val="22C30860"/>
    <w:rsid w:val="23D007FF"/>
    <w:rsid w:val="250F50C4"/>
    <w:rsid w:val="26564228"/>
    <w:rsid w:val="29D63EDC"/>
    <w:rsid w:val="2D74105A"/>
    <w:rsid w:val="2D883196"/>
    <w:rsid w:val="2DB54D47"/>
    <w:rsid w:val="34355D35"/>
    <w:rsid w:val="346B7F20"/>
    <w:rsid w:val="34D53088"/>
    <w:rsid w:val="35CB479C"/>
    <w:rsid w:val="35E656FC"/>
    <w:rsid w:val="3A8A3448"/>
    <w:rsid w:val="3BAD6DC8"/>
    <w:rsid w:val="3C4457AB"/>
    <w:rsid w:val="3DE726A1"/>
    <w:rsid w:val="43700883"/>
    <w:rsid w:val="4431582F"/>
    <w:rsid w:val="44982DC6"/>
    <w:rsid w:val="480239B3"/>
    <w:rsid w:val="483C7BC1"/>
    <w:rsid w:val="4C3018D5"/>
    <w:rsid w:val="4D277082"/>
    <w:rsid w:val="4E982697"/>
    <w:rsid w:val="4EE16D53"/>
    <w:rsid w:val="50377F99"/>
    <w:rsid w:val="51134562"/>
    <w:rsid w:val="51BE7405"/>
    <w:rsid w:val="524D008C"/>
    <w:rsid w:val="54D95840"/>
    <w:rsid w:val="552713D3"/>
    <w:rsid w:val="573214BA"/>
    <w:rsid w:val="5780562E"/>
    <w:rsid w:val="583612B0"/>
    <w:rsid w:val="5C5D4EE0"/>
    <w:rsid w:val="5F171E0D"/>
    <w:rsid w:val="608168B8"/>
    <w:rsid w:val="60C86314"/>
    <w:rsid w:val="6236052C"/>
    <w:rsid w:val="65332297"/>
    <w:rsid w:val="671A1A10"/>
    <w:rsid w:val="6B5133DB"/>
    <w:rsid w:val="6DD20F3C"/>
    <w:rsid w:val="6DE5271F"/>
    <w:rsid w:val="6EE91ECE"/>
    <w:rsid w:val="6F7A69D7"/>
    <w:rsid w:val="6FD5773B"/>
    <w:rsid w:val="71B40FF2"/>
    <w:rsid w:val="7639662C"/>
    <w:rsid w:val="78CD46CA"/>
    <w:rsid w:val="7DD343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7"/>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8"/>
    <w:qFormat/>
    <w:uiPriority w:val="99"/>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widowControl/>
      <w:spacing w:before="120" w:after="120" w:line="360" w:lineRule="auto"/>
      <w:ind w:firstLine="1044" w:firstLineChars="200"/>
      <w:jc w:val="center"/>
      <w:outlineLvl w:val="3"/>
    </w:pPr>
    <w:rPr>
      <w:rFonts w:ascii="Arial" w:hAnsi="Arial" w:eastAsia="黑体"/>
      <w:kern w:val="0"/>
      <w:sz w:val="28"/>
      <w:szCs w:val="20"/>
    </w:rPr>
  </w:style>
  <w:style w:type="paragraph" w:styleId="7">
    <w:name w:val="heading 5"/>
    <w:basedOn w:val="1"/>
    <w:next w:val="1"/>
    <w:link w:val="69"/>
    <w:qFormat/>
    <w:uiPriority w:val="0"/>
    <w:pPr>
      <w:keepNext/>
      <w:keepLines/>
      <w:numPr>
        <w:ilvl w:val="4"/>
        <w:numId w:val="1"/>
      </w:numPr>
      <w:spacing w:before="280" w:after="290" w:line="376" w:lineRule="auto"/>
      <w:outlineLvl w:val="4"/>
    </w:pPr>
    <w:rPr>
      <w:b/>
      <w:sz w:val="28"/>
    </w:rPr>
  </w:style>
  <w:style w:type="paragraph" w:styleId="8">
    <w:name w:val="heading 6"/>
    <w:basedOn w:val="1"/>
    <w:next w:val="9"/>
    <w:link w:val="70"/>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9"/>
    <w:link w:val="71"/>
    <w:qFormat/>
    <w:uiPriority w:val="0"/>
    <w:pPr>
      <w:keepNext/>
      <w:keepLines/>
      <w:numPr>
        <w:ilvl w:val="6"/>
        <w:numId w:val="1"/>
      </w:numPr>
      <w:spacing w:before="240" w:after="64" w:line="320" w:lineRule="auto"/>
      <w:outlineLvl w:val="6"/>
    </w:pPr>
    <w:rPr>
      <w:b/>
      <w:sz w:val="24"/>
    </w:rPr>
  </w:style>
  <w:style w:type="paragraph" w:styleId="11">
    <w:name w:val="heading 8"/>
    <w:basedOn w:val="1"/>
    <w:next w:val="9"/>
    <w:link w:val="72"/>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9"/>
    <w:link w:val="73"/>
    <w:qFormat/>
    <w:uiPriority w:val="0"/>
    <w:pPr>
      <w:keepNext/>
      <w:keepLines/>
      <w:numPr>
        <w:ilvl w:val="8"/>
        <w:numId w:val="1"/>
      </w:numPr>
      <w:spacing w:before="240" w:after="64" w:line="320" w:lineRule="auto"/>
      <w:outlineLvl w:val="8"/>
    </w:pPr>
    <w:rPr>
      <w:rFonts w:ascii="Arial" w:hAnsi="Arial" w:eastAsia="黑体"/>
    </w:rPr>
  </w:style>
  <w:style w:type="character" w:default="1" w:styleId="54">
    <w:name w:val="Default Paragraph Font"/>
    <w:unhideWhenUsed/>
    <w:qFormat/>
    <w:uiPriority w:val="1"/>
  </w:style>
  <w:style w:type="table" w:default="1" w:styleId="52">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65"/>
    <w:qFormat/>
    <w:uiPriority w:val="99"/>
    <w:pPr>
      <w:spacing w:line="380" w:lineRule="exact"/>
    </w:pPr>
    <w:rPr>
      <w:kern w:val="0"/>
      <w:sz w:val="24"/>
    </w:rPr>
  </w:style>
  <w:style w:type="paragraph" w:styleId="9">
    <w:name w:val="Normal Indent"/>
    <w:basedOn w:val="1"/>
    <w:qFormat/>
    <w:uiPriority w:val="99"/>
    <w:pPr>
      <w:ind w:firstLine="42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index 8"/>
    <w:basedOn w:val="1"/>
    <w:next w:val="1"/>
    <w:unhideWhenUsed/>
    <w:qFormat/>
    <w:uiPriority w:val="99"/>
    <w:pPr>
      <w:ind w:left="1400" w:leftChars="1400"/>
    </w:p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pPr>
      <w:spacing w:before="152"/>
    </w:pPr>
    <w:rPr>
      <w:rFonts w:ascii="Arial" w:hAnsi="Arial" w:eastAsia="黑体" w:cs="Arial"/>
      <w:sz w:val="20"/>
      <w:szCs w:val="20"/>
    </w:rPr>
  </w:style>
  <w:style w:type="paragraph" w:styleId="17">
    <w:name w:val="Document Map"/>
    <w:basedOn w:val="1"/>
    <w:link w:val="74"/>
    <w:unhideWhenUsed/>
    <w:qFormat/>
    <w:uiPriority w:val="0"/>
    <w:pPr>
      <w:shd w:val="clear" w:color="auto" w:fill="000080"/>
    </w:pPr>
    <w:rPr>
      <w:rFonts w:hint="eastAsia" w:ascii="宋体" w:hAnsi="宋体"/>
      <w:kern w:val="0"/>
      <w:sz w:val="20"/>
      <w:szCs w:val="20"/>
    </w:rPr>
  </w:style>
  <w:style w:type="paragraph" w:styleId="18">
    <w:name w:val="annotation text"/>
    <w:basedOn w:val="1"/>
    <w:link w:val="75"/>
    <w:unhideWhenUsed/>
    <w:qFormat/>
    <w:uiPriority w:val="99"/>
    <w:pPr>
      <w:jc w:val="left"/>
    </w:pPr>
  </w:style>
  <w:style w:type="paragraph" w:styleId="19">
    <w:name w:val="Body Text 3"/>
    <w:basedOn w:val="1"/>
    <w:next w:val="9"/>
    <w:link w:val="76"/>
    <w:qFormat/>
    <w:uiPriority w:val="0"/>
    <w:pPr>
      <w:spacing w:line="500" w:lineRule="exact"/>
    </w:pPr>
    <w:rPr>
      <w:b/>
      <w:bCs/>
      <w:kern w:val="0"/>
      <w:sz w:val="24"/>
    </w:rPr>
  </w:style>
  <w:style w:type="paragraph" w:styleId="20">
    <w:name w:val="Body Text Indent"/>
    <w:basedOn w:val="1"/>
    <w:next w:val="21"/>
    <w:link w:val="77"/>
    <w:qFormat/>
    <w:uiPriority w:val="0"/>
    <w:pPr>
      <w:ind w:firstLine="830" w:firstLineChars="352"/>
    </w:pPr>
    <w:rPr>
      <w:rFonts w:ascii="仿宋_GB2312" w:eastAsia="仿宋_GB2312"/>
      <w:kern w:val="0"/>
      <w:sz w:val="32"/>
      <w:szCs w:val="20"/>
    </w:rPr>
  </w:style>
  <w:style w:type="paragraph" w:styleId="21">
    <w:name w:val="envelope return"/>
    <w:basedOn w:val="1"/>
    <w:qFormat/>
    <w:uiPriority w:val="0"/>
    <w:pPr>
      <w:snapToGrid w:val="0"/>
    </w:pPr>
    <w:rPr>
      <w:rFonts w:ascii="Arial" w:hAnsi="Arial" w:cs="Arial"/>
    </w:rPr>
  </w:style>
  <w:style w:type="paragraph" w:styleId="22">
    <w:name w:val="List Number 3"/>
    <w:basedOn w:val="1"/>
    <w:qFormat/>
    <w:uiPriority w:val="0"/>
    <w:pPr>
      <w:numPr>
        <w:ilvl w:val="0"/>
        <w:numId w:val="2"/>
      </w:numPr>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25">
    <w:name w:val="index 4"/>
    <w:basedOn w:val="1"/>
    <w:next w:val="1"/>
    <w:qFormat/>
    <w:uiPriority w:val="0"/>
    <w:pPr>
      <w:ind w:left="600" w:leftChars="600"/>
    </w:pPr>
    <w:rPr>
      <w:rFonts w:ascii="Times New Roman" w:hAnsi="Times New Roman" w:eastAsia="宋体" w:cs="Times New Roman"/>
    </w:rPr>
  </w:style>
  <w:style w:type="paragraph" w:styleId="26">
    <w:name w:val="toc 5"/>
    <w:basedOn w:val="1"/>
    <w:next w:val="1"/>
    <w:unhideWhenUsed/>
    <w:qFormat/>
    <w:uiPriority w:val="39"/>
    <w:pPr>
      <w:ind w:left="1680" w:leftChars="800"/>
    </w:pPr>
    <w:rPr>
      <w:rFonts w:ascii="Calibri" w:hAnsi="Calibri"/>
      <w:szCs w:val="22"/>
    </w:rPr>
  </w:style>
  <w:style w:type="paragraph" w:styleId="27">
    <w:name w:val="toc 3"/>
    <w:basedOn w:val="1"/>
    <w:next w:val="1"/>
    <w:unhideWhenUsed/>
    <w:qFormat/>
    <w:uiPriority w:val="39"/>
    <w:pPr>
      <w:ind w:left="840" w:leftChars="400"/>
    </w:pPr>
    <w:rPr>
      <w:rFonts w:ascii="Calibri" w:hAnsi="Calibri"/>
      <w:szCs w:val="22"/>
    </w:rPr>
  </w:style>
  <w:style w:type="paragraph" w:styleId="28">
    <w:name w:val="Plain Text"/>
    <w:basedOn w:val="1"/>
    <w:next w:val="14"/>
    <w:link w:val="78"/>
    <w:qFormat/>
    <w:uiPriority w:val="0"/>
    <w:rPr>
      <w:rFonts w:ascii="宋体" w:hAnsi="Courier New"/>
      <w:kern w:val="0"/>
      <w:sz w:val="20"/>
      <w:szCs w:val="21"/>
    </w:rPr>
  </w:style>
  <w:style w:type="paragraph" w:styleId="29">
    <w:name w:val="toc 8"/>
    <w:basedOn w:val="1"/>
    <w:next w:val="1"/>
    <w:unhideWhenUsed/>
    <w:qFormat/>
    <w:uiPriority w:val="39"/>
    <w:pPr>
      <w:ind w:left="2940" w:leftChars="1400"/>
    </w:pPr>
    <w:rPr>
      <w:rFonts w:ascii="Calibri" w:hAnsi="Calibri"/>
      <w:szCs w:val="22"/>
    </w:rPr>
  </w:style>
  <w:style w:type="paragraph" w:styleId="30">
    <w:name w:val="Date"/>
    <w:basedOn w:val="1"/>
    <w:next w:val="1"/>
    <w:link w:val="79"/>
    <w:qFormat/>
    <w:uiPriority w:val="0"/>
    <w:pPr>
      <w:ind w:left="100" w:leftChars="2500"/>
    </w:pPr>
    <w:rPr>
      <w:rFonts w:ascii="宋体" w:hAnsi="Courier New"/>
      <w:kern w:val="0"/>
      <w:sz w:val="20"/>
      <w:szCs w:val="21"/>
    </w:rPr>
  </w:style>
  <w:style w:type="paragraph" w:styleId="31">
    <w:name w:val="Body Text Indent 2"/>
    <w:basedOn w:val="1"/>
    <w:link w:val="80"/>
    <w:qFormat/>
    <w:uiPriority w:val="0"/>
    <w:pPr>
      <w:ind w:firstLine="630"/>
    </w:pPr>
    <w:rPr>
      <w:kern w:val="0"/>
      <w:sz w:val="32"/>
      <w:szCs w:val="20"/>
    </w:rPr>
  </w:style>
  <w:style w:type="paragraph" w:styleId="32">
    <w:name w:val="endnote text"/>
    <w:basedOn w:val="1"/>
    <w:link w:val="81"/>
    <w:unhideWhenUsed/>
    <w:qFormat/>
    <w:uiPriority w:val="99"/>
    <w:pPr>
      <w:snapToGrid w:val="0"/>
      <w:jc w:val="left"/>
    </w:pPr>
  </w:style>
  <w:style w:type="paragraph" w:styleId="33">
    <w:name w:val="Balloon Text"/>
    <w:basedOn w:val="1"/>
    <w:link w:val="82"/>
    <w:semiHidden/>
    <w:qFormat/>
    <w:uiPriority w:val="0"/>
    <w:rPr>
      <w:kern w:val="0"/>
      <w:sz w:val="18"/>
      <w:szCs w:val="18"/>
    </w:rPr>
  </w:style>
  <w:style w:type="paragraph" w:styleId="34">
    <w:name w:val="footer"/>
    <w:basedOn w:val="1"/>
    <w:link w:val="83"/>
    <w:unhideWhenUsed/>
    <w:qFormat/>
    <w:uiPriority w:val="99"/>
    <w:pPr>
      <w:tabs>
        <w:tab w:val="center" w:pos="4153"/>
        <w:tab w:val="right" w:pos="8306"/>
      </w:tabs>
      <w:snapToGrid w:val="0"/>
      <w:jc w:val="left"/>
    </w:pPr>
    <w:rPr>
      <w:kern w:val="0"/>
      <w:sz w:val="18"/>
      <w:szCs w:val="18"/>
    </w:rPr>
  </w:style>
  <w:style w:type="paragraph" w:styleId="35">
    <w:name w:val="header"/>
    <w:basedOn w:val="1"/>
    <w:link w:val="84"/>
    <w:unhideWhenUsed/>
    <w:qFormat/>
    <w:uiPriority w:val="99"/>
    <w:pPr>
      <w:pBdr>
        <w:bottom w:val="single" w:color="auto" w:sz="6" w:space="1"/>
      </w:pBdr>
      <w:tabs>
        <w:tab w:val="center" w:pos="0"/>
        <w:tab w:val="left" w:pos="8306"/>
      </w:tabs>
      <w:snapToGrid w:val="0"/>
      <w:jc w:val="center"/>
    </w:pPr>
    <w:rPr>
      <w:sz w:val="18"/>
      <w:szCs w:val="18"/>
    </w:rPr>
  </w:style>
  <w:style w:type="paragraph" w:styleId="36">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7">
    <w:name w:val="toc 4"/>
    <w:basedOn w:val="1"/>
    <w:next w:val="1"/>
    <w:unhideWhenUsed/>
    <w:qFormat/>
    <w:uiPriority w:val="39"/>
    <w:pPr>
      <w:ind w:left="1260" w:leftChars="600"/>
    </w:pPr>
    <w:rPr>
      <w:rFonts w:ascii="Calibri" w:hAnsi="Calibri"/>
      <w:szCs w:val="22"/>
    </w:rPr>
  </w:style>
  <w:style w:type="paragraph" w:styleId="38">
    <w:name w:val="List"/>
    <w:basedOn w:val="1"/>
    <w:qFormat/>
    <w:uiPriority w:val="0"/>
    <w:pPr>
      <w:ind w:left="200" w:hanging="200" w:hangingChars="200"/>
    </w:pPr>
    <w:rPr>
      <w:sz w:val="28"/>
    </w:rPr>
  </w:style>
  <w:style w:type="paragraph" w:styleId="39">
    <w:name w:val="footnote text"/>
    <w:basedOn w:val="1"/>
    <w:link w:val="85"/>
    <w:unhideWhenUsed/>
    <w:qFormat/>
    <w:uiPriority w:val="99"/>
    <w:pPr>
      <w:snapToGrid w:val="0"/>
      <w:jc w:val="left"/>
    </w:pPr>
    <w:rPr>
      <w:sz w:val="18"/>
      <w:szCs w:val="18"/>
    </w:rPr>
  </w:style>
  <w:style w:type="paragraph" w:styleId="40">
    <w:name w:val="toc 6"/>
    <w:basedOn w:val="1"/>
    <w:next w:val="1"/>
    <w:unhideWhenUsed/>
    <w:qFormat/>
    <w:uiPriority w:val="39"/>
    <w:pPr>
      <w:ind w:left="2100" w:leftChars="1000"/>
    </w:pPr>
    <w:rPr>
      <w:rFonts w:ascii="Calibri" w:hAnsi="Calibri"/>
      <w:szCs w:val="22"/>
    </w:rPr>
  </w:style>
  <w:style w:type="paragraph" w:styleId="41">
    <w:name w:val="Body Text Indent 3"/>
    <w:basedOn w:val="1"/>
    <w:link w:val="86"/>
    <w:qFormat/>
    <w:uiPriority w:val="0"/>
    <w:pPr>
      <w:spacing w:after="120"/>
      <w:ind w:left="420" w:leftChars="200"/>
    </w:pPr>
    <w:rPr>
      <w:kern w:val="0"/>
      <w:sz w:val="16"/>
      <w:szCs w:val="16"/>
    </w:rPr>
  </w:style>
  <w:style w:type="paragraph" w:styleId="42">
    <w:name w:val="table of figures"/>
    <w:basedOn w:val="1"/>
    <w:next w:val="1"/>
    <w:qFormat/>
    <w:uiPriority w:val="99"/>
    <w:pPr>
      <w:spacing w:line="400" w:lineRule="exact"/>
      <w:ind w:left="200" w:leftChars="200" w:hanging="200" w:hangingChars="200"/>
      <w:jc w:val="left"/>
    </w:pPr>
  </w:style>
  <w:style w:type="paragraph" w:styleId="43">
    <w:name w:val="toc 2"/>
    <w:basedOn w:val="1"/>
    <w:next w:val="1"/>
    <w:unhideWhenUsed/>
    <w:qFormat/>
    <w:uiPriority w:val="39"/>
    <w:pPr>
      <w:ind w:left="420" w:leftChars="200"/>
    </w:pPr>
  </w:style>
  <w:style w:type="paragraph" w:styleId="44">
    <w:name w:val="toc 9"/>
    <w:basedOn w:val="1"/>
    <w:next w:val="1"/>
    <w:unhideWhenUsed/>
    <w:qFormat/>
    <w:uiPriority w:val="39"/>
    <w:pPr>
      <w:ind w:left="3360" w:leftChars="1600"/>
    </w:pPr>
    <w:rPr>
      <w:rFonts w:ascii="Calibri" w:hAnsi="Calibri"/>
      <w:szCs w:val="22"/>
    </w:rPr>
  </w:style>
  <w:style w:type="paragraph" w:styleId="45">
    <w:name w:val="Body Text 2"/>
    <w:basedOn w:val="1"/>
    <w:link w:val="87"/>
    <w:qFormat/>
    <w:uiPriority w:val="0"/>
    <w:pPr>
      <w:spacing w:after="120" w:line="480" w:lineRule="auto"/>
    </w:pPr>
    <w:rPr>
      <w:kern w:val="0"/>
      <w:sz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index 1"/>
    <w:basedOn w:val="1"/>
    <w:next w:val="1"/>
    <w:semiHidden/>
    <w:qFormat/>
    <w:uiPriority w:val="0"/>
    <w:pPr>
      <w:spacing w:line="400" w:lineRule="exact"/>
      <w:ind w:firstLine="420" w:firstLineChars="200"/>
    </w:pPr>
    <w:rPr>
      <w:rFonts w:ascii="宋体" w:hAnsi="Courier New"/>
      <w:b/>
      <w:szCs w:val="20"/>
    </w:rPr>
  </w:style>
  <w:style w:type="paragraph" w:styleId="48">
    <w:name w:val="Title"/>
    <w:basedOn w:val="1"/>
    <w:next w:val="1"/>
    <w:link w:val="88"/>
    <w:qFormat/>
    <w:uiPriority w:val="10"/>
    <w:pPr>
      <w:spacing w:before="240" w:after="60"/>
      <w:jc w:val="center"/>
      <w:outlineLvl w:val="0"/>
    </w:pPr>
    <w:rPr>
      <w:rFonts w:ascii="Cambria" w:hAnsi="Cambria"/>
      <w:b/>
      <w:bCs/>
      <w:sz w:val="32"/>
      <w:szCs w:val="32"/>
    </w:rPr>
  </w:style>
  <w:style w:type="paragraph" w:styleId="49">
    <w:name w:val="annotation subject"/>
    <w:basedOn w:val="18"/>
    <w:next w:val="18"/>
    <w:link w:val="89"/>
    <w:unhideWhenUsed/>
    <w:qFormat/>
    <w:uiPriority w:val="99"/>
    <w:rPr>
      <w:b/>
      <w:bCs/>
    </w:rPr>
  </w:style>
  <w:style w:type="paragraph" w:styleId="50">
    <w:name w:val="Body Text First Indent"/>
    <w:basedOn w:val="2"/>
    <w:next w:val="51"/>
    <w:qFormat/>
    <w:uiPriority w:val="99"/>
    <w:pPr>
      <w:spacing w:beforeLines="50" w:afterLines="50" w:line="360" w:lineRule="auto"/>
      <w:ind w:firstLine="420" w:firstLineChars="100"/>
    </w:pPr>
  </w:style>
  <w:style w:type="paragraph" w:styleId="51">
    <w:name w:val="Body Text First Indent 2"/>
    <w:basedOn w:val="20"/>
    <w:unhideWhenUsed/>
    <w:qFormat/>
    <w:uiPriority w:val="99"/>
    <w:pPr>
      <w:ind w:firstLine="420" w:firstLineChars="200"/>
    </w:p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basedOn w:val="54"/>
    <w:qFormat/>
    <w:uiPriority w:val="22"/>
    <w:rPr>
      <w:b/>
      <w:bCs/>
    </w:rPr>
  </w:style>
  <w:style w:type="character" w:styleId="56">
    <w:name w:val="endnote reference"/>
    <w:unhideWhenUsed/>
    <w:qFormat/>
    <w:uiPriority w:val="99"/>
    <w:rPr>
      <w:vertAlign w:val="superscript"/>
    </w:rPr>
  </w:style>
  <w:style w:type="character" w:styleId="57">
    <w:name w:val="page number"/>
    <w:qFormat/>
    <w:uiPriority w:val="0"/>
  </w:style>
  <w:style w:type="character" w:styleId="58">
    <w:name w:val="FollowedHyperlink"/>
    <w:qFormat/>
    <w:uiPriority w:val="0"/>
    <w:rPr>
      <w:color w:val="000000"/>
      <w:u w:val="none"/>
    </w:rPr>
  </w:style>
  <w:style w:type="character" w:styleId="59">
    <w:name w:val="Emphasis"/>
    <w:qFormat/>
    <w:uiPriority w:val="20"/>
    <w:rPr>
      <w:i/>
      <w:iCs/>
    </w:rPr>
  </w:style>
  <w:style w:type="character" w:styleId="60">
    <w:name w:val="Hyperlink"/>
    <w:qFormat/>
    <w:uiPriority w:val="99"/>
    <w:rPr>
      <w:color w:val="000000"/>
      <w:u w:val="none"/>
    </w:rPr>
  </w:style>
  <w:style w:type="character" w:styleId="61">
    <w:name w:val="annotation reference"/>
    <w:unhideWhenUsed/>
    <w:qFormat/>
    <w:uiPriority w:val="99"/>
    <w:rPr>
      <w:sz w:val="21"/>
      <w:szCs w:val="21"/>
    </w:rPr>
  </w:style>
  <w:style w:type="character" w:styleId="62">
    <w:name w:val="footnote reference"/>
    <w:unhideWhenUsed/>
    <w:qFormat/>
    <w:uiPriority w:val="99"/>
    <w:rPr>
      <w:vertAlign w:val="superscript"/>
    </w:rPr>
  </w:style>
  <w:style w:type="paragraph" w:customStyle="1" w:styleId="63">
    <w:name w:val="Default"/>
    <w:basedOn w:val="48"/>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64">
    <w:name w:val="NormalIndent"/>
    <w:basedOn w:val="1"/>
    <w:qFormat/>
    <w:uiPriority w:val="0"/>
    <w:pPr>
      <w:ind w:firstLine="420"/>
    </w:pPr>
    <w:rPr>
      <w:szCs w:val="21"/>
    </w:rPr>
  </w:style>
  <w:style w:type="character" w:customStyle="1" w:styleId="65">
    <w:name w:val="正文文本 字符1"/>
    <w:link w:val="2"/>
    <w:qFormat/>
    <w:uiPriority w:val="99"/>
    <w:rPr>
      <w:rFonts w:ascii="Times New Roman" w:hAnsi="Times New Roman" w:eastAsia="宋体" w:cs="Times New Roman"/>
      <w:sz w:val="24"/>
      <w:szCs w:val="24"/>
    </w:rPr>
  </w:style>
  <w:style w:type="character" w:customStyle="1" w:styleId="66">
    <w:name w:val="标题 1 字符1"/>
    <w:link w:val="3"/>
    <w:qFormat/>
    <w:uiPriority w:val="0"/>
    <w:rPr>
      <w:rFonts w:ascii="Times New Roman" w:hAnsi="Times New Roman" w:eastAsia="宋体" w:cs="Times New Roman"/>
      <w:b/>
      <w:bCs/>
      <w:kern w:val="44"/>
      <w:sz w:val="44"/>
      <w:szCs w:val="44"/>
    </w:rPr>
  </w:style>
  <w:style w:type="character" w:customStyle="1" w:styleId="67">
    <w:name w:val="标题 2 字符"/>
    <w:link w:val="4"/>
    <w:qFormat/>
    <w:uiPriority w:val="0"/>
    <w:rPr>
      <w:rFonts w:ascii="Arial" w:hAnsi="Arial" w:eastAsia="黑体" w:cs="Times New Roman"/>
      <w:b/>
      <w:bCs/>
      <w:sz w:val="32"/>
      <w:szCs w:val="32"/>
    </w:rPr>
  </w:style>
  <w:style w:type="character" w:customStyle="1" w:styleId="68">
    <w:name w:val="标题 3 字符2"/>
    <w:link w:val="5"/>
    <w:qFormat/>
    <w:uiPriority w:val="0"/>
    <w:rPr>
      <w:rFonts w:ascii="Times New Roman" w:hAnsi="Times New Roman" w:eastAsia="宋体" w:cs="Times New Roman"/>
      <w:b/>
      <w:bCs/>
      <w:sz w:val="32"/>
      <w:szCs w:val="32"/>
    </w:rPr>
  </w:style>
  <w:style w:type="character" w:customStyle="1" w:styleId="69">
    <w:name w:val="标题 5 字符"/>
    <w:link w:val="7"/>
    <w:qFormat/>
    <w:uiPriority w:val="0"/>
    <w:rPr>
      <w:b/>
      <w:kern w:val="2"/>
      <w:sz w:val="28"/>
      <w:szCs w:val="24"/>
    </w:rPr>
  </w:style>
  <w:style w:type="character" w:customStyle="1" w:styleId="70">
    <w:name w:val="标题 6 字符"/>
    <w:link w:val="8"/>
    <w:qFormat/>
    <w:uiPriority w:val="0"/>
    <w:rPr>
      <w:rFonts w:ascii="Arial" w:hAnsi="Arial" w:eastAsia="黑体"/>
      <w:b/>
      <w:kern w:val="2"/>
      <w:sz w:val="24"/>
      <w:szCs w:val="24"/>
    </w:rPr>
  </w:style>
  <w:style w:type="character" w:customStyle="1" w:styleId="71">
    <w:name w:val="标题 7 字符"/>
    <w:link w:val="10"/>
    <w:qFormat/>
    <w:uiPriority w:val="0"/>
    <w:rPr>
      <w:rFonts w:ascii="Times New Roman" w:hAnsi="Times New Roman"/>
      <w:b/>
      <w:kern w:val="2"/>
      <w:sz w:val="24"/>
      <w:szCs w:val="24"/>
    </w:rPr>
  </w:style>
  <w:style w:type="character" w:customStyle="1" w:styleId="72">
    <w:name w:val="标题 8 字符"/>
    <w:link w:val="11"/>
    <w:qFormat/>
    <w:uiPriority w:val="0"/>
    <w:rPr>
      <w:rFonts w:ascii="Arial" w:hAnsi="Arial" w:eastAsia="黑体"/>
      <w:kern w:val="2"/>
      <w:sz w:val="24"/>
      <w:szCs w:val="24"/>
    </w:rPr>
  </w:style>
  <w:style w:type="character" w:customStyle="1" w:styleId="73">
    <w:name w:val="标题 9 字符"/>
    <w:link w:val="12"/>
    <w:qFormat/>
    <w:uiPriority w:val="0"/>
    <w:rPr>
      <w:rFonts w:ascii="Arial" w:hAnsi="Arial" w:eastAsia="黑体"/>
      <w:kern w:val="2"/>
      <w:sz w:val="21"/>
      <w:szCs w:val="24"/>
    </w:rPr>
  </w:style>
  <w:style w:type="character" w:customStyle="1" w:styleId="74">
    <w:name w:val="文档结构图 字符"/>
    <w:link w:val="17"/>
    <w:qFormat/>
    <w:uiPriority w:val="0"/>
    <w:rPr>
      <w:rFonts w:hint="eastAsia" w:ascii="宋体" w:hAnsi="宋体" w:eastAsia="宋体" w:cs="宋体"/>
    </w:rPr>
  </w:style>
  <w:style w:type="character" w:customStyle="1" w:styleId="75">
    <w:name w:val="批注文字 字符3"/>
    <w:link w:val="18"/>
    <w:qFormat/>
    <w:uiPriority w:val="0"/>
    <w:rPr>
      <w:rFonts w:ascii="Times New Roman" w:hAnsi="Times New Roman"/>
      <w:kern w:val="2"/>
      <w:sz w:val="21"/>
      <w:szCs w:val="24"/>
    </w:rPr>
  </w:style>
  <w:style w:type="character" w:customStyle="1" w:styleId="76">
    <w:name w:val="正文文本 3 字符"/>
    <w:link w:val="19"/>
    <w:qFormat/>
    <w:uiPriority w:val="0"/>
    <w:rPr>
      <w:rFonts w:ascii="Times New Roman" w:hAnsi="Times New Roman" w:eastAsia="宋体" w:cs="Times New Roman"/>
      <w:b/>
      <w:bCs/>
      <w:sz w:val="24"/>
      <w:szCs w:val="24"/>
    </w:rPr>
  </w:style>
  <w:style w:type="character" w:customStyle="1" w:styleId="77">
    <w:name w:val="正文文本缩进 字符1"/>
    <w:link w:val="20"/>
    <w:qFormat/>
    <w:uiPriority w:val="0"/>
    <w:rPr>
      <w:rFonts w:ascii="仿宋_GB2312" w:hAnsi="Times New Roman" w:eastAsia="仿宋_GB2312" w:cs="Times New Roman"/>
      <w:sz w:val="32"/>
      <w:szCs w:val="20"/>
    </w:rPr>
  </w:style>
  <w:style w:type="character" w:customStyle="1" w:styleId="78">
    <w:name w:val="纯文本 字符4"/>
    <w:link w:val="28"/>
    <w:qFormat/>
    <w:uiPriority w:val="0"/>
    <w:rPr>
      <w:rFonts w:ascii="宋体" w:hAnsi="Courier New" w:eastAsia="宋体" w:cs="Courier New"/>
      <w:szCs w:val="21"/>
    </w:rPr>
  </w:style>
  <w:style w:type="character" w:customStyle="1" w:styleId="79">
    <w:name w:val="日期 字符"/>
    <w:link w:val="30"/>
    <w:qFormat/>
    <w:uiPriority w:val="0"/>
    <w:rPr>
      <w:rFonts w:ascii="宋体" w:hAnsi="Courier New" w:eastAsia="宋体" w:cs="Courier New"/>
      <w:szCs w:val="21"/>
    </w:rPr>
  </w:style>
  <w:style w:type="character" w:customStyle="1" w:styleId="80">
    <w:name w:val="正文文本缩进 2 字符"/>
    <w:link w:val="31"/>
    <w:qFormat/>
    <w:uiPriority w:val="0"/>
    <w:rPr>
      <w:rFonts w:ascii="Times New Roman" w:hAnsi="Times New Roman" w:eastAsia="宋体" w:cs="Times New Roman"/>
      <w:sz w:val="32"/>
      <w:szCs w:val="20"/>
    </w:rPr>
  </w:style>
  <w:style w:type="character" w:customStyle="1" w:styleId="81">
    <w:name w:val="尾注文本 字符"/>
    <w:link w:val="32"/>
    <w:semiHidden/>
    <w:qFormat/>
    <w:uiPriority w:val="99"/>
    <w:rPr>
      <w:rFonts w:ascii="Times New Roman" w:hAnsi="Times New Roman"/>
      <w:kern w:val="2"/>
      <w:sz w:val="21"/>
      <w:szCs w:val="24"/>
    </w:rPr>
  </w:style>
  <w:style w:type="character" w:customStyle="1" w:styleId="82">
    <w:name w:val="批注框文本 字符"/>
    <w:link w:val="33"/>
    <w:semiHidden/>
    <w:qFormat/>
    <w:uiPriority w:val="0"/>
    <w:rPr>
      <w:rFonts w:ascii="Times New Roman" w:hAnsi="Times New Roman" w:eastAsia="宋体" w:cs="Times New Roman"/>
      <w:sz w:val="18"/>
      <w:szCs w:val="18"/>
    </w:rPr>
  </w:style>
  <w:style w:type="character" w:customStyle="1" w:styleId="83">
    <w:name w:val="页脚 字符1"/>
    <w:link w:val="34"/>
    <w:qFormat/>
    <w:uiPriority w:val="99"/>
    <w:rPr>
      <w:sz w:val="18"/>
      <w:szCs w:val="18"/>
    </w:rPr>
  </w:style>
  <w:style w:type="character" w:customStyle="1" w:styleId="84">
    <w:name w:val="页眉 字符1"/>
    <w:link w:val="35"/>
    <w:qFormat/>
    <w:uiPriority w:val="99"/>
    <w:rPr>
      <w:rFonts w:ascii="Times New Roman" w:hAnsi="Times New Roman"/>
      <w:kern w:val="2"/>
      <w:sz w:val="18"/>
      <w:szCs w:val="18"/>
    </w:rPr>
  </w:style>
  <w:style w:type="character" w:customStyle="1" w:styleId="85">
    <w:name w:val="脚注文本 字符"/>
    <w:link w:val="39"/>
    <w:semiHidden/>
    <w:qFormat/>
    <w:uiPriority w:val="99"/>
    <w:rPr>
      <w:rFonts w:ascii="Times New Roman" w:hAnsi="Times New Roman"/>
      <w:kern w:val="2"/>
      <w:sz w:val="18"/>
      <w:szCs w:val="18"/>
    </w:rPr>
  </w:style>
  <w:style w:type="character" w:customStyle="1" w:styleId="86">
    <w:name w:val="正文文本缩进 3 字符"/>
    <w:link w:val="41"/>
    <w:qFormat/>
    <w:uiPriority w:val="0"/>
    <w:rPr>
      <w:rFonts w:ascii="Times New Roman" w:hAnsi="Times New Roman" w:eastAsia="宋体" w:cs="Times New Roman"/>
      <w:sz w:val="16"/>
      <w:szCs w:val="16"/>
    </w:rPr>
  </w:style>
  <w:style w:type="character" w:customStyle="1" w:styleId="87">
    <w:name w:val="正文文本 2 字符"/>
    <w:link w:val="45"/>
    <w:qFormat/>
    <w:uiPriority w:val="0"/>
    <w:rPr>
      <w:rFonts w:ascii="Times New Roman" w:hAnsi="Times New Roman" w:eastAsia="宋体" w:cs="Times New Roman"/>
      <w:szCs w:val="24"/>
    </w:rPr>
  </w:style>
  <w:style w:type="character" w:customStyle="1" w:styleId="88">
    <w:name w:val="标题 字符"/>
    <w:link w:val="48"/>
    <w:qFormat/>
    <w:uiPriority w:val="10"/>
    <w:rPr>
      <w:rFonts w:ascii="Cambria" w:hAnsi="Cambria" w:cs="Times New Roman"/>
      <w:b/>
      <w:bCs/>
      <w:kern w:val="2"/>
      <w:sz w:val="32"/>
      <w:szCs w:val="32"/>
    </w:rPr>
  </w:style>
  <w:style w:type="character" w:customStyle="1" w:styleId="89">
    <w:name w:val="批注主题 字符"/>
    <w:link w:val="49"/>
    <w:semiHidden/>
    <w:qFormat/>
    <w:uiPriority w:val="99"/>
    <w:rPr>
      <w:rFonts w:ascii="Times New Roman" w:hAnsi="Times New Roman"/>
      <w:b/>
      <w:bCs/>
      <w:kern w:val="2"/>
      <w:sz w:val="21"/>
      <w:szCs w:val="24"/>
    </w:rPr>
  </w:style>
  <w:style w:type="character" w:customStyle="1" w:styleId="90">
    <w:name w:val="批注文字 Char1"/>
    <w:qFormat/>
    <w:locked/>
    <w:uiPriority w:val="0"/>
    <w:rPr>
      <w:rFonts w:ascii="Times New Roman" w:hAnsi="Times New Roman"/>
      <w:kern w:val="2"/>
      <w:sz w:val="21"/>
      <w:szCs w:val="24"/>
    </w:rPr>
  </w:style>
  <w:style w:type="character" w:customStyle="1" w:styleId="91">
    <w:name w:val="case31"/>
    <w:qFormat/>
    <w:uiPriority w:val="0"/>
    <w:rPr>
      <w:rFonts w:hint="default"/>
      <w:sz w:val="21"/>
      <w:szCs w:val="21"/>
    </w:rPr>
  </w:style>
  <w:style w:type="character" w:customStyle="1" w:styleId="92">
    <w:name w:val="批注文字 Char"/>
    <w:qFormat/>
    <w:uiPriority w:val="0"/>
    <w:rPr>
      <w:rFonts w:ascii="Times New Roman" w:hAnsi="Times New Roman"/>
      <w:kern w:val="2"/>
      <w:sz w:val="21"/>
      <w:szCs w:val="24"/>
    </w:rPr>
  </w:style>
  <w:style w:type="character" w:customStyle="1" w:styleId="93">
    <w:name w:val="纯文本 Char"/>
    <w:qFormat/>
    <w:uiPriority w:val="99"/>
    <w:rPr>
      <w:rFonts w:ascii="宋体" w:hAnsi="Courier New" w:eastAsia="宋体"/>
      <w:kern w:val="2"/>
      <w:sz w:val="21"/>
      <w:lang w:val="en-US" w:eastAsia="zh-CN" w:bidi="ar-SA"/>
    </w:rPr>
  </w:style>
  <w:style w:type="character" w:customStyle="1" w:styleId="94">
    <w:name w:val="纯文本 字符1"/>
    <w:qFormat/>
    <w:uiPriority w:val="0"/>
    <w:rPr>
      <w:rFonts w:ascii="宋体" w:hAnsi="Courier New"/>
    </w:rPr>
  </w:style>
  <w:style w:type="character" w:customStyle="1" w:styleId="95">
    <w:name w:val="批注文字 字符1"/>
    <w:qFormat/>
    <w:uiPriority w:val="0"/>
    <w:rPr>
      <w:rFonts w:ascii="Times New Roman" w:hAnsi="Times New Roman"/>
      <w:kern w:val="2"/>
      <w:sz w:val="21"/>
      <w:szCs w:val="24"/>
    </w:rPr>
  </w:style>
  <w:style w:type="character" w:customStyle="1" w:styleId="96">
    <w:name w:val="正文文本 Char1"/>
    <w:semiHidden/>
    <w:qFormat/>
    <w:locked/>
    <w:uiPriority w:val="99"/>
    <w:rPr>
      <w:sz w:val="24"/>
      <w:szCs w:val="24"/>
    </w:rPr>
  </w:style>
  <w:style w:type="character" w:customStyle="1" w:styleId="97">
    <w:name w:val="apple-style-span"/>
    <w:qFormat/>
    <w:uiPriority w:val="0"/>
  </w:style>
  <w:style w:type="character" w:customStyle="1" w:styleId="98">
    <w:name w:val="textcontents"/>
    <w:qFormat/>
    <w:uiPriority w:val="0"/>
  </w:style>
  <w:style w:type="character" w:customStyle="1" w:styleId="99">
    <w:name w:val="普通文字 Char Char2"/>
    <w:qFormat/>
    <w:uiPriority w:val="0"/>
    <w:rPr>
      <w:rFonts w:ascii="宋体" w:hAnsi="Courier New" w:eastAsia="宋体"/>
      <w:kern w:val="2"/>
      <w:sz w:val="21"/>
      <w:lang w:val="en-US" w:eastAsia="zh-CN" w:bidi="ar-SA"/>
    </w:rPr>
  </w:style>
  <w:style w:type="character" w:customStyle="1" w:styleId="100">
    <w:name w:val="标题 5 Char"/>
    <w:qFormat/>
    <w:uiPriority w:val="9"/>
    <w:rPr>
      <w:b/>
      <w:kern w:val="2"/>
      <w:sz w:val="28"/>
      <w:szCs w:val="24"/>
    </w:rPr>
  </w:style>
  <w:style w:type="character" w:customStyle="1" w:styleId="101">
    <w:name w:val="批注文字 字符"/>
    <w:qFormat/>
    <w:uiPriority w:val="99"/>
    <w:rPr>
      <w:rFonts w:ascii="Times New Roman" w:hAnsi="Times New Roman"/>
      <w:kern w:val="2"/>
      <w:sz w:val="21"/>
      <w:szCs w:val="24"/>
    </w:rPr>
  </w:style>
  <w:style w:type="character" w:customStyle="1" w:styleId="102">
    <w:name w:val="标题 1 字符"/>
    <w:qFormat/>
    <w:uiPriority w:val="9"/>
    <w:rPr>
      <w:rFonts w:ascii="Times New Roman" w:hAnsi="Times New Roman" w:eastAsia="宋体" w:cs="Times New Roman"/>
      <w:b/>
      <w:bCs/>
      <w:kern w:val="44"/>
      <w:sz w:val="44"/>
      <w:szCs w:val="44"/>
    </w:rPr>
  </w:style>
  <w:style w:type="character" w:customStyle="1" w:styleId="103">
    <w:name w:val="纯文本 字符"/>
    <w:qFormat/>
    <w:uiPriority w:val="0"/>
    <w:rPr>
      <w:rFonts w:ascii="宋体" w:hAnsi="Courier New" w:eastAsia="宋体" w:cs="Courier New"/>
      <w:szCs w:val="21"/>
    </w:rPr>
  </w:style>
  <w:style w:type="character" w:customStyle="1" w:styleId="104">
    <w:name w:val="headline-content4"/>
    <w:qFormat/>
    <w:uiPriority w:val="0"/>
  </w:style>
  <w:style w:type="character" w:customStyle="1" w:styleId="10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6">
    <w:name w:val="正文文本缩进 字符"/>
    <w:qFormat/>
    <w:uiPriority w:val="0"/>
    <w:rPr>
      <w:rFonts w:ascii="仿宋_GB2312" w:hAnsi="Times New Roman" w:eastAsia="仿宋_GB2312" w:cs="Times New Roman"/>
      <w:sz w:val="32"/>
      <w:szCs w:val="20"/>
    </w:rPr>
  </w:style>
  <w:style w:type="character" w:customStyle="1" w:styleId="107">
    <w:name w:val="页脚 字符"/>
    <w:qFormat/>
    <w:uiPriority w:val="99"/>
  </w:style>
  <w:style w:type="character" w:customStyle="1" w:styleId="108">
    <w:name w:val="标题 1 Char1"/>
    <w:qFormat/>
    <w:uiPriority w:val="0"/>
    <w:rPr>
      <w:rFonts w:eastAsia="宋体"/>
      <w:b/>
      <w:bCs/>
      <w:kern w:val="44"/>
      <w:sz w:val="44"/>
      <w:szCs w:val="44"/>
      <w:lang w:val="en-US" w:eastAsia="zh-CN" w:bidi="ar-SA"/>
    </w:rPr>
  </w:style>
  <w:style w:type="character" w:customStyle="1" w:styleId="109">
    <w:name w:val="font11"/>
    <w:qFormat/>
    <w:uiPriority w:val="0"/>
    <w:rPr>
      <w:rFonts w:hint="eastAsia" w:ascii="宋体" w:hAnsi="宋体" w:eastAsia="宋体" w:cs="宋体"/>
      <w:color w:val="000000"/>
      <w:sz w:val="18"/>
      <w:szCs w:val="18"/>
      <w:u w:val="none"/>
    </w:rPr>
  </w:style>
  <w:style w:type="paragraph" w:customStyle="1" w:styleId="110">
    <w:name w:val="默认段落字体 Para Char Char Char Char Char Char Char Char Char1 Char Char Char Char"/>
    <w:basedOn w:val="1"/>
    <w:qFormat/>
    <w:uiPriority w:val="0"/>
    <w:rPr>
      <w:rFonts w:ascii="Tahoma" w:hAnsi="Tahoma"/>
      <w:sz w:val="24"/>
      <w:szCs w:val="20"/>
    </w:rPr>
  </w:style>
  <w:style w:type="paragraph" w:customStyle="1" w:styleId="111">
    <w:name w:val="Char1"/>
    <w:basedOn w:val="1"/>
    <w:qFormat/>
    <w:uiPriority w:val="0"/>
    <w:rPr>
      <w:szCs w:val="21"/>
    </w:rPr>
  </w:style>
  <w:style w:type="paragraph" w:customStyle="1" w:styleId="112">
    <w:name w:val="List Paragraph"/>
    <w:basedOn w:val="1"/>
    <w:qFormat/>
    <w:uiPriority w:val="34"/>
    <w:pPr>
      <w:ind w:firstLine="420" w:firstLineChars="200"/>
    </w:pPr>
  </w:style>
  <w:style w:type="paragraph" w:customStyle="1" w:styleId="113">
    <w:name w:val="纯文本1"/>
    <w:basedOn w:val="1"/>
    <w:qFormat/>
    <w:uiPriority w:val="0"/>
    <w:rPr>
      <w:rFonts w:ascii="宋体" w:hAnsi="Courier New" w:cs="Century"/>
      <w:szCs w:val="21"/>
    </w:rPr>
  </w:style>
  <w:style w:type="paragraph" w:customStyle="1" w:styleId="114">
    <w:name w:val="样式"/>
    <w:qFormat/>
    <w:uiPriority w:val="0"/>
    <w:pPr>
      <w:widowControl w:val="0"/>
      <w:autoSpaceDE w:val="0"/>
      <w:autoSpaceDN w:val="0"/>
      <w:adjustRightInd w:val="0"/>
      <w:spacing w:after="160" w:line="278" w:lineRule="auto"/>
      <w:jc w:val="center"/>
    </w:pPr>
    <w:rPr>
      <w:rFonts w:ascii="宋体" w:hAnsi="宋体" w:eastAsia="宋体" w:cs="宋体"/>
      <w:sz w:val="24"/>
      <w:szCs w:val="24"/>
      <w:lang w:val="en-US" w:eastAsia="zh-CN" w:bidi="ar-SA"/>
    </w:rPr>
  </w:style>
  <w:style w:type="paragraph" w:customStyle="1" w:styleId="11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16">
    <w:name w:val="Table Paragraph"/>
    <w:basedOn w:val="1"/>
    <w:qFormat/>
    <w:uiPriority w:val="1"/>
    <w:pPr>
      <w:jc w:val="left"/>
    </w:pPr>
    <w:rPr>
      <w:rFonts w:ascii="Calibri" w:hAnsi="Calibri"/>
      <w:kern w:val="0"/>
      <w:sz w:val="22"/>
      <w:szCs w:val="22"/>
      <w:lang w:eastAsia="en-US"/>
    </w:rPr>
  </w:style>
  <w:style w:type="paragraph" w:customStyle="1" w:styleId="11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8">
    <w:name w:val="表格"/>
    <w:basedOn w:val="1"/>
    <w:qFormat/>
    <w:uiPriority w:val="0"/>
    <w:pPr>
      <w:spacing w:line="400" w:lineRule="exact"/>
    </w:pPr>
    <w:rPr>
      <w:sz w:val="24"/>
    </w:rPr>
  </w:style>
  <w:style w:type="paragraph" w:customStyle="1" w:styleId="11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20">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21">
    <w:name w:val="样式 首行缩进:  2 字符"/>
    <w:basedOn w:val="1"/>
    <w:qFormat/>
    <w:uiPriority w:val="0"/>
    <w:pPr>
      <w:spacing w:line="400" w:lineRule="exact"/>
      <w:ind w:firstLine="200" w:firstLineChars="200"/>
    </w:pPr>
    <w:rPr>
      <w:rFonts w:cs="宋体"/>
      <w:sz w:val="24"/>
    </w:rPr>
  </w:style>
  <w:style w:type="paragraph" w:customStyle="1" w:styleId="122">
    <w:name w:val="正文首行缩进两字符"/>
    <w:basedOn w:val="1"/>
    <w:qFormat/>
    <w:uiPriority w:val="0"/>
    <w:pPr>
      <w:spacing w:line="360" w:lineRule="auto"/>
      <w:ind w:firstLine="200" w:firstLineChars="200"/>
    </w:pPr>
  </w:style>
  <w:style w:type="paragraph" w:customStyle="1" w:styleId="123">
    <w:name w:val="正文段"/>
    <w:basedOn w:val="1"/>
    <w:qFormat/>
    <w:uiPriority w:val="0"/>
    <w:pPr>
      <w:widowControl/>
      <w:snapToGrid w:val="0"/>
      <w:spacing w:afterLines="50"/>
      <w:ind w:firstLine="200" w:firstLineChars="200"/>
    </w:pPr>
    <w:rPr>
      <w:kern w:val="0"/>
      <w:sz w:val="24"/>
      <w:szCs w:val="20"/>
    </w:rPr>
  </w:style>
  <w:style w:type="paragraph" w:customStyle="1" w:styleId="124">
    <w:name w:val="修订1"/>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125">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26">
    <w:name w:val="未处理的提及1"/>
    <w:unhideWhenUsed/>
    <w:qFormat/>
    <w:uiPriority w:val="99"/>
    <w:rPr>
      <w:color w:val="605E5C"/>
      <w:shd w:val="clear" w:color="auto" w:fill="E1DFDD"/>
    </w:rPr>
  </w:style>
  <w:style w:type="character" w:customStyle="1" w:styleId="127">
    <w:name w:val="批注文字 字符2"/>
    <w:qFormat/>
    <w:uiPriority w:val="0"/>
    <w:rPr>
      <w:rFonts w:ascii="Times New Roman" w:hAnsi="Times New Roman"/>
      <w:kern w:val="2"/>
      <w:sz w:val="21"/>
      <w:szCs w:val="24"/>
    </w:rPr>
  </w:style>
  <w:style w:type="character" w:customStyle="1" w:styleId="128">
    <w:name w:val="页眉 字符"/>
    <w:qFormat/>
    <w:uiPriority w:val="99"/>
    <w:rPr>
      <w:rFonts w:ascii="Times New Roman" w:hAnsi="Times New Roman"/>
      <w:kern w:val="2"/>
      <w:sz w:val="18"/>
      <w:szCs w:val="18"/>
    </w:rPr>
  </w:style>
  <w:style w:type="character" w:customStyle="1" w:styleId="129">
    <w:name w:val="正文文本 字符"/>
    <w:qFormat/>
    <w:uiPriority w:val="99"/>
    <w:rPr>
      <w:sz w:val="24"/>
      <w:szCs w:val="24"/>
    </w:rPr>
  </w:style>
  <w:style w:type="character" w:customStyle="1" w:styleId="130">
    <w:name w:val="纯文本 字符2"/>
    <w:qFormat/>
    <w:uiPriority w:val="0"/>
    <w:rPr>
      <w:rFonts w:ascii="宋体" w:hAnsi="Courier New"/>
      <w:szCs w:val="21"/>
    </w:rPr>
  </w:style>
  <w:style w:type="paragraph" w:customStyle="1" w:styleId="131">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32">
    <w:name w:val="reader-word-layer reader-word-s1-0 reader-word-s1-1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33">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customStyle="1" w:styleId="134">
    <w:name w:val="列表段落2"/>
    <w:basedOn w:val="1"/>
    <w:qFormat/>
    <w:uiPriority w:val="99"/>
    <w:pPr>
      <w:ind w:firstLine="420" w:firstLineChars="200"/>
    </w:pPr>
    <w:rPr>
      <w:rFonts w:ascii="等线" w:hAnsi="等线" w:eastAsia="等线" w:cs="宋体"/>
      <w:szCs w:val="21"/>
    </w:rPr>
  </w:style>
  <w:style w:type="character" w:customStyle="1" w:styleId="135">
    <w:name w:val="标题 3 字符"/>
    <w:semiHidden/>
    <w:qFormat/>
    <w:locked/>
    <w:uiPriority w:val="99"/>
    <w:rPr>
      <w:rFonts w:ascii="等线" w:hAnsi="等线" w:eastAsia="等线" w:cs="Times New Roman"/>
      <w:b/>
      <w:sz w:val="32"/>
    </w:rPr>
  </w:style>
  <w:style w:type="character" w:customStyle="1" w:styleId="136">
    <w:name w:val="纯文本 字符3"/>
    <w:qFormat/>
    <w:uiPriority w:val="0"/>
    <w:rPr>
      <w:rFonts w:ascii="宋体" w:hAnsi="Courier New" w:eastAsia="宋体" w:cs="Courier New"/>
      <w:szCs w:val="21"/>
    </w:rPr>
  </w:style>
  <w:style w:type="character" w:customStyle="1" w:styleId="137">
    <w:name w:val="标题 3 字符1"/>
    <w:qFormat/>
    <w:uiPriority w:val="0"/>
    <w:rPr>
      <w:rFonts w:ascii="Times New Roman" w:hAnsi="Times New Roman" w:eastAsia="宋体" w:cs="Times New Roman"/>
      <w:b/>
      <w:bCs/>
      <w:sz w:val="32"/>
      <w:szCs w:val="32"/>
    </w:rPr>
  </w:style>
  <w:style w:type="character" w:customStyle="1" w:styleId="138">
    <w:name w:val="font61"/>
    <w:qFormat/>
    <w:uiPriority w:val="0"/>
    <w:rPr>
      <w:rFonts w:hint="eastAsia" w:ascii="宋体" w:hAnsi="宋体" w:eastAsia="宋体" w:cs="宋体"/>
      <w:color w:val="000000"/>
      <w:sz w:val="36"/>
      <w:szCs w:val="36"/>
      <w:u w:val="none"/>
    </w:rPr>
  </w:style>
  <w:style w:type="paragraph" w:customStyle="1" w:styleId="139">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0">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141">
    <w:name w:val="纯文本 Char1"/>
    <w:qFormat/>
    <w:uiPriority w:val="0"/>
    <w:rPr>
      <w:rFonts w:ascii="宋体" w:hAnsi="Courier New" w:eastAsia="宋体" w:cs="Courier New"/>
      <w:szCs w:val="21"/>
    </w:rPr>
  </w:style>
  <w:style w:type="paragraph" w:customStyle="1" w:styleId="142">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3">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4">
    <w:name w:val="Body text|1"/>
    <w:basedOn w:val="1"/>
    <w:qFormat/>
    <w:uiPriority w:val="0"/>
    <w:pPr>
      <w:spacing w:line="350" w:lineRule="auto"/>
      <w:ind w:firstLine="400"/>
      <w:jc w:val="left"/>
    </w:pPr>
    <w:rPr>
      <w:rFonts w:ascii="宋体" w:hAnsi="宋体" w:cs="宋体"/>
      <w:kern w:val="0"/>
      <w:sz w:val="30"/>
      <w:szCs w:val="30"/>
    </w:rPr>
  </w:style>
  <w:style w:type="paragraph" w:customStyle="1" w:styleId="14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6">
    <w:name w:val="首行缩进"/>
    <w:basedOn w:val="1"/>
    <w:qFormat/>
    <w:uiPriority w:val="99"/>
    <w:pPr>
      <w:spacing w:line="400" w:lineRule="exact"/>
      <w:ind w:firstLine="480" w:firstLineChars="200"/>
      <w:jc w:val="left"/>
    </w:pPr>
    <w:rPr>
      <w:lang w:val="zh-CN"/>
    </w:rPr>
  </w:style>
  <w:style w:type="paragraph" w:customStyle="1" w:styleId="147">
    <w:name w:val="Table Text"/>
    <w:basedOn w:val="1"/>
    <w:semiHidden/>
    <w:qFormat/>
    <w:uiPriority w:val="0"/>
    <w:rPr>
      <w:rFonts w:ascii="宋体" w:hAnsi="宋体" w:eastAsia="宋体" w:cs="宋体"/>
      <w:sz w:val="24"/>
      <w:szCs w:val="24"/>
      <w:lang w:val="en-US" w:eastAsia="en-US" w:bidi="ar-SA"/>
    </w:rPr>
  </w:style>
  <w:style w:type="character" w:customStyle="1" w:styleId="148">
    <w:name w:val="NormalCharacter"/>
    <w:qFormat/>
    <w:uiPriority w:val="0"/>
    <w:rPr>
      <w:rFonts w:ascii="Times New Roman" w:hAnsi="Times New Roman" w:eastAsia="宋体" w:cs="Times New Roman"/>
      <w:kern w:val="2"/>
      <w:sz w:val="21"/>
      <w:szCs w:val="24"/>
      <w:lang w:val="en-US" w:eastAsia="zh-CN" w:bidi="ar-SA"/>
    </w:rPr>
  </w:style>
  <w:style w:type="paragraph" w:customStyle="1" w:styleId="149">
    <w:name w:val="样式 正文 + 首行缩进:  2 字符"/>
    <w:basedOn w:val="1"/>
    <w:qFormat/>
    <w:uiPriority w:val="0"/>
    <w:pPr>
      <w:keepNext/>
      <w:keepLines/>
      <w:spacing w:line="360" w:lineRule="auto"/>
      <w:ind w:firstLine="880" w:firstLineChars="200"/>
      <w:jc w:val="left"/>
    </w:pPr>
    <w:rPr>
      <w:rFonts w:ascii="宋体" w:hAnsi="宋体" w:cs="宋体"/>
      <w:kern w:val="0"/>
    </w:rPr>
  </w:style>
  <w:style w:type="paragraph" w:customStyle="1" w:styleId="150">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99</Pages>
  <Words>6881</Words>
  <Characters>7738</Characters>
  <Lines>397</Lines>
  <Paragraphs>111</Paragraphs>
  <TotalTime>34</TotalTime>
  <ScaleCrop>false</ScaleCrop>
  <LinksUpToDate>false</LinksUpToDate>
  <CharactersWithSpaces>7784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2023-12-22T15:16:00Z</dcterms:created>
  <dc:creator>KWZB</dc:creator>
  <cp:lastModifiedBy>Administrator</cp:lastModifiedBy>
  <cp:lastPrinted>2026-07-07T08:48:00Z</cp:lastPrinted>
  <dcterms:modified xsi:type="dcterms:W3CDTF">2026-08-06T07:54:27Z</dcterms:modified>
  <dc:title>公开招标采购文件范本</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6AACAA3EA1D14826B2BB9A20F79996B6_13</vt:lpwstr>
  </property>
  <property fmtid="{D5CDD505-2E9C-101B-9397-08002B2CF9AE}" pid="4" name="KSOTemplateDocerSaveRecord">
    <vt:lpwstr>eyJoZGlkIjoiNjE4MDkwZWUyODMzMjU2MDBiYjZmOGJkYjRlMTYxNmQiLCJ1c2VySWQiOiIxMTg0MzM2NDk5In0=</vt:lpwstr>
  </property>
</Properties>
</file>